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6.png" ContentType="image/pn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419.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551.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58.xml" ContentType="application/vnd.openxmlformats-officedocument.wordprocessingml.footer+xml"/>
  <Override PartName="/word/footer355.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62.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13</w:t>
      </w:r>
      <w:r>
        <w:rPr>
          <w:rtl w:val="true"/>
        </w:rPr>
        <w:t xml:space="preserve"> </w:t>
      </w:r>
      <w:r>
        <w:rPr>
          <w:rtl w:val="true"/>
        </w:rPr>
        <w:t xml:space="preserve">و </w:t>
      </w:r>
      <w:r>
        <w:rPr/>
        <w:t>14</w:t>
      </w:r>
      <w:r>
        <w:rPr>
          <w:rtl w:val="true"/>
        </w:rPr>
        <w:t xml:space="preserve"> </w:t>
      </w:r>
      <w:r>
        <w:rPr>
          <w:rtl w:val="true"/>
        </w:rPr>
        <w:t xml:space="preserve">المکاسب المحرمة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51420_2142443653">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851422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851424_2142443653">
            <w:r>
              <w:rPr>
                <w:webHidden/>
                <w:rStyle w:val="IndexLink"/>
                <w:rtl w:val="true"/>
              </w:rPr>
              <w:t>مقدّمة التحقيق</w:t>
            </w:r>
            <w:r>
              <w:rPr>
                <w:rStyle w:val="IndexLink"/>
                <w:rtl w:val="true"/>
              </w:rPr>
              <w:tab/>
            </w:r>
            <w:r>
              <w:rPr>
                <w:rStyle w:val="IndexLink"/>
              </w:rPr>
              <w:t>11</w:t>
            </w:r>
          </w:hyperlink>
        </w:p>
        <w:p>
          <w:pPr>
            <w:pStyle w:val="Contents2"/>
            <w:tabs>
              <w:tab w:val="clear" w:pos="8743"/>
              <w:tab w:val="right" w:pos="9026" w:leader="dot"/>
            </w:tabs>
            <w:rPr/>
          </w:pPr>
          <w:hyperlink w:anchor="__RefHeading___Toc1851426_2142443653">
            <w:r>
              <w:rPr>
                <w:webHidden/>
                <w:rStyle w:val="IndexLink"/>
                <w:rtl w:val="true"/>
              </w:rPr>
              <w:t>منهجنا في التحقيق</w:t>
            </w:r>
            <w:r>
              <w:rPr>
                <w:rStyle w:val="IndexLink"/>
                <w:rtl w:val="true"/>
              </w:rPr>
              <w:tab/>
            </w:r>
            <w:r>
              <w:rPr>
                <w:rStyle w:val="IndexLink"/>
              </w:rPr>
              <w:t>13</w:t>
            </w:r>
          </w:hyperlink>
        </w:p>
        <w:p>
          <w:pPr>
            <w:pStyle w:val="Contents2"/>
            <w:tabs>
              <w:tab w:val="clear" w:pos="8743"/>
              <w:tab w:val="right" w:pos="9026" w:leader="dot"/>
            </w:tabs>
            <w:rPr/>
          </w:pPr>
          <w:hyperlink w:anchor="__RefHeading___Toc1851428_2142443653">
            <w:r>
              <w:rPr>
                <w:webHidden/>
                <w:rStyle w:val="IndexLink"/>
                <w:rtl w:val="true"/>
              </w:rPr>
              <w:t>مقدّمة بقلم آیة الله السیّد محمّد الهاشمي</w:t>
            </w:r>
            <w:r>
              <w:rPr>
                <w:rStyle w:val="IndexLink"/>
                <w:rtl w:val="true"/>
              </w:rPr>
              <w:tab/>
            </w:r>
            <w:r>
              <w:rPr>
                <w:rStyle w:val="IndexLink"/>
              </w:rPr>
              <w:t>15</w:t>
            </w:r>
          </w:hyperlink>
        </w:p>
        <w:p>
          <w:pPr>
            <w:pStyle w:val="Contents2"/>
            <w:tabs>
              <w:tab w:val="clear" w:pos="8743"/>
              <w:tab w:val="right" w:pos="9026" w:leader="dot"/>
            </w:tabs>
            <w:rPr/>
          </w:pPr>
          <w:hyperlink w:anchor="__RefHeading___Toc1851430_2142443653">
            <w:r>
              <w:rPr>
                <w:webHidden/>
                <w:rStyle w:val="IndexLink"/>
                <w:rtl w:val="true"/>
              </w:rPr>
              <w:t>لمحاتٌ عن المؤلّف وحياته العلمية</w:t>
            </w:r>
            <w:r>
              <w:rPr>
                <w:rStyle w:val="IndexLink"/>
                <w:rtl w:val="true"/>
              </w:rPr>
              <w:tab/>
            </w:r>
            <w:r>
              <w:rPr>
                <w:rStyle w:val="IndexLink"/>
              </w:rPr>
              <w:t>16</w:t>
            </w:r>
          </w:hyperlink>
        </w:p>
        <w:p>
          <w:pPr>
            <w:pStyle w:val="Contents2"/>
            <w:tabs>
              <w:tab w:val="clear" w:pos="8743"/>
              <w:tab w:val="right" w:pos="9026" w:leader="dot"/>
            </w:tabs>
            <w:rPr/>
          </w:pPr>
          <w:hyperlink w:anchor="__RefHeading___Toc1851432_2142443653">
            <w:r>
              <w:rPr>
                <w:webHidden/>
                <w:rStyle w:val="IndexLink"/>
                <w:rtl w:val="true"/>
              </w:rPr>
              <w:t>مصنّفاته ورسائله</w:t>
            </w:r>
            <w:r>
              <w:rPr>
                <w:rStyle w:val="IndexLink"/>
                <w:rtl w:val="true"/>
              </w:rPr>
              <w:tab/>
            </w:r>
            <w:r>
              <w:rPr>
                <w:rStyle w:val="IndexLink"/>
              </w:rPr>
              <w:t>17</w:t>
            </w:r>
          </w:hyperlink>
        </w:p>
        <w:p>
          <w:pPr>
            <w:pStyle w:val="Contents2"/>
            <w:tabs>
              <w:tab w:val="clear" w:pos="8743"/>
              <w:tab w:val="right" w:pos="9026" w:leader="dot"/>
            </w:tabs>
            <w:rPr/>
          </w:pPr>
          <w:hyperlink w:anchor="__RefHeading___Toc1851434_2142443653">
            <w:r>
              <w:rPr>
                <w:webHidden/>
                <w:rStyle w:val="IndexLink"/>
                <w:rtl w:val="true"/>
              </w:rPr>
              <w:t>منهجه العلمي واُسلوبه الاجتهادي</w:t>
            </w:r>
            <w:r>
              <w:rPr>
                <w:rStyle w:val="IndexLink"/>
                <w:rtl w:val="true"/>
              </w:rPr>
              <w:tab/>
            </w:r>
            <w:r>
              <w:rPr>
                <w:rStyle w:val="IndexLink"/>
              </w:rPr>
              <w:t>19</w:t>
            </w:r>
          </w:hyperlink>
        </w:p>
        <w:p>
          <w:pPr>
            <w:pStyle w:val="Contents2"/>
            <w:tabs>
              <w:tab w:val="clear" w:pos="8743"/>
              <w:tab w:val="right" w:pos="9026" w:leader="dot"/>
            </w:tabs>
            <w:rPr/>
          </w:pPr>
          <w:hyperlink w:anchor="__RefHeading___Toc1851436_2142443653">
            <w:r>
              <w:rPr>
                <w:webHidden/>
                <w:rStyle w:val="IndexLink"/>
                <w:rtl w:val="true"/>
              </w:rPr>
              <w:t>نماذج بارزة من منهجه العلمي</w:t>
            </w:r>
            <w:r>
              <w:rPr>
                <w:rStyle w:val="IndexLink"/>
                <w:rtl w:val="true"/>
              </w:rPr>
              <w:tab/>
            </w:r>
            <w:r>
              <w:rPr>
                <w:rStyle w:val="IndexLink"/>
              </w:rPr>
              <w:t>21</w:t>
            </w:r>
          </w:hyperlink>
        </w:p>
        <w:p>
          <w:pPr>
            <w:pStyle w:val="Contents2"/>
            <w:tabs>
              <w:tab w:val="clear" w:pos="8743"/>
              <w:tab w:val="right" w:pos="9026" w:leader="dot"/>
            </w:tabs>
            <w:rPr/>
          </w:pPr>
          <w:hyperlink w:anchor="__RefHeading___Toc1851438_2142443653">
            <w:r>
              <w:rPr>
                <w:webHidden/>
                <w:rStyle w:val="IndexLink"/>
                <w:rtl w:val="true"/>
              </w:rPr>
              <w:t>المکاسب المحرمة</w:t>
            </w:r>
            <w:r>
              <w:rPr>
                <w:rStyle w:val="IndexLink"/>
                <w:rtl w:val="true"/>
              </w:rPr>
              <w:tab/>
            </w:r>
            <w:r>
              <w:rPr>
                <w:rStyle w:val="IndexLink"/>
              </w:rPr>
              <w:t>43</w:t>
            </w:r>
          </w:hyperlink>
        </w:p>
        <w:p>
          <w:pPr>
            <w:pStyle w:val="Contents3"/>
            <w:tabs>
              <w:tab w:val="clear" w:pos="8459"/>
              <w:tab w:val="right" w:pos="9026" w:leader="dot"/>
            </w:tabs>
            <w:rPr/>
          </w:pPr>
          <w:hyperlink w:anchor="__RefHeading___Toc1851440_2142443653">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1851442_2142443653">
            <w:r>
              <w:rPr>
                <w:webHidden/>
                <w:rStyle w:val="IndexLink"/>
                <w:rtl w:val="true"/>
              </w:rPr>
              <w:t>تقسيم المكاسب و بیان المراد من المکاسب المحرّمة</w:t>
            </w:r>
            <w:r>
              <w:rPr>
                <w:rStyle w:val="IndexLink"/>
                <w:rtl w:val="true"/>
              </w:rPr>
              <w:tab/>
            </w:r>
            <w:r>
              <w:rPr>
                <w:rStyle w:val="IndexLink"/>
              </w:rPr>
              <w:t>47</w:t>
            </w:r>
          </w:hyperlink>
        </w:p>
        <w:p>
          <w:pPr>
            <w:pStyle w:val="Contents3"/>
            <w:tabs>
              <w:tab w:val="clear" w:pos="8459"/>
              <w:tab w:val="right" w:pos="9026" w:leader="dot"/>
            </w:tabs>
            <w:rPr/>
          </w:pPr>
          <w:hyperlink w:anchor="__RefHeading___Toc1851444_2142443653">
            <w:r>
              <w:rPr>
                <w:webHidden/>
                <w:rStyle w:val="IndexLink"/>
                <w:rtl w:val="true"/>
              </w:rPr>
              <w:t>في متعلّق الحرمة</w:t>
            </w:r>
            <w:r>
              <w:rPr>
                <w:rStyle w:val="IndexLink"/>
                <w:rtl w:val="true"/>
              </w:rPr>
              <w:tab/>
            </w:r>
            <w:r>
              <w:rPr>
                <w:rStyle w:val="IndexLink"/>
              </w:rPr>
              <w:t>49</w:t>
            </w:r>
          </w:hyperlink>
        </w:p>
        <w:p>
          <w:pPr>
            <w:pStyle w:val="Contents3"/>
            <w:tabs>
              <w:tab w:val="clear" w:pos="8459"/>
              <w:tab w:val="right" w:pos="9026" w:leader="dot"/>
            </w:tabs>
            <w:rPr/>
          </w:pPr>
          <w:hyperlink w:anchor="__RefHeading___Toc1851446_2142443653">
            <w:r>
              <w:rPr>
                <w:webHidden/>
                <w:rStyle w:val="IndexLink"/>
                <w:rtl w:val="true"/>
              </w:rPr>
              <w:t>القسم الأوّل في الاكتساب بالأعيان النجسة</w:t>
            </w:r>
            <w:r>
              <w:rPr>
                <w:rStyle w:val="IndexLink"/>
                <w:rtl w:val="true"/>
              </w:rPr>
              <w:tab/>
            </w:r>
            <w:r>
              <w:rPr>
                <w:rStyle w:val="IndexLink"/>
              </w:rPr>
              <w:t>51</w:t>
            </w:r>
          </w:hyperlink>
        </w:p>
        <w:p>
          <w:pPr>
            <w:pStyle w:val="Contents4"/>
            <w:tabs>
              <w:tab w:val="clear" w:pos="8176"/>
              <w:tab w:val="right" w:pos="9026" w:leader="dot"/>
            </w:tabs>
            <w:rPr/>
          </w:pPr>
          <w:hyperlink w:anchor="__RefHeading___Toc1851448_2142443653">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851450_2142443653">
            <w:r>
              <w:rPr>
                <w:webHidden/>
                <w:rStyle w:val="IndexLink"/>
                <w:rtl w:val="true"/>
              </w:rPr>
              <w:t xml:space="preserve">الجهة الاُولى </w:t>
            </w:r>
            <w:r>
              <w:rPr>
                <w:rStyle w:val="IndexLink"/>
                <w:rtl w:val="true"/>
              </w:rPr>
              <w:t xml:space="preserve">: </w:t>
            </w:r>
            <w:r>
              <w:rPr>
                <w:rStyle w:val="IndexLink"/>
                <w:rtl w:val="true"/>
              </w:rPr>
              <w:t>في الحرمة التكليفية للاكتساب بالأعيان النجسة</w:t>
            </w:r>
            <w:r>
              <w:rPr>
                <w:rStyle w:val="IndexLink"/>
                <w:rtl w:val="true"/>
              </w:rPr>
              <w:tab/>
            </w:r>
            <w:r>
              <w:rPr>
                <w:rStyle w:val="IndexLink"/>
              </w:rPr>
              <w:t>53</w:t>
            </w:r>
          </w:hyperlink>
        </w:p>
        <w:p>
          <w:pPr>
            <w:pStyle w:val="Contents4"/>
            <w:tabs>
              <w:tab w:val="clear" w:pos="8176"/>
              <w:tab w:val="right" w:pos="9026" w:leader="dot"/>
            </w:tabs>
            <w:rPr/>
          </w:pPr>
          <w:hyperlink w:anchor="__RefHeading___Toc1851452_2142443653">
            <w:r>
              <w:rPr>
                <w:webHidden/>
                <w:rStyle w:val="IndexLink"/>
                <w:rtl w:val="true"/>
              </w:rPr>
              <w:t xml:space="preserve">وفیه جهات من البحث </w:t>
            </w:r>
            <w:r>
              <w:rPr>
                <w:rStyle w:val="IndexLink"/>
                <w:rtl w:val="true"/>
              </w:rPr>
              <w:t>:</w:t>
              <w:tab/>
            </w:r>
            <w:r>
              <w:rPr>
                <w:rStyle w:val="IndexLink"/>
              </w:rPr>
              <w:t>53</w:t>
            </w:r>
          </w:hyperlink>
        </w:p>
        <w:p>
          <w:pPr>
            <w:pStyle w:val="Contents5"/>
            <w:tabs>
              <w:tab w:val="clear" w:pos="7892"/>
              <w:tab w:val="right" w:pos="9026" w:leader="dot"/>
            </w:tabs>
            <w:rPr/>
          </w:pPr>
          <w:hyperlink w:anchor="__RefHeading___Toc1851454_2142443653">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851456_2142443653">
            <w:r>
              <w:rPr>
                <w:webHidden/>
                <w:rStyle w:val="IndexLink"/>
                <w:rtl w:val="true"/>
              </w:rPr>
              <w:t xml:space="preserve">الجهة الثانية </w:t>
            </w:r>
            <w:r>
              <w:rPr>
                <w:rStyle w:val="IndexLink"/>
                <w:rtl w:val="true"/>
              </w:rPr>
              <w:t xml:space="preserve">: </w:t>
            </w:r>
            <w:r>
              <w:rPr>
                <w:rStyle w:val="IndexLink"/>
                <w:rtl w:val="true"/>
              </w:rPr>
              <w:t>في حرمة الأثمان المأخوذة بعنوان ثمن النجس أو الحرام</w:t>
            </w:r>
            <w:r>
              <w:rPr>
                <w:rStyle w:val="IndexLink"/>
                <w:rtl w:val="true"/>
              </w:rPr>
              <w:tab/>
            </w:r>
            <w:r>
              <w:rPr>
                <w:rStyle w:val="IndexLink"/>
              </w:rPr>
              <w:t>65</w:t>
            </w:r>
          </w:hyperlink>
        </w:p>
        <w:p>
          <w:pPr>
            <w:pStyle w:val="Contents5"/>
            <w:tabs>
              <w:tab w:val="clear" w:pos="7892"/>
              <w:tab w:val="right" w:pos="9026" w:leader="dot"/>
            </w:tabs>
            <w:rPr/>
          </w:pPr>
          <w:hyperlink w:anchor="__RefHeading___Toc1851458_2142443653">
            <w:r>
              <w:rPr>
                <w:webHidden/>
                <w:rStyle w:val="IndexLink"/>
                <w:rtl w:val="true"/>
              </w:rPr>
              <w:t xml:space="preserve">الجهة الثالثة </w:t>
            </w:r>
            <w:r>
              <w:rPr>
                <w:rStyle w:val="IndexLink"/>
                <w:rtl w:val="true"/>
              </w:rPr>
              <w:t xml:space="preserve">: </w:t>
            </w:r>
            <w:r>
              <w:rPr>
                <w:rStyle w:val="IndexLink"/>
                <w:rtl w:val="true"/>
              </w:rPr>
              <w:t>في الحرمة الوضعية للاكتساب بالأعيان النجسة</w:t>
            </w:r>
            <w:r>
              <w:rPr>
                <w:rStyle w:val="IndexLink"/>
                <w:rtl w:val="true"/>
              </w:rPr>
              <w:tab/>
            </w:r>
            <w:r>
              <w:rPr>
                <w:rStyle w:val="IndexLink"/>
              </w:rPr>
              <w:t>68</w:t>
            </w:r>
          </w:hyperlink>
        </w:p>
        <w:p>
          <w:pPr>
            <w:pStyle w:val="Contents5"/>
            <w:tabs>
              <w:tab w:val="clear" w:pos="7892"/>
              <w:tab w:val="right" w:pos="9026" w:leader="dot"/>
            </w:tabs>
            <w:rPr/>
          </w:pPr>
          <w:hyperlink w:anchor="__RefHeading___Toc1851460_2142443653">
            <w:r>
              <w:rPr>
                <w:webHidden/>
                <w:rStyle w:val="IndexLink"/>
                <w:rtl w:val="true"/>
              </w:rPr>
              <w:t>حول كلمات الفقهاء في المقامات الثلاثة</w:t>
            </w:r>
            <w:r>
              <w:rPr>
                <w:rStyle w:val="IndexLink"/>
                <w:rtl w:val="true"/>
              </w:rPr>
              <w:tab/>
            </w:r>
            <w:r>
              <w:rPr>
                <w:rStyle w:val="IndexLink"/>
              </w:rPr>
              <w:t>70</w:t>
            </w:r>
          </w:hyperlink>
        </w:p>
        <w:p>
          <w:pPr>
            <w:pStyle w:val="Contents4"/>
            <w:tabs>
              <w:tab w:val="clear" w:pos="8176"/>
              <w:tab w:val="right" w:pos="9026" w:leader="dot"/>
            </w:tabs>
            <w:rPr/>
          </w:pPr>
          <w:hyperlink w:anchor="__RefHeading___Toc1851462_2142443653">
            <w:r>
              <w:rPr>
                <w:webHidden/>
                <w:rStyle w:val="IndexLink"/>
                <w:rtl w:val="true"/>
              </w:rPr>
              <w:t>بقیت فروع</w:t>
            </w:r>
            <w:r>
              <w:rPr>
                <w:rStyle w:val="IndexLink"/>
                <w:rtl w:val="true"/>
              </w:rPr>
              <w:t>:</w:t>
              <w:tab/>
            </w:r>
            <w:r>
              <w:rPr>
                <w:rStyle w:val="IndexLink"/>
              </w:rPr>
              <w:t>77</w:t>
            </w:r>
          </w:hyperlink>
        </w:p>
        <w:p>
          <w:pPr>
            <w:pStyle w:val="Contents5"/>
            <w:tabs>
              <w:tab w:val="clear" w:pos="7892"/>
              <w:tab w:val="right" w:pos="9026" w:leader="dot"/>
            </w:tabs>
            <w:rPr/>
          </w:pPr>
          <w:hyperlink w:anchor="__RefHeading___Toc1851464_2142443653">
            <w:r>
              <w:rPr>
                <w:webHidden/>
                <w:rStyle w:val="IndexLink"/>
                <w:rtl w:val="true"/>
              </w:rPr>
              <w:t xml:space="preserve">الفرع الأوّل </w:t>
            </w:r>
            <w:r>
              <w:rPr>
                <w:rStyle w:val="IndexLink"/>
                <w:rtl w:val="true"/>
              </w:rPr>
              <w:t xml:space="preserve">: </w:t>
            </w:r>
            <w:r>
              <w:rPr>
                <w:rStyle w:val="IndexLink"/>
                <w:rtl w:val="true"/>
              </w:rPr>
              <w:t>في إلحاق المائعات المتنجّسة بالأعيان النجسة</w:t>
            </w:r>
            <w:r>
              <w:rPr>
                <w:rStyle w:val="IndexLink"/>
                <w:rtl w:val="true"/>
              </w:rPr>
              <w:tab/>
            </w:r>
            <w:r>
              <w:rPr>
                <w:rStyle w:val="IndexLink"/>
              </w:rPr>
              <w:t>77</w:t>
            </w:r>
          </w:hyperlink>
        </w:p>
        <w:p>
          <w:pPr>
            <w:pStyle w:val="Contents5"/>
            <w:tabs>
              <w:tab w:val="clear" w:pos="7892"/>
              <w:tab w:val="right" w:pos="9026" w:leader="dot"/>
            </w:tabs>
            <w:rPr/>
          </w:pPr>
          <w:hyperlink w:anchor="__RefHeading___Toc1851466_2142443653">
            <w:r>
              <w:rPr>
                <w:webHidden/>
                <w:rStyle w:val="IndexLink"/>
                <w:rtl w:val="true"/>
              </w:rPr>
              <w:t xml:space="preserve">الفرع الثاني </w:t>
            </w:r>
            <w:r>
              <w:rPr>
                <w:rStyle w:val="IndexLink"/>
                <w:rtl w:val="true"/>
              </w:rPr>
              <w:t xml:space="preserve">: </w:t>
            </w:r>
            <w:r>
              <w:rPr>
                <w:rStyle w:val="IndexLink"/>
                <w:rtl w:val="true"/>
              </w:rPr>
              <w:t>حول ما هو موضوع الحرمة في الأحكام الثلاثة</w:t>
            </w:r>
            <w:r>
              <w:rPr>
                <w:rStyle w:val="IndexLink"/>
                <w:rtl w:val="true"/>
              </w:rPr>
              <w:tab/>
            </w:r>
            <w:r>
              <w:rPr>
                <w:rStyle w:val="IndexLink"/>
              </w:rPr>
              <w:t>85</w:t>
            </w:r>
          </w:hyperlink>
        </w:p>
        <w:p>
          <w:pPr>
            <w:pStyle w:val="Contents5"/>
            <w:tabs>
              <w:tab w:val="clear" w:pos="7892"/>
              <w:tab w:val="right" w:pos="9026" w:leader="dot"/>
            </w:tabs>
            <w:rPr/>
          </w:pPr>
          <w:hyperlink w:anchor="__RefHeading___Toc1851468_2142443653">
            <w:r>
              <w:rPr>
                <w:webHidden/>
                <w:rStyle w:val="IndexLink"/>
                <w:rtl w:val="true"/>
              </w:rPr>
              <w:t>مفاد الروايات في المقام</w:t>
            </w:r>
            <w:r>
              <w:rPr>
                <w:rStyle w:val="IndexLink"/>
                <w:rtl w:val="true"/>
              </w:rPr>
              <w:tab/>
            </w:r>
            <w:r>
              <w:rPr>
                <w:rStyle w:val="IndexLink"/>
              </w:rPr>
              <w:t>86</w:t>
            </w:r>
          </w:hyperlink>
        </w:p>
        <w:p>
          <w:pPr>
            <w:pStyle w:val="Contents5"/>
            <w:tabs>
              <w:tab w:val="clear" w:pos="7892"/>
              <w:tab w:val="right" w:pos="9026" w:leader="dot"/>
            </w:tabs>
            <w:rPr/>
          </w:pPr>
          <w:hyperlink w:anchor="__RefHeading___Toc1851470_2142443653">
            <w:r>
              <w:rPr>
                <w:webHidden/>
                <w:rStyle w:val="IndexLink"/>
                <w:rtl w:val="true"/>
              </w:rPr>
              <w:t>كلمات الفقهاء في المقام</w:t>
            </w:r>
            <w:r>
              <w:rPr>
                <w:rStyle w:val="IndexLink"/>
                <w:rtl w:val="true"/>
              </w:rPr>
              <w:tab/>
            </w:r>
            <w:r>
              <w:rPr>
                <w:rStyle w:val="IndexLink"/>
              </w:rPr>
              <w:t>96</w:t>
            </w:r>
          </w:hyperlink>
        </w:p>
        <w:p>
          <w:pPr>
            <w:pStyle w:val="Contents5"/>
            <w:tabs>
              <w:tab w:val="clear" w:pos="7892"/>
              <w:tab w:val="right" w:pos="9026" w:leader="dot"/>
            </w:tabs>
            <w:rPr/>
          </w:pPr>
          <w:hyperlink w:anchor="__RefHeading___Toc1851472_2142443653">
            <w:r>
              <w:rPr>
                <w:webHidden/>
                <w:rStyle w:val="IndexLink"/>
                <w:rtl w:val="true"/>
              </w:rPr>
              <w:t>البحث الكلّي حول الانتفاع بالأعيان النجسة وبالمتنجّسات</w:t>
            </w:r>
            <w:r>
              <w:rPr>
                <w:rStyle w:val="IndexLink"/>
                <w:rtl w:val="true"/>
              </w:rPr>
              <w:tab/>
            </w:r>
            <w:r>
              <w:rPr>
                <w:rStyle w:val="IndexLink"/>
              </w:rPr>
              <w:t>98</w:t>
            </w:r>
          </w:hyperlink>
        </w:p>
        <w:p>
          <w:pPr>
            <w:pStyle w:val="Contents5"/>
            <w:tabs>
              <w:tab w:val="clear" w:pos="7892"/>
              <w:tab w:val="right" w:pos="9026" w:leader="dot"/>
            </w:tabs>
            <w:rPr/>
          </w:pPr>
          <w:hyperlink w:anchor="__RefHeading___Toc1851474_2142443653">
            <w:r>
              <w:rPr>
                <w:webHidden/>
                <w:rStyle w:val="IndexLink"/>
                <w:rtl w:val="true"/>
              </w:rPr>
              <w:t>البحث في الانتفاع ببعض الأعيان النجسة الواردة فيها روايات بالخصوص</w:t>
            </w:r>
            <w:r>
              <w:rPr>
                <w:rStyle w:val="IndexLink"/>
                <w:rtl w:val="true"/>
              </w:rPr>
              <w:tab/>
            </w:r>
            <w:r>
              <w:rPr>
                <w:rStyle w:val="IndexLink"/>
              </w:rPr>
              <w:t>107</w:t>
            </w:r>
          </w:hyperlink>
        </w:p>
        <w:p>
          <w:pPr>
            <w:pStyle w:val="Contents5"/>
            <w:tabs>
              <w:tab w:val="clear" w:pos="7892"/>
              <w:tab w:val="right" w:pos="9026" w:leader="dot"/>
            </w:tabs>
            <w:rPr/>
          </w:pPr>
          <w:hyperlink w:anchor="__RefHeading___Toc1851476_2142443653">
            <w:r>
              <w:rPr>
                <w:webHidden/>
                <w:rStyle w:val="IndexLink"/>
                <w:rtl w:val="true"/>
              </w:rPr>
              <w:t>حكم الانتفاع بالدم وبيعه</w:t>
            </w:r>
            <w:r>
              <w:rPr>
                <w:rStyle w:val="IndexLink"/>
                <w:rtl w:val="true"/>
              </w:rPr>
              <w:tab/>
            </w:r>
            <w:r>
              <w:rPr>
                <w:rStyle w:val="IndexLink"/>
              </w:rPr>
              <w:t>107</w:t>
            </w:r>
          </w:hyperlink>
        </w:p>
        <w:p>
          <w:pPr>
            <w:pStyle w:val="Contents5"/>
            <w:tabs>
              <w:tab w:val="clear" w:pos="7892"/>
              <w:tab w:val="right" w:pos="9026" w:leader="dot"/>
            </w:tabs>
            <w:rPr/>
          </w:pPr>
          <w:hyperlink w:anchor="__RefHeading___Toc1851478_2142443653">
            <w:r>
              <w:rPr>
                <w:webHidden/>
                <w:rStyle w:val="IndexLink"/>
                <w:rtl w:val="true"/>
              </w:rPr>
              <w:t>حكم الانتفاع بالعذرة وبيعها</w:t>
            </w:r>
            <w:r>
              <w:rPr>
                <w:rStyle w:val="IndexLink"/>
                <w:rtl w:val="true"/>
              </w:rPr>
              <w:tab/>
            </w:r>
            <w:r>
              <w:rPr>
                <w:rStyle w:val="IndexLink"/>
              </w:rPr>
              <w:t>108</w:t>
            </w:r>
          </w:hyperlink>
        </w:p>
        <w:p>
          <w:pPr>
            <w:pStyle w:val="Contents5"/>
            <w:tabs>
              <w:tab w:val="clear" w:pos="7892"/>
              <w:tab w:val="right" w:pos="9026" w:leader="dot"/>
            </w:tabs>
            <w:rPr/>
          </w:pPr>
          <w:hyperlink w:anchor="__RefHeading___Toc1851480_2142443653">
            <w:r>
              <w:rPr>
                <w:webHidden/>
                <w:rStyle w:val="IndexLink"/>
                <w:rtl w:val="true"/>
              </w:rPr>
              <w:t>الأخبار الواردة في المقام</w:t>
            </w:r>
            <w:r>
              <w:rPr>
                <w:rStyle w:val="IndexLink"/>
                <w:rtl w:val="true"/>
              </w:rPr>
              <w:tab/>
            </w:r>
            <w:r>
              <w:rPr>
                <w:rStyle w:val="IndexLink"/>
              </w:rPr>
              <w:t>110</w:t>
            </w:r>
          </w:hyperlink>
        </w:p>
        <w:p>
          <w:pPr>
            <w:pStyle w:val="Contents5"/>
            <w:tabs>
              <w:tab w:val="clear" w:pos="7892"/>
              <w:tab w:val="right" w:pos="9026" w:leader="dot"/>
            </w:tabs>
            <w:rPr/>
          </w:pPr>
          <w:hyperlink w:anchor="__RefHeading___Toc1851482_2142443653">
            <w:r>
              <w:rPr>
                <w:webHidden/>
                <w:rStyle w:val="IndexLink"/>
                <w:rtl w:val="true"/>
              </w:rPr>
              <w:t>في بيان المراد من العذرة</w:t>
            </w:r>
            <w:r>
              <w:rPr>
                <w:rStyle w:val="IndexLink"/>
                <w:rtl w:val="true"/>
              </w:rPr>
              <w:tab/>
            </w:r>
            <w:r>
              <w:rPr>
                <w:rStyle w:val="IndexLink"/>
              </w:rPr>
              <w:t>111</w:t>
            </w:r>
          </w:hyperlink>
        </w:p>
        <w:p>
          <w:pPr>
            <w:pStyle w:val="Contents5"/>
            <w:tabs>
              <w:tab w:val="clear" w:pos="7892"/>
              <w:tab w:val="right" w:pos="9026" w:leader="dot"/>
            </w:tabs>
            <w:rPr/>
          </w:pPr>
          <w:hyperlink w:anchor="__RefHeading___Toc1851484_2142443653">
            <w:r>
              <w:rPr>
                <w:webHidden/>
                <w:rStyle w:val="IndexLink"/>
                <w:rtl w:val="true"/>
              </w:rPr>
              <w:t>حكم الانتفاع بالميتة وبيعها</w:t>
            </w:r>
            <w:r>
              <w:rPr>
                <w:rStyle w:val="IndexLink"/>
                <w:rtl w:val="true"/>
              </w:rPr>
              <w:tab/>
            </w:r>
            <w:r>
              <w:rPr>
                <w:rStyle w:val="IndexLink"/>
              </w:rPr>
              <w:t>119</w:t>
            </w:r>
          </w:hyperlink>
        </w:p>
        <w:p>
          <w:pPr>
            <w:pStyle w:val="Contents5"/>
            <w:tabs>
              <w:tab w:val="clear" w:pos="7892"/>
              <w:tab w:val="right" w:pos="9026" w:leader="dot"/>
            </w:tabs>
            <w:rPr/>
          </w:pPr>
          <w:hyperlink w:anchor="__RefHeading___Toc1851486_2142443653">
            <w:r>
              <w:rPr>
                <w:webHidden/>
                <w:rStyle w:val="IndexLink"/>
                <w:rtl w:val="true"/>
              </w:rPr>
              <w:t>الروايات التي يمكن أن يستدلّ بها على حرمة الانتفاع بالميتة</w:t>
            </w:r>
            <w:r>
              <w:rPr>
                <w:rStyle w:val="IndexLink"/>
                <w:rtl w:val="true"/>
              </w:rPr>
              <w:tab/>
            </w:r>
            <w:r>
              <w:rPr>
                <w:rStyle w:val="IndexLink"/>
              </w:rPr>
              <w:t>119</w:t>
            </w:r>
          </w:hyperlink>
        </w:p>
        <w:p>
          <w:pPr>
            <w:pStyle w:val="Contents5"/>
            <w:tabs>
              <w:tab w:val="clear" w:pos="7892"/>
              <w:tab w:val="right" w:pos="9026" w:leader="dot"/>
            </w:tabs>
            <w:rPr/>
          </w:pPr>
          <w:hyperlink w:anchor="__RefHeading___Toc1851488_2142443653">
            <w:r>
              <w:rPr>
                <w:webHidden/>
                <w:rStyle w:val="IndexLink"/>
                <w:rtl w:val="true"/>
              </w:rPr>
              <w:t>الروايات الدالّة على جواز الانتفاع بالميتة في موارد خاصّة</w:t>
            </w:r>
            <w:r>
              <w:rPr>
                <w:rStyle w:val="IndexLink"/>
                <w:rtl w:val="true"/>
              </w:rPr>
              <w:tab/>
            </w:r>
            <w:r>
              <w:rPr>
                <w:rStyle w:val="IndexLink"/>
              </w:rPr>
              <w:t>125</w:t>
            </w:r>
          </w:hyperlink>
        </w:p>
        <w:p>
          <w:pPr>
            <w:pStyle w:val="Contents5"/>
            <w:tabs>
              <w:tab w:val="clear" w:pos="7892"/>
              <w:tab w:val="right" w:pos="9026" w:leader="dot"/>
            </w:tabs>
            <w:rPr/>
          </w:pPr>
          <w:hyperlink w:anchor="__RefHeading___Toc1851490_2142443653">
            <w:r>
              <w:rPr>
                <w:webHidden/>
                <w:rStyle w:val="IndexLink"/>
                <w:rtl w:val="true"/>
              </w:rPr>
              <w:t>دعاوي الإجماع والشهرة على حرمة الانتفاع بالميتة</w:t>
            </w:r>
            <w:r>
              <w:rPr>
                <w:rStyle w:val="IndexLink"/>
                <w:rtl w:val="true"/>
              </w:rPr>
              <w:tab/>
            </w:r>
            <w:r>
              <w:rPr>
                <w:rStyle w:val="IndexLink"/>
              </w:rPr>
              <w:t>134</w:t>
            </w:r>
          </w:hyperlink>
        </w:p>
        <w:p>
          <w:pPr>
            <w:pStyle w:val="Contents5"/>
            <w:tabs>
              <w:tab w:val="clear" w:pos="7892"/>
              <w:tab w:val="right" w:pos="9026" w:leader="dot"/>
            </w:tabs>
            <w:rPr/>
          </w:pPr>
          <w:hyperlink w:anchor="__RefHeading___Toc1851492_2142443653">
            <w:r>
              <w:rPr>
                <w:webHidden/>
                <w:rStyle w:val="IndexLink"/>
                <w:rtl w:val="true"/>
              </w:rPr>
              <w:t>جواز البيع فيما جاز الانتفاع</w:t>
            </w:r>
            <w:r>
              <w:rPr>
                <w:rStyle w:val="IndexLink"/>
                <w:rtl w:val="true"/>
              </w:rPr>
              <w:tab/>
            </w:r>
            <w:r>
              <w:rPr>
                <w:rStyle w:val="IndexLink"/>
              </w:rPr>
              <w:t>137</w:t>
            </w:r>
          </w:hyperlink>
        </w:p>
        <w:p>
          <w:pPr>
            <w:pStyle w:val="Contents5"/>
            <w:tabs>
              <w:tab w:val="clear" w:pos="7892"/>
              <w:tab w:val="right" w:pos="9026" w:leader="dot"/>
            </w:tabs>
            <w:rPr/>
          </w:pPr>
          <w:hyperlink w:anchor="__RefHeading___Toc1851494_2142443653">
            <w:r>
              <w:rPr>
                <w:webHidden/>
                <w:rStyle w:val="IndexLink"/>
                <w:rtl w:val="true"/>
              </w:rPr>
              <w:t>فرع</w:t>
            </w:r>
            <w:r>
              <w:rPr>
                <w:rStyle w:val="IndexLink"/>
                <w:rtl w:val="true"/>
              </w:rPr>
              <w:t xml:space="preserve">: </w:t>
            </w:r>
            <w:r>
              <w:rPr>
                <w:rStyle w:val="IndexLink"/>
                <w:rtl w:val="true"/>
              </w:rPr>
              <w:t>حكم الانتفاع بالمشتبه بالمذكّى وبيعه</w:t>
            </w:r>
            <w:r>
              <w:rPr>
                <w:rStyle w:val="IndexLink"/>
                <w:rtl w:val="true"/>
              </w:rPr>
              <w:tab/>
            </w:r>
            <w:r>
              <w:rPr>
                <w:rStyle w:val="IndexLink"/>
              </w:rPr>
              <w:t>140</w:t>
            </w:r>
          </w:hyperlink>
        </w:p>
        <w:p>
          <w:pPr>
            <w:pStyle w:val="Contents5"/>
            <w:tabs>
              <w:tab w:val="clear" w:pos="7892"/>
              <w:tab w:val="right" w:pos="9026" w:leader="dot"/>
            </w:tabs>
            <w:rPr/>
          </w:pPr>
          <w:hyperlink w:anchor="__RefHeading___Toc1851496_2142443653">
            <w:r>
              <w:rPr>
                <w:webHidden/>
                <w:rStyle w:val="IndexLink"/>
                <w:rtl w:val="true"/>
              </w:rPr>
              <w:t>حكم الانتفاع بالكلب وبيعه</w:t>
            </w:r>
            <w:r>
              <w:rPr>
                <w:rStyle w:val="IndexLink"/>
                <w:rtl w:val="true"/>
              </w:rPr>
              <w:tab/>
            </w:r>
            <w:r>
              <w:rPr>
                <w:rStyle w:val="IndexLink"/>
              </w:rPr>
              <w:t>152</w:t>
            </w:r>
          </w:hyperlink>
        </w:p>
        <w:p>
          <w:pPr>
            <w:pStyle w:val="Contents5"/>
            <w:tabs>
              <w:tab w:val="clear" w:pos="7892"/>
              <w:tab w:val="right" w:pos="9026" w:leader="dot"/>
            </w:tabs>
            <w:rPr/>
          </w:pPr>
          <w:hyperlink w:anchor="__RefHeading___Toc1851498_2142443653">
            <w:r>
              <w:rPr>
                <w:webHidden/>
                <w:rStyle w:val="IndexLink"/>
                <w:rtl w:val="true"/>
              </w:rPr>
              <w:t>الأخبار الواردة في المقام</w:t>
            </w:r>
            <w:r>
              <w:rPr>
                <w:rStyle w:val="IndexLink"/>
                <w:rtl w:val="true"/>
              </w:rPr>
              <w:tab/>
            </w:r>
            <w:r>
              <w:rPr>
                <w:rStyle w:val="IndexLink"/>
              </w:rPr>
              <w:t>153</w:t>
            </w:r>
          </w:hyperlink>
        </w:p>
        <w:p>
          <w:pPr>
            <w:pStyle w:val="Contents5"/>
            <w:tabs>
              <w:tab w:val="clear" w:pos="7892"/>
              <w:tab w:val="right" w:pos="9026" w:leader="dot"/>
            </w:tabs>
            <w:rPr/>
          </w:pPr>
          <w:hyperlink w:anchor="__RefHeading___Toc1851500_2142443653">
            <w:r>
              <w:rPr>
                <w:webHidden/>
                <w:rStyle w:val="IndexLink"/>
                <w:rtl w:val="true"/>
              </w:rPr>
              <w:t>المحتملات في عنوان الصَيود ونحوه والمقصود منها</w:t>
            </w:r>
            <w:r>
              <w:rPr>
                <w:rStyle w:val="IndexLink"/>
                <w:rtl w:val="true"/>
              </w:rPr>
              <w:tab/>
            </w:r>
            <w:r>
              <w:rPr>
                <w:rStyle w:val="IndexLink"/>
              </w:rPr>
              <w:t>157</w:t>
            </w:r>
          </w:hyperlink>
        </w:p>
        <w:p>
          <w:pPr>
            <w:pStyle w:val="Contents5"/>
            <w:tabs>
              <w:tab w:val="clear" w:pos="7892"/>
              <w:tab w:val="right" w:pos="9026" w:leader="dot"/>
            </w:tabs>
            <w:rPr/>
          </w:pPr>
          <w:hyperlink w:anchor="__RefHeading___Toc1851502_2142443653">
            <w:r>
              <w:rPr>
                <w:webHidden/>
                <w:rStyle w:val="IndexLink"/>
                <w:rtl w:val="true"/>
              </w:rPr>
              <w:t>شمول عنوان الصيود ونحوه لمطلق الكلاب عدا المهملات منها</w:t>
            </w:r>
            <w:r>
              <w:rPr>
                <w:rStyle w:val="IndexLink"/>
                <w:rtl w:val="true"/>
              </w:rPr>
              <w:tab/>
            </w:r>
            <w:r>
              <w:rPr>
                <w:rStyle w:val="IndexLink"/>
              </w:rPr>
              <w:t>160</w:t>
            </w:r>
          </w:hyperlink>
        </w:p>
        <w:p>
          <w:pPr>
            <w:pStyle w:val="Contents5"/>
            <w:tabs>
              <w:tab w:val="clear" w:pos="7892"/>
              <w:tab w:val="right" w:pos="9026" w:leader="dot"/>
            </w:tabs>
            <w:rPr/>
          </w:pPr>
          <w:hyperlink w:anchor="__RefHeading___Toc1851504_2142443653">
            <w:r>
              <w:rPr>
                <w:webHidden/>
                <w:rStyle w:val="IndexLink"/>
                <w:rtl w:val="true"/>
              </w:rPr>
              <w:t>جواز بيع جميع الكلاب النافعة</w:t>
            </w:r>
            <w:r>
              <w:rPr>
                <w:rStyle w:val="IndexLink"/>
                <w:rtl w:val="true"/>
              </w:rPr>
              <w:tab/>
            </w:r>
            <w:r>
              <w:rPr>
                <w:rStyle w:val="IndexLink"/>
              </w:rPr>
              <w:t>163</w:t>
            </w:r>
          </w:hyperlink>
        </w:p>
        <w:p>
          <w:pPr>
            <w:pStyle w:val="Contents5"/>
            <w:tabs>
              <w:tab w:val="clear" w:pos="7892"/>
              <w:tab w:val="right" w:pos="9026" w:leader="dot"/>
            </w:tabs>
            <w:rPr/>
          </w:pPr>
          <w:hyperlink w:anchor="__RefHeading___Toc1851506_2142443653">
            <w:r>
              <w:rPr>
                <w:webHidden/>
                <w:rStyle w:val="IndexLink"/>
                <w:rtl w:val="true"/>
              </w:rPr>
              <w:t>حكم الانتفاع بالخنزير وبيعه</w:t>
            </w:r>
            <w:r>
              <w:rPr>
                <w:rStyle w:val="IndexLink"/>
                <w:rtl w:val="true"/>
              </w:rPr>
              <w:tab/>
            </w:r>
            <w:r>
              <w:rPr>
                <w:rStyle w:val="IndexLink"/>
              </w:rPr>
              <w:t>167</w:t>
            </w:r>
          </w:hyperlink>
        </w:p>
        <w:p>
          <w:pPr>
            <w:pStyle w:val="Contents5"/>
            <w:tabs>
              <w:tab w:val="clear" w:pos="7892"/>
              <w:tab w:val="right" w:pos="9026" w:leader="dot"/>
            </w:tabs>
            <w:rPr/>
          </w:pPr>
          <w:hyperlink w:anchor="__RefHeading___Toc1851508_2142443653">
            <w:r>
              <w:rPr>
                <w:webHidden/>
                <w:rStyle w:val="IndexLink"/>
                <w:rtl w:val="true"/>
              </w:rPr>
              <w:t>جواز الانتفاع بأجزاء الخنزير والكلب</w:t>
            </w:r>
            <w:r>
              <w:rPr>
                <w:rStyle w:val="IndexLink"/>
                <w:rtl w:val="true"/>
              </w:rPr>
              <w:tab/>
            </w:r>
            <w:r>
              <w:rPr>
                <w:rStyle w:val="IndexLink"/>
              </w:rPr>
              <w:t>170</w:t>
            </w:r>
          </w:hyperlink>
        </w:p>
        <w:p>
          <w:pPr>
            <w:pStyle w:val="Contents5"/>
            <w:tabs>
              <w:tab w:val="clear" w:pos="7892"/>
              <w:tab w:val="right" w:pos="9026" w:leader="dot"/>
            </w:tabs>
            <w:rPr/>
          </w:pPr>
          <w:hyperlink w:anchor="__RefHeading___Toc1851510_2142443653">
            <w:r>
              <w:rPr>
                <w:webHidden/>
                <w:rStyle w:val="IndexLink"/>
                <w:rtl w:val="true"/>
              </w:rPr>
              <w:t>حكم الانتفاع بالخمر والفقّاع وكلّ مسكر مائع</w:t>
            </w:r>
            <w:r>
              <w:rPr>
                <w:rStyle w:val="IndexLink"/>
                <w:rtl w:val="true"/>
              </w:rPr>
              <w:tab/>
            </w:r>
            <w:r>
              <w:rPr>
                <w:rStyle w:val="IndexLink"/>
              </w:rPr>
              <w:t>178</w:t>
            </w:r>
          </w:hyperlink>
        </w:p>
        <w:p>
          <w:pPr>
            <w:pStyle w:val="Contents5"/>
            <w:tabs>
              <w:tab w:val="clear" w:pos="7892"/>
              <w:tab w:val="right" w:pos="9026" w:leader="dot"/>
            </w:tabs>
            <w:rPr/>
          </w:pPr>
          <w:hyperlink w:anchor="__RefHeading___Toc1851512_2142443653">
            <w:r>
              <w:rPr>
                <w:webHidden/>
                <w:rStyle w:val="IndexLink"/>
                <w:rtl w:val="true"/>
              </w:rPr>
              <w:t>حكم العصير</w:t>
            </w:r>
            <w:r>
              <w:rPr>
                <w:rStyle w:val="IndexLink"/>
                <w:rtl w:val="true"/>
              </w:rPr>
              <w:tab/>
            </w:r>
            <w:r>
              <w:rPr>
                <w:rStyle w:val="IndexLink"/>
              </w:rPr>
              <w:t>180</w:t>
            </w:r>
          </w:hyperlink>
        </w:p>
        <w:p>
          <w:pPr>
            <w:pStyle w:val="Contents5"/>
            <w:tabs>
              <w:tab w:val="clear" w:pos="7892"/>
              <w:tab w:val="right" w:pos="9026" w:leader="dot"/>
            </w:tabs>
            <w:rPr/>
          </w:pPr>
          <w:hyperlink w:anchor="__RefHeading___Toc1851514_2142443653">
            <w:r>
              <w:rPr>
                <w:webHidden/>
                <w:rStyle w:val="IndexLink"/>
                <w:rtl w:val="true"/>
              </w:rPr>
              <w:t xml:space="preserve">تتميم </w:t>
            </w:r>
            <w:r>
              <w:rPr>
                <w:rStyle w:val="IndexLink"/>
                <w:rtl w:val="true"/>
              </w:rPr>
              <w:t xml:space="preserve">: </w:t>
            </w:r>
            <w:r>
              <w:rPr>
                <w:rStyle w:val="IndexLink"/>
                <w:rtl w:val="true"/>
              </w:rPr>
              <w:t>حكم الانتفاع بالمتنجّسات وبيعها</w:t>
            </w:r>
            <w:r>
              <w:rPr>
                <w:rStyle w:val="IndexLink"/>
                <w:rtl w:val="true"/>
              </w:rPr>
              <w:tab/>
            </w:r>
            <w:r>
              <w:rPr>
                <w:rStyle w:val="IndexLink"/>
              </w:rPr>
              <w:t>187</w:t>
            </w:r>
          </w:hyperlink>
        </w:p>
        <w:p>
          <w:pPr>
            <w:pStyle w:val="Contents4"/>
            <w:tabs>
              <w:tab w:val="clear" w:pos="8176"/>
              <w:tab w:val="right" w:pos="9026" w:leader="dot"/>
            </w:tabs>
            <w:rPr/>
          </w:pPr>
          <w:hyperlink w:anchor="__RefHeading___Toc1851516_2142443653">
            <w:r>
              <w:rPr>
                <w:webHidden/>
                <w:rStyle w:val="IndexLink"/>
                <w:rtl w:val="true"/>
              </w:rPr>
              <w:t>الکلام یق في مواضع</w:t>
            </w:r>
            <w:r>
              <w:rPr>
                <w:rStyle w:val="IndexLink"/>
                <w:rtl w:val="true"/>
              </w:rPr>
              <w:tab/>
            </w:r>
            <w:r>
              <w:rPr>
                <w:rStyle w:val="IndexLink"/>
              </w:rPr>
              <w:t>188</w:t>
            </w:r>
          </w:hyperlink>
        </w:p>
        <w:p>
          <w:pPr>
            <w:pStyle w:val="Contents5"/>
            <w:tabs>
              <w:tab w:val="clear" w:pos="7892"/>
              <w:tab w:val="right" w:pos="9026" w:leader="dot"/>
            </w:tabs>
            <w:rPr/>
          </w:pPr>
          <w:hyperlink w:anchor="__RefHeading___Toc1851518_2142443653">
            <w:r>
              <w:rPr>
                <w:webHidden/>
                <w:rStyle w:val="IndexLink"/>
                <w:rtl w:val="true"/>
              </w:rPr>
              <w:t xml:space="preserve">الموضع الأوّل </w:t>
            </w:r>
            <w:r>
              <w:rPr>
                <w:rStyle w:val="IndexLink"/>
                <w:rtl w:val="true"/>
              </w:rPr>
              <w:t xml:space="preserve">: </w:t>
            </w:r>
            <w:r>
              <w:rPr>
                <w:rStyle w:val="IndexLink"/>
                <w:rtl w:val="true"/>
              </w:rPr>
              <w:t>في كون صحّة بيع الدهن مشروطة باشتراط الاستصباح به</w:t>
            </w:r>
            <w:r>
              <w:rPr>
                <w:rStyle w:val="IndexLink"/>
                <w:rtl w:val="true"/>
              </w:rPr>
              <w:tab/>
            </w:r>
            <w:r>
              <w:rPr>
                <w:rStyle w:val="IndexLink"/>
              </w:rPr>
              <w:t>188</w:t>
            </w:r>
          </w:hyperlink>
        </w:p>
        <w:p>
          <w:pPr>
            <w:pStyle w:val="Contents5"/>
            <w:tabs>
              <w:tab w:val="clear" w:pos="7892"/>
              <w:tab w:val="right" w:pos="9026" w:leader="dot"/>
            </w:tabs>
            <w:rPr/>
          </w:pPr>
          <w:hyperlink w:anchor="__RefHeading___Toc1851520_2142443653">
            <w:r>
              <w:rPr>
                <w:webHidden/>
                <w:rStyle w:val="IndexLink"/>
                <w:rtl w:val="true"/>
              </w:rPr>
              <w:t>حكم المبيع الذي حرّمت منافعه كلاًّ أو بعضاً</w:t>
            </w:r>
            <w:r>
              <w:rPr>
                <w:rStyle w:val="IndexLink"/>
                <w:rtl w:val="true"/>
              </w:rPr>
              <w:tab/>
            </w:r>
            <w:r>
              <w:rPr>
                <w:rStyle w:val="IndexLink"/>
              </w:rPr>
              <w:t>189</w:t>
            </w:r>
          </w:hyperlink>
        </w:p>
        <w:p>
          <w:pPr>
            <w:pStyle w:val="Contents5"/>
            <w:tabs>
              <w:tab w:val="clear" w:pos="7892"/>
              <w:tab w:val="right" w:pos="9026" w:leader="dot"/>
            </w:tabs>
            <w:rPr/>
          </w:pPr>
          <w:hyperlink w:anchor="__RefHeading___Toc1851522_2142443653">
            <w:r>
              <w:rPr>
                <w:webHidden/>
                <w:rStyle w:val="IndexLink"/>
                <w:rtl w:val="true"/>
              </w:rPr>
              <w:t xml:space="preserve">الموضع الثاني </w:t>
            </w:r>
            <w:r>
              <w:rPr>
                <w:rStyle w:val="IndexLink"/>
                <w:rtl w:val="true"/>
              </w:rPr>
              <w:t xml:space="preserve">: </w:t>
            </w:r>
            <w:r>
              <w:rPr>
                <w:rStyle w:val="IndexLink"/>
                <w:rtl w:val="true"/>
              </w:rPr>
              <w:t>في اشتراط الإعلام بالنجاسة وعدمه</w:t>
            </w:r>
            <w:r>
              <w:rPr>
                <w:rStyle w:val="IndexLink"/>
                <w:rtl w:val="true"/>
              </w:rPr>
              <w:tab/>
            </w:r>
            <w:r>
              <w:rPr>
                <w:rStyle w:val="IndexLink"/>
              </w:rPr>
              <w:t>196</w:t>
            </w:r>
          </w:hyperlink>
        </w:p>
        <w:p>
          <w:pPr>
            <w:pStyle w:val="Contents5"/>
            <w:tabs>
              <w:tab w:val="clear" w:pos="7892"/>
              <w:tab w:val="right" w:pos="9026" w:leader="dot"/>
            </w:tabs>
            <w:rPr/>
          </w:pPr>
          <w:hyperlink w:anchor="__RefHeading___Toc1851524_2142443653">
            <w:r>
              <w:rPr>
                <w:webHidden/>
                <w:rStyle w:val="IndexLink"/>
                <w:rtl w:val="true"/>
              </w:rPr>
              <w:t>حول كلام الشيخ في أقسام إلقاء الغير في الحرمة الواقعية</w:t>
            </w:r>
            <w:r>
              <w:rPr>
                <w:rStyle w:val="IndexLink"/>
                <w:rtl w:val="true"/>
              </w:rPr>
              <w:tab/>
            </w:r>
            <w:r>
              <w:rPr>
                <w:rStyle w:val="IndexLink"/>
              </w:rPr>
              <w:t>197</w:t>
            </w:r>
          </w:hyperlink>
        </w:p>
        <w:p>
          <w:pPr>
            <w:pStyle w:val="Contents5"/>
            <w:tabs>
              <w:tab w:val="clear" w:pos="7892"/>
              <w:tab w:val="right" w:pos="9026" w:leader="dot"/>
            </w:tabs>
            <w:rPr/>
          </w:pPr>
          <w:hyperlink w:anchor="__RefHeading___Toc1851526_2142443653">
            <w:r>
              <w:rPr>
                <w:webHidden/>
                <w:rStyle w:val="IndexLink"/>
                <w:rtl w:val="true"/>
              </w:rPr>
              <w:t xml:space="preserve">منها </w:t>
            </w:r>
            <w:r>
              <w:rPr>
                <w:rStyle w:val="IndexLink"/>
                <w:rtl w:val="true"/>
              </w:rPr>
              <w:t xml:space="preserve">: </w:t>
            </w:r>
            <w:r>
              <w:rPr>
                <w:rStyle w:val="IndexLink"/>
                <w:rtl w:val="true"/>
              </w:rPr>
              <w:t>كون فعل الشخص علّة تامّة لوقوع الحرام</w:t>
            </w:r>
            <w:r>
              <w:rPr>
                <w:rStyle w:val="IndexLink"/>
                <w:rtl w:val="true"/>
              </w:rPr>
              <w:tab/>
            </w:r>
            <w:r>
              <w:rPr>
                <w:rStyle w:val="IndexLink"/>
              </w:rPr>
              <w:t>197</w:t>
            </w:r>
          </w:hyperlink>
        </w:p>
        <w:p>
          <w:pPr>
            <w:pStyle w:val="Contents5"/>
            <w:tabs>
              <w:tab w:val="clear" w:pos="7892"/>
              <w:tab w:val="right" w:pos="9026" w:leader="dot"/>
            </w:tabs>
            <w:rPr/>
          </w:pPr>
          <w:hyperlink w:anchor="__RefHeading___Toc1851528_2142443653">
            <w:r>
              <w:rPr>
                <w:webHidden/>
                <w:rStyle w:val="IndexLink"/>
                <w:rtl w:val="true"/>
              </w:rPr>
              <w:t xml:space="preserve">منها </w:t>
            </w:r>
            <w:r>
              <w:rPr>
                <w:rStyle w:val="IndexLink"/>
                <w:rtl w:val="true"/>
              </w:rPr>
              <w:t xml:space="preserve">: </w:t>
            </w:r>
            <w:r>
              <w:rPr>
                <w:rStyle w:val="IndexLink"/>
                <w:rtl w:val="true"/>
              </w:rPr>
              <w:t>كون فعل الشخص سبباً للحرام</w:t>
            </w:r>
            <w:r>
              <w:rPr>
                <w:rStyle w:val="IndexLink"/>
                <w:rtl w:val="true"/>
              </w:rPr>
              <w:tab/>
            </w:r>
            <w:r>
              <w:rPr>
                <w:rStyle w:val="IndexLink"/>
              </w:rPr>
              <w:t>203</w:t>
            </w:r>
          </w:hyperlink>
        </w:p>
        <w:p>
          <w:pPr>
            <w:pStyle w:val="Contents5"/>
            <w:tabs>
              <w:tab w:val="clear" w:pos="7892"/>
              <w:tab w:val="right" w:pos="9026" w:leader="dot"/>
            </w:tabs>
            <w:rPr/>
          </w:pPr>
          <w:hyperlink w:anchor="__RefHeading___Toc1851530_2142443653">
            <w:r>
              <w:rPr>
                <w:webHidden/>
                <w:rStyle w:val="IndexLink"/>
                <w:rtl w:val="true"/>
              </w:rPr>
              <w:t>حول كلام الشيخ فيما يدلّ على قاعدة التغرير</w:t>
            </w:r>
            <w:r>
              <w:rPr>
                <w:rStyle w:val="IndexLink"/>
                <w:rtl w:val="true"/>
              </w:rPr>
              <w:tab/>
            </w:r>
            <w:r>
              <w:rPr>
                <w:rStyle w:val="IndexLink"/>
              </w:rPr>
              <w:t>206</w:t>
            </w:r>
          </w:hyperlink>
        </w:p>
        <w:p>
          <w:pPr>
            <w:pStyle w:val="Contents5"/>
            <w:tabs>
              <w:tab w:val="clear" w:pos="7892"/>
              <w:tab w:val="right" w:pos="9026" w:leader="dot"/>
            </w:tabs>
            <w:rPr/>
          </w:pPr>
          <w:hyperlink w:anchor="__RefHeading___Toc1851532_2142443653">
            <w:r>
              <w:rPr>
                <w:webHidden/>
                <w:rStyle w:val="IndexLink"/>
                <w:rtl w:val="true"/>
              </w:rPr>
              <w:t>الموضع الثالث في وجوب كون الاستصباح تحت السماء</w:t>
            </w:r>
            <w:r>
              <w:rPr>
                <w:rStyle w:val="IndexLink"/>
                <w:rtl w:val="true"/>
              </w:rPr>
              <w:tab/>
            </w:r>
            <w:r>
              <w:rPr>
                <w:rStyle w:val="IndexLink"/>
              </w:rPr>
              <w:t>210</w:t>
            </w:r>
          </w:hyperlink>
        </w:p>
        <w:p>
          <w:pPr>
            <w:pStyle w:val="Contents5"/>
            <w:tabs>
              <w:tab w:val="clear" w:pos="7892"/>
              <w:tab w:val="right" w:pos="9026" w:leader="dot"/>
            </w:tabs>
            <w:rPr/>
          </w:pPr>
          <w:hyperlink w:anchor="__RefHeading___Toc1851534_2142443653">
            <w:r>
              <w:rPr>
                <w:webHidden/>
                <w:rStyle w:val="IndexLink"/>
                <w:rtl w:val="true"/>
              </w:rPr>
              <w:t>حال الشهرة والإجماع في المسألة</w:t>
            </w:r>
            <w:r>
              <w:rPr>
                <w:rStyle w:val="IndexLink"/>
                <w:rtl w:val="true"/>
              </w:rPr>
              <w:tab/>
            </w:r>
            <w:r>
              <w:rPr>
                <w:rStyle w:val="IndexLink"/>
              </w:rPr>
              <w:t>214</w:t>
            </w:r>
          </w:hyperlink>
        </w:p>
        <w:p>
          <w:pPr>
            <w:pStyle w:val="Contents5"/>
            <w:tabs>
              <w:tab w:val="clear" w:pos="7892"/>
              <w:tab w:val="right" w:pos="9026" w:leader="dot"/>
            </w:tabs>
            <w:rPr/>
          </w:pPr>
          <w:hyperlink w:anchor="__RefHeading___Toc1851536_2142443653">
            <w:r>
              <w:rPr>
                <w:webHidden/>
                <w:rStyle w:val="IndexLink"/>
                <w:rtl w:val="true"/>
              </w:rPr>
              <w:t>الموضع الرابع الانتفاع بالدهن المتنجّس لغير الاستصباح</w:t>
            </w:r>
            <w:r>
              <w:rPr>
                <w:rStyle w:val="IndexLink"/>
                <w:rtl w:val="true"/>
              </w:rPr>
              <w:tab/>
            </w:r>
            <w:r>
              <w:rPr>
                <w:rStyle w:val="IndexLink"/>
              </w:rPr>
              <w:t>218</w:t>
            </w:r>
          </w:hyperlink>
        </w:p>
        <w:p>
          <w:pPr>
            <w:pStyle w:val="Contents3"/>
            <w:tabs>
              <w:tab w:val="clear" w:pos="8459"/>
              <w:tab w:val="right" w:pos="9026" w:leader="dot"/>
            </w:tabs>
            <w:rPr/>
          </w:pPr>
          <w:hyperlink w:anchor="__RefHeading___Toc1851538_2142443653">
            <w:r>
              <w:rPr>
                <w:webHidden/>
                <w:rStyle w:val="IndexLink"/>
                <w:rtl w:val="true"/>
              </w:rPr>
              <w:t>القسم الثاني في الاكتساب بما يكون المقصود منه حراماً ولو شأناً</w:t>
            </w:r>
            <w:r>
              <w:rPr>
                <w:rStyle w:val="IndexLink"/>
                <w:rtl w:val="true"/>
              </w:rPr>
              <w:tab/>
            </w:r>
            <w:r>
              <w:rPr>
                <w:rStyle w:val="IndexLink"/>
              </w:rPr>
              <w:t>221</w:t>
            </w:r>
          </w:hyperlink>
        </w:p>
        <w:p>
          <w:pPr>
            <w:pStyle w:val="Contents4"/>
            <w:tabs>
              <w:tab w:val="clear" w:pos="8176"/>
              <w:tab w:val="right" w:pos="9026" w:leader="dot"/>
            </w:tabs>
            <w:rPr/>
          </w:pPr>
          <w:hyperlink w:anchor="__RefHeading___Toc1851540_2142443653">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851542_2142443653">
            <w:r>
              <w:rPr>
                <w:webHidden/>
                <w:rStyle w:val="IndexLink"/>
                <w:rtl w:val="true"/>
              </w:rPr>
              <w:t xml:space="preserve">وهو على أنواع </w:t>
            </w:r>
            <w:r>
              <w:rPr>
                <w:rStyle w:val="IndexLink"/>
                <w:rtl w:val="true"/>
              </w:rPr>
              <w:t>:</w:t>
              <w:tab/>
            </w:r>
            <w:r>
              <w:rPr>
                <w:rStyle w:val="IndexLink"/>
              </w:rPr>
              <w:t>221</w:t>
            </w:r>
          </w:hyperlink>
        </w:p>
        <w:p>
          <w:pPr>
            <w:pStyle w:val="Contents5"/>
            <w:tabs>
              <w:tab w:val="clear" w:pos="7892"/>
              <w:tab w:val="right" w:pos="9026" w:leader="dot"/>
            </w:tabs>
            <w:rPr/>
          </w:pPr>
          <w:hyperlink w:anchor="__RefHeading___Toc1851544_2142443653">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1851546_2142443653">
            <w:r>
              <w:rPr>
                <w:webHidden/>
                <w:rStyle w:val="IndexLink"/>
                <w:rtl w:val="true"/>
              </w:rPr>
              <w:t xml:space="preserve">النوع الأوّل </w:t>
            </w:r>
            <w:r>
              <w:rPr>
                <w:rStyle w:val="IndexLink"/>
                <w:rtl w:val="true"/>
              </w:rPr>
              <w:t xml:space="preserve">: </w:t>
            </w:r>
            <w:r>
              <w:rPr>
                <w:rStyle w:val="IndexLink"/>
                <w:rtl w:val="true"/>
              </w:rPr>
              <w:t>ما لا تكون له منفعة مقصودة إلاّ الحرام</w:t>
            </w:r>
            <w:r>
              <w:rPr>
                <w:rStyle w:val="IndexLink"/>
                <w:rtl w:val="true"/>
              </w:rPr>
              <w:tab/>
            </w:r>
            <w:r>
              <w:rPr>
                <w:rStyle w:val="IndexLink"/>
              </w:rPr>
              <w:t>223</w:t>
            </w:r>
          </w:hyperlink>
        </w:p>
        <w:p>
          <w:pPr>
            <w:pStyle w:val="Contents5"/>
            <w:tabs>
              <w:tab w:val="clear" w:pos="7892"/>
              <w:tab w:val="right" w:pos="9026" w:leader="dot"/>
            </w:tabs>
            <w:rPr/>
          </w:pPr>
          <w:hyperlink w:anchor="__RefHeading___Toc1851548_2142443653">
            <w:r>
              <w:rPr>
                <w:webHidden/>
                <w:rStyle w:val="IndexLink"/>
                <w:rtl w:val="true"/>
              </w:rPr>
              <w:t>هياكل العبادات المخترعة مثل الأصنام</w:t>
            </w:r>
            <w:r>
              <w:rPr>
                <w:rStyle w:val="IndexLink"/>
                <w:rtl w:val="true"/>
              </w:rPr>
              <w:tab/>
            </w:r>
            <w:r>
              <w:rPr>
                <w:rStyle w:val="IndexLink"/>
              </w:rPr>
              <w:t>223</w:t>
            </w:r>
          </w:hyperlink>
        </w:p>
        <w:p>
          <w:pPr>
            <w:pStyle w:val="Contents5"/>
            <w:tabs>
              <w:tab w:val="clear" w:pos="7892"/>
              <w:tab w:val="right" w:pos="9026" w:leader="dot"/>
            </w:tabs>
            <w:rPr/>
          </w:pPr>
          <w:hyperlink w:anchor="__RefHeading___Toc1851550_2142443653">
            <w:r>
              <w:rPr>
                <w:webHidden/>
                <w:rStyle w:val="IndexLink"/>
                <w:rtl w:val="true"/>
              </w:rPr>
              <w:t>بعض الصور المستثناة من حرمة بيع الأصنام</w:t>
            </w:r>
            <w:r>
              <w:rPr>
                <w:rStyle w:val="IndexLink"/>
                <w:rtl w:val="true"/>
              </w:rPr>
              <w:tab/>
            </w:r>
            <w:r>
              <w:rPr>
                <w:rStyle w:val="IndexLink"/>
              </w:rPr>
              <w:t>227</w:t>
            </w:r>
          </w:hyperlink>
        </w:p>
        <w:p>
          <w:pPr>
            <w:pStyle w:val="Contents5"/>
            <w:tabs>
              <w:tab w:val="clear" w:pos="7892"/>
              <w:tab w:val="right" w:pos="9026" w:leader="dot"/>
            </w:tabs>
            <w:rPr/>
          </w:pPr>
          <w:hyperlink w:anchor="__RefHeading___Toc1851552_2142443653">
            <w:r>
              <w:rPr>
                <w:webHidden/>
                <w:rStyle w:val="IndexLink"/>
                <w:rtl w:val="true"/>
              </w:rPr>
              <w:t>حكم بيع الأصنام لأغراض صحيحة</w:t>
            </w:r>
            <w:r>
              <w:rPr>
                <w:rStyle w:val="IndexLink"/>
                <w:rtl w:val="true"/>
              </w:rPr>
              <w:tab/>
            </w:r>
            <w:r>
              <w:rPr>
                <w:rStyle w:val="IndexLink"/>
              </w:rPr>
              <w:t>229</w:t>
            </w:r>
          </w:hyperlink>
        </w:p>
        <w:p>
          <w:pPr>
            <w:pStyle w:val="Contents5"/>
            <w:tabs>
              <w:tab w:val="clear" w:pos="7892"/>
              <w:tab w:val="right" w:pos="9026" w:leader="dot"/>
            </w:tabs>
            <w:rPr/>
          </w:pPr>
          <w:hyperlink w:anchor="__RefHeading___Toc1851554_2142443653">
            <w:r>
              <w:rPr>
                <w:webHidden/>
                <w:rStyle w:val="IndexLink"/>
                <w:rtl w:val="true"/>
              </w:rPr>
              <w:t xml:space="preserve">فرع </w:t>
            </w:r>
            <w:r>
              <w:rPr>
                <w:rStyle w:val="IndexLink"/>
                <w:rtl w:val="true"/>
              </w:rPr>
              <w:t xml:space="preserve">: </w:t>
            </w:r>
            <w:r>
              <w:rPr>
                <w:rStyle w:val="IndexLink"/>
                <w:rtl w:val="true"/>
              </w:rPr>
              <w:t>حكم بيع مادّة الأصنام</w:t>
            </w:r>
            <w:r>
              <w:rPr>
                <w:rStyle w:val="IndexLink"/>
                <w:rtl w:val="true"/>
              </w:rPr>
              <w:tab/>
            </w:r>
            <w:r>
              <w:rPr>
                <w:rStyle w:val="IndexLink"/>
              </w:rPr>
              <w:t>233</w:t>
            </w:r>
          </w:hyperlink>
        </w:p>
        <w:p>
          <w:pPr>
            <w:pStyle w:val="Contents5"/>
            <w:tabs>
              <w:tab w:val="clear" w:pos="7892"/>
              <w:tab w:val="right" w:pos="9026" w:leader="dot"/>
            </w:tabs>
            <w:rPr/>
          </w:pPr>
          <w:hyperlink w:anchor="__RefHeading___Toc1851556_2142443653">
            <w:r>
              <w:rPr>
                <w:webHidden/>
                <w:rStyle w:val="IndexLink"/>
                <w:rtl w:val="true"/>
              </w:rPr>
              <w:t>آلات القمار واللهو ونحوها</w:t>
            </w:r>
            <w:r>
              <w:rPr>
                <w:rStyle w:val="IndexLink"/>
                <w:rtl w:val="true"/>
              </w:rPr>
              <w:tab/>
            </w:r>
            <w:r>
              <w:rPr>
                <w:rStyle w:val="IndexLink"/>
              </w:rPr>
              <w:t>235</w:t>
            </w:r>
          </w:hyperlink>
        </w:p>
        <w:p>
          <w:pPr>
            <w:pStyle w:val="Contents5"/>
            <w:tabs>
              <w:tab w:val="clear" w:pos="7892"/>
              <w:tab w:val="right" w:pos="9026" w:leader="dot"/>
            </w:tabs>
            <w:rPr/>
          </w:pPr>
          <w:hyperlink w:anchor="__RefHeading___Toc1851558_2142443653">
            <w:r>
              <w:rPr>
                <w:webHidden/>
                <w:rStyle w:val="IndexLink"/>
                <w:rtl w:val="true"/>
              </w:rPr>
              <w:t>الأخبار الواردة في خصوص آلات القمار</w:t>
            </w:r>
            <w:r>
              <w:rPr>
                <w:rStyle w:val="IndexLink"/>
                <w:rtl w:val="true"/>
              </w:rPr>
              <w:tab/>
            </w:r>
            <w:r>
              <w:rPr>
                <w:rStyle w:val="IndexLink"/>
              </w:rPr>
              <w:t>236</w:t>
            </w:r>
          </w:hyperlink>
        </w:p>
        <w:p>
          <w:pPr>
            <w:pStyle w:val="Contents5"/>
            <w:tabs>
              <w:tab w:val="clear" w:pos="7892"/>
              <w:tab w:val="right" w:pos="9026" w:leader="dot"/>
            </w:tabs>
            <w:rPr/>
          </w:pPr>
          <w:hyperlink w:anchor="__RefHeading___Toc1851560_2142443653">
            <w:r>
              <w:rPr>
                <w:webHidden/>
                <w:rStyle w:val="IndexLink"/>
                <w:rtl w:val="true"/>
              </w:rPr>
              <w:t xml:space="preserve">النوع الثاني </w:t>
            </w:r>
            <w:r>
              <w:rPr>
                <w:rStyle w:val="IndexLink"/>
                <w:rtl w:val="true"/>
              </w:rPr>
              <w:t xml:space="preserve">: </w:t>
            </w:r>
            <w:r>
              <w:rPr>
                <w:rStyle w:val="IndexLink"/>
                <w:rtl w:val="true"/>
              </w:rPr>
              <w:t>ما يقصد منه المنفعة المحرّمة</w:t>
            </w:r>
            <w:r>
              <w:rPr>
                <w:rStyle w:val="IndexLink"/>
                <w:rtl w:val="true"/>
              </w:rPr>
              <w:tab/>
            </w:r>
            <w:r>
              <w:rPr>
                <w:rStyle w:val="IndexLink"/>
              </w:rPr>
              <w:t>238</w:t>
            </w:r>
          </w:hyperlink>
        </w:p>
        <w:p>
          <w:pPr>
            <w:pStyle w:val="Contents4"/>
            <w:tabs>
              <w:tab w:val="clear" w:pos="8176"/>
              <w:tab w:val="right" w:pos="9026" w:leader="dot"/>
            </w:tabs>
            <w:rPr/>
          </w:pPr>
          <w:hyperlink w:anchor="__RefHeading___Toc1851562_2142443653">
            <w:r>
              <w:rPr>
                <w:webHidden/>
                <w:rStyle w:val="IndexLink"/>
                <w:rtl w:val="true"/>
              </w:rPr>
              <w:t xml:space="preserve">وهو على أقسام </w:t>
            </w:r>
            <w:r>
              <w:rPr>
                <w:rStyle w:val="IndexLink"/>
                <w:rtl w:val="true"/>
              </w:rPr>
              <w:t>:</w:t>
              <w:tab/>
            </w:r>
            <w:r>
              <w:rPr>
                <w:rStyle w:val="IndexLink"/>
              </w:rPr>
              <w:t>238</w:t>
            </w:r>
          </w:hyperlink>
        </w:p>
        <w:p>
          <w:pPr>
            <w:pStyle w:val="Contents5"/>
            <w:tabs>
              <w:tab w:val="clear" w:pos="7892"/>
              <w:tab w:val="right" w:pos="9026" w:leader="dot"/>
            </w:tabs>
            <w:rPr/>
          </w:pPr>
          <w:hyperlink w:anchor="__RefHeading___Toc1851564_2142443653">
            <w:r>
              <w:rPr>
                <w:webHidden/>
                <w:rStyle w:val="IndexLink"/>
                <w:rtl w:val="true"/>
              </w:rPr>
              <w:t xml:space="preserve">منها </w:t>
            </w:r>
            <w:r>
              <w:rPr>
                <w:rStyle w:val="IndexLink"/>
                <w:rtl w:val="true"/>
              </w:rPr>
              <w:t xml:space="preserve">: </w:t>
            </w:r>
            <w:r>
              <w:rPr>
                <w:rStyle w:val="IndexLink"/>
                <w:rtl w:val="true"/>
              </w:rPr>
              <w:t>أن يكون المبيع كلّياً مقيّداً</w:t>
            </w:r>
            <w:r>
              <w:rPr>
                <w:rStyle w:val="IndexLink"/>
                <w:rtl w:val="true"/>
              </w:rPr>
              <w:tab/>
            </w:r>
            <w:r>
              <w:rPr>
                <w:rStyle w:val="IndexLink"/>
              </w:rPr>
              <w:t>238</w:t>
            </w:r>
          </w:hyperlink>
        </w:p>
        <w:p>
          <w:pPr>
            <w:pStyle w:val="Contents5"/>
            <w:tabs>
              <w:tab w:val="clear" w:pos="7892"/>
              <w:tab w:val="right" w:pos="9026" w:leader="dot"/>
            </w:tabs>
            <w:rPr/>
          </w:pPr>
          <w:hyperlink w:anchor="__RefHeading___Toc1851566_2142443653">
            <w:r>
              <w:rPr>
                <w:webHidden/>
                <w:rStyle w:val="IndexLink"/>
                <w:rtl w:val="true"/>
              </w:rPr>
              <w:t xml:space="preserve">منها </w:t>
            </w:r>
            <w:r>
              <w:rPr>
                <w:rStyle w:val="IndexLink"/>
                <w:rtl w:val="true"/>
              </w:rPr>
              <w:t xml:space="preserve">: </w:t>
            </w:r>
            <w:r>
              <w:rPr>
                <w:rStyle w:val="IndexLink"/>
                <w:rtl w:val="true"/>
              </w:rPr>
              <w:t>أن يكون المبيع جزئياً خارجياً</w:t>
            </w:r>
            <w:r>
              <w:rPr>
                <w:rStyle w:val="IndexLink"/>
                <w:rtl w:val="true"/>
              </w:rPr>
              <w:tab/>
            </w:r>
            <w:r>
              <w:rPr>
                <w:rStyle w:val="IndexLink"/>
              </w:rPr>
              <w:t>238</w:t>
            </w:r>
          </w:hyperlink>
        </w:p>
        <w:p>
          <w:pPr>
            <w:pStyle w:val="Contents5"/>
            <w:tabs>
              <w:tab w:val="clear" w:pos="7892"/>
              <w:tab w:val="right" w:pos="9026" w:leader="dot"/>
            </w:tabs>
            <w:rPr/>
          </w:pPr>
          <w:hyperlink w:anchor="__RefHeading___Toc1851568_2142443653">
            <w:r>
              <w:rPr>
                <w:webHidden/>
                <w:rStyle w:val="IndexLink"/>
                <w:rtl w:val="true"/>
              </w:rPr>
              <w:t xml:space="preserve">منها </w:t>
            </w:r>
            <w:r>
              <w:rPr>
                <w:rStyle w:val="IndexLink"/>
                <w:rtl w:val="true"/>
              </w:rPr>
              <w:t xml:space="preserve">: </w:t>
            </w:r>
            <w:r>
              <w:rPr>
                <w:rStyle w:val="IndexLink"/>
                <w:rtl w:val="true"/>
              </w:rPr>
              <w:t>أن يكون القيد على نحو الشرط المتأخّر</w:t>
            </w:r>
            <w:r>
              <w:rPr>
                <w:rStyle w:val="IndexLink"/>
                <w:rtl w:val="true"/>
              </w:rPr>
              <w:tab/>
            </w:r>
            <w:r>
              <w:rPr>
                <w:rStyle w:val="IndexLink"/>
              </w:rPr>
              <w:t>239</w:t>
            </w:r>
          </w:hyperlink>
        </w:p>
        <w:p>
          <w:pPr>
            <w:pStyle w:val="Contents5"/>
            <w:tabs>
              <w:tab w:val="clear" w:pos="7892"/>
              <w:tab w:val="right" w:pos="9026" w:leader="dot"/>
            </w:tabs>
            <w:rPr/>
          </w:pPr>
          <w:hyperlink w:anchor="__RefHeading___Toc1851570_2142443653">
            <w:r>
              <w:rPr>
                <w:webHidden/>
                <w:rStyle w:val="IndexLink"/>
                <w:rtl w:val="true"/>
              </w:rPr>
              <w:t xml:space="preserve">منها </w:t>
            </w:r>
            <w:r>
              <w:rPr>
                <w:rStyle w:val="IndexLink"/>
                <w:rtl w:val="true"/>
              </w:rPr>
              <w:t xml:space="preserve">: </w:t>
            </w:r>
            <w:r>
              <w:rPr>
                <w:rStyle w:val="IndexLink"/>
                <w:rtl w:val="true"/>
              </w:rPr>
              <w:t>أن يبيع الشيء واشترط على المشتري بأن لا يتصرّف فيه إلاّ في المحرّم</w:t>
            </w:r>
            <w:r>
              <w:rPr>
                <w:rStyle w:val="IndexLink"/>
                <w:rtl w:val="true"/>
              </w:rPr>
              <w:t>.</w:t>
              <w:tab/>
            </w:r>
            <w:r>
              <w:rPr>
                <w:rStyle w:val="IndexLink"/>
              </w:rPr>
              <w:t>239</w:t>
            </w:r>
          </w:hyperlink>
        </w:p>
        <w:p>
          <w:pPr>
            <w:pStyle w:val="Contents5"/>
            <w:tabs>
              <w:tab w:val="clear" w:pos="7892"/>
              <w:tab w:val="right" w:pos="9026" w:leader="dot"/>
            </w:tabs>
            <w:rPr/>
          </w:pPr>
          <w:hyperlink w:anchor="__RefHeading___Toc1851572_2142443653">
            <w:r>
              <w:rPr>
                <w:webHidden/>
                <w:rStyle w:val="IndexLink"/>
                <w:rtl w:val="true"/>
              </w:rPr>
              <w:t xml:space="preserve">منها </w:t>
            </w:r>
            <w:r>
              <w:rPr>
                <w:rStyle w:val="IndexLink"/>
                <w:rtl w:val="true"/>
              </w:rPr>
              <w:t xml:space="preserve">: </w:t>
            </w:r>
            <w:r>
              <w:rPr>
                <w:rStyle w:val="IndexLink"/>
                <w:rtl w:val="true"/>
              </w:rPr>
              <w:t>أن يشترط عليه الانتفاع بالمحرّم من غير الحصر فيه</w:t>
            </w:r>
            <w:r>
              <w:rPr>
                <w:rStyle w:val="IndexLink"/>
                <w:rtl w:val="true"/>
              </w:rPr>
              <w:tab/>
            </w:r>
            <w:r>
              <w:rPr>
                <w:rStyle w:val="IndexLink"/>
              </w:rPr>
              <w:t>247</w:t>
            </w:r>
          </w:hyperlink>
        </w:p>
        <w:p>
          <w:pPr>
            <w:pStyle w:val="Contents5"/>
            <w:tabs>
              <w:tab w:val="clear" w:pos="7892"/>
              <w:tab w:val="right" w:pos="9026" w:leader="dot"/>
            </w:tabs>
            <w:rPr/>
          </w:pPr>
          <w:hyperlink w:anchor="__RefHeading___Toc1851574_2142443653">
            <w:r>
              <w:rPr>
                <w:webHidden/>
                <w:rStyle w:val="IndexLink"/>
                <w:rtl w:val="true"/>
              </w:rPr>
              <w:t xml:space="preserve">منها </w:t>
            </w:r>
            <w:r>
              <w:rPr>
                <w:rStyle w:val="IndexLink"/>
                <w:rtl w:val="true"/>
              </w:rPr>
              <w:t xml:space="preserve">: </w:t>
            </w:r>
            <w:r>
              <w:rPr>
                <w:rStyle w:val="IndexLink"/>
                <w:rtl w:val="true"/>
              </w:rPr>
              <w:t>المعاوضة على عين مشتملة على صفة يقصد منها الحرام</w:t>
            </w:r>
            <w:r>
              <w:rPr>
                <w:rStyle w:val="IndexLink"/>
                <w:rtl w:val="true"/>
              </w:rPr>
              <w:t>.</w:t>
              <w:tab/>
            </w:r>
            <w:r>
              <w:rPr>
                <w:rStyle w:val="IndexLink"/>
              </w:rPr>
              <w:t>250</w:t>
            </w:r>
          </w:hyperlink>
        </w:p>
        <w:p>
          <w:pPr>
            <w:pStyle w:val="Contents5"/>
            <w:tabs>
              <w:tab w:val="clear" w:pos="7892"/>
              <w:tab w:val="right" w:pos="9026" w:leader="dot"/>
            </w:tabs>
            <w:rPr/>
          </w:pPr>
          <w:hyperlink w:anchor="__RefHeading___Toc1851576_2142443653">
            <w:r>
              <w:rPr>
                <w:webHidden/>
                <w:rStyle w:val="IndexLink"/>
                <w:rtl w:val="true"/>
              </w:rPr>
              <w:t xml:space="preserve">منها </w:t>
            </w:r>
            <w:r>
              <w:rPr>
                <w:rStyle w:val="IndexLink"/>
                <w:rtl w:val="true"/>
              </w:rPr>
              <w:t xml:space="preserve">: </w:t>
            </w:r>
            <w:r>
              <w:rPr>
                <w:rStyle w:val="IndexLink"/>
                <w:rtl w:val="true"/>
              </w:rPr>
              <w:t>حكم بيع شيء مباح ممّن يصرفه في الحرام</w:t>
            </w:r>
            <w:r>
              <w:rPr>
                <w:rStyle w:val="IndexLink"/>
                <w:rtl w:val="true"/>
              </w:rPr>
              <w:tab/>
            </w:r>
            <w:r>
              <w:rPr>
                <w:rStyle w:val="IndexLink"/>
              </w:rPr>
              <w:t>259</w:t>
            </w:r>
          </w:hyperlink>
        </w:p>
        <w:p>
          <w:pPr>
            <w:pStyle w:val="Contents4"/>
            <w:tabs>
              <w:tab w:val="clear" w:pos="8176"/>
              <w:tab w:val="right" w:pos="9026" w:leader="dot"/>
            </w:tabs>
            <w:rPr/>
          </w:pPr>
          <w:hyperlink w:anchor="__RefHeading___Toc1851578_2142443653">
            <w:r>
              <w:rPr>
                <w:webHidden/>
                <w:rStyle w:val="IndexLink"/>
                <w:rtl w:val="true"/>
              </w:rPr>
              <w:t xml:space="preserve">يقع الكلام في مقامين </w:t>
            </w:r>
            <w:r>
              <w:rPr>
                <w:rStyle w:val="IndexLink"/>
                <w:rtl w:val="true"/>
              </w:rPr>
              <w:t>:</w:t>
              <w:tab/>
            </w:r>
            <w:r>
              <w:rPr>
                <w:rStyle w:val="IndexLink"/>
              </w:rPr>
              <w:t>260</w:t>
            </w:r>
          </w:hyperlink>
        </w:p>
        <w:p>
          <w:pPr>
            <w:pStyle w:val="Contents5"/>
            <w:tabs>
              <w:tab w:val="clear" w:pos="7892"/>
              <w:tab w:val="right" w:pos="9026" w:leader="dot"/>
            </w:tabs>
            <w:rPr/>
          </w:pPr>
          <w:hyperlink w:anchor="__RefHeading___Toc1851580_2142443653">
            <w:r>
              <w:rPr>
                <w:webHidden/>
                <w:rStyle w:val="IndexLink"/>
                <w:rtl w:val="true"/>
              </w:rPr>
              <w:t xml:space="preserve">المقام الأوّل </w:t>
            </w:r>
            <w:r>
              <w:rPr>
                <w:rStyle w:val="IndexLink"/>
                <w:rtl w:val="true"/>
              </w:rPr>
              <w:t xml:space="preserve">: </w:t>
            </w:r>
            <w:r>
              <w:rPr>
                <w:rStyle w:val="IndexLink"/>
                <w:rtl w:val="true"/>
              </w:rPr>
              <w:t>فيما يمكن أن يستدلّ به على الحكم</w:t>
            </w:r>
            <w:r>
              <w:rPr>
                <w:rStyle w:val="IndexLink"/>
                <w:rtl w:val="true"/>
              </w:rPr>
              <w:tab/>
            </w:r>
            <w:r>
              <w:rPr>
                <w:rStyle w:val="IndexLink"/>
              </w:rPr>
              <w:t>260</w:t>
            </w:r>
          </w:hyperlink>
        </w:p>
        <w:p>
          <w:pPr>
            <w:pStyle w:val="Contents5"/>
            <w:tabs>
              <w:tab w:val="clear" w:pos="7892"/>
              <w:tab w:val="right" w:pos="9026" w:leader="dot"/>
            </w:tabs>
            <w:rPr/>
          </w:pPr>
          <w:hyperlink w:anchor="__RefHeading___Toc1851582_2142443653">
            <w:r>
              <w:rPr>
                <w:webHidden/>
                <w:rStyle w:val="IndexLink"/>
              </w:rPr>
              <w:t>1</w:t>
            </w:r>
            <w:r>
              <w:rPr>
                <w:rStyle w:val="IndexLink"/>
                <w:rtl w:val="true"/>
              </w:rPr>
              <w:t xml:space="preserve"> - </w:t>
            </w:r>
            <w:r>
              <w:rPr>
                <w:rStyle w:val="IndexLink"/>
                <w:rtl w:val="true"/>
              </w:rPr>
              <w:t>الاستدلال بحكم العقل بقبح إعانة الغير على المعصية</w:t>
            </w:r>
            <w:r>
              <w:rPr>
                <w:rStyle w:val="IndexLink"/>
                <w:rtl w:val="true"/>
              </w:rPr>
              <w:tab/>
            </w:r>
            <w:r>
              <w:rPr>
                <w:rStyle w:val="IndexLink"/>
              </w:rPr>
              <w:t>260</w:t>
            </w:r>
          </w:hyperlink>
        </w:p>
        <w:p>
          <w:pPr>
            <w:pStyle w:val="Contents5"/>
            <w:tabs>
              <w:tab w:val="clear" w:pos="7892"/>
              <w:tab w:val="right" w:pos="9026" w:leader="dot"/>
            </w:tabs>
            <w:rPr/>
          </w:pPr>
          <w:hyperlink w:anchor="__RefHeading___Toc1851584_2142443653">
            <w:r>
              <w:rPr>
                <w:webHidden/>
                <w:rStyle w:val="IndexLink"/>
              </w:rPr>
              <w:t>2</w:t>
            </w:r>
            <w:r>
              <w:rPr>
                <w:rStyle w:val="IndexLink"/>
                <w:rtl w:val="true"/>
              </w:rPr>
              <w:t xml:space="preserve"> - </w:t>
            </w:r>
            <w:r>
              <w:rPr>
                <w:rStyle w:val="IndexLink"/>
                <w:rtl w:val="true"/>
              </w:rPr>
              <w:t>الاستدلال بآية حرمة التعاون على الإثم</w:t>
            </w:r>
            <w:r>
              <w:rPr>
                <w:rStyle w:val="IndexLink"/>
                <w:rtl w:val="true"/>
              </w:rPr>
              <w:tab/>
            </w:r>
            <w:r>
              <w:rPr>
                <w:rStyle w:val="IndexLink"/>
              </w:rPr>
              <w:t>263</w:t>
            </w:r>
          </w:hyperlink>
        </w:p>
        <w:p>
          <w:pPr>
            <w:pStyle w:val="Contents5"/>
            <w:tabs>
              <w:tab w:val="clear" w:pos="7892"/>
              <w:tab w:val="right" w:pos="9026" w:leader="dot"/>
            </w:tabs>
            <w:rPr/>
          </w:pPr>
          <w:hyperlink w:anchor="__RefHeading___Toc1851586_2142443653">
            <w:r>
              <w:rPr>
                <w:webHidden/>
                <w:rStyle w:val="IndexLink"/>
              </w:rPr>
              <w:t>3</w:t>
            </w:r>
            <w:r>
              <w:rPr>
                <w:rStyle w:val="IndexLink"/>
                <w:rtl w:val="true"/>
              </w:rPr>
              <w:t xml:space="preserve"> - </w:t>
            </w:r>
            <w:r>
              <w:rPr>
                <w:rStyle w:val="IndexLink"/>
                <w:rtl w:val="true"/>
              </w:rPr>
              <w:t>الاستدلال بأدلّة وجوب النهي عن المنكر</w:t>
            </w:r>
            <w:r>
              <w:rPr>
                <w:rStyle w:val="IndexLink"/>
                <w:rtl w:val="true"/>
              </w:rPr>
              <w:tab/>
            </w:r>
            <w:r>
              <w:rPr>
                <w:rStyle w:val="IndexLink"/>
              </w:rPr>
              <w:t>269</w:t>
            </w:r>
          </w:hyperlink>
        </w:p>
        <w:p>
          <w:pPr>
            <w:pStyle w:val="Contents5"/>
            <w:tabs>
              <w:tab w:val="clear" w:pos="7892"/>
              <w:tab w:val="right" w:pos="9026" w:leader="dot"/>
            </w:tabs>
            <w:rPr/>
          </w:pPr>
          <w:hyperlink w:anchor="__RefHeading___Toc1851588_2142443653">
            <w:r>
              <w:rPr>
                <w:webHidden/>
                <w:rStyle w:val="IndexLink"/>
                <w:rtl w:val="true"/>
              </w:rPr>
              <w:t>مفهوم الإعانة على الإثم عرفاً</w:t>
            </w:r>
            <w:r>
              <w:rPr>
                <w:rStyle w:val="IndexLink"/>
                <w:rtl w:val="true"/>
              </w:rPr>
              <w:tab/>
            </w:r>
            <w:r>
              <w:rPr>
                <w:rStyle w:val="IndexLink"/>
              </w:rPr>
              <w:t>277</w:t>
            </w:r>
          </w:hyperlink>
        </w:p>
        <w:p>
          <w:pPr>
            <w:pStyle w:val="Contents5"/>
            <w:tabs>
              <w:tab w:val="clear" w:pos="7892"/>
              <w:tab w:val="right" w:pos="9026" w:leader="dot"/>
            </w:tabs>
            <w:rPr/>
          </w:pPr>
          <w:hyperlink w:anchor="__RefHeading___Toc1851590_2142443653">
            <w:r>
              <w:rPr>
                <w:webHidden/>
                <w:rStyle w:val="IndexLink"/>
                <w:rtl w:val="true"/>
              </w:rPr>
              <w:t>حرمة بيع العنب ممّن يعلم أنّه يجعله خمراً</w:t>
            </w:r>
            <w:r>
              <w:rPr>
                <w:rStyle w:val="IndexLink"/>
                <w:rtl w:val="true"/>
              </w:rPr>
              <w:tab/>
            </w:r>
            <w:r>
              <w:rPr>
                <w:rStyle w:val="IndexLink"/>
              </w:rPr>
              <w:t>283</w:t>
            </w:r>
          </w:hyperlink>
        </w:p>
        <w:p>
          <w:pPr>
            <w:pStyle w:val="Contents5"/>
            <w:tabs>
              <w:tab w:val="clear" w:pos="7892"/>
              <w:tab w:val="right" w:pos="9026" w:leader="dot"/>
            </w:tabs>
            <w:rPr/>
          </w:pPr>
          <w:hyperlink w:anchor="__RefHeading___Toc1851592_2142443653">
            <w:r>
              <w:rPr>
                <w:webHidden/>
                <w:rStyle w:val="IndexLink"/>
                <w:rtl w:val="true"/>
              </w:rPr>
              <w:t xml:space="preserve">المقام الثاني </w:t>
            </w:r>
            <w:r>
              <w:rPr>
                <w:rStyle w:val="IndexLink"/>
                <w:rtl w:val="true"/>
              </w:rPr>
              <w:t xml:space="preserve">: </w:t>
            </w:r>
            <w:r>
              <w:rPr>
                <w:rStyle w:val="IndexLink"/>
                <w:rtl w:val="true"/>
              </w:rPr>
              <w:t>في حال الروايات الواردة في المقام</w:t>
            </w:r>
            <w:r>
              <w:rPr>
                <w:rStyle w:val="IndexLink"/>
                <w:rtl w:val="true"/>
              </w:rPr>
              <w:tab/>
            </w:r>
            <w:r>
              <w:rPr>
                <w:rStyle w:val="IndexLink"/>
              </w:rPr>
              <w:t>284</w:t>
            </w:r>
          </w:hyperlink>
        </w:p>
        <w:p>
          <w:pPr>
            <w:pStyle w:val="Contents5"/>
            <w:tabs>
              <w:tab w:val="clear" w:pos="7892"/>
              <w:tab w:val="right" w:pos="9026" w:leader="dot"/>
            </w:tabs>
            <w:rPr/>
          </w:pPr>
          <w:hyperlink w:anchor="__RefHeading___Toc1851594_2142443653">
            <w:r>
              <w:rPr>
                <w:webHidden/>
                <w:rStyle w:val="IndexLink"/>
                <w:rtl w:val="true"/>
              </w:rPr>
              <w:t>بيان الحكم الوضعي للبيع المحرّم في المقام</w:t>
            </w:r>
            <w:r>
              <w:rPr>
                <w:rStyle w:val="IndexLink"/>
                <w:rtl w:val="true"/>
              </w:rPr>
              <w:tab/>
            </w:r>
            <w:r>
              <w:rPr>
                <w:rStyle w:val="IndexLink"/>
              </w:rPr>
              <w:t>291</w:t>
            </w:r>
          </w:hyperlink>
        </w:p>
        <w:p>
          <w:pPr>
            <w:pStyle w:val="Contents5"/>
            <w:tabs>
              <w:tab w:val="clear" w:pos="7892"/>
              <w:tab w:val="right" w:pos="9026" w:leader="dot"/>
            </w:tabs>
            <w:rPr/>
          </w:pPr>
          <w:hyperlink w:anchor="__RefHeading___Toc1851596_2142443653">
            <w:r>
              <w:rPr>
                <w:webHidden/>
                <w:rStyle w:val="IndexLink"/>
                <w:rtl w:val="true"/>
              </w:rPr>
              <w:t xml:space="preserve">النوع الثالث </w:t>
            </w:r>
            <w:r>
              <w:rPr>
                <w:rStyle w:val="IndexLink"/>
                <w:rtl w:val="true"/>
              </w:rPr>
              <w:t xml:space="preserve">: </w:t>
            </w:r>
            <w:r>
              <w:rPr>
                <w:rStyle w:val="IndexLink"/>
                <w:rtl w:val="true"/>
              </w:rPr>
              <w:t>ما يمكن أن يقصد به الحرام</w:t>
            </w:r>
            <w:r>
              <w:rPr>
                <w:rStyle w:val="IndexLink"/>
                <w:rtl w:val="true"/>
              </w:rPr>
              <w:tab/>
            </w:r>
            <w:r>
              <w:rPr>
                <w:rStyle w:val="IndexLink"/>
              </w:rPr>
              <w:t>296</w:t>
            </w:r>
          </w:hyperlink>
        </w:p>
        <w:p>
          <w:pPr>
            <w:pStyle w:val="Contents5"/>
            <w:tabs>
              <w:tab w:val="clear" w:pos="7892"/>
              <w:tab w:val="right" w:pos="9026" w:leader="dot"/>
            </w:tabs>
            <w:rPr/>
          </w:pPr>
          <w:hyperlink w:anchor="__RefHeading___Toc1851598_2142443653">
            <w:r>
              <w:rPr>
                <w:webHidden/>
                <w:rStyle w:val="IndexLink"/>
                <w:rtl w:val="true"/>
              </w:rPr>
              <w:t>بيع السلاح من أعداء الدين</w:t>
            </w:r>
            <w:r>
              <w:rPr>
                <w:rStyle w:val="IndexLink"/>
                <w:rtl w:val="true"/>
              </w:rPr>
              <w:tab/>
            </w:r>
            <w:r>
              <w:rPr>
                <w:rStyle w:val="IndexLink"/>
              </w:rPr>
              <w:t>296</w:t>
            </w:r>
          </w:hyperlink>
        </w:p>
        <w:p>
          <w:pPr>
            <w:pStyle w:val="Contents3"/>
            <w:tabs>
              <w:tab w:val="clear" w:pos="8459"/>
              <w:tab w:val="right" w:pos="9026" w:leader="dot"/>
            </w:tabs>
            <w:rPr/>
          </w:pPr>
          <w:hyperlink w:anchor="__RefHeading___Toc1851600_2142443653">
            <w:r>
              <w:rPr>
                <w:webHidden/>
                <w:rStyle w:val="IndexLink"/>
                <w:rtl w:val="true"/>
              </w:rPr>
              <w:t>القسم الثالث في الاكتساب بما لا منفعة فيه معتدّاً بها عند العقلاء</w:t>
            </w:r>
            <w:r>
              <w:rPr>
                <w:rStyle w:val="IndexLink"/>
                <w:rtl w:val="true"/>
              </w:rPr>
              <w:tab/>
            </w:r>
            <w:r>
              <w:rPr>
                <w:rStyle w:val="IndexLink"/>
              </w:rPr>
              <w:t>305</w:t>
            </w:r>
          </w:hyperlink>
        </w:p>
        <w:p>
          <w:pPr>
            <w:pStyle w:val="Contents4"/>
            <w:tabs>
              <w:tab w:val="clear" w:pos="8176"/>
              <w:tab w:val="right" w:pos="9026" w:leader="dot"/>
            </w:tabs>
            <w:rPr/>
          </w:pPr>
          <w:hyperlink w:anchor="__RefHeading___Toc1851602_2142443653">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1851604_2142443653">
            <w:r>
              <w:rPr>
                <w:webHidden/>
                <w:rStyle w:val="IndexLink"/>
                <w:rtl w:val="true"/>
              </w:rPr>
              <w:t>حرمة الاكتساب بما لا منفعة فيه معتدّاً بها عند العقلاء</w:t>
            </w:r>
            <w:r>
              <w:rPr>
                <w:rStyle w:val="IndexLink"/>
                <w:rtl w:val="true"/>
              </w:rPr>
              <w:tab/>
            </w:r>
            <w:r>
              <w:rPr>
                <w:rStyle w:val="IndexLink"/>
              </w:rPr>
              <w:t>307</w:t>
            </w:r>
          </w:hyperlink>
        </w:p>
        <w:p>
          <w:pPr>
            <w:pStyle w:val="Contents4"/>
            <w:tabs>
              <w:tab w:val="clear" w:pos="8176"/>
              <w:tab w:val="right" w:pos="9026" w:leader="dot"/>
            </w:tabs>
            <w:rPr/>
          </w:pPr>
          <w:hyperlink w:anchor="__RefHeading___Toc1851606_2142443653">
            <w:r>
              <w:rPr>
                <w:webHidden/>
                <w:rStyle w:val="IndexLink"/>
                <w:rtl w:val="true"/>
              </w:rPr>
              <w:t>صور ما لا منفعة فيه</w:t>
            </w:r>
            <w:r>
              <w:rPr>
                <w:rStyle w:val="IndexLink"/>
                <w:rtl w:val="true"/>
              </w:rPr>
              <w:tab/>
            </w:r>
            <w:r>
              <w:rPr>
                <w:rStyle w:val="IndexLink"/>
              </w:rPr>
              <w:t>310</w:t>
            </w:r>
          </w:hyperlink>
        </w:p>
        <w:p>
          <w:pPr>
            <w:pStyle w:val="Contents4"/>
            <w:tabs>
              <w:tab w:val="clear" w:pos="8176"/>
              <w:tab w:val="right" w:pos="9026" w:leader="dot"/>
            </w:tabs>
            <w:rPr/>
          </w:pPr>
          <w:hyperlink w:anchor="__RefHeading___Toc1851608_2142443653">
            <w:r>
              <w:rPr>
                <w:webHidden/>
                <w:rStyle w:val="IndexLink"/>
                <w:rtl w:val="true"/>
              </w:rPr>
              <w:t>حكم الصورة الاُولى ممّا لا منفعة فيه</w:t>
            </w:r>
            <w:r>
              <w:rPr>
                <w:rStyle w:val="IndexLink"/>
                <w:rtl w:val="true"/>
              </w:rPr>
              <w:tab/>
            </w:r>
            <w:r>
              <w:rPr>
                <w:rStyle w:val="IndexLink"/>
              </w:rPr>
              <w:t>311</w:t>
            </w:r>
          </w:hyperlink>
        </w:p>
        <w:p>
          <w:pPr>
            <w:pStyle w:val="Contents4"/>
            <w:tabs>
              <w:tab w:val="clear" w:pos="8176"/>
              <w:tab w:val="right" w:pos="9026" w:leader="dot"/>
            </w:tabs>
            <w:rPr/>
          </w:pPr>
          <w:hyperlink w:anchor="__RefHeading___Toc1851610_2142443653">
            <w:r>
              <w:rPr>
                <w:webHidden/>
                <w:rStyle w:val="IndexLink"/>
                <w:rtl w:val="true"/>
              </w:rPr>
              <w:t>حكم الصورة الثانية وبيان الضابط الكلّي</w:t>
            </w:r>
            <w:r>
              <w:rPr>
                <w:rStyle w:val="IndexLink"/>
                <w:rtl w:val="true"/>
              </w:rPr>
              <w:tab/>
            </w:r>
            <w:r>
              <w:rPr>
                <w:rStyle w:val="IndexLink"/>
              </w:rPr>
              <w:t>316</w:t>
            </w:r>
          </w:hyperlink>
        </w:p>
        <w:p>
          <w:pPr>
            <w:pStyle w:val="Contents3"/>
            <w:tabs>
              <w:tab w:val="clear" w:pos="8459"/>
              <w:tab w:val="right" w:pos="9026" w:leader="dot"/>
            </w:tabs>
            <w:rPr/>
          </w:pPr>
          <w:hyperlink w:anchor="__RefHeading___Toc1851612_2142443653">
            <w:r>
              <w:rPr>
                <w:webHidden/>
                <w:rStyle w:val="IndexLink"/>
                <w:rtl w:val="true"/>
              </w:rPr>
              <w:t>القسم الرابع في الاكتساب بما هو حرام في نفسه</w:t>
            </w:r>
            <w:r>
              <w:rPr>
                <w:rStyle w:val="IndexLink"/>
                <w:rtl w:val="true"/>
              </w:rPr>
              <w:tab/>
            </w:r>
            <w:r>
              <w:rPr>
                <w:rStyle w:val="IndexLink"/>
              </w:rPr>
              <w:t>321</w:t>
            </w:r>
          </w:hyperlink>
        </w:p>
        <w:p>
          <w:pPr>
            <w:pStyle w:val="Contents4"/>
            <w:tabs>
              <w:tab w:val="clear" w:pos="8176"/>
              <w:tab w:val="right" w:pos="9026" w:leader="dot"/>
            </w:tabs>
            <w:rPr/>
          </w:pPr>
          <w:hyperlink w:anchor="__RefHeading___Toc1851614_2142443653">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1851616_2142443653">
            <w:r>
              <w:rPr>
                <w:webHidden/>
                <w:rStyle w:val="IndexLink"/>
                <w:rtl w:val="true"/>
              </w:rPr>
              <w:t>حكم الاكتساب بما هو حرام في نفسه</w:t>
            </w:r>
            <w:r>
              <w:rPr>
                <w:rStyle w:val="IndexLink"/>
                <w:rtl w:val="true"/>
              </w:rPr>
              <w:tab/>
            </w:r>
            <w:r>
              <w:rPr>
                <w:rStyle w:val="IndexLink"/>
              </w:rPr>
              <w:t>323</w:t>
            </w:r>
          </w:hyperlink>
        </w:p>
        <w:p>
          <w:pPr>
            <w:pStyle w:val="Contents4"/>
            <w:tabs>
              <w:tab w:val="clear" w:pos="8176"/>
              <w:tab w:val="right" w:pos="9026" w:leader="dot"/>
            </w:tabs>
            <w:rPr/>
          </w:pPr>
          <w:hyperlink w:anchor="__RefHeading___Toc1851618_2142443653">
            <w:r>
              <w:rPr>
                <w:webHidden/>
                <w:rStyle w:val="IndexLink"/>
                <w:rtl w:val="true"/>
              </w:rPr>
              <w:t>فائدة استطرادية في ذکر بعض المحرّمات ممّا من شأنها الاكتساب بها في ضمن مسائل</w:t>
            </w:r>
            <w:r>
              <w:rPr>
                <w:rStyle w:val="IndexLink"/>
                <w:rtl w:val="true"/>
              </w:rPr>
              <w:t>:</w:t>
              <w:tab/>
            </w:r>
            <w:r>
              <w:rPr>
                <w:rStyle w:val="IndexLink"/>
              </w:rPr>
              <w:t>326</w:t>
            </w:r>
          </w:hyperlink>
        </w:p>
        <w:p>
          <w:pPr>
            <w:pStyle w:val="Contents3"/>
            <w:tabs>
              <w:tab w:val="clear" w:pos="8459"/>
              <w:tab w:val="right" w:pos="9026" w:leader="dot"/>
            </w:tabs>
            <w:rPr/>
          </w:pPr>
          <w:hyperlink w:anchor="__RefHeading___Toc1851620_2142443653">
            <w:r>
              <w:rPr>
                <w:webHidden/>
                <w:rStyle w:val="IndexLink"/>
                <w:rtl w:val="true"/>
              </w:rPr>
              <w:t xml:space="preserve">المسألة الاُولى </w:t>
            </w:r>
            <w:r>
              <w:rPr>
                <w:rStyle w:val="IndexLink"/>
                <w:rtl w:val="true"/>
              </w:rPr>
              <w:t xml:space="preserve">: </w:t>
            </w:r>
            <w:r>
              <w:rPr>
                <w:rStyle w:val="IndexLink"/>
                <w:rtl w:val="true"/>
              </w:rPr>
              <w:t>في حرمة التصوير</w:t>
            </w:r>
            <w:r>
              <w:rPr>
                <w:rStyle w:val="IndexLink"/>
                <w:rtl w:val="true"/>
              </w:rPr>
              <w:tab/>
            </w:r>
            <w:r>
              <w:rPr>
                <w:rStyle w:val="IndexLink"/>
              </w:rPr>
              <w:t>327</w:t>
            </w:r>
          </w:hyperlink>
        </w:p>
        <w:p>
          <w:pPr>
            <w:pStyle w:val="Contents4"/>
            <w:tabs>
              <w:tab w:val="clear" w:pos="8176"/>
              <w:tab w:val="right" w:pos="9026" w:leader="dot"/>
            </w:tabs>
            <w:rPr/>
          </w:pPr>
          <w:hyperlink w:anchor="__RefHeading___Toc1851622_2142443653">
            <w:r>
              <w:rPr>
                <w:webHidden/>
                <w:rStyle w:val="IndexLink"/>
                <w:rtl w:val="true"/>
              </w:rPr>
              <w:t>في حرمة عمل ذوات الأرواح المجسّمات فقط</w:t>
            </w:r>
            <w:r>
              <w:rPr>
                <w:rStyle w:val="IndexLink"/>
                <w:rtl w:val="true"/>
              </w:rPr>
              <w:tab/>
            </w:r>
            <w:r>
              <w:rPr>
                <w:rStyle w:val="IndexLink"/>
              </w:rPr>
              <w:t>327</w:t>
            </w:r>
          </w:hyperlink>
        </w:p>
        <w:p>
          <w:pPr>
            <w:pStyle w:val="Contents4"/>
            <w:tabs>
              <w:tab w:val="clear" w:pos="8176"/>
              <w:tab w:val="right" w:pos="9026" w:leader="dot"/>
            </w:tabs>
            <w:rPr/>
          </w:pPr>
          <w:hyperlink w:anchor="__RefHeading___Toc1851624_2142443653">
            <w:r>
              <w:rPr>
                <w:webHidden/>
                <w:rStyle w:val="IndexLink"/>
                <w:rtl w:val="true"/>
              </w:rPr>
              <w:t>الروايات الواردة في المقام</w:t>
            </w:r>
            <w:r>
              <w:rPr>
                <w:rStyle w:val="IndexLink"/>
                <w:rtl w:val="true"/>
              </w:rPr>
              <w:tab/>
            </w:r>
            <w:r>
              <w:rPr>
                <w:rStyle w:val="IndexLink"/>
              </w:rPr>
              <w:t>329</w:t>
            </w:r>
          </w:hyperlink>
        </w:p>
        <w:p>
          <w:pPr>
            <w:pStyle w:val="Contents4"/>
            <w:tabs>
              <w:tab w:val="clear" w:pos="8176"/>
              <w:tab w:val="right" w:pos="9026" w:leader="dot"/>
            </w:tabs>
            <w:rPr/>
          </w:pPr>
          <w:hyperlink w:anchor="__RefHeading___Toc1851626_2142443653">
            <w:r>
              <w:rPr>
                <w:webHidden/>
                <w:rStyle w:val="IndexLink"/>
                <w:rtl w:val="true"/>
              </w:rPr>
              <w:t xml:space="preserve">فروع </w:t>
            </w:r>
            <w:r>
              <w:rPr>
                <w:rStyle w:val="IndexLink"/>
                <w:rtl w:val="true"/>
              </w:rPr>
              <w:t>:</w:t>
              <w:tab/>
            </w:r>
            <w:r>
              <w:rPr>
                <w:rStyle w:val="IndexLink"/>
              </w:rPr>
              <w:t>342</w:t>
            </w:r>
          </w:hyperlink>
        </w:p>
        <w:p>
          <w:pPr>
            <w:pStyle w:val="Contents5"/>
            <w:tabs>
              <w:tab w:val="clear" w:pos="7892"/>
              <w:tab w:val="right" w:pos="9026" w:leader="dot"/>
            </w:tabs>
            <w:rPr/>
          </w:pPr>
          <w:hyperlink w:anchor="__RefHeading___Toc1851628_2142443653">
            <w:r>
              <w:rPr>
                <w:webHidden/>
                <w:rStyle w:val="IndexLink"/>
                <w:rtl w:val="true"/>
              </w:rPr>
              <w:t xml:space="preserve">الأوّل </w:t>
            </w:r>
            <w:r>
              <w:rPr>
                <w:rStyle w:val="IndexLink"/>
                <w:rtl w:val="true"/>
              </w:rPr>
              <w:t xml:space="preserve">: </w:t>
            </w:r>
            <w:r>
              <w:rPr>
                <w:rStyle w:val="IndexLink"/>
                <w:rtl w:val="true"/>
              </w:rPr>
              <w:t>حرمة تصوير الأصنام</w:t>
            </w:r>
            <w:r>
              <w:rPr>
                <w:rStyle w:val="IndexLink"/>
                <w:rtl w:val="true"/>
              </w:rPr>
              <w:tab/>
            </w:r>
            <w:r>
              <w:rPr>
                <w:rStyle w:val="IndexLink"/>
              </w:rPr>
              <w:t>342</w:t>
            </w:r>
          </w:hyperlink>
        </w:p>
        <w:p>
          <w:pPr>
            <w:pStyle w:val="Contents5"/>
            <w:tabs>
              <w:tab w:val="clear" w:pos="7892"/>
              <w:tab w:val="right" w:pos="9026" w:leader="dot"/>
            </w:tabs>
            <w:rPr/>
          </w:pPr>
          <w:hyperlink w:anchor="__RefHeading___Toc1851630_2142443653">
            <w:r>
              <w:rPr>
                <w:webHidden/>
                <w:rStyle w:val="IndexLink"/>
                <w:rtl w:val="true"/>
              </w:rPr>
              <w:t xml:space="preserve">الثاني </w:t>
            </w:r>
            <w:r>
              <w:rPr>
                <w:rStyle w:val="IndexLink"/>
                <w:rtl w:val="true"/>
              </w:rPr>
              <w:t xml:space="preserve">: </w:t>
            </w:r>
            <w:r>
              <w:rPr>
                <w:rStyle w:val="IndexLink"/>
                <w:rtl w:val="true"/>
              </w:rPr>
              <w:t>حكم تصوير الجنّ والشيطان والمَلَك</w:t>
            </w:r>
            <w:r>
              <w:rPr>
                <w:rStyle w:val="IndexLink"/>
                <w:rtl w:val="true"/>
              </w:rPr>
              <w:tab/>
            </w:r>
            <w:r>
              <w:rPr>
                <w:rStyle w:val="IndexLink"/>
              </w:rPr>
              <w:t>345</w:t>
            </w:r>
          </w:hyperlink>
        </w:p>
        <w:p>
          <w:pPr>
            <w:pStyle w:val="Contents5"/>
            <w:tabs>
              <w:tab w:val="clear" w:pos="7892"/>
              <w:tab w:val="right" w:pos="9026" w:leader="dot"/>
            </w:tabs>
            <w:rPr/>
          </w:pPr>
          <w:hyperlink w:anchor="__RefHeading___Toc1851632_2142443653">
            <w:r>
              <w:rPr>
                <w:webHidden/>
                <w:rStyle w:val="IndexLink"/>
                <w:rtl w:val="true"/>
              </w:rPr>
              <w:t xml:space="preserve">الثالث </w:t>
            </w:r>
            <w:r>
              <w:rPr>
                <w:rStyle w:val="IndexLink"/>
                <w:rtl w:val="true"/>
              </w:rPr>
              <w:t xml:space="preserve">: </w:t>
            </w:r>
            <w:r>
              <w:rPr>
                <w:rStyle w:val="IndexLink"/>
                <w:rtl w:val="true"/>
              </w:rPr>
              <w:t>حكم ما لو اشترك اثنان أو أكثر في عمل صورة</w:t>
            </w:r>
            <w:r>
              <w:rPr>
                <w:rStyle w:val="IndexLink"/>
                <w:rtl w:val="true"/>
              </w:rPr>
              <w:tab/>
            </w:r>
            <w:r>
              <w:rPr>
                <w:rStyle w:val="IndexLink"/>
              </w:rPr>
              <w:t>353</w:t>
            </w:r>
          </w:hyperlink>
        </w:p>
        <w:p>
          <w:pPr>
            <w:pStyle w:val="Contents5"/>
            <w:tabs>
              <w:tab w:val="clear" w:pos="7892"/>
              <w:tab w:val="right" w:pos="9026" w:leader="dot"/>
            </w:tabs>
            <w:rPr/>
          </w:pPr>
          <w:hyperlink w:anchor="__RefHeading___Toc1851634_2142443653">
            <w:r>
              <w:rPr>
                <w:webHidden/>
                <w:rStyle w:val="IndexLink"/>
                <w:rtl w:val="true"/>
              </w:rPr>
              <w:t>حكم تصوير بعض الأجزاء</w:t>
            </w:r>
            <w:r>
              <w:rPr>
                <w:rStyle w:val="IndexLink"/>
                <w:rtl w:val="true"/>
              </w:rPr>
              <w:tab/>
            </w:r>
            <w:r>
              <w:rPr>
                <w:rStyle w:val="IndexLink"/>
              </w:rPr>
              <w:t>358</w:t>
            </w:r>
          </w:hyperlink>
        </w:p>
        <w:p>
          <w:pPr>
            <w:pStyle w:val="Contents5"/>
            <w:tabs>
              <w:tab w:val="clear" w:pos="7892"/>
              <w:tab w:val="right" w:pos="9026" w:leader="dot"/>
            </w:tabs>
            <w:rPr/>
          </w:pPr>
          <w:hyperlink w:anchor="__RefHeading___Toc1851636_2142443653">
            <w:r>
              <w:rPr>
                <w:webHidden/>
                <w:rStyle w:val="IndexLink"/>
                <w:rtl w:val="true"/>
              </w:rPr>
              <w:t xml:space="preserve">الرابع </w:t>
            </w:r>
            <w:r>
              <w:rPr>
                <w:rStyle w:val="IndexLink"/>
                <w:rtl w:val="true"/>
              </w:rPr>
              <w:t xml:space="preserve">: </w:t>
            </w:r>
            <w:r>
              <w:rPr>
                <w:rStyle w:val="IndexLink"/>
                <w:rtl w:val="true"/>
              </w:rPr>
              <w:t>حكم اقتناء الصور المحرّمة</w:t>
            </w:r>
            <w:r>
              <w:rPr>
                <w:rStyle w:val="IndexLink"/>
                <w:rtl w:val="true"/>
              </w:rPr>
              <w:tab/>
            </w:r>
            <w:r>
              <w:rPr>
                <w:rStyle w:val="IndexLink"/>
              </w:rPr>
              <w:t>359</w:t>
            </w:r>
          </w:hyperlink>
        </w:p>
        <w:p>
          <w:pPr>
            <w:pStyle w:val="Contents5"/>
            <w:tabs>
              <w:tab w:val="clear" w:pos="7892"/>
              <w:tab w:val="right" w:pos="9026" w:leader="dot"/>
            </w:tabs>
            <w:rPr/>
          </w:pPr>
          <w:hyperlink w:anchor="__RefHeading___Toc1851638_2142443653">
            <w:r>
              <w:rPr>
                <w:webHidden/>
                <w:rStyle w:val="IndexLink"/>
                <w:rtl w:val="true"/>
              </w:rPr>
              <w:t>حول كلام المحقّق الأردبيلي في المقام</w:t>
            </w:r>
            <w:r>
              <w:rPr>
                <w:rStyle w:val="IndexLink"/>
                <w:rtl w:val="true"/>
              </w:rPr>
              <w:tab/>
            </w:r>
            <w:r>
              <w:rPr>
                <w:rStyle w:val="IndexLink"/>
              </w:rPr>
              <w:t>359</w:t>
            </w:r>
          </w:hyperlink>
        </w:p>
        <w:p>
          <w:pPr>
            <w:pStyle w:val="Contents5"/>
            <w:tabs>
              <w:tab w:val="clear" w:pos="7892"/>
              <w:tab w:val="right" w:pos="9026" w:leader="dot"/>
            </w:tabs>
            <w:rPr/>
          </w:pPr>
          <w:hyperlink w:anchor="__RefHeading___Toc1851640_2142443653">
            <w:r>
              <w:rPr>
                <w:webHidden/>
                <w:rStyle w:val="IndexLink"/>
                <w:rtl w:val="true"/>
              </w:rPr>
              <w:t>بيان الأخبار الدالّة على جواز الاقتناء</w:t>
            </w:r>
            <w:r>
              <w:rPr>
                <w:rStyle w:val="IndexLink"/>
                <w:rtl w:val="true"/>
              </w:rPr>
              <w:tab/>
            </w:r>
            <w:r>
              <w:rPr>
                <w:rStyle w:val="IndexLink"/>
              </w:rPr>
              <w:t>363</w:t>
            </w:r>
          </w:hyperlink>
        </w:p>
        <w:p>
          <w:pPr>
            <w:pStyle w:val="Contents5"/>
            <w:tabs>
              <w:tab w:val="clear" w:pos="7892"/>
              <w:tab w:val="right" w:pos="9026" w:leader="dot"/>
            </w:tabs>
            <w:rPr/>
          </w:pPr>
          <w:hyperlink w:anchor="__RefHeading___Toc1851642_2142443653">
            <w:r>
              <w:rPr>
                <w:webHidden/>
                <w:rStyle w:val="IndexLink"/>
                <w:rtl w:val="true"/>
              </w:rPr>
              <w:t>الأخبار المستدلّ بها على حرمة الاقتناء والجواب عنها</w:t>
            </w:r>
            <w:r>
              <w:rPr>
                <w:rStyle w:val="IndexLink"/>
                <w:rtl w:val="true"/>
              </w:rPr>
              <w:tab/>
            </w:r>
            <w:r>
              <w:rPr>
                <w:rStyle w:val="IndexLink"/>
              </w:rPr>
              <w:t>369</w:t>
            </w:r>
          </w:hyperlink>
        </w:p>
        <w:p>
          <w:pPr>
            <w:pStyle w:val="Contents5"/>
            <w:tabs>
              <w:tab w:val="clear" w:pos="7892"/>
              <w:tab w:val="right" w:pos="9026" w:leader="dot"/>
            </w:tabs>
            <w:rPr/>
          </w:pPr>
          <w:hyperlink w:anchor="__RefHeading___Toc1851644_2142443653">
            <w:r>
              <w:rPr>
                <w:webHidden/>
                <w:rStyle w:val="IndexLink"/>
                <w:rtl w:val="true"/>
              </w:rPr>
              <w:t>حول كلام المحقّق الشيرازي</w:t>
            </w:r>
            <w:r>
              <w:rPr>
                <w:rStyle w:val="IndexLink"/>
                <w:rtl w:val="true"/>
              </w:rPr>
              <w:tab/>
            </w:r>
            <w:r>
              <w:rPr>
                <w:rStyle w:val="IndexLink"/>
              </w:rPr>
              <w:t>373</w:t>
            </w:r>
          </w:hyperlink>
        </w:p>
        <w:p>
          <w:pPr>
            <w:pStyle w:val="Contents5"/>
            <w:tabs>
              <w:tab w:val="clear" w:pos="7892"/>
              <w:tab w:val="right" w:pos="9026" w:leader="dot"/>
            </w:tabs>
            <w:rPr/>
          </w:pPr>
          <w:hyperlink w:anchor="__RefHeading___Toc1851646_2142443653">
            <w:r>
              <w:rPr>
                <w:webHidden/>
                <w:rStyle w:val="IndexLink"/>
                <w:rtl w:val="true"/>
              </w:rPr>
              <w:t>في جواز بيع الصور وسائر التقلّبات فيها إذا كان اقتناؤها جائزاً</w:t>
            </w:r>
            <w:r>
              <w:rPr>
                <w:rStyle w:val="IndexLink"/>
                <w:rtl w:val="true"/>
              </w:rPr>
              <w:tab/>
            </w:r>
            <w:r>
              <w:rPr>
                <w:rStyle w:val="IndexLink"/>
              </w:rPr>
              <w:t>374</w:t>
            </w:r>
          </w:hyperlink>
        </w:p>
        <w:p>
          <w:pPr>
            <w:pStyle w:val="Contents5"/>
            <w:tabs>
              <w:tab w:val="clear" w:pos="7892"/>
              <w:tab w:val="right" w:pos="9026" w:leader="dot"/>
            </w:tabs>
            <w:rPr/>
          </w:pPr>
          <w:hyperlink w:anchor="__RefHeading___Toc1851648_2142443653">
            <w:r>
              <w:rPr>
                <w:webHidden/>
                <w:rStyle w:val="IndexLink"/>
                <w:rtl w:val="true"/>
              </w:rPr>
              <w:t>عدم جواز أخذ الاُجرة على التصوير المحرّم</w:t>
            </w:r>
            <w:r>
              <w:rPr>
                <w:rStyle w:val="IndexLink"/>
                <w:rtl w:val="true"/>
              </w:rPr>
              <w:tab/>
            </w:r>
            <w:r>
              <w:rPr>
                <w:rStyle w:val="IndexLink"/>
              </w:rPr>
              <w:t>375</w:t>
            </w:r>
          </w:hyperlink>
        </w:p>
        <w:p>
          <w:pPr>
            <w:pStyle w:val="Contents3"/>
            <w:tabs>
              <w:tab w:val="clear" w:pos="8459"/>
              <w:tab w:val="right" w:pos="9026" w:leader="dot"/>
            </w:tabs>
            <w:rPr/>
          </w:pPr>
          <w:hyperlink w:anchor="__RefHeading___Toc1851650_2142443653">
            <w:r>
              <w:rPr>
                <w:webHidden/>
                <w:rStyle w:val="IndexLink"/>
                <w:rtl w:val="true"/>
              </w:rPr>
              <w:t xml:space="preserve">المسألة الثانية </w:t>
            </w:r>
            <w:r>
              <w:rPr>
                <w:rStyle w:val="IndexLink"/>
                <w:rtl w:val="true"/>
              </w:rPr>
              <w:t xml:space="preserve">: </w:t>
            </w:r>
            <w:r>
              <w:rPr>
                <w:rStyle w:val="IndexLink"/>
                <w:rtl w:val="true"/>
              </w:rPr>
              <w:t>في الغناء</w:t>
            </w:r>
            <w:r>
              <w:rPr>
                <w:rStyle w:val="IndexLink"/>
                <w:rtl w:val="true"/>
              </w:rPr>
              <w:tab/>
            </w:r>
            <w:r>
              <w:rPr>
                <w:rStyle w:val="IndexLink"/>
              </w:rPr>
              <w:t>376</w:t>
            </w:r>
          </w:hyperlink>
        </w:p>
        <w:p>
          <w:pPr>
            <w:pStyle w:val="Contents4"/>
            <w:tabs>
              <w:tab w:val="clear" w:pos="8176"/>
              <w:tab w:val="right" w:pos="9026" w:leader="dot"/>
            </w:tabs>
            <w:rPr/>
          </w:pPr>
          <w:hyperlink w:anchor="__RefHeading___Toc1851652_2142443653">
            <w:r>
              <w:rPr>
                <w:webHidden/>
                <w:rStyle w:val="IndexLink"/>
                <w:rtl w:val="true"/>
              </w:rPr>
              <w:t>ماهية الغناء</w:t>
            </w:r>
            <w:r>
              <w:rPr>
                <w:rStyle w:val="IndexLink"/>
                <w:rtl w:val="true"/>
              </w:rPr>
              <w:tab/>
            </w:r>
            <w:r>
              <w:rPr>
                <w:rStyle w:val="IndexLink"/>
              </w:rPr>
              <w:t>376</w:t>
            </w:r>
          </w:hyperlink>
        </w:p>
        <w:p>
          <w:pPr>
            <w:pStyle w:val="Contents4"/>
            <w:tabs>
              <w:tab w:val="clear" w:pos="8176"/>
              <w:tab w:val="right" w:pos="9026" w:leader="dot"/>
            </w:tabs>
            <w:rPr/>
          </w:pPr>
          <w:hyperlink w:anchor="__RefHeading___Toc1851654_2142443653">
            <w:r>
              <w:rPr>
                <w:webHidden/>
                <w:rStyle w:val="IndexLink"/>
                <w:rtl w:val="true"/>
              </w:rPr>
              <w:t>تفسير الشيخ محمّد رضا الأصفهاني للغناء</w:t>
            </w:r>
            <w:r>
              <w:rPr>
                <w:rStyle w:val="IndexLink"/>
                <w:rtl w:val="true"/>
              </w:rPr>
              <w:tab/>
            </w:r>
            <w:r>
              <w:rPr>
                <w:rStyle w:val="IndexLink"/>
              </w:rPr>
              <w:t>377</w:t>
            </w:r>
          </w:hyperlink>
        </w:p>
        <w:p>
          <w:pPr>
            <w:pStyle w:val="Contents4"/>
            <w:tabs>
              <w:tab w:val="clear" w:pos="8176"/>
              <w:tab w:val="right" w:pos="9026" w:leader="dot"/>
            </w:tabs>
            <w:rPr/>
          </w:pPr>
          <w:hyperlink w:anchor="__RefHeading___Toc1851656_2142443653">
            <w:r>
              <w:rPr>
                <w:webHidden/>
                <w:rStyle w:val="IndexLink"/>
                <w:rtl w:val="true"/>
              </w:rPr>
              <w:t>المناقشة في بعض ما ذكره الشيخ محمّد رضا الأصفهاني في الغناء</w:t>
            </w:r>
            <w:r>
              <w:rPr>
                <w:rStyle w:val="IndexLink"/>
                <w:rtl w:val="true"/>
              </w:rPr>
              <w:tab/>
            </w:r>
            <w:r>
              <w:rPr>
                <w:rStyle w:val="IndexLink"/>
              </w:rPr>
              <w:t>380</w:t>
            </w:r>
          </w:hyperlink>
        </w:p>
        <w:p>
          <w:pPr>
            <w:pStyle w:val="Contents4"/>
            <w:tabs>
              <w:tab w:val="clear" w:pos="8176"/>
              <w:tab w:val="right" w:pos="9026" w:leader="dot"/>
            </w:tabs>
            <w:rPr/>
          </w:pPr>
          <w:hyperlink w:anchor="__RefHeading___Toc1851658_2142443653">
            <w:r>
              <w:rPr>
                <w:webHidden/>
                <w:rStyle w:val="IndexLink"/>
                <w:rtl w:val="true"/>
              </w:rPr>
              <w:t>التحقيق في تعريف الغناء</w:t>
            </w:r>
            <w:r>
              <w:rPr>
                <w:rStyle w:val="IndexLink"/>
                <w:rtl w:val="true"/>
              </w:rPr>
              <w:tab/>
            </w:r>
            <w:r>
              <w:rPr>
                <w:rStyle w:val="IndexLink"/>
              </w:rPr>
              <w:t>383</w:t>
            </w:r>
          </w:hyperlink>
        </w:p>
        <w:p>
          <w:pPr>
            <w:pStyle w:val="Contents4"/>
            <w:tabs>
              <w:tab w:val="clear" w:pos="8176"/>
              <w:tab w:val="right" w:pos="9026" w:leader="dot"/>
            </w:tabs>
            <w:rPr/>
          </w:pPr>
          <w:hyperlink w:anchor="__RefHeading___Toc1851660_2142443653">
            <w:r>
              <w:rPr>
                <w:webHidden/>
                <w:rStyle w:val="IndexLink"/>
                <w:rtl w:val="true"/>
              </w:rPr>
              <w:t>حكم الغناء</w:t>
            </w:r>
            <w:r>
              <w:rPr>
                <w:rStyle w:val="IndexLink"/>
                <w:rtl w:val="true"/>
              </w:rPr>
              <w:tab/>
            </w:r>
            <w:r>
              <w:rPr>
                <w:rStyle w:val="IndexLink"/>
              </w:rPr>
              <w:t>385</w:t>
            </w:r>
          </w:hyperlink>
        </w:p>
        <w:p>
          <w:pPr>
            <w:pStyle w:val="Contents4"/>
            <w:tabs>
              <w:tab w:val="clear" w:pos="8176"/>
              <w:tab w:val="right" w:pos="9026" w:leader="dot"/>
            </w:tabs>
            <w:rPr/>
          </w:pPr>
          <w:hyperlink w:anchor="__RefHeading___Toc1851662_2142443653">
            <w:r>
              <w:rPr>
                <w:webHidden/>
                <w:rStyle w:val="IndexLink"/>
                <w:rtl w:val="true"/>
              </w:rPr>
              <w:t>ما نسب إلى بعض الأعاظم من إنكار حرمة الغناء بذاته</w:t>
            </w:r>
            <w:r>
              <w:rPr>
                <w:rStyle w:val="IndexLink"/>
                <w:rtl w:val="true"/>
              </w:rPr>
              <w:tab/>
            </w:r>
            <w:r>
              <w:rPr>
                <w:rStyle w:val="IndexLink"/>
              </w:rPr>
              <w:t>395</w:t>
            </w:r>
          </w:hyperlink>
        </w:p>
        <w:p>
          <w:pPr>
            <w:pStyle w:val="Contents4"/>
            <w:tabs>
              <w:tab w:val="clear" w:pos="8176"/>
              <w:tab w:val="right" w:pos="9026" w:leader="dot"/>
            </w:tabs>
            <w:rPr/>
          </w:pPr>
          <w:hyperlink w:anchor="__RefHeading___Toc1851664_2142443653">
            <w:r>
              <w:rPr>
                <w:webHidden/>
                <w:rStyle w:val="IndexLink"/>
                <w:rtl w:val="true"/>
              </w:rPr>
              <w:t>المستثنيات من الغناء</w:t>
            </w:r>
            <w:r>
              <w:rPr>
                <w:rStyle w:val="IndexLink"/>
                <w:rtl w:val="true"/>
              </w:rPr>
              <w:tab/>
            </w:r>
            <w:r>
              <w:rPr>
                <w:rStyle w:val="IndexLink"/>
              </w:rPr>
              <w:t>408</w:t>
            </w:r>
          </w:hyperlink>
        </w:p>
        <w:p>
          <w:pPr>
            <w:pStyle w:val="Contents4"/>
            <w:tabs>
              <w:tab w:val="clear" w:pos="8176"/>
              <w:tab w:val="right" w:pos="9026" w:leader="dot"/>
            </w:tabs>
            <w:rPr/>
          </w:pPr>
          <w:hyperlink w:anchor="__RefHeading___Toc1851666_2142443653">
            <w:r>
              <w:rPr>
                <w:webHidden/>
                <w:rStyle w:val="IndexLink"/>
                <w:rtl w:val="true"/>
              </w:rPr>
              <w:t>في استثناء المراثي والقراءة بالقرآن</w:t>
            </w:r>
            <w:r>
              <w:rPr>
                <w:rStyle w:val="IndexLink"/>
                <w:rtl w:val="true"/>
              </w:rPr>
              <w:tab/>
            </w:r>
            <w:r>
              <w:rPr>
                <w:rStyle w:val="IndexLink"/>
              </w:rPr>
              <w:t>411</w:t>
            </w:r>
          </w:hyperlink>
        </w:p>
        <w:p>
          <w:pPr>
            <w:pStyle w:val="Contents4"/>
            <w:tabs>
              <w:tab w:val="clear" w:pos="8176"/>
              <w:tab w:val="right" w:pos="9026" w:leader="dot"/>
            </w:tabs>
            <w:rPr/>
          </w:pPr>
          <w:hyperlink w:anchor="__RefHeading___Toc1851668_2142443653">
            <w:r>
              <w:rPr>
                <w:webHidden/>
                <w:rStyle w:val="IndexLink"/>
                <w:rtl w:val="true"/>
              </w:rPr>
              <w:t>بيان المراد ممّا دلّت على استحباب القراءة بصوت حسن</w:t>
            </w:r>
            <w:r>
              <w:rPr>
                <w:rStyle w:val="IndexLink"/>
                <w:rtl w:val="true"/>
              </w:rPr>
              <w:tab/>
            </w:r>
            <w:r>
              <w:rPr>
                <w:rStyle w:val="IndexLink"/>
              </w:rPr>
              <w:t>423</w:t>
            </w:r>
          </w:hyperlink>
        </w:p>
        <w:p>
          <w:pPr>
            <w:pStyle w:val="Contents4"/>
            <w:tabs>
              <w:tab w:val="clear" w:pos="8176"/>
              <w:tab w:val="right" w:pos="9026" w:leader="dot"/>
            </w:tabs>
            <w:rPr/>
          </w:pPr>
          <w:hyperlink w:anchor="__RefHeading___Toc1851670_2142443653">
            <w:r>
              <w:rPr>
                <w:webHidden/>
                <w:rStyle w:val="IndexLink"/>
                <w:rtl w:val="true"/>
              </w:rPr>
              <w:t>في استثناء الحداء</w:t>
            </w:r>
            <w:r>
              <w:rPr>
                <w:rStyle w:val="IndexLink"/>
                <w:rtl w:val="true"/>
              </w:rPr>
              <w:tab/>
            </w:r>
            <w:r>
              <w:rPr>
                <w:rStyle w:val="IndexLink"/>
              </w:rPr>
              <w:t>426</w:t>
            </w:r>
          </w:hyperlink>
        </w:p>
        <w:p>
          <w:pPr>
            <w:pStyle w:val="Contents4"/>
            <w:tabs>
              <w:tab w:val="clear" w:pos="8176"/>
              <w:tab w:val="right" w:pos="9026" w:leader="dot"/>
            </w:tabs>
            <w:rPr/>
          </w:pPr>
          <w:hyperlink w:anchor="__RefHeading___Toc1851672_2142443653">
            <w:r>
              <w:rPr>
                <w:webHidden/>
                <w:rStyle w:val="IndexLink"/>
                <w:rtl w:val="true"/>
              </w:rPr>
              <w:t>ما هو معنى الحداء ؟</w:t>
            </w:r>
            <w:r>
              <w:rPr>
                <w:rStyle w:val="IndexLink"/>
                <w:rtl w:val="true"/>
              </w:rPr>
              <w:tab/>
            </w:r>
            <w:r>
              <w:rPr>
                <w:rStyle w:val="IndexLink"/>
              </w:rPr>
              <w:t>429</w:t>
            </w:r>
          </w:hyperlink>
        </w:p>
        <w:p>
          <w:pPr>
            <w:pStyle w:val="Contents4"/>
            <w:tabs>
              <w:tab w:val="clear" w:pos="8176"/>
              <w:tab w:val="right" w:pos="9026" w:leader="dot"/>
            </w:tabs>
            <w:rPr/>
          </w:pPr>
          <w:hyperlink w:anchor="__RefHeading___Toc1851674_2142443653">
            <w:r>
              <w:rPr>
                <w:webHidden/>
                <w:rStyle w:val="IndexLink"/>
                <w:rtl w:val="true"/>
              </w:rPr>
              <w:t>في استثناء زفّ العرائس</w:t>
            </w:r>
            <w:r>
              <w:rPr>
                <w:rStyle w:val="IndexLink"/>
                <w:rtl w:val="true"/>
              </w:rPr>
              <w:tab/>
            </w:r>
            <w:r>
              <w:rPr>
                <w:rStyle w:val="IndexLink"/>
              </w:rPr>
              <w:t>432</w:t>
            </w:r>
          </w:hyperlink>
        </w:p>
        <w:p>
          <w:pPr>
            <w:pStyle w:val="Contents4"/>
            <w:tabs>
              <w:tab w:val="clear" w:pos="8176"/>
              <w:tab w:val="right" w:pos="9026" w:leader="dot"/>
            </w:tabs>
            <w:rPr/>
          </w:pPr>
          <w:hyperlink w:anchor="__RefHeading___Toc1851676_2142443653">
            <w:r>
              <w:rPr>
                <w:webHidden/>
                <w:rStyle w:val="IndexLink"/>
                <w:rtl w:val="true"/>
              </w:rPr>
              <w:t>تنبيه</w:t>
            </w:r>
            <w:r>
              <w:rPr>
                <w:rStyle w:val="IndexLink"/>
                <w:rtl w:val="true"/>
              </w:rPr>
              <w:tab/>
            </w:r>
            <w:r>
              <w:rPr>
                <w:rStyle w:val="IndexLink"/>
              </w:rPr>
              <w:t>435</w:t>
            </w:r>
          </w:hyperlink>
        </w:p>
        <w:p>
          <w:pPr>
            <w:pStyle w:val="Contents4"/>
            <w:tabs>
              <w:tab w:val="clear" w:pos="8176"/>
              <w:tab w:val="right" w:pos="9026" w:leader="dot"/>
            </w:tabs>
            <w:rPr/>
          </w:pPr>
          <w:hyperlink w:anchor="__RefHeading___Toc1851678_2142443653">
            <w:r>
              <w:rPr>
                <w:webHidden/>
                <w:rStyle w:val="IndexLink"/>
                <w:rtl w:val="true"/>
              </w:rPr>
              <w:t>ما دلّت على حرمة اللهو من الآيات والروايات</w:t>
            </w:r>
            <w:r>
              <w:rPr>
                <w:rStyle w:val="IndexLink"/>
                <w:rtl w:val="true"/>
              </w:rPr>
              <w:tab/>
            </w:r>
            <w:r>
              <w:rPr>
                <w:rStyle w:val="IndexLink"/>
              </w:rPr>
              <w:t>439</w:t>
            </w:r>
          </w:hyperlink>
        </w:p>
        <w:p>
          <w:pPr>
            <w:pStyle w:val="Contents3"/>
            <w:tabs>
              <w:tab w:val="clear" w:pos="8459"/>
              <w:tab w:val="right" w:pos="9026" w:leader="dot"/>
            </w:tabs>
            <w:rPr/>
          </w:pPr>
          <w:hyperlink w:anchor="__RefHeading___Toc1851680_2142443653">
            <w:r>
              <w:rPr>
                <w:webHidden/>
                <w:rStyle w:val="IndexLink"/>
                <w:rtl w:val="true"/>
              </w:rPr>
              <w:t xml:space="preserve">المسألة الثالثة </w:t>
            </w:r>
            <w:r>
              <w:rPr>
                <w:rStyle w:val="IndexLink"/>
                <w:rtl w:val="true"/>
              </w:rPr>
              <w:t xml:space="preserve">: </w:t>
            </w:r>
            <w:r>
              <w:rPr>
                <w:rStyle w:val="IndexLink"/>
                <w:rtl w:val="true"/>
              </w:rPr>
              <w:t>في حرمة الغيبة</w:t>
            </w:r>
            <w:r>
              <w:rPr>
                <w:rStyle w:val="IndexLink"/>
                <w:rtl w:val="true"/>
              </w:rPr>
              <w:tab/>
            </w:r>
            <w:r>
              <w:rPr>
                <w:rStyle w:val="IndexLink"/>
              </w:rPr>
              <w:t>455</w:t>
            </w:r>
          </w:hyperlink>
        </w:p>
        <w:p>
          <w:pPr>
            <w:pStyle w:val="Contents4"/>
            <w:tabs>
              <w:tab w:val="clear" w:pos="8176"/>
              <w:tab w:val="right" w:pos="9026" w:leader="dot"/>
            </w:tabs>
            <w:rPr/>
          </w:pPr>
          <w:hyperlink w:anchor="__RefHeading___Toc1851682_2142443653">
            <w:r>
              <w:rPr>
                <w:webHidden/>
                <w:rStyle w:val="IndexLink"/>
                <w:rtl w:val="true"/>
              </w:rPr>
              <w:t>في كون الغيبة من الكبائر</w:t>
            </w:r>
            <w:r>
              <w:rPr>
                <w:rStyle w:val="IndexLink"/>
                <w:rtl w:val="true"/>
              </w:rPr>
              <w:tab/>
            </w:r>
            <w:r>
              <w:rPr>
                <w:rStyle w:val="IndexLink"/>
              </w:rPr>
              <w:t>455</w:t>
            </w:r>
          </w:hyperlink>
        </w:p>
        <w:p>
          <w:pPr>
            <w:pStyle w:val="Contents4"/>
            <w:tabs>
              <w:tab w:val="clear" w:pos="8176"/>
              <w:tab w:val="right" w:pos="9026" w:leader="dot"/>
            </w:tabs>
            <w:rPr/>
          </w:pPr>
          <w:hyperlink w:anchor="__RefHeading___Toc1851684_2142443653">
            <w:r>
              <w:rPr>
                <w:webHidden/>
                <w:rStyle w:val="IndexLink"/>
                <w:rtl w:val="true"/>
              </w:rPr>
              <w:t>اختصاص الحرمة بغيبة المؤمن</w:t>
            </w:r>
            <w:r>
              <w:rPr>
                <w:rStyle w:val="IndexLink"/>
                <w:rtl w:val="true"/>
              </w:rPr>
              <w:tab/>
            </w:r>
            <w:r>
              <w:rPr>
                <w:rStyle w:val="IndexLink"/>
              </w:rPr>
              <w:t>462</w:t>
            </w:r>
          </w:hyperlink>
        </w:p>
        <w:p>
          <w:pPr>
            <w:pStyle w:val="Contents4"/>
            <w:tabs>
              <w:tab w:val="clear" w:pos="8176"/>
              <w:tab w:val="right" w:pos="9026" w:leader="dot"/>
            </w:tabs>
            <w:rPr/>
          </w:pPr>
          <w:hyperlink w:anchor="__RefHeading___Toc1851686_2142443653">
            <w:r>
              <w:rPr>
                <w:webHidden/>
                <w:rStyle w:val="IndexLink"/>
                <w:rtl w:val="true"/>
              </w:rPr>
              <w:t>حرمة غيبة الصبيّ المميّز</w:t>
            </w:r>
            <w:r>
              <w:rPr>
                <w:rStyle w:val="IndexLink"/>
                <w:rtl w:val="true"/>
              </w:rPr>
              <w:tab/>
            </w:r>
            <w:r>
              <w:rPr>
                <w:rStyle w:val="IndexLink"/>
              </w:rPr>
              <w:t>467</w:t>
            </w:r>
          </w:hyperlink>
        </w:p>
        <w:p>
          <w:pPr>
            <w:pStyle w:val="Contents4"/>
            <w:tabs>
              <w:tab w:val="clear" w:pos="8176"/>
              <w:tab w:val="right" w:pos="9026" w:leader="dot"/>
            </w:tabs>
            <w:rPr/>
          </w:pPr>
          <w:hyperlink w:anchor="__RefHeading___Toc1851688_2142443653">
            <w:r>
              <w:rPr>
                <w:webHidden/>
                <w:rStyle w:val="IndexLink"/>
                <w:rtl w:val="true"/>
              </w:rPr>
              <w:t xml:space="preserve">الأمر الأوّل </w:t>
            </w:r>
            <w:r>
              <w:rPr>
                <w:rStyle w:val="IndexLink"/>
                <w:rtl w:val="true"/>
              </w:rPr>
              <w:t xml:space="preserve">: </w:t>
            </w:r>
            <w:r>
              <w:rPr>
                <w:rStyle w:val="IndexLink"/>
                <w:rtl w:val="true"/>
              </w:rPr>
              <w:t>في تعريف الغيبة</w:t>
            </w:r>
            <w:r>
              <w:rPr>
                <w:rStyle w:val="IndexLink"/>
                <w:rtl w:val="true"/>
              </w:rPr>
              <w:tab/>
            </w:r>
            <w:r>
              <w:rPr>
                <w:rStyle w:val="IndexLink"/>
              </w:rPr>
              <w:t>468</w:t>
            </w:r>
          </w:hyperlink>
        </w:p>
        <w:p>
          <w:pPr>
            <w:pStyle w:val="Contents4"/>
            <w:tabs>
              <w:tab w:val="clear" w:pos="8176"/>
              <w:tab w:val="right" w:pos="9026" w:leader="dot"/>
            </w:tabs>
            <w:rPr/>
          </w:pPr>
          <w:hyperlink w:anchor="__RefHeading___Toc1851690_2142443653">
            <w:r>
              <w:rPr>
                <w:webHidden/>
                <w:rStyle w:val="IndexLink"/>
                <w:rtl w:val="true"/>
              </w:rPr>
              <w:t>النسبة بين الغيبة والبهتان</w:t>
            </w:r>
            <w:r>
              <w:rPr>
                <w:rStyle w:val="IndexLink"/>
                <w:rtl w:val="true"/>
              </w:rPr>
              <w:tab/>
            </w:r>
            <w:r>
              <w:rPr>
                <w:rStyle w:val="IndexLink"/>
              </w:rPr>
              <w:t>476</w:t>
            </w:r>
          </w:hyperlink>
        </w:p>
        <w:p>
          <w:pPr>
            <w:pStyle w:val="Contents4"/>
            <w:tabs>
              <w:tab w:val="clear" w:pos="8176"/>
              <w:tab w:val="right" w:pos="9026" w:leader="dot"/>
            </w:tabs>
            <w:rPr/>
          </w:pPr>
          <w:hyperlink w:anchor="__RefHeading___Toc1851692_2142443653">
            <w:r>
              <w:rPr>
                <w:webHidden/>
                <w:rStyle w:val="IndexLink"/>
                <w:rtl w:val="true"/>
              </w:rPr>
              <w:t>عدم اعتبار كراهة المغتاب في مفهوم الغيبة</w:t>
            </w:r>
            <w:r>
              <w:rPr>
                <w:rStyle w:val="IndexLink"/>
                <w:rtl w:val="true"/>
              </w:rPr>
              <w:tab/>
            </w:r>
            <w:r>
              <w:rPr>
                <w:rStyle w:val="IndexLink"/>
              </w:rPr>
              <w:t>478</w:t>
            </w:r>
          </w:hyperlink>
        </w:p>
        <w:p>
          <w:pPr>
            <w:pStyle w:val="Contents4"/>
            <w:tabs>
              <w:tab w:val="clear" w:pos="8176"/>
              <w:tab w:val="right" w:pos="9026" w:leader="dot"/>
            </w:tabs>
            <w:rPr/>
          </w:pPr>
          <w:hyperlink w:anchor="__RefHeading___Toc1851694_2142443653">
            <w:r>
              <w:rPr>
                <w:webHidden/>
                <w:rStyle w:val="IndexLink"/>
                <w:rtl w:val="true"/>
              </w:rPr>
              <w:t>معنى الستر الوارد في رواية العيّاشي</w:t>
            </w:r>
            <w:r>
              <w:rPr>
                <w:rStyle w:val="IndexLink"/>
                <w:rtl w:val="true"/>
              </w:rPr>
              <w:tab/>
            </w:r>
            <w:r>
              <w:rPr>
                <w:rStyle w:val="IndexLink"/>
              </w:rPr>
              <w:t>489</w:t>
            </w:r>
          </w:hyperlink>
        </w:p>
        <w:p>
          <w:pPr>
            <w:pStyle w:val="Contents4"/>
            <w:tabs>
              <w:tab w:val="clear" w:pos="8176"/>
              <w:tab w:val="right" w:pos="9026" w:leader="dot"/>
            </w:tabs>
            <w:rPr/>
          </w:pPr>
          <w:hyperlink w:anchor="__RefHeading___Toc1851696_2142443653">
            <w:r>
              <w:rPr>
                <w:webHidden/>
                <w:rStyle w:val="IndexLink"/>
                <w:rtl w:val="true"/>
              </w:rPr>
              <w:t>اعتبار قصد الانتقاص في مفهوم الغيبة</w:t>
            </w:r>
            <w:r>
              <w:rPr>
                <w:rStyle w:val="IndexLink"/>
                <w:rtl w:val="true"/>
              </w:rPr>
              <w:tab/>
            </w:r>
            <w:r>
              <w:rPr>
                <w:rStyle w:val="IndexLink"/>
              </w:rPr>
              <w:t>492</w:t>
            </w:r>
          </w:hyperlink>
        </w:p>
        <w:p>
          <w:pPr>
            <w:pStyle w:val="Contents4"/>
            <w:tabs>
              <w:tab w:val="clear" w:pos="8176"/>
              <w:tab w:val="right" w:pos="9026" w:leader="dot"/>
            </w:tabs>
            <w:rPr/>
          </w:pPr>
          <w:hyperlink w:anchor="__RefHeading___Toc1851698_2142443653">
            <w:r>
              <w:rPr>
                <w:webHidden/>
                <w:rStyle w:val="IndexLink"/>
                <w:rtl w:val="true"/>
              </w:rPr>
              <w:t>في اعتبار تعيين المغتاب</w:t>
            </w:r>
            <w:r>
              <w:rPr>
                <w:rStyle w:val="IndexLink"/>
                <w:rtl w:val="true"/>
              </w:rPr>
              <w:tab/>
            </w:r>
            <w:r>
              <w:rPr>
                <w:rStyle w:val="IndexLink"/>
              </w:rPr>
              <w:t>502</w:t>
            </w:r>
          </w:hyperlink>
        </w:p>
        <w:p>
          <w:pPr>
            <w:pStyle w:val="Contents4"/>
            <w:tabs>
              <w:tab w:val="clear" w:pos="8176"/>
              <w:tab w:val="right" w:pos="9026" w:leader="dot"/>
            </w:tabs>
            <w:rPr/>
          </w:pPr>
          <w:hyperlink w:anchor="__RefHeading___Toc1851700_2142443653">
            <w:r>
              <w:rPr>
                <w:webHidden/>
                <w:rStyle w:val="IndexLink"/>
                <w:rtl w:val="true"/>
              </w:rPr>
              <w:t xml:space="preserve">الأمر الثاني </w:t>
            </w:r>
            <w:r>
              <w:rPr>
                <w:rStyle w:val="IndexLink"/>
                <w:rtl w:val="true"/>
              </w:rPr>
              <w:t xml:space="preserve">: </w:t>
            </w:r>
            <w:r>
              <w:rPr>
                <w:rStyle w:val="IndexLink"/>
                <w:rtl w:val="true"/>
              </w:rPr>
              <w:t>فيما استثني من الغيبة وحكم بجوازها بالمعنى الأعمّ</w:t>
            </w:r>
            <w:r>
              <w:rPr>
                <w:rStyle w:val="IndexLink"/>
                <w:rtl w:val="true"/>
              </w:rPr>
              <w:tab/>
            </w:r>
            <w:r>
              <w:rPr>
                <w:rStyle w:val="IndexLink"/>
              </w:rPr>
              <w:t>505</w:t>
            </w:r>
          </w:hyperlink>
        </w:p>
        <w:p>
          <w:pPr>
            <w:pStyle w:val="Contents4"/>
            <w:tabs>
              <w:tab w:val="clear" w:pos="8176"/>
              <w:tab w:val="right" w:pos="9026" w:leader="dot"/>
            </w:tabs>
            <w:rPr/>
          </w:pPr>
          <w:hyperlink w:anchor="__RefHeading___Toc1851702_2142443653">
            <w:r>
              <w:rPr>
                <w:webHidden/>
                <w:rStyle w:val="IndexLink"/>
                <w:rtl w:val="true"/>
              </w:rPr>
              <w:t>في عدم ضابط عامّ للاستثناء</w:t>
            </w:r>
            <w:r>
              <w:rPr>
                <w:rStyle w:val="IndexLink"/>
                <w:rtl w:val="true"/>
              </w:rPr>
              <w:tab/>
            </w:r>
            <w:r>
              <w:rPr>
                <w:rStyle w:val="IndexLink"/>
              </w:rPr>
              <w:t>505</w:t>
            </w:r>
          </w:hyperlink>
        </w:p>
        <w:p>
          <w:pPr>
            <w:pStyle w:val="Contents4"/>
            <w:tabs>
              <w:tab w:val="clear" w:pos="8176"/>
              <w:tab w:val="right" w:pos="9026" w:leader="dot"/>
            </w:tabs>
            <w:rPr/>
          </w:pPr>
          <w:hyperlink w:anchor="__RefHeading___Toc1851704_2142443653">
            <w:r>
              <w:rPr>
                <w:webHidden/>
                <w:rStyle w:val="IndexLink"/>
                <w:rtl w:val="true"/>
              </w:rPr>
              <w:t>الأوّل</w:t>
            </w:r>
            <w:r>
              <w:rPr>
                <w:rStyle w:val="IndexLink"/>
                <w:rtl w:val="true"/>
              </w:rPr>
              <w:t xml:space="preserve">: </w:t>
            </w:r>
            <w:r>
              <w:rPr>
                <w:rStyle w:val="IndexLink"/>
                <w:rtl w:val="true"/>
              </w:rPr>
              <w:t>فيما يستثنى بالأدلّة الخاصّة</w:t>
            </w:r>
            <w:r>
              <w:rPr>
                <w:rStyle w:val="IndexLink"/>
                <w:rtl w:val="true"/>
              </w:rPr>
              <w:tab/>
            </w:r>
            <w:r>
              <w:rPr>
                <w:rStyle w:val="IndexLink"/>
              </w:rPr>
              <w:t>507</w:t>
            </w:r>
          </w:hyperlink>
        </w:p>
        <w:p>
          <w:pPr>
            <w:pStyle w:val="Contents5"/>
            <w:tabs>
              <w:tab w:val="clear" w:pos="7892"/>
              <w:tab w:val="right" w:pos="9026" w:leader="dot"/>
            </w:tabs>
            <w:rPr/>
          </w:pPr>
          <w:hyperlink w:anchor="__RefHeading___Toc1851706_2142443653">
            <w:r>
              <w:rPr>
                <w:webHidden/>
                <w:rStyle w:val="IndexLink"/>
                <w:rtl w:val="true"/>
              </w:rPr>
              <w:t>استثناء غيبة المتجاهر بالفسق في الجملة</w:t>
            </w:r>
            <w:r>
              <w:rPr>
                <w:rStyle w:val="IndexLink"/>
                <w:rtl w:val="true"/>
              </w:rPr>
              <w:tab/>
            </w:r>
            <w:r>
              <w:rPr>
                <w:rStyle w:val="IndexLink"/>
              </w:rPr>
              <w:t>507</w:t>
            </w:r>
          </w:hyperlink>
        </w:p>
        <w:p>
          <w:pPr>
            <w:pStyle w:val="Contents4"/>
            <w:tabs>
              <w:tab w:val="clear" w:pos="8176"/>
              <w:tab w:val="right" w:pos="9026" w:leader="dot"/>
            </w:tabs>
            <w:rPr/>
          </w:pPr>
          <w:hyperlink w:anchor="__RefHeading___Toc1851708_2142443653">
            <w:r>
              <w:rPr>
                <w:webHidden/>
                <w:rStyle w:val="IndexLink"/>
                <w:rtl w:val="true"/>
              </w:rPr>
              <w:t>الجمع بين الروايات في المقام</w:t>
            </w:r>
            <w:r>
              <w:rPr>
                <w:rStyle w:val="IndexLink"/>
                <w:rtl w:val="true"/>
              </w:rPr>
              <w:tab/>
            </w:r>
            <w:r>
              <w:rPr>
                <w:rStyle w:val="IndexLink"/>
              </w:rPr>
              <w:t>513</w:t>
            </w:r>
          </w:hyperlink>
        </w:p>
        <w:p>
          <w:pPr>
            <w:pStyle w:val="Contents4"/>
            <w:tabs>
              <w:tab w:val="clear" w:pos="8176"/>
              <w:tab w:val="right" w:pos="9026" w:leader="dot"/>
            </w:tabs>
            <w:rPr/>
          </w:pPr>
          <w:hyperlink w:anchor="__RefHeading___Toc1851710_2142443653">
            <w:r>
              <w:rPr>
                <w:webHidden/>
                <w:rStyle w:val="IndexLink"/>
                <w:rtl w:val="true"/>
              </w:rPr>
              <w:t>في المراد بالمتجاهر بالفسق</w:t>
            </w:r>
            <w:r>
              <w:rPr>
                <w:rStyle w:val="IndexLink"/>
                <w:rtl w:val="true"/>
              </w:rPr>
              <w:tab/>
            </w:r>
            <w:r>
              <w:rPr>
                <w:rStyle w:val="IndexLink"/>
              </w:rPr>
              <w:t>514</w:t>
            </w:r>
          </w:hyperlink>
        </w:p>
        <w:p>
          <w:pPr>
            <w:pStyle w:val="Contents4"/>
            <w:tabs>
              <w:tab w:val="clear" w:pos="8176"/>
              <w:tab w:val="right" w:pos="9026" w:leader="dot"/>
            </w:tabs>
            <w:rPr/>
          </w:pPr>
          <w:hyperlink w:anchor="__RefHeading___Toc1851712_2142443653">
            <w:r>
              <w:rPr>
                <w:webHidden/>
                <w:rStyle w:val="IndexLink"/>
                <w:rtl w:val="true"/>
              </w:rPr>
              <w:t>حكم الفاسق الغير المتجاهر</w:t>
            </w:r>
            <w:r>
              <w:rPr>
                <w:rStyle w:val="IndexLink"/>
                <w:rtl w:val="true"/>
              </w:rPr>
              <w:tab/>
            </w:r>
            <w:r>
              <w:rPr>
                <w:rStyle w:val="IndexLink"/>
              </w:rPr>
              <w:t>515</w:t>
            </w:r>
          </w:hyperlink>
        </w:p>
        <w:p>
          <w:pPr>
            <w:pStyle w:val="Contents4"/>
            <w:tabs>
              <w:tab w:val="clear" w:pos="8176"/>
              <w:tab w:val="right" w:pos="9026" w:leader="dot"/>
            </w:tabs>
            <w:rPr/>
          </w:pPr>
          <w:hyperlink w:anchor="__RefHeading___Toc1851714_2142443653">
            <w:r>
              <w:rPr>
                <w:webHidden/>
                <w:rStyle w:val="IndexLink"/>
                <w:rtl w:val="true"/>
              </w:rPr>
              <w:t>استثناء تظلّم المظلوم</w:t>
            </w:r>
            <w:r>
              <w:rPr>
                <w:rStyle w:val="IndexLink"/>
                <w:rtl w:val="true"/>
              </w:rPr>
              <w:tab/>
            </w:r>
            <w:r>
              <w:rPr>
                <w:rStyle w:val="IndexLink"/>
              </w:rPr>
              <w:t>518</w:t>
            </w:r>
          </w:hyperlink>
        </w:p>
        <w:p>
          <w:pPr>
            <w:pStyle w:val="Contents4"/>
            <w:tabs>
              <w:tab w:val="clear" w:pos="8176"/>
              <w:tab w:val="right" w:pos="9026" w:leader="dot"/>
            </w:tabs>
            <w:rPr/>
          </w:pPr>
          <w:hyperlink w:anchor="__RefHeading___Toc1851716_2142443653">
            <w:r>
              <w:rPr>
                <w:webHidden/>
                <w:rStyle w:val="IndexLink"/>
                <w:rtl w:val="true"/>
              </w:rPr>
              <w:t>عدم استثناء غيبة تارك الأولى</w:t>
            </w:r>
            <w:r>
              <w:rPr>
                <w:rStyle w:val="IndexLink"/>
                <w:rtl w:val="true"/>
              </w:rPr>
              <w:tab/>
            </w:r>
            <w:r>
              <w:rPr>
                <w:rStyle w:val="IndexLink"/>
              </w:rPr>
              <w:t>525</w:t>
            </w:r>
          </w:hyperlink>
        </w:p>
        <w:p>
          <w:pPr>
            <w:pStyle w:val="Contents4"/>
            <w:tabs>
              <w:tab w:val="clear" w:pos="8176"/>
              <w:tab w:val="right" w:pos="9026" w:leader="dot"/>
            </w:tabs>
            <w:rPr/>
          </w:pPr>
          <w:hyperlink w:anchor="__RefHeading___Toc1851718_2142443653">
            <w:r>
              <w:rPr>
                <w:webHidden/>
                <w:rStyle w:val="IndexLink"/>
                <w:rtl w:val="true"/>
              </w:rPr>
              <w:t>الثاني</w:t>
            </w:r>
            <w:r>
              <w:rPr>
                <w:rStyle w:val="IndexLink"/>
                <w:rtl w:val="true"/>
              </w:rPr>
              <w:t xml:space="preserve">: </w:t>
            </w:r>
            <w:r>
              <w:rPr>
                <w:rStyle w:val="IndexLink"/>
                <w:rtl w:val="true"/>
              </w:rPr>
              <w:t>فيما لا يكون من قبيل الاستثناء بل كان من باب التزاحم</w:t>
            </w:r>
            <w:r>
              <w:rPr>
                <w:rStyle w:val="IndexLink"/>
                <w:rtl w:val="true"/>
              </w:rPr>
              <w:tab/>
            </w:r>
            <w:r>
              <w:rPr>
                <w:rStyle w:val="IndexLink"/>
              </w:rPr>
              <w:t>529</w:t>
            </w:r>
          </w:hyperlink>
        </w:p>
        <w:p>
          <w:pPr>
            <w:pStyle w:val="Contents4"/>
            <w:tabs>
              <w:tab w:val="clear" w:pos="8176"/>
              <w:tab w:val="right" w:pos="9026" w:leader="dot"/>
            </w:tabs>
            <w:rPr/>
          </w:pPr>
          <w:hyperlink w:anchor="__RefHeading___Toc1851720_2142443653">
            <w:r>
              <w:rPr>
                <w:webHidden/>
                <w:rStyle w:val="IndexLink"/>
                <w:rtl w:val="true"/>
              </w:rPr>
              <w:t>جواز الغيبة في نصح المستشير</w:t>
            </w:r>
            <w:r>
              <w:rPr>
                <w:rStyle w:val="IndexLink"/>
                <w:rtl w:val="true"/>
              </w:rPr>
              <w:tab/>
            </w:r>
            <w:r>
              <w:rPr>
                <w:rStyle w:val="IndexLink"/>
              </w:rPr>
              <w:t>530</w:t>
            </w:r>
          </w:hyperlink>
        </w:p>
        <w:p>
          <w:pPr>
            <w:pStyle w:val="Contents4"/>
            <w:tabs>
              <w:tab w:val="clear" w:pos="8176"/>
              <w:tab w:val="right" w:pos="9026" w:leader="dot"/>
            </w:tabs>
            <w:rPr/>
          </w:pPr>
          <w:hyperlink w:anchor="__RefHeading___Toc1851722_2142443653">
            <w:r>
              <w:rPr>
                <w:webHidden/>
                <w:rStyle w:val="IndexLink"/>
                <w:rtl w:val="true"/>
              </w:rPr>
              <w:t>في وجوب نصح المستشير</w:t>
            </w:r>
            <w:r>
              <w:rPr>
                <w:rStyle w:val="IndexLink"/>
                <w:rtl w:val="true"/>
              </w:rPr>
              <w:tab/>
            </w:r>
            <w:r>
              <w:rPr>
                <w:rStyle w:val="IndexLink"/>
              </w:rPr>
              <w:t>532</w:t>
            </w:r>
          </w:hyperlink>
        </w:p>
        <w:p>
          <w:pPr>
            <w:pStyle w:val="Contents4"/>
            <w:tabs>
              <w:tab w:val="clear" w:pos="8176"/>
              <w:tab w:val="right" w:pos="9026" w:leader="dot"/>
            </w:tabs>
            <w:rPr/>
          </w:pPr>
          <w:hyperlink w:anchor="__RefHeading___Toc1851724_2142443653">
            <w:r>
              <w:rPr>
                <w:webHidden/>
                <w:rStyle w:val="IndexLink"/>
                <w:rtl w:val="true"/>
              </w:rPr>
              <w:t>الأمر الثالث حرمة استماع الغيبة</w:t>
            </w:r>
            <w:r>
              <w:rPr>
                <w:rStyle w:val="IndexLink"/>
                <w:rtl w:val="true"/>
              </w:rPr>
              <w:tab/>
            </w:r>
            <w:r>
              <w:rPr>
                <w:rStyle w:val="IndexLink"/>
              </w:rPr>
              <w:t>535</w:t>
            </w:r>
          </w:hyperlink>
        </w:p>
        <w:p>
          <w:pPr>
            <w:pStyle w:val="Contents4"/>
            <w:tabs>
              <w:tab w:val="clear" w:pos="8176"/>
              <w:tab w:val="right" w:pos="9026" w:leader="dot"/>
            </w:tabs>
            <w:rPr/>
          </w:pPr>
          <w:hyperlink w:anchor="__RefHeading___Toc1851726_2142443653">
            <w:r>
              <w:rPr>
                <w:webHidden/>
                <w:rStyle w:val="IndexLink"/>
                <w:rtl w:val="true"/>
              </w:rPr>
              <w:t>حول كلام المحقّق الشيرازي في المقام</w:t>
            </w:r>
            <w:r>
              <w:rPr>
                <w:rStyle w:val="IndexLink"/>
                <w:rtl w:val="true"/>
              </w:rPr>
              <w:tab/>
            </w:r>
            <w:r>
              <w:rPr>
                <w:rStyle w:val="IndexLink"/>
              </w:rPr>
              <w:t>541</w:t>
            </w:r>
          </w:hyperlink>
        </w:p>
        <w:p>
          <w:pPr>
            <w:pStyle w:val="Contents4"/>
            <w:tabs>
              <w:tab w:val="clear" w:pos="8176"/>
              <w:tab w:val="right" w:pos="9026" w:leader="dot"/>
            </w:tabs>
            <w:rPr/>
          </w:pPr>
          <w:hyperlink w:anchor="__RefHeading___Toc1851728_2142443653">
            <w:r>
              <w:rPr>
                <w:webHidden/>
                <w:rStyle w:val="IndexLink"/>
                <w:rtl w:val="true"/>
              </w:rPr>
              <w:t>في كون استماع الغيبة من الكبائر</w:t>
            </w:r>
            <w:r>
              <w:rPr>
                <w:rStyle w:val="IndexLink"/>
                <w:rtl w:val="true"/>
              </w:rPr>
              <w:tab/>
            </w:r>
            <w:r>
              <w:rPr>
                <w:rStyle w:val="IndexLink"/>
              </w:rPr>
              <w:t>543</w:t>
            </w:r>
          </w:hyperlink>
        </w:p>
        <w:p>
          <w:pPr>
            <w:pStyle w:val="Contents4"/>
            <w:tabs>
              <w:tab w:val="clear" w:pos="8176"/>
              <w:tab w:val="right" w:pos="9026" w:leader="dot"/>
            </w:tabs>
            <w:rPr/>
          </w:pPr>
          <w:hyperlink w:anchor="__RefHeading___Toc1851730_2142443653">
            <w:r>
              <w:rPr>
                <w:webHidden/>
                <w:rStyle w:val="IndexLink"/>
                <w:rtl w:val="true"/>
              </w:rPr>
              <w:t>في تبعية حرمة الاستماع لحرمة الغيبة</w:t>
            </w:r>
            <w:r>
              <w:rPr>
                <w:rStyle w:val="IndexLink"/>
                <w:rtl w:val="true"/>
              </w:rPr>
              <w:tab/>
            </w:r>
            <w:r>
              <w:rPr>
                <w:rStyle w:val="IndexLink"/>
              </w:rPr>
              <w:t>548</w:t>
            </w:r>
          </w:hyperlink>
        </w:p>
        <w:p>
          <w:pPr>
            <w:pStyle w:val="Contents4"/>
            <w:tabs>
              <w:tab w:val="clear" w:pos="8176"/>
              <w:tab w:val="right" w:pos="9026" w:leader="dot"/>
            </w:tabs>
            <w:rPr/>
          </w:pPr>
          <w:hyperlink w:anchor="__RefHeading___Toc1851732_2142443653">
            <w:r>
              <w:rPr>
                <w:webHidden/>
                <w:rStyle w:val="IndexLink"/>
                <w:rtl w:val="true"/>
              </w:rPr>
              <w:t>حكم ما لو شكّ في أنّ الاغتياب كان على وجه الحلال أو الحرام</w:t>
            </w:r>
            <w:r>
              <w:rPr>
                <w:rStyle w:val="IndexLink"/>
                <w:rtl w:val="true"/>
              </w:rPr>
              <w:tab/>
            </w:r>
            <w:r>
              <w:rPr>
                <w:rStyle w:val="IndexLink"/>
              </w:rPr>
              <w:t>553</w:t>
            </w:r>
          </w:hyperlink>
        </w:p>
        <w:p>
          <w:pPr>
            <w:pStyle w:val="Contents4"/>
            <w:tabs>
              <w:tab w:val="clear" w:pos="8176"/>
              <w:tab w:val="right" w:pos="9026" w:leader="dot"/>
            </w:tabs>
            <w:rPr/>
          </w:pPr>
          <w:hyperlink w:anchor="__RefHeading___Toc1851734_2142443653">
            <w:r>
              <w:rPr>
                <w:webHidden/>
                <w:rStyle w:val="IndexLink"/>
                <w:rtl w:val="true"/>
              </w:rPr>
              <w:t>حول جريان أصالة الصحّة في المقام</w:t>
            </w:r>
            <w:r>
              <w:rPr>
                <w:rStyle w:val="IndexLink"/>
                <w:rtl w:val="true"/>
              </w:rPr>
              <w:tab/>
            </w:r>
            <w:r>
              <w:rPr>
                <w:rStyle w:val="IndexLink"/>
              </w:rPr>
              <w:t>554</w:t>
            </w:r>
          </w:hyperlink>
        </w:p>
        <w:p>
          <w:pPr>
            <w:pStyle w:val="Contents4"/>
            <w:tabs>
              <w:tab w:val="clear" w:pos="8176"/>
              <w:tab w:val="right" w:pos="9026" w:leader="dot"/>
            </w:tabs>
            <w:rPr/>
          </w:pPr>
          <w:hyperlink w:anchor="__RefHeading___Toc1851736_2142443653">
            <w:r>
              <w:rPr>
                <w:webHidden/>
                <w:rStyle w:val="IndexLink"/>
                <w:rtl w:val="true"/>
              </w:rPr>
              <w:t>حول جريان الاستصحاب الموضوعي</w:t>
            </w:r>
            <w:r>
              <w:rPr>
                <w:rStyle w:val="IndexLink"/>
                <w:rtl w:val="true"/>
              </w:rPr>
              <w:tab/>
            </w:r>
            <w:r>
              <w:rPr>
                <w:rStyle w:val="IndexLink"/>
              </w:rPr>
              <w:t>560</w:t>
            </w:r>
          </w:hyperlink>
        </w:p>
        <w:p>
          <w:pPr>
            <w:pStyle w:val="Contents4"/>
            <w:tabs>
              <w:tab w:val="clear" w:pos="8176"/>
              <w:tab w:val="right" w:pos="9026" w:leader="dot"/>
            </w:tabs>
            <w:rPr/>
          </w:pPr>
          <w:hyperlink w:anchor="__RefHeading___Toc1851738_2142443653">
            <w:r>
              <w:rPr>
                <w:webHidden/>
                <w:rStyle w:val="IndexLink"/>
                <w:rtl w:val="true"/>
              </w:rPr>
              <w:t>الروايات الواردة في المقام</w:t>
            </w:r>
            <w:r>
              <w:rPr>
                <w:rStyle w:val="IndexLink"/>
                <w:rtl w:val="true"/>
              </w:rPr>
              <w:tab/>
            </w:r>
            <w:r>
              <w:rPr>
                <w:rStyle w:val="IndexLink"/>
              </w:rPr>
              <w:t>562</w:t>
            </w:r>
          </w:hyperlink>
        </w:p>
        <w:p>
          <w:pPr>
            <w:pStyle w:val="Contents4"/>
            <w:tabs>
              <w:tab w:val="clear" w:pos="8176"/>
              <w:tab w:val="right" w:pos="9026" w:leader="dot"/>
            </w:tabs>
            <w:rPr/>
          </w:pPr>
          <w:hyperlink w:anchor="__RefHeading___Toc1851740_2142443653">
            <w:r>
              <w:rPr>
                <w:webHidden/>
                <w:rStyle w:val="IndexLink"/>
                <w:rtl w:val="true"/>
              </w:rPr>
              <w:t>في مقتضى إطلاق الأدلّة</w:t>
            </w:r>
            <w:r>
              <w:rPr>
                <w:rStyle w:val="IndexLink"/>
                <w:rtl w:val="true"/>
              </w:rPr>
              <w:tab/>
            </w:r>
            <w:r>
              <w:rPr>
                <w:rStyle w:val="IndexLink"/>
              </w:rPr>
              <w:t>568</w:t>
            </w:r>
          </w:hyperlink>
        </w:p>
        <w:p>
          <w:pPr>
            <w:pStyle w:val="Contents4"/>
            <w:tabs>
              <w:tab w:val="clear" w:pos="8176"/>
              <w:tab w:val="right" w:pos="9026" w:leader="dot"/>
            </w:tabs>
            <w:rPr/>
          </w:pPr>
          <w:hyperlink w:anchor="__RefHeading___Toc1851742_2142443653">
            <w:r>
              <w:rPr>
                <w:webHidden/>
                <w:rStyle w:val="IndexLink"/>
                <w:rtl w:val="true"/>
              </w:rPr>
              <w:t>الأمر الرابع في كفّارة الغيبة</w:t>
            </w:r>
            <w:r>
              <w:rPr>
                <w:rStyle w:val="IndexLink"/>
                <w:rtl w:val="true"/>
              </w:rPr>
              <w:tab/>
            </w:r>
            <w:r>
              <w:rPr>
                <w:rStyle w:val="IndexLink"/>
              </w:rPr>
              <w:t>572</w:t>
            </w:r>
          </w:hyperlink>
        </w:p>
        <w:p>
          <w:pPr>
            <w:pStyle w:val="Contents4"/>
            <w:tabs>
              <w:tab w:val="clear" w:pos="8176"/>
              <w:tab w:val="right" w:pos="9026" w:leader="dot"/>
            </w:tabs>
            <w:rPr/>
          </w:pPr>
          <w:hyperlink w:anchor="__RefHeading___Toc1851744_2142443653">
            <w:r>
              <w:rPr>
                <w:webHidden/>
                <w:rStyle w:val="IndexLink"/>
                <w:rtl w:val="true"/>
              </w:rPr>
              <w:t>مقتضى الأخبار</w:t>
            </w:r>
            <w:r>
              <w:rPr>
                <w:rStyle w:val="IndexLink"/>
                <w:rtl w:val="true"/>
              </w:rPr>
              <w:tab/>
            </w:r>
            <w:r>
              <w:rPr>
                <w:rStyle w:val="IndexLink"/>
              </w:rPr>
              <w:t>575</w:t>
            </w:r>
          </w:hyperlink>
        </w:p>
        <w:p>
          <w:pPr>
            <w:pStyle w:val="Contents3"/>
            <w:tabs>
              <w:tab w:val="clear" w:pos="8459"/>
              <w:tab w:val="right" w:pos="9026" w:leader="dot"/>
            </w:tabs>
            <w:rPr/>
          </w:pPr>
          <w:hyperlink w:anchor="__RefHeading___Toc1851746_2142443653">
            <w:r>
              <w:rPr>
                <w:webHidden/>
                <w:rStyle w:val="IndexLink"/>
                <w:rtl w:val="true"/>
              </w:rPr>
              <w:t>الفهارس العامّة</w:t>
            </w:r>
            <w:r>
              <w:rPr>
                <w:rStyle w:val="IndexLink"/>
                <w:rtl w:val="true"/>
              </w:rPr>
              <w:tab/>
            </w:r>
            <w:r>
              <w:rPr>
                <w:rStyle w:val="IndexLink"/>
              </w:rPr>
              <w:t>585</w:t>
            </w:r>
          </w:hyperlink>
        </w:p>
        <w:p>
          <w:pPr>
            <w:pStyle w:val="Contents4"/>
            <w:tabs>
              <w:tab w:val="clear" w:pos="8176"/>
              <w:tab w:val="right" w:pos="9026" w:leader="dot"/>
            </w:tabs>
            <w:rPr/>
          </w:pPr>
          <w:hyperlink w:anchor="__RefHeading___Toc1851748_2142443653">
            <w:r>
              <w:rPr>
                <w:webHidden/>
                <w:rStyle w:val="IndexLink"/>
                <w:rtl w:val="true"/>
              </w:rPr>
              <w:t>اشارة</w:t>
            </w:r>
            <w:r>
              <w:rPr>
                <w:rStyle w:val="IndexLink"/>
                <w:rtl w:val="true"/>
              </w:rPr>
              <w:tab/>
            </w:r>
            <w:r>
              <w:rPr>
                <w:rStyle w:val="IndexLink"/>
              </w:rPr>
              <w:t>585</w:t>
            </w:r>
          </w:hyperlink>
        </w:p>
        <w:p>
          <w:pPr>
            <w:pStyle w:val="Contents4"/>
            <w:tabs>
              <w:tab w:val="clear" w:pos="8176"/>
              <w:tab w:val="right" w:pos="9026" w:leader="dot"/>
            </w:tabs>
            <w:rPr/>
          </w:pPr>
          <w:hyperlink w:anchor="__RefHeading___Toc1851750_2142443653">
            <w:r>
              <w:rPr>
                <w:webHidden/>
                <w:rStyle w:val="IndexLink"/>
              </w:rPr>
              <w:t>1</w:t>
            </w:r>
            <w:r>
              <w:rPr>
                <w:rStyle w:val="IndexLink"/>
                <w:rtl w:val="true"/>
              </w:rPr>
              <w:t xml:space="preserve"> - </w:t>
            </w:r>
            <w:r>
              <w:rPr>
                <w:rStyle w:val="IndexLink"/>
                <w:rtl w:val="true"/>
              </w:rPr>
              <w:t>فهرس الآيات الكريمة</w:t>
            </w:r>
            <w:r>
              <w:rPr>
                <w:rStyle w:val="IndexLink"/>
                <w:rtl w:val="true"/>
              </w:rPr>
              <w:tab/>
            </w:r>
            <w:r>
              <w:rPr>
                <w:rStyle w:val="IndexLink"/>
              </w:rPr>
              <w:t>587</w:t>
            </w:r>
          </w:hyperlink>
        </w:p>
        <w:p>
          <w:pPr>
            <w:pStyle w:val="Contents4"/>
            <w:tabs>
              <w:tab w:val="clear" w:pos="8176"/>
              <w:tab w:val="right" w:pos="9026" w:leader="dot"/>
            </w:tabs>
            <w:rPr/>
          </w:pPr>
          <w:hyperlink w:anchor="__RefHeading___Toc1851752_2142443653">
            <w:r>
              <w:rPr>
                <w:webHidden/>
                <w:rStyle w:val="IndexLink"/>
              </w:rPr>
              <w:t>2</w:t>
            </w:r>
            <w:r>
              <w:rPr>
                <w:rStyle w:val="IndexLink"/>
                <w:rtl w:val="true"/>
              </w:rPr>
              <w:t xml:space="preserve"> - </w:t>
            </w:r>
            <w:r>
              <w:rPr>
                <w:rStyle w:val="IndexLink"/>
                <w:rtl w:val="true"/>
              </w:rPr>
              <w:t>فهرس الأحاديث الشريفة</w:t>
            </w:r>
            <w:r>
              <w:rPr>
                <w:rStyle w:val="IndexLink"/>
                <w:rtl w:val="true"/>
              </w:rPr>
              <w:tab/>
            </w:r>
            <w:r>
              <w:rPr>
                <w:rStyle w:val="IndexLink"/>
              </w:rPr>
              <w:t>597</w:t>
            </w:r>
          </w:hyperlink>
        </w:p>
        <w:p>
          <w:pPr>
            <w:pStyle w:val="Contents4"/>
            <w:tabs>
              <w:tab w:val="clear" w:pos="8176"/>
              <w:tab w:val="right" w:pos="9026" w:leader="dot"/>
            </w:tabs>
            <w:rPr/>
          </w:pPr>
          <w:hyperlink w:anchor="__RefHeading___Toc1851754_2142443653">
            <w:r>
              <w:rPr>
                <w:webHidden/>
                <w:rStyle w:val="IndexLink"/>
              </w:rPr>
              <w:t>3</w:t>
            </w:r>
            <w:r>
              <w:rPr>
                <w:rStyle w:val="IndexLink"/>
                <w:rtl w:val="true"/>
              </w:rPr>
              <w:t xml:space="preserve"> - </w:t>
            </w:r>
            <w:r>
              <w:rPr>
                <w:rStyle w:val="IndexLink"/>
                <w:rtl w:val="true"/>
              </w:rPr>
              <w:t>فهرس أسماء المعصومين علیهم السلام</w:t>
            </w:r>
            <w:r>
              <w:rPr>
                <w:rStyle w:val="IndexLink"/>
                <w:rtl w:val="true"/>
              </w:rPr>
              <w:tab/>
            </w:r>
            <w:r>
              <w:rPr>
                <w:rStyle w:val="IndexLink"/>
              </w:rPr>
              <w:t>617</w:t>
            </w:r>
          </w:hyperlink>
        </w:p>
        <w:p>
          <w:pPr>
            <w:pStyle w:val="Contents4"/>
            <w:tabs>
              <w:tab w:val="clear" w:pos="8176"/>
              <w:tab w:val="right" w:pos="9026" w:leader="dot"/>
            </w:tabs>
            <w:rPr/>
          </w:pPr>
          <w:hyperlink w:anchor="__RefHeading___Toc1851756_2142443653">
            <w:r>
              <w:rPr>
                <w:webHidden/>
                <w:rStyle w:val="IndexLink"/>
              </w:rPr>
              <w:t>4</w:t>
            </w:r>
            <w:r>
              <w:rPr>
                <w:rStyle w:val="IndexLink"/>
                <w:rtl w:val="true"/>
              </w:rPr>
              <w:t xml:space="preserve"> - </w:t>
            </w:r>
            <w:r>
              <w:rPr>
                <w:rStyle w:val="IndexLink"/>
                <w:rtl w:val="true"/>
              </w:rPr>
              <w:t>فهرس الأعلام</w:t>
            </w:r>
            <w:r>
              <w:rPr>
                <w:rStyle w:val="IndexLink"/>
                <w:rtl w:val="true"/>
              </w:rPr>
              <w:tab/>
            </w:r>
            <w:r>
              <w:rPr>
                <w:rStyle w:val="IndexLink"/>
              </w:rPr>
              <w:t>621</w:t>
            </w:r>
          </w:hyperlink>
        </w:p>
        <w:p>
          <w:pPr>
            <w:pStyle w:val="Contents4"/>
            <w:tabs>
              <w:tab w:val="clear" w:pos="8176"/>
              <w:tab w:val="right" w:pos="9026" w:leader="dot"/>
            </w:tabs>
            <w:rPr/>
          </w:pPr>
          <w:hyperlink w:anchor="__RefHeading___Toc1851758_2142443653">
            <w:r>
              <w:rPr>
                <w:webHidden/>
                <w:rStyle w:val="IndexLink"/>
              </w:rPr>
              <w:t>5</w:t>
            </w:r>
            <w:r>
              <w:rPr>
                <w:rStyle w:val="IndexLink"/>
                <w:rtl w:val="true"/>
              </w:rPr>
              <w:t xml:space="preserve"> - </w:t>
            </w:r>
            <w:r>
              <w:rPr>
                <w:rStyle w:val="IndexLink"/>
                <w:rtl w:val="true"/>
              </w:rPr>
              <w:t>فهرس الكتب الواردة في المتن</w:t>
            </w:r>
            <w:r>
              <w:rPr>
                <w:rStyle w:val="IndexLink"/>
                <w:rtl w:val="true"/>
              </w:rPr>
              <w:tab/>
            </w:r>
            <w:r>
              <w:rPr>
                <w:rStyle w:val="IndexLink"/>
              </w:rPr>
              <w:t>644</w:t>
            </w:r>
          </w:hyperlink>
        </w:p>
        <w:p>
          <w:pPr>
            <w:pStyle w:val="Contents4"/>
            <w:tabs>
              <w:tab w:val="clear" w:pos="8176"/>
              <w:tab w:val="right" w:pos="9026" w:leader="dot"/>
            </w:tabs>
            <w:rPr/>
          </w:pPr>
          <w:hyperlink w:anchor="__RefHeading___Toc1851760_2142443653">
            <w:r>
              <w:rPr>
                <w:webHidden/>
                <w:rStyle w:val="IndexLink"/>
              </w:rPr>
              <w:t>6</w:t>
            </w:r>
            <w:r>
              <w:rPr>
                <w:rStyle w:val="IndexLink"/>
                <w:rtl w:val="true"/>
              </w:rPr>
              <w:t xml:space="preserve"> - </w:t>
            </w:r>
            <w:r>
              <w:rPr>
                <w:rStyle w:val="IndexLink"/>
                <w:rtl w:val="true"/>
              </w:rPr>
              <w:t>فهرس مصادر التحقيق</w:t>
            </w:r>
            <w:r>
              <w:rPr>
                <w:rStyle w:val="IndexLink"/>
                <w:rtl w:val="true"/>
              </w:rPr>
              <w:tab/>
            </w:r>
            <w:r>
              <w:rPr>
                <w:rStyle w:val="IndexLink"/>
              </w:rPr>
              <w:t>653</w:t>
            </w:r>
          </w:hyperlink>
        </w:p>
        <w:p>
          <w:pPr>
            <w:pStyle w:val="Contents4"/>
            <w:tabs>
              <w:tab w:val="clear" w:pos="8176"/>
              <w:tab w:val="right" w:pos="9026" w:leader="dot"/>
            </w:tabs>
            <w:rPr/>
          </w:pPr>
          <w:hyperlink w:anchor="__RefHeading___Toc1851762_2142443653">
            <w:r>
              <w:rPr>
                <w:webHidden/>
                <w:rStyle w:val="IndexLink"/>
              </w:rPr>
              <w:t>7</w:t>
            </w:r>
            <w:r>
              <w:rPr>
                <w:rStyle w:val="IndexLink"/>
                <w:rtl w:val="true"/>
              </w:rPr>
              <w:t xml:space="preserve"> - </w:t>
            </w:r>
            <w:r>
              <w:rPr>
                <w:rStyle w:val="IndexLink"/>
                <w:rtl w:val="true"/>
              </w:rPr>
              <w:t>فهرس الموضوعات</w:t>
            </w:r>
            <w:r>
              <w:rPr>
                <w:rStyle w:val="IndexLink"/>
                <w:rtl w:val="true"/>
              </w:rPr>
              <w:tab/>
            </w:r>
            <w:r>
              <w:rPr>
                <w:rStyle w:val="IndexLink"/>
              </w:rPr>
              <w:t>673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55_206732"/>
      <w:bookmarkStart w:id="1" w:name="pg15155_206732"/>
      <w:bookmarkEnd w:id="1"/>
    </w:p>
    <w:p>
      <w:pPr>
        <w:pStyle w:val="Heading2"/>
        <w:numPr>
          <w:ilvl w:val="1"/>
          <w:numId w:val="1"/>
        </w:numPr>
        <w:rPr/>
      </w:pPr>
      <w:bookmarkStart w:id="2" w:name="pg15155_206732"/>
      <w:bookmarkStart w:id="3" w:name="__RefHeading___Toc1851420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المحرمة المجلد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روح‌الله الامام الخمیني قدس 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مواصفات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تنظیم و نشر آثارالامام الخمیني قدس سرة،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الخمیني قدس سرة</w:t>
      </w:r>
    </w:p>
    <w:p>
      <w:pPr>
        <w:pStyle w:val="BookText"/>
        <w:rPr/>
      </w:pPr>
      <w:r>
        <w:rPr>
          <w:rFonts w:eastAsia="Times New Roman" w:cs="Times New Roman" w:ascii="Times New Roman" w:hAnsi="Times New Roman"/>
          <w:color w:val="111111"/>
          <w:sz w:val="28"/>
          <w:szCs w:val="28"/>
          <w:lang w:val="en-US" w:bidi="en-US"/>
        </w:rPr>
        <w:t>ISBN: 9789642123568</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روح الله، قائد الثورة ومؤسس جمهورية إيران الإسلامية،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والأحكام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الإمام الخميني للتحرير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تصنيف ديوي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 xml:space="preserve">رقم الببليوغرافيا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3421059</w:t>
      </w:r>
    </w:p>
    <w:p>
      <w:pPr>
        <w:pStyle w:val="BookText"/>
        <w:rPr/>
      </w:pPr>
      <w:r>
        <w:rPr>
          <w:rFonts w:ascii="Amiri" w:hAnsi="Amiri" w:eastAsia="Amiri" w:cs="Amiri"/>
          <w:color w:val="111111"/>
          <w:sz w:val="28"/>
          <w:sz w:val="28"/>
          <w:szCs w:val="28"/>
          <w:rtl w:val="true"/>
          <w:lang w:bidi="ar-SA"/>
        </w:rPr>
        <w:t>عنوان الإنترنت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https://www.icpikw.ir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51422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55_206736"/>
      <w:bookmarkStart w:id="8" w:name="pg15155_206736"/>
      <w:bookmarkEnd w:id="8"/>
    </w:p>
    <w:p>
      <w:pPr>
        <w:pStyle w:val="Heading2"/>
        <w:numPr>
          <w:ilvl w:val="1"/>
          <w:numId w:val="1"/>
        </w:numPr>
        <w:rPr/>
      </w:pPr>
      <w:bookmarkStart w:id="9" w:name="pg15155_206736"/>
      <w:bookmarkStart w:id="10" w:name="__RefHeading___Toc1851424_2142443653"/>
      <w:bookmarkStart w:id="11" w:name="_Toc3"/>
      <w:bookmarkEnd w:id="9"/>
      <w:bookmarkEnd w:id="10"/>
      <w:r>
        <w:rPr>
          <w:rtl w:val="true"/>
        </w:rPr>
        <w:t>مقدّمة التحقيق</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حصيلة تدريس الإمام الخميني قدّس سرّه للفقه على مستوى ما يسمّى بالخارج في الحوزة العلمية، بقم المقدّسة، من عام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إلى عام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بعد إكمال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البحث حول المكاسب المحرّمة وإن كان مطروحاً في 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تأليفات الفقهاء، ولكنّه لا يختصّ بالبيع المحرّم، بل يشمل عامّة المعاملات المحرّمة حرمةً تكليفية ومن هذا المنظار يعتبر هذا البحث من الأبحاث الخطيرة في الفقه، ومن خلاله يتعرّض الفقهاء للبحث عن محرّماتٍ شرعية اُخرى لا صلة لها بالمعاملات إلاّ قليلاً كالغيبة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ألّف اُستاذ الفقهاء والمجتهدين والعلاّمة المرحوم الشيخ مرتضى الأنصاري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 هذه الأبحاث بصورة تفصيلية، صار هذا الكتاب محوراً رئيسيّاً للتدريس والتحقيق، وكتَب الفقهاء من بعده تعليقات وشروحاً على كتابه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الخميني قدّس سرّه فلم ينظّم كشرح ولا </w:t>
      </w:r>
    </w:p>
    <w:p>
      <w:pPr>
        <w:pStyle w:val="BookText"/>
        <w:rPr/>
      </w:pPr>
      <w:r>
        <w:rPr>
          <w:rFonts w:ascii="Amiri" w:hAnsi="Amiri" w:eastAsia="Amiri" w:cs="Amiri"/>
          <w:color w:val="111111"/>
          <w:sz w:val="28"/>
          <w:sz w:val="28"/>
          <w:szCs w:val="28"/>
          <w:rtl w:val="true"/>
          <w:lang w:bidi="ar-SA"/>
        </w:rPr>
        <w:t>تعليقة لكتاب الشيخ الأعظم قدّس سرّه ولكنّه من حيث ترتيب الأبواب والفصول يحاكي تماماً نظيره في الاسم كما يتعرّض لأدلّة الشيخ والمحشّين على كتابه وما طرح كلّ منهم من النقد والإشكال، ولكنّ الإمام الخميني  قدّس سرّه  سلك مسلكاً مستقلاًّ في الدخول إلى المباحث والخروج منها وانتخاب الأدلّة بحيث لا يمكن التطرّق إلى كتاب الشيخ  قدّس سرّه وأبحاثه بالرجوع إلى هذا الكتاب، بل هناك صعوبات يواجهها كلّ من حاول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بعضاً من الأبحاث كالتنجيم والسحر لم يرد منه شيء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يمتاز به هذا الكتاب عن نظائره، اهتمام بالغ من الإمام  قدّس سرّه  بفقه الحديث وفهم الروايات ولذلك نشاهد كثيراً في المباحث إبداعاً للاحتمالات والبحث حولها والترجيح للمعنى المختار اعتماداً على الفهم العرفي واُسلوب الكلام وكذلك الجمع بين الأخبار المتعارضة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البحث في هذا الكتاب عن مسائل اُصولية وقواعد فقهيّة في مواضع اقتضت المناسبة ذاك الأمر 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العلم الإجمالي والاستصحاب، والسرّ في عدم التعارض بين أدلّة المندوبات والمحرّمات ورفع الإكراه والاضطرار، وفروعات من أصالة الصحّة وأصالة الحلّية، وقاعدة التقيّة، والملازمة بين حكم العقل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تأليف هذا الكتاب في الثامن من جمادى الاُولى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ونُشر لأوّل مرّة في عام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برعاية من المرحوم آية اللّه الشيخ مجتبى الطهراني  قدّس سرّه  من تلاميذ سماحته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نشرت مؤسّسة تنظيم ونشر آثار الإمام الخميني هذا الكتاب في عام </w:t>
      </w:r>
      <w:bookmarkStart w:id="12" w:name="pg15155_206738"/>
    </w:p>
    <w:p>
      <w:pPr>
        <w:pStyle w:val="BookText"/>
        <w:rPr/>
      </w:pPr>
      <w:bookmarkEnd w:id="12"/>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مع مقابلة بالنسخة المخطوطة الأصلية وتحقيق جديد إضافة إلى مصادر الأقوال والإتيان بالعناوين والتحرير والفهارس الفنية العديدة ومقدّمة مفصّلة حول منهج الإمام  قدّس سرّه الفقهي</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851426_2142443653"/>
      <w:bookmarkStart w:id="14" w:name="_Toc4"/>
      <w:bookmarkEnd w:id="13"/>
      <w:r>
        <w:rPr>
          <w:rtl w:val="true"/>
        </w:rPr>
        <w:t>منهجنا في التحقيق</w:t>
      </w:r>
      <w:bookmarkEnd w:id="14"/>
    </w:p>
    <w:p>
      <w:pPr>
        <w:pStyle w:val="BookText"/>
        <w:rPr/>
      </w:pPr>
      <w:r>
        <w:rPr>
          <w:rFonts w:ascii="Amiri" w:hAnsi="Amiri" w:eastAsia="Amiri" w:cs="Amiri"/>
          <w:color w:val="111111"/>
          <w:sz w:val="28"/>
          <w:sz w:val="28"/>
          <w:szCs w:val="28"/>
          <w:rtl w:val="true"/>
          <w:lang w:bidi="ar-SA"/>
        </w:rPr>
        <w:t>وما قمنا به في طريق تحقيق هذا الكتاب عبارة عن الاُمور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المقابلة بالنسخة الخطّية بقلم الإمام  قدّس سرّه  وهي النسخة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تخريج الآيات والأحاديث الواردة في هذا الكتاب من مصادرها الأصلية، وكان همّنا انطباق المصادر الحديثية مع ما في النسخة الخطّية التي كانت بخط الإمام الراحل قدر المستطاع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صورة الاختلاف كانت تلحظ الطبعات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القديمة والحديثة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النسخة الخطّية تطابق أيّ واحد من تلك الطبعات ذكرت تلك الطبعة أوّلاً واُشير إلى الطبعات الاُخرى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تخريج أقوال الفقهاء والعلماء الذين ذكرت أسماؤهم في أثناء الكتاب وأبحاثه ممّن اُشير إليهم بالصراحة، أو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مصادرها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وعبّرنا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لم نتمكّن من تحديد صاحب القول الأصلي، أو لم نعثر على القول في كتابه، أو لم يكن المنقول مطابقاً للموجود في الكتاب</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الإمام  قدّس سرّه  ربّما ذكر احتمالاً أو اعتراضاً، أو إشكالاً في بعض المواضع من البحث من دون أن يكون له قائل أو محتمل ظاهراً، وإنّما هو احتمال بدر إلى ذهنه الشريف، وجال في خاطره المبارك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تقويم نصّ الكتاب وتقطيع عباراته وجعل علائم الترقيم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مليئاً بالموضوعات الفقهية المتنوعة، وقد تعرّض الإمام لهذه الموضوعات تحت عنوان كلّي في الغالب، ولم يبوّبها أو لم يفتح لها عنواناً خاصّاً، لذلك سعينا إلى أن نضع لهذه الموضوعات عناوين مستقلّة بصورة أصلية أو فرعية، ولهذا فإنّ أكثر العناوين الموجودة في هذا الكتاب قد جُعلت من قبلنا من باب التيسير والتسهيل، وقد أضفناها إلى الكتاب اقتباساً من أبحاث الإمام المؤلّف الجليل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كانت طبعات بعض مصادر التحقيق مختلفة، لهذا عمدنا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ترتيب فهرس للمواضيع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فهرس لمصادر التحقيق مشيرين إلى طبعة تلك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المواضع التي كان سند الرواية في نصّ الكتاب ضعيفاً حسب نظر الإمام، أشرنا إلى سبب التضعيف بمراجعة الكتب الرجالية،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نقدّم الكتاب إلى المشتاقين مع تصحيح من جديد وإكمال وإصلاح للتحقيقات السابقة والإتيان بالمصادر وفقاً للطبعات الجديدة من الكتب ضمن موسوعة الإمام الخميني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ختاماً نتقدّم بالشكر الجزيل والثناء الجميل لجميع الأفاضل الذين ساهموا في هذا المشروع المبارك لنشر هذه الموسوعة ، ونسأل الباري أن يوفّقهم جميعاً ويثيبهم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وحسبنا اللّه ونعم الوكيل</w:t>
      </w:r>
    </w:p>
    <w:p>
      <w:pPr>
        <w:pStyle w:val="BookText"/>
        <w:rPr/>
      </w:pPr>
      <w:r>
        <w:rPr>
          <w:rFonts w:ascii="Amiri" w:hAnsi="Amiri" w:eastAsia="Amiri" w:cs="Amiri"/>
          <w:color w:val="111111"/>
          <w:sz w:val="28"/>
          <w:sz w:val="28"/>
          <w:szCs w:val="28"/>
          <w:rtl w:val="true"/>
          <w:lang w:bidi="ar-SA"/>
        </w:rPr>
        <w:t>مؤسّسة تنظيم ونشر آثار الإمام الخميني  قدّس سرّه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قم المقدّسة </w:t>
      </w:r>
      <w:bookmarkStart w:id="15" w:name="pg15155_206740"/>
    </w:p>
    <w:p>
      <w:pPr>
        <w:pStyle w:val="Heading2"/>
        <w:numPr>
          <w:ilvl w:val="1"/>
          <w:numId w:val="1"/>
        </w:numPr>
        <w:rPr/>
      </w:pPr>
      <w:bookmarkStart w:id="16" w:name="__RefHeading___Toc1851428_2142443653"/>
      <w:bookmarkStart w:id="17" w:name="_Toc5"/>
      <w:bookmarkEnd w:id="15"/>
      <w:bookmarkEnd w:id="16"/>
      <w:r>
        <w:rPr>
          <w:rtl w:val="true"/>
        </w:rPr>
        <w:t>مقدّمة بقلم آیة الله السیّد محمّد الهاشمي</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جعل الكمال كلَّه في التفقّه</w:t>
      </w:r>
    </w:p>
    <w:p>
      <w:pPr>
        <w:pStyle w:val="BookText"/>
        <w:rPr/>
      </w:pPr>
      <w:r>
        <w:rPr>
          <w:rFonts w:ascii="Amiri" w:hAnsi="Amiri" w:eastAsia="Amiri" w:cs="Amiri"/>
          <w:color w:val="111111"/>
          <w:sz w:val="28"/>
          <w:sz w:val="28"/>
          <w:szCs w:val="28"/>
          <w:rtl w:val="true"/>
          <w:lang w:bidi="ar-SA"/>
        </w:rPr>
        <w:t>في الدين، وجعل التفقّه في الدين طريقاً إلى امتثال</w:t>
      </w:r>
    </w:p>
    <w:p>
      <w:pPr>
        <w:pStyle w:val="BookText"/>
        <w:rPr/>
      </w:pPr>
      <w:r>
        <w:rPr>
          <w:rFonts w:ascii="Amiri" w:hAnsi="Amiri" w:eastAsia="Amiri" w:cs="Amiri"/>
          <w:color w:val="111111"/>
          <w:sz w:val="28"/>
          <w:sz w:val="28"/>
          <w:szCs w:val="28"/>
          <w:rtl w:val="true"/>
          <w:lang w:bidi="ar-SA"/>
        </w:rPr>
        <w:t>أوامره ونواهيه، ومفتاحاً للدخول إلى جنّة رضاه، ونيل مثوباته ومواعيده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الهادي إلى الطريقة المثلي، والمبشّر بالسعادة العظمى، الداعي إلى سبيل اللّه بالحكمة والموعظة الحسنة، وآله مصابيح الدجى، والحجج الواضحة لأهل الحجى،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فهذا الكتاب الفقهيّ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تآليف المرجع الديني آية اللّه العظمى الإمام السيّد روح اللّه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مفجّر الثورة الدينيّة المظفّرة، ومؤسّس الحكومة الإسلاميّة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 لّفه سماحته على نهج اُستاذ الفقهاء والمجتهدين، الشيخ الأعظم الشيخ مرتضى الأنصاري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إضافات نافعة، وتحقيقات رائعة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نستعرض منهج الكتاب واُسلوب مؤلّفه العظيم، ونقف على ما فيه من جهات القوّة والعمق ينبغي أن نسلّط الضوء على شخصية مؤلّفه الجليل، وأبرز الجوانب في حياته الفكرية والعلمية، جرياً على ما هو المتعارف في تقديم </w:t>
      </w:r>
      <w:bookmarkStart w:id="18" w:name="pg15155_206741"/>
    </w:p>
    <w:p>
      <w:pPr>
        <w:pStyle w:val="BookText"/>
        <w:rPr/>
      </w:pPr>
      <w:bookmarkEnd w:id="18"/>
      <w:r>
        <w:rPr>
          <w:rFonts w:ascii="IRNazanin" w:hAnsi="IRNazanin" w:eastAsia="IRNazanin"/>
          <w:color w:val="111111"/>
          <w:sz w:val="28"/>
          <w:sz w:val="28"/>
          <w:szCs w:val="28"/>
          <w:rtl w:val="true"/>
          <w:lang w:bidi="fa-IR"/>
        </w:rPr>
        <w:t>المؤ لّفات والكتب وإن كان  رحمه الله علیه  غنيّاً عن التعريف، مستغنياً عن التوصيف</w:t>
      </w:r>
      <w:r>
        <w:rPr>
          <w:rFonts w:eastAsia="IRNazanin" w:cs="IRNazanin"/>
          <w:color w:val="111111"/>
          <w:sz w:val="28"/>
          <w:szCs w:val="28"/>
          <w:rtl w:val="true"/>
          <w:lang w:bidi="fa-IR"/>
        </w:rPr>
        <w:t>.</w:t>
      </w:r>
    </w:p>
    <w:p>
      <w:pPr>
        <w:pStyle w:val="Heading2"/>
        <w:numPr>
          <w:ilvl w:val="1"/>
          <w:numId w:val="1"/>
        </w:numPr>
        <w:rPr/>
      </w:pPr>
      <w:bookmarkStart w:id="19" w:name="__RefHeading___Toc1851430_2142443653"/>
      <w:bookmarkStart w:id="20" w:name="_Toc6"/>
      <w:bookmarkEnd w:id="19"/>
      <w:r>
        <w:rPr>
          <w:rtl w:val="true"/>
        </w:rPr>
        <w:t>لمحاتٌ عن المؤلّف وحياته العلمية</w:t>
      </w:r>
      <w:bookmarkEnd w:id="20"/>
    </w:p>
    <w:p>
      <w:pPr>
        <w:pStyle w:val="BookText"/>
        <w:rPr/>
      </w:pPr>
      <w:r>
        <w:rPr>
          <w:rFonts w:ascii="Amiri" w:hAnsi="Amiri" w:eastAsia="Amiri" w:cs="Amiri"/>
          <w:color w:val="111111"/>
          <w:sz w:val="28"/>
          <w:sz w:val="28"/>
          <w:szCs w:val="28"/>
          <w:rtl w:val="true"/>
          <w:lang w:bidi="ar-SA"/>
        </w:rPr>
        <w:t xml:space="preserve">وُلِدَ الإمام الخميني  قدّس سرّه  في العشرين من شهر جمادي الثانية عام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ق،وتلقّى دروسه الابتدائية في العلوم الإسلامية، حتّى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 الدمشقية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مسقط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هاجر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وواصل دراسته العلمية هناك مدّة تقارب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وفي أعقاب هجرة آية اللّه العظمى الحائري اليزدي إلى مدينة قم المقدّسة هاجر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المدينة المقدّسة، وتلقّى السطوح على آية اللّه المرحوم الحاج السيّد محمّد تقي الخونساري، والقسم الأكبر منها على آية اللّه المرحوم السيّد علي اليثربي</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وتلقّى دروس الفلسفة والرياضيات على السيّد ميرزا علي أكبر اليزدي والسيّد أبو الحسن الرفيعي القزويني، وأخذ عمدة العلوم العرفانية والمعنوية على العارف الكامل المرحوم آية اللّه الميرزا محمّد علي شاه آبادي، وكان أكثر استفادته في مجال الدراسات العليا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يسمّى بالخارج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الفقه والاُصول من دروس آية اللّه العظمى الحائري اليزدي مؤسّس الحوزة العلمية بقم المقدّسة، وإن استفاد  قدّس سرّه  من علماء آخرين من الأساطين كالشيخ محمّد رضا مسجد شاهي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 مير محمّد صادق الأصفهاني وهو جدّ الشهيد المظلوم آية اللّه البهشتي  رحمه الله علیه </w:t>
      </w:r>
      <w:r>
        <w:rPr>
          <w:rFonts w:eastAsia="IRNazanin" w:cs="IRNazanin"/>
          <w:color w:val="111111"/>
          <w:sz w:val="28"/>
          <w:szCs w:val="28"/>
          <w:rtl w:val="true"/>
          <w:lang w:bidi="fa-IR"/>
        </w:rPr>
        <w:t xml:space="preserve">. </w:t>
      </w:r>
      <w:bookmarkStart w:id="21" w:name="pg15155_206742"/>
    </w:p>
    <w:p>
      <w:pPr>
        <w:pStyle w:val="BookText"/>
        <w:rPr/>
      </w:pPr>
      <w:bookmarkEnd w:id="21"/>
      <w:r>
        <w:rPr>
          <w:rFonts w:ascii="Amiri" w:hAnsi="Amiri" w:eastAsia="Amiri" w:cs="Amiri"/>
          <w:color w:val="111111"/>
          <w:sz w:val="28"/>
          <w:sz w:val="28"/>
          <w:szCs w:val="28"/>
          <w:rtl w:val="true"/>
          <w:lang w:bidi="ar-SA"/>
        </w:rPr>
        <w:t xml:space="preserve">وبعد رحيل المرحوم آية اللّه العظمى اليزدي مؤسّس الحوزة العلمية والتحاقه بالرفيق الأعلى وهجرة آية اللّه العظمى البروجردي إلى قم باستدعاء جماعة من الأعلام وفي طليعتهم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له حظّ كبير في هذا المجال، وكان سماحة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درس آية اللّه البروجردي ترويجاً له، ودعماً لمرجعيّته، وقد بدأ في نفس الوقت تدريس الفقه والاُصول على مستوى ما يسمّى حسب الاصطلاح الحوزوي بدرس الخارج، حيث استمرّ تدريسه هذا، وفي هذا المستوى إلى آخر يوم من أيّام إقامته في النجف الأشرف في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والجدير بالذكر أنّه كان لسماحته  رحمه الله علیه ، حلقة درس في الأخلاق كان يحضرها النخبة من أهل الفضل والعلم، وكان لهذا الدرس أثر كبير في تربية من كانوا يرتادونه ويواظبون عليه وهم كثير، وتهذيب نفوسهم</w:t>
      </w:r>
      <w:r>
        <w:rPr>
          <w:rFonts w:eastAsia="IRNazanin" w:cs="IRNazanin"/>
          <w:color w:val="111111"/>
          <w:sz w:val="28"/>
          <w:szCs w:val="28"/>
          <w:rtl w:val="true"/>
          <w:lang w:bidi="fa-IR"/>
        </w:rPr>
        <w:t>.</w:t>
      </w:r>
    </w:p>
    <w:p>
      <w:pPr>
        <w:pStyle w:val="Heading2"/>
        <w:numPr>
          <w:ilvl w:val="1"/>
          <w:numId w:val="1"/>
        </w:numPr>
        <w:rPr/>
      </w:pPr>
      <w:bookmarkStart w:id="22" w:name="__RefHeading___Toc1851432_2142443653"/>
      <w:bookmarkStart w:id="23" w:name="_Toc7"/>
      <w:bookmarkEnd w:id="22"/>
      <w:r>
        <w:rPr>
          <w:rtl w:val="true"/>
        </w:rPr>
        <w:t>مصنّفاته ورسائله</w:t>
      </w:r>
      <w:bookmarkEnd w:id="23"/>
    </w:p>
    <w:p>
      <w:pPr>
        <w:pStyle w:val="BookText"/>
        <w:rPr/>
      </w:pPr>
      <w:r>
        <w:rPr>
          <w:rFonts w:ascii="Amiri" w:hAnsi="Amiri" w:eastAsia="Amiri" w:cs="Amiri"/>
          <w:color w:val="111111"/>
          <w:sz w:val="28"/>
          <w:sz w:val="28"/>
          <w:szCs w:val="28"/>
          <w:rtl w:val="true"/>
          <w:lang w:bidi="ar-SA"/>
        </w:rPr>
        <w:t xml:space="preserve">إنّ لسماحة الإمام الراحل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 لّف هذا الكتاب القيّم والسفر الثمين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 لّفات قيّمة في موضوعات شتّى من الفقه والاُصول والفلسفة والعرفان والأخلاق، يزيّن ما طبع منها رفوف المكتبات العامّة والخاصّة وينتظر ما لم يطبع منها فرصة الظهور إلى عالم المطبوعات والكتب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هنا طائفة من تلكم المؤ لّفات مشيرين إلى بعض ما لها من خصوصيّات</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مجلّدات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خمسة مجلّدات، ولنا أن ندّعي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الأبحاث الواردة في هذا الكتاب تعتبر دائرة معارف في الأحكام الحقوقية الإسلامية، وأ نّه لم يكتب إلى الآن نظيرها في الدقّة والعمق، بالإضافة إلى التتبّع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الخَلَل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يضمّ رسائل في موضوعات متنوّعة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والاستصحاب، والتعادل والترجيح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على كفاية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جزءان وقد طبعتهما مؤسّسة تنظيم ونشر آثار الإمام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مجلّدان في مباحث الألفاظ من الاُصول وقد طبع المجلّدان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وتذييلات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تنظيم ونشر آثار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أصل هذا الكتاب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اللّه العظمى والمرجع الفقيد المرحوم السيّد أبو الحسن الأصفهاني، وقد علّق عليها الإمام  قدّس سرّه  ثمّ جمع بين المتن والتعليقة وأضاف إليها الكتب والأبواب التي لم تكن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ككتاب الحجّ والجهاد والأمر بالمعروف والنهي عن المنكر، والحدود والقصاص والديات، وكان ذلك أثناء إقامته في منفاه بتركية، حيث اُقصي إليها من وطنه ظلماً من قبل الطاغوت المباد</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تقريرات لأبحاثه العليا في الاُصول من أوّله إلى آخره</w:t>
      </w:r>
      <w:r>
        <w:rPr>
          <w:rFonts w:eastAsia="Amiri" w:cs="Amiri" w:ascii="Amiri" w:hAnsi="Amiri"/>
          <w:color w:val="111111"/>
          <w:sz w:val="28"/>
          <w:szCs w:val="28"/>
          <w:rtl w:val="true"/>
          <w:lang w:bidi="ar-SA"/>
        </w:rPr>
        <w:t xml:space="preserve">. </w:t>
      </w:r>
      <w:bookmarkStart w:id="24" w:name="pg15155_206744"/>
    </w:p>
    <w:p>
      <w:pPr>
        <w:pStyle w:val="BookText"/>
        <w:rPr/>
      </w:pPr>
      <w:bookmarkEnd w:id="24"/>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وسنشير إلى منهجه فيه عند بيان منهج الإمام واُسلوبه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في العرفان والأخلاق والفلسفة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الأربعين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طُبعَ أكثرها بواسطة المؤسّسة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عشرات الكتب والمؤ لّفات التي تتضمّن أبحاثاً معمّقة وتحقيقات دقيقة في موضوعات متنوّعة من الحديث والفلسفة والعرفان والأخلاق والعقائد والتفسير وغيرها تنوف على خمسة وثمانين كتاباً، تركنا ذكر أسمائها وخصوصيّاتها في هذه المقدّمة رعاية للاختصار</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1851434_2142443653"/>
      <w:bookmarkStart w:id="26" w:name="_Toc8"/>
      <w:bookmarkEnd w:id="25"/>
      <w:r>
        <w:rPr>
          <w:rtl w:val="true"/>
        </w:rPr>
        <w:t>منهجه العلمي واُسلوبه الاجتهادي</w:t>
      </w:r>
      <w:bookmarkEnd w:id="26"/>
    </w:p>
    <w:p>
      <w:pPr>
        <w:pStyle w:val="BookText"/>
        <w:rPr/>
      </w:pPr>
      <w:r>
        <w:rPr>
          <w:rFonts w:ascii="Amiri" w:hAnsi="Amiri" w:eastAsia="Amiri" w:cs="Amiri"/>
          <w:color w:val="111111"/>
          <w:sz w:val="28"/>
          <w:sz w:val="28"/>
          <w:szCs w:val="28"/>
          <w:rtl w:val="true"/>
          <w:lang w:bidi="ar-SA"/>
        </w:rPr>
        <w:t>لقد تميّز الإمام الخميني من بين الفقهاء باُسلوبه العلمي ومنهجه الخاصّ به في العملية الاجتهادية، وهو أمر لو أراد أحد الوقوف عليه لزم أن يستعرض عطاؤه العلمي برمّته ويطالع بإمعان آثاره الفقهية والاُصولية والفلسفية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ملامح من اُسلوبه العلمي ومنهجه في التحقيق، والعملية الاجتهادية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يُعتبر من أبرز ملامح الاُسلوب العلمي الذي تميَّز به الإمام الراحل هو التفكير الكثير في كلّ مسألة من المسائل</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كان  رحمه الله علیه  يولّي أقوال الفقهاء اهتماماً خاصّاً، إلاّ أ نّه كان يسعى دائماً إلى أن يحصل بنفسه على مطلب جديد ونكتة خاصّة من الروايات، وكان يتّقي بشدّة </w:t>
      </w:r>
    </w:p>
    <w:p>
      <w:pPr>
        <w:pStyle w:val="BookText"/>
        <w:rPr/>
      </w:pPr>
      <w:r>
        <w:rPr>
          <w:rFonts w:ascii="Amiri" w:hAnsi="Amiri" w:eastAsia="Amiri" w:cs="Amiri"/>
          <w:color w:val="111111"/>
          <w:sz w:val="28"/>
          <w:sz w:val="28"/>
          <w:szCs w:val="28"/>
          <w:rtl w:val="true"/>
          <w:lang w:bidi="ar-SA"/>
        </w:rPr>
        <w:t>أن يكون مقلّداً للشخصيات العلمية، وإن كانت من أصحاب المنزلة الفقهية والعلمية الرفيعة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رحمه الله علیه  يتجنّب بشدّة إدخال العلوم العقلية وإقحامها في الفقه والعلوم النقلية، فهو  قدّس سرّه  رغم أ نّه كان من أصحاب النظر والرأي في العلوم العقلية والفلسفية، بل كان من المبتكرين في هذه المجالات، إلاّ أ نّك لاتجد أدنى أثر لدخالة أمثال هذه المسائل في اُسلوبه الاجتهادي، وتحقيقاته الفقهية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الامتيازات البارزة،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المرء الحدود المعيّنة لكلّ علم فلا يتجاوزها ولا يتعدّاها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لنشاهد كيف أنّ بعض العظام من الفقهاء لم يراع هذه الناحية، إلى درجة أنّ آراءهم الفقهية أصبحت معزولة لا يلتفت إليها الآخرون، ولا يعبأون بها كما ينبغي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الاُمور الضرورية في عملية الاستنباط والاجتهاد هو العناية المطلقة بالكتاب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هذا بعينه من مميّزات الإمام الراحل، وخصوصية بارزة في اُسلوبه العلمي الاجتهادي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ما كان له من تبحّر، وتضلّع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يدرس الرواية من حيث سندها أوّلاً ويدقّق في رجالها أيّما تدقيق، وكان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المستطاع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يُخرج روايةً من إطار الحجّية، ولا يسقطها من الاستدلال من دون علّة واضحة وسبب وجيه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اتّضاح حال السند من حيث الصحّة وعدم الصحّة، والإرسال وعدم </w:t>
      </w:r>
      <w:bookmarkStart w:id="27" w:name="pg15155_206746"/>
    </w:p>
    <w:p>
      <w:pPr>
        <w:pStyle w:val="BookText"/>
        <w:rPr/>
      </w:pPr>
      <w:bookmarkEnd w:id="27"/>
      <w:r>
        <w:rPr>
          <w:rFonts w:ascii="Amiri" w:hAnsi="Amiri" w:eastAsia="Amiri" w:cs="Amiri"/>
          <w:color w:val="111111"/>
          <w:sz w:val="28"/>
          <w:sz w:val="28"/>
          <w:szCs w:val="28"/>
          <w:rtl w:val="true"/>
          <w:lang w:bidi="ar-SA"/>
        </w:rPr>
        <w:t>الإرسال وربّما الضعف والقوّة، كان يخوض في متن الرواية ويدرس النصّ نفسه بكلّ ما اُوتي من قدرة على التحقيق، وموهبة في 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بفضل ما اُوتي من معرفة عميقة بفقه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هذا من خصائصه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استفاد من الأحاديث والروايات فوائد لم يتوصّل إليها غيره، ولم يستفدها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توضيحاً لهذا المنهج، وهذه الخصوصية التي ينبغي أن تكون نهجاً للعاملين في هذا الصعيد نذكر نماذج تطبيقيّة حيّة فيما يلي</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1851436_2142443653"/>
      <w:bookmarkStart w:id="29" w:name="_Toc9"/>
      <w:bookmarkEnd w:id="28"/>
      <w:r>
        <w:rPr>
          <w:rtl w:val="true"/>
        </w:rPr>
        <w:t>نماذج بارزة من منهجه العلمي</w:t>
      </w:r>
      <w:bookmarkEnd w:id="29"/>
    </w:p>
    <w:p>
      <w:pPr>
        <w:pStyle w:val="BookText"/>
        <w:rPr/>
      </w:pPr>
      <w:r>
        <w:rPr>
          <w:rFonts w:ascii="Amiri" w:hAnsi="Amiri" w:eastAsia="Amiri" w:cs="Amiri"/>
          <w:color w:val="111111"/>
          <w:sz w:val="28"/>
          <w:sz w:val="28"/>
          <w:szCs w:val="28"/>
          <w:rtl w:val="true"/>
          <w:lang w:bidi="ar-SA"/>
        </w:rPr>
        <w:t>ونرجّح أن تكون هذه النماذج من كتابه الحاضر ليقف القارئ الكريم على جانب من عمق نظره الفقهي الذي قلّما نجد له نظيراً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النماذج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النموذج الأوّل من اُسلوب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المسائل هو البحث الذي عالج فيه مسألة بيع الأسلحة لأعداء الدين، وهو بحث علمي وتحقيقي دقيق لا نجد له مثيلاً في الدقّة والمنهجيّة، لدى أيّ واحد من الفقهاء، وللّه درّه من فقيه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توضيحاً لاُسلوبه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نطرح هنا مختصراً من ذلك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الأعظم الأنصاري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لتحريم ما يُقصد منه شأناً، بمعنى أنّ من شأنه أن </w:t>
      </w:r>
    </w:p>
    <w:p>
      <w:pPr>
        <w:pStyle w:val="BookText"/>
        <w:rPr/>
      </w:pPr>
      <w:r>
        <w:rPr>
          <w:rFonts w:ascii="Amiri" w:hAnsi="Amiri" w:eastAsia="Amiri" w:cs="Amiri"/>
          <w:color w:val="111111"/>
          <w:sz w:val="28"/>
          <w:sz w:val="28"/>
          <w:szCs w:val="28"/>
          <w:rtl w:val="true"/>
          <w:lang w:bidi="ar-SA"/>
        </w:rPr>
        <w:t>يُقصد منه الحرام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أشكل الإمام  قدّس سرّه  على طرح المسألة بهذا النمط، وبهذا النوع من العنوان</w:t>
      </w:r>
    </w:p>
    <w:p>
      <w:pPr>
        <w:pStyle w:val="BookText"/>
        <w:rPr/>
      </w:pP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بحسب القواعد عدم حرمته بهذا العنوان، وصحّة المعاملة عليه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لا يعتبر البيع لأعداء الدين من مستثنيات هذا العنوان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له عنوان خاصّ ينبغي البحث عنه مستقلاًّ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استعراض الأقوال في هذه المسألة ونقل مختار الإمام  قدّس سرّه  وأهمّية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وامتيازه، ينبغي أن نذكر من الإمام مطلبين مفيدين جدّاً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موضوع البحث هو مطلق ما ينطبق عليه عنوان السلاح كائناً ما كان، أو ما هو سلاح الحرب فعلاً؟</w:t>
      </w:r>
    </w:p>
    <w:p>
      <w:pPr>
        <w:pStyle w:val="BookText"/>
        <w:rPr/>
      </w:pPr>
      <w:r>
        <w:rPr>
          <w:rFonts w:ascii="Amiri" w:hAnsi="Amiri" w:eastAsia="Amiri" w:cs="Amiri"/>
          <w:color w:val="111111"/>
          <w:sz w:val="28"/>
          <w:sz w:val="28"/>
          <w:szCs w:val="28"/>
          <w:rtl w:val="true"/>
          <w:lang w:bidi="ar-SA"/>
        </w:rPr>
        <w:t>إنّ رأي الإمام هو الثاني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الموضوع ما كان سلاح الحرب فعلاً وهو يختلف بحسب الأزمان فربّما كان شيء في زمان ومكان سلاح الحرب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السلاح في موضوع البحث سلاح اليوم الذي يستعمل في الحروب لا ما انقرضت أيّامه وخرجت عن الاستعمال فيها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رحمه الله علیه  يقول بعنوان نتيجة البحث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أراد بعض أعداء الدين وأهل الحرب حفظ الأسلحة القديمة لقدمتها وكونها عتيقة لا مانع من بيعها وهو خارج عن موضوع بحث بيع السلاح من أهل الحرب بلا ريب كما لا يخفى</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المطلب الآخر الذي عنونه الإمام الراحل فهو أنّ المراد من أعداء الدين ما هو؟ ومن هم أعداء الدين؟</w:t>
      </w:r>
    </w:p>
    <w:p>
      <w:pPr>
        <w:pStyle w:val="BookText"/>
        <w:rPr/>
      </w:pPr>
      <w:r>
        <w:rPr>
          <w:rFonts w:ascii="Amiri" w:hAnsi="Amiri" w:eastAsia="Amiri" w:cs="Amiri"/>
          <w:color w:val="111111"/>
          <w:sz w:val="28"/>
          <w:sz w:val="28"/>
          <w:szCs w:val="28"/>
          <w:rtl w:val="true"/>
          <w:lang w:bidi="ar-SA"/>
        </w:rPr>
        <w:t>هل هم مطلق الذين يخالفوننا في الدين أو أ نّه أخصّ موضوعاً من مطلق المخالف لنا في الدين؟</w:t>
      </w:r>
    </w:p>
    <w:p>
      <w:pPr>
        <w:pStyle w:val="BookText"/>
        <w:rPr/>
      </w:pPr>
      <w:r>
        <w:rPr>
          <w:rFonts w:ascii="Amiri" w:hAnsi="Amiri" w:eastAsia="Amiri" w:cs="Amiri"/>
          <w:color w:val="111111"/>
          <w:sz w:val="28"/>
          <w:sz w:val="28"/>
          <w:szCs w:val="28"/>
          <w:rtl w:val="true"/>
          <w:lang w:bidi="ar-SA"/>
        </w:rPr>
        <w:t>والثاني هو رأي الإمام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ليس المراد مطلق أعداء الدين فإنّ كلّ مخالف لنا في ديننا فهو عدوّنا في الدين، لكن موضوع البحث أخصّ منه، وهو الدولة المخالفة للإسلام أو الطائفة الكذائية، فلا ينبغي الكلام في جواز بيعه من يهودي في بلد المسلمين تابع لهم لولا جهات اُخر</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وقبل ذكر وبيان الرأي الكلّي للإمام  قدّس سرّه  في شأن بيع السلاح لأعداء الدين ننقل هنا نقداً لبعض الأعاظم  قدّس سرّه  لمطلب ذكره الشيخ الأعظم الأنصاري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حالتي الحرب والصلح فذهب إلى الحرمة في الاُولى، وإلى الجواز في الثانية، وملخّص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الواردة في المقام على طوائف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بيعه من أعداء الدين في حال الهدنة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بيعه منهم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بيعه منهم كذلك</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والمنقول هنا روايتان هما منشأ القول بالتفصيل إحداهما رواية الحضرمي التي حسَّنها الإمام أو صحَّحها، خلافاً لبعض الأعاظم الذي ضعّفها لمكان الحضرمي، حيث قال الإمام  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الأخبار حسنة أبي بكر الحضرمي، أو صحيحته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أنتم اليوم بمنزلة أصحاب رسول اللّه، إنّكم في هدنة، فإذا كانت المباينة حرم عليك أن تحملوا إليهم السروج والسلاح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ورواية هند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 أصلحك اللّه إني كنت أحمل السلاح إلى أهل الشام فأبيعه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إحمل إليهم فإنّ اللّه يدفع بهم عدوّنا وعدوّكم، يعني الروم، وبعهم، فإذا كانت الحرب بيننا فلا تحملوا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وهاتان الروايتان صارتا منشئاً للقول بالتفصيل تارة بين زمان الهدنة وغيره مطلقاً واُخرى التفصيل كذلك في خصوص البيع من المخالفين والأخذ بإطلاق ما تأتي للمنع عن البيع من الكفّار</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يبدي الإمام  رحمه الله علیه  احتمالاً في المقام ويعتبر الرواية قاصرة عن إثبات التفصيل، ويمكن اعتبار هذا الاحتمال أحد المصاديق الكلّية لنظر الإمام، الكلّي من مسألة الزمان والمكان وهما العنصران المؤثّران في العملية الاجتهادية </w:t>
      </w:r>
    </w:p>
    <w:p>
      <w:pPr>
        <w:pStyle w:val="BookText"/>
        <w:rPr/>
      </w:pPr>
      <w:r>
        <w:rPr>
          <w:rFonts w:ascii="Amiri" w:hAnsi="Amiri" w:eastAsia="Amiri" w:cs="Amiri"/>
          <w:color w:val="111111"/>
          <w:sz w:val="28"/>
          <w:sz w:val="28"/>
          <w:szCs w:val="28"/>
          <w:rtl w:val="true"/>
          <w:lang w:bidi="ar-SA"/>
        </w:rPr>
        <w:t>الاستنباطية،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الروايتين قاصرتان عن إثبات هذا التفصيل في المقامين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يأتي بالدليل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السؤال فيهما عن حمل السلاح إلى الشام في عصر الصادقين علیهما السلام وهو عصر لم يكن للشيعة الإمامية مملكة مستقلّة وحكومة على حدة، بل كان المسلمون كافّة تحت حكومة واحدة هي سلطنة خلفاء 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في حمل السلاح إلى الشام خوف على حوزة الشيعة وبلادهم، لعدم الموضوع لهما، ولهذا نزّلهم منزلة أصحاب رسول اللّه‌ صلی الله علیه و آله وسلم  حيث إنّ كلّهم جمعية واحدة تديرهم حكومة واحدة لم تكن في تقويتها تقوية على خلاف حوزة الشيعة الإمامية وحكومتها لعدم تشكيلهما، بل كانت تقوية للمسلمين مقابل الكافرين كما أشار إليه في الرواية الثانية، فلا يجوز التعدّي عن مثل تلك الهدنة التي كانت كهدنة في عصر أصحاب الرسول صلی الله علیه و آله وسلم إلى مطلق الهدنة والسكون، كما إذا كانت لنا سلطنة مستقلّة ودولة على حدة، ولهم كذلك وكانت بيننا هدنة وتعاقد، ومع ذلك يكون في تقويتهم، فساد أو مظنّته بل احتماله بحيث خيف على دولة التشيّع وحكومته من ذلك</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بيع الأسلحة وعدم الجواز يرتبط بمقتضيات الزمان ومصلحة المسلمين ولا يمكن القول بالجواز وعدم الجواز بمجرّد ملاك الصلح والحرب، حيث قال  قدّس سرّه ما هذا نصّه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وكيف كان لا يمكن القول بجواز بيع السلاح ونحوه من الكفّار أو المسلمين المخالفين بمجرّد عدم الحرب والهدنة، بل لابدّ من النظر إلى مقتضيات اليوم وصلاح المسلمين والملّة، كما أنّ في عصر الصادقين علیهما السلام كان من مقتضيات الزمان جواز دفع السلاح إلى حكومة الإسلام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يحمل أحدٌ هذا الاستنباط الصحيح المعقول جدّاً، الذي انتهى إليه الإمام  قدّس سرّه  على كونه حصيلة سليقة شخصيّة لا يمكن حملها على الروايات، وأنّ ما هو حجّة علينا هو لسان الروايات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دفع الإمام هذا التوهّم بعبارة صريحة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يستفاد منهما أمر زائد عمّا هو مقتضى حكم العقل كما تقدّم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 في موضع آخر من البحث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أنّ هذا الأمر من شؤون الحكومة والدولة وليس أمراً مضبوطاً، بل تابع لمصلحة اليوم ومقتضيات الوقت، فلا الهدنة مطلقاً موضوع حكم لدى العقل، ولا المشرك والكافر كذلك، والتمسّك بالاُصول والقواعد الظاهرية في مثل المقام في غير محلّه، والظاهر عدم استفادة شيء زائد ممّا ذكرناه من الأخبار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والجدير بالذكر أنّ الإمام  قدّس سرّه  يرى في هذا المجال أنّ ما ذكره في بيع السلاح</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لأعداء الدين هو لحن الروايات والأحاديث مع ملاحظة زمان صدور هذه </w:t>
      </w:r>
    </w:p>
    <w:p>
      <w:pPr>
        <w:pStyle w:val="BookText"/>
        <w:rPr/>
      </w:pPr>
      <w:r>
        <w:rPr>
          <w:rFonts w:ascii="Amiri" w:hAnsi="Amiri" w:eastAsia="Amiri" w:cs="Amiri"/>
          <w:color w:val="111111"/>
          <w:sz w:val="28"/>
          <w:sz w:val="28"/>
          <w:szCs w:val="28"/>
          <w:rtl w:val="true"/>
          <w:lang w:bidi="ar-SA"/>
        </w:rPr>
        <w:t>الرواية وكيفية سؤال الراوي وأ نّه لم يُدْلِ بما هو خارج عن حدود الروايات</w:t>
      </w:r>
    </w:p>
    <w:p>
      <w:pPr>
        <w:pStyle w:val="BookText"/>
        <w:rPr/>
      </w:pPr>
      <w:r>
        <w:rPr>
          <w:rFonts w:ascii="IRNazanin" w:hAnsi="IRNazanin" w:eastAsia="IRNazanin"/>
          <w:color w:val="111111"/>
          <w:sz w:val="28"/>
          <w:sz w:val="28"/>
          <w:szCs w:val="28"/>
          <w:rtl w:val="true"/>
          <w:lang w:bidi="fa-IR"/>
        </w:rPr>
        <w:t>ونطاقها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أبداه واستنبطه متقن ومحكم وفي غاية الإحكام والإتقان إلى درجة أ نّه إذا فرض إطلاق للرواية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التعارض بين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تقييدها أو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إطلاق لبعضها يقتضي خلاف ذلك؛ أي يقتضي جواز البيع فيما خيف الفساد، وهدم أركان الإسلام أو التشيّع، أو نحو ذلك، لا مناص عن تقييده أو طرحه أو دلّ على عدم الجواز فيما يخاف في تركه عليهما كذلك لا بدّ من تقييده وذلك واضح</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يثير الإعجاب بمؤ لّفنا العظيم لدى مراجعته لبحث بيع السلاح لأعداء الدين هو أنّ الإمام  قدّس سرّه  لم يبحث هذه المسألة الهامّة من زاوية البيع والشراء العاديين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نّنا نرى في الزمان الحاضر أنّ ما يرتبط بمصير الشعوب والمجتمعات الإنسانية هو المقدرة العسكرية وعدم المقدرة، إذ ما أكثر الدول التي تتساقط وتتهاوى في زماننا الحاضر مع أ نّها في القمة من الناحية الاقتصادية والثقافية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أ نّه  رحمه الله علیه  يعتبر هذه المسألة من شؤون الحكومة الإسلامية، وبهذا يخرج هذه المسألة من نطاق ضيق فردي إلى إطاره الطبيعي الواسع في عصرنا الحاضر، ويبحث في هذه المسألة في مستوىً رفيع يرتبط بمصير الاُمّة بعد أن كانت </w:t>
      </w:r>
    </w:p>
    <w:p>
      <w:pPr>
        <w:pStyle w:val="BookText"/>
        <w:rPr/>
      </w:pPr>
      <w:r>
        <w:rPr>
          <w:rFonts w:ascii="Amiri" w:hAnsi="Amiri" w:eastAsia="Amiri" w:cs="Amiri"/>
          <w:color w:val="111111"/>
          <w:sz w:val="28"/>
          <w:sz w:val="28"/>
          <w:szCs w:val="28"/>
          <w:rtl w:val="true"/>
          <w:lang w:bidi="ar-SA"/>
        </w:rPr>
        <w:t>تُبحث في مستوىً محدود لا يهمّ إلاّ الأفراد والأشخاص لا الدول والجماعات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بيع السلاح من أعداء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السياسية التابعة لمصالح اليوم، فربّما تقتضي مصالح المسلمين بيع السلاح بل إعطاؤه مجّاناً لطائفة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مثل ما إذا هجم على حوزة الإسلام عدوّ قويٌّ لا يمكن دفعه إلاّ بتسليح هذه الطائفة وكان المسلمون في أمن منهم، فيجب دفع الأسلحة إليهم للدفاع عن حوزة الإسلام وعلى والي المسلمين أن يؤيّد هذه الطائفة المشركة المدافعة عن حوزة الإسلام بأيّة وسيلة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يعنون مطلباً أعلى من ذلك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كان المهاجم على دولة الشيعة دولة المخالفين مريدين قتلهم وأسرهم وهدم مذهبهم يجب عليهم دفعهم ولو بوسيلة تلك الطائفة المأمونة، وكذا لو كانت الكفّار من تبعة حكومة الإسلام، ومن مستملكاتها وأراد الوالي دفع أعدائه بهم، إلى غير ذلك ممّا تقتضي المصالح</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جملة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البحث الهام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النموزج الثاني من اُسلوب الإمام هي مسألة الغناء التي بحثها بصورة مبسوطة وحقّقها بنحو لا نجد له مثيلاً، لحدّ الآن من حيث السعة والشمولية والعمق حيث تناولها  رحمه الله علیه  في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من الدراسة والمناقشة والبحث فهو  قدّس سرّه  تعرض أوّلاً للتحقيق في ماهيّة الغناء ومفهومه، وأعلن عن مختاره وهذا هو في </w:t>
      </w:r>
    </w:p>
    <w:p>
      <w:pPr>
        <w:pStyle w:val="BookText"/>
        <w:rPr/>
      </w:pPr>
      <w:r>
        <w:rPr>
          <w:rFonts w:ascii="Amiri" w:hAnsi="Amiri" w:eastAsia="Amiri" w:cs="Amiri"/>
          <w:color w:val="111111"/>
          <w:sz w:val="28"/>
          <w:sz w:val="28"/>
          <w:szCs w:val="28"/>
          <w:rtl w:val="true"/>
          <w:lang w:bidi="ar-SA"/>
        </w:rPr>
        <w:t>نظرنا أفضل اُسلوب للبحث والمعالجة، ونعني أن ينقَّح الموضوع أوّلاً ويتبيّن قبل إصدار الحكم عليه، لأنّ الموضوع ما لم يتّضح، لم يتبيّن حول ماذا يدور البحث، وعلى ماذا سيصدر الحكم، وأيّ موضوع وشيء هو المقصود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يتوجّه إشكالٌ على بعض الأعاظم كالشيخ الأعظم الأنصاري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اعتنى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دراسة مفهوم الغناء بأقوال جميع الفقهاء، واللغويين، وذكر ما ينوف على عشرين تعريفاً للغناء فقد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في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اختلفت الكلمات في ماهيّته وحكمه، ففسّر بالسماع، وبالصوت، وبالصوت المطرب، وبالصوت المشتمل على الترجيع، أو مع الإطراب، وبالترجيع، وبالتطريب، وبه مع الترجيع، وبرفع الصوت مع الترجيع، وبمدّه، وبمدّه مع الترجيع والتطريب، أو أحدهما، وبتحسين الصوت، وبحسنه ذاتاً، وبمدّه وموالاته، وبالصوت الموزون المفهم المحرّك للقلب، وبمدّ الصوت المشتمل على الترجيع المطرب، أو ما يسمّى في العرف غناءً وإن لم يطرب، وبالصوت اللهويّ، وبألحان أهل المعاصي والكبائر، وبما كان مناسباً لبعض آلات اللهو والرقص، وبالصوت المعدّ لمجالس اللهو، وبالصوت المثير لشهوة النكاح،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المشهور أ نّه مدّ الصوت المشتمل على الترجيع المطرب</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عَمَدَ  رحمه الله علیه  إلى دراسة ومناقشة رأي المرحوم الشيخ محمّد رضا الأصفهاني النجفي ونقده فقال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تصدّى العَلَم الفقيه الشيخ محمّد رضا آل الشيخ العلاّمة محمّد </w:t>
      </w:r>
    </w:p>
    <w:p>
      <w:pPr>
        <w:pStyle w:val="BookText"/>
        <w:rPr/>
      </w:pPr>
      <w:r>
        <w:rPr>
          <w:rFonts w:ascii="Amiri" w:hAnsi="Amiri" w:eastAsia="Amiri" w:cs="Amiri"/>
          <w:color w:val="111111"/>
          <w:sz w:val="28"/>
          <w:sz w:val="28"/>
          <w:szCs w:val="28"/>
          <w:rtl w:val="true"/>
          <w:lang w:bidi="ar-SA"/>
        </w:rPr>
        <w:t>تقي رحمهما اللّه لتفسيره في رسالة لطيفة مستقلّة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صوت الإنسان الذي من شأنه إيجاد الطرب بتناسبه لمتعارف الناس، والطرب هو الخفّة التي تعتري الإنسان فتكاد أن تذهب بالعقل وتفعل فعل المسكر لمتعارف الناس أيضاً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وواصل نقل كلام المرحوم الشيخ محمّد رضا الأصفهاني فنقل عنه هذه الجملة أيضاً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وفذلكة القول إنّ الغناء هو الصوت المتناسب الذي من شأنه بما هو متناسب أن يوجد الطرب،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بالحدّ الذي مرّ</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يضيف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نقلناه بتفصيل أداءً لبعض حقوقه ولاشتماله على تحقيق وفوائد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ما ذكره وحقّقه أحسن ما قيل في الباب وأقرب بإصابة الواقع، وإن كان في بعض ما أفاده مجال المناقشة كانتهائه حدّ الإطراب بما كاد أن يزيل بالعقل، وأنّ العلّة في الغناء عين العلّة في المسكر وذلك لعدم الشاهد عليه في العرف واللغة لصدق الغناء على ما لم يبلغ الإطراب ذلك الحدّ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نظر الفقهاء واللغويين وعباراتهم في تعريف الغناء،</w:t>
      </w:r>
    </w:p>
    <w:p>
      <w:pPr>
        <w:pStyle w:val="BookText"/>
        <w:rPr/>
      </w:pPr>
      <w:r>
        <w:rPr>
          <w:rFonts w:ascii="Amiri" w:hAnsi="Amiri" w:eastAsia="Amiri" w:cs="Amiri"/>
          <w:color w:val="111111"/>
          <w:sz w:val="28"/>
          <w:sz w:val="28"/>
          <w:szCs w:val="28"/>
          <w:rtl w:val="true"/>
          <w:lang w:bidi="ar-SA"/>
        </w:rPr>
        <w:t>ولكن الإمام  قدّس سرّه  يعرّف الغناء بالبيان التالي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تعريف الغناء بأ نّه صوت الإنسان الذي له رقّة وحسن ذاتي ولو في </w:t>
      </w:r>
    </w:p>
    <w:p>
      <w:pPr>
        <w:pStyle w:val="BookText"/>
        <w:rPr/>
      </w:pPr>
      <w:r>
        <w:rPr>
          <w:rFonts w:ascii="Amiri" w:hAnsi="Amiri" w:eastAsia="Amiri" w:cs="Amiri"/>
          <w:color w:val="111111"/>
          <w:sz w:val="28"/>
          <w:sz w:val="28"/>
          <w:szCs w:val="28"/>
          <w:rtl w:val="true"/>
          <w:lang w:bidi="ar-SA"/>
        </w:rPr>
        <w:t>الجملة، وله شأنية إيجاد الطرب بتناسبه لمتعارف الناس فخرج بقيد الرقّة والحسن صوت الأبح الرديء الصوت، وإنّما قلنا له شأنيّة الإطراب لعدم اعتبار الفعلية بلا شبهة فإنّ حصول الطرب تدريجي قد لا يحصل بشعر وشعرين، فتلك الماهيّة ولو بتكرار أفرادها لها شأنيّة الإطراب</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بعد ذكر القيود في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تظهر الخدشة في الحدّ المنتسب إلى المشهور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الصوت المشتمل على الترجيع المطرب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الغناء لا يتقوّم بالمدّ ولا الترجيع ففي كثير من أقسامه لا يكون مدّ ولا ترجيع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القيدين في كلماتهم لأجل كون المتعارف من الغناء في أعصارهم هو ما يكون مشتملاً عليهما فظنّ أ نّه متقوّم بهما كما أنّ المطربية الفعلية غير معتبرة فيه بما مرّ، وأنّ الصوت ما لم يكن فيه رخامة وصفاء ليس بغناء</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يشير إلى نكتة جديرة بالاهتمام في المقام وهي هل أنّ هذا الغناء هو موضوع الحكم الشرعي أو أ نّه يمكن أن يكون موضوع الحكم الشرعي شيء أعمّ ممّا ذكر أو أخصّ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في المقام هو تحصيل ماهيّة الغناء من غير نظر إلى ما كان موضوعاً للحكم الشرعي، ولعلّ موضوعه أعمّ أو أخصّ، وسيأتي الكلام فيه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ذلك أنّ الغناء ليس مساوقاً للصوت اللهوي والباطل ولا لألحان أهل الفسوق والكبائر، بل كثير من الألحان اللهوية وأهل الفسوق والأباطيل </w:t>
      </w:r>
    </w:p>
    <w:p>
      <w:pPr>
        <w:pStyle w:val="BookText"/>
        <w:rPr/>
      </w:pPr>
      <w:r>
        <w:rPr>
          <w:rFonts w:ascii="Amiri" w:hAnsi="Amiri" w:eastAsia="Amiri" w:cs="Amiri"/>
          <w:color w:val="111111"/>
          <w:sz w:val="28"/>
          <w:sz w:val="28"/>
          <w:szCs w:val="28"/>
          <w:rtl w:val="true"/>
          <w:lang w:bidi="ar-SA"/>
        </w:rPr>
        <w:t>خارج عن حدّه ولا يكون في العرف والعادة غناءً</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من المسائل المثيرة للبحث والجدل والمناقشة الحادة في مسألة الغناء هو الرأي الذي نسب إلى المرحوم الفيض الكاشاني، ولتوضيح القضيّة ينبغي أوّلاً نقل رأيه هنا ثمّ نقل ما قاله بعض الأعاظم في نقده، ثمّ نقل استنباط الإمام  قدّس سرّه</w:t>
      </w:r>
    </w:p>
    <w:p>
      <w:pPr>
        <w:pStyle w:val="BookText"/>
        <w:rPr/>
      </w:pPr>
      <w:r>
        <w:rPr>
          <w:rFonts w:ascii="Amiri" w:hAnsi="Amiri" w:eastAsia="Amiri" w:cs="Amiri"/>
          <w:color w:val="111111"/>
          <w:sz w:val="28"/>
          <w:sz w:val="28"/>
          <w:szCs w:val="28"/>
          <w:rtl w:val="true"/>
          <w:lang w:bidi="ar-SA"/>
        </w:rPr>
        <w:t>وما فهمه من كلام الفيض، وتنزيهه لذلك العالم الجليل والفقيه العظيم ممّا نسب إليه من خرق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الأنصاري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يجري على هذا عروض الشبهة في الأزمنة المتأخّرة في هذه المسألة تارة من حيث أصل الحكم، واُخرى من حيث الموضوع، وثالثة من اختصاص الحكم ببعض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 نّه حكي عن المحدّث الكاشاني أ نّه خصّ الحرام منه بما اشتمل على محرّم من خارج، مثل اللعب بآلات اللهو ودخول الرجال والكلام بالباطل، وإلاّ فهو في نفسه غير محرّم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والمحكيّ من كلامه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بعد حكاية الأخبار التي يأبى بعضها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يظهر من مجموع الأخبار الواردة اختصاص حرمة الغناء وما يتعلّق به من الأجر والتعليم والاستماع والبيع والشراء كلّها بما كان على النحو المعهود المتعارف في زمن الخلفاء من دخول الرجال عليهنّ وتكلّمهنّ بالباطل ولعبهنّ بالملاهي من العيدان والقصب وغيرهما دون ما سوى ذلك من أنواعه كما يشعر به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بالتي تدخل عليها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فلا </w:t>
      </w:r>
    </w:p>
    <w:p>
      <w:pPr>
        <w:pStyle w:val="BookText"/>
        <w:rPr/>
      </w:pPr>
      <w:r>
        <w:rPr>
          <w:rFonts w:ascii="Amiri" w:hAnsi="Amiri" w:eastAsia="Amiri" w:cs="Amiri"/>
          <w:color w:val="111111"/>
          <w:sz w:val="28"/>
          <w:sz w:val="28"/>
          <w:szCs w:val="28"/>
          <w:rtl w:val="true"/>
          <w:lang w:bidi="ar-SA"/>
        </w:rPr>
        <w:t>بأس بالتغنّي بالأشعار المتضمّنة لذكر الجنّة والنار والتشويق إلى دار القرار</w:t>
      </w:r>
    </w:p>
    <w:p>
      <w:pPr>
        <w:pStyle w:val="BookText"/>
        <w:rPr/>
      </w:pPr>
      <w:r>
        <w:rPr>
          <w:rFonts w:ascii="Amiri" w:hAnsi="Amiri" w:eastAsia="Amiri" w:cs="Amiri"/>
          <w:color w:val="111111"/>
          <w:sz w:val="28"/>
          <w:sz w:val="28"/>
          <w:szCs w:val="28"/>
          <w:rtl w:val="true"/>
          <w:lang w:bidi="ar-SA"/>
        </w:rPr>
        <w:t>ووصف نعم اللّه الملك الجبّار</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ينقل المرحوم الشيخ حاصل كلام الفيض الكاشاني ويردّه، وها نحن ننقل ذلك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وحاصل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الأخبار المانعة على الفرد الشائع في ذلك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والشائع في ذلك الزمان الغناء على سبيل اللهو من الجواري وغيرهنّ في مجالس الفجور والخمور والعمل بالملاهي والتكلّم بالباطل وإسماعهنّ الرجال، فحمل المفرد المعرّف يعني لفظ الغناء على تلك الأفراد الشائعة في ذلك الزمان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بالتي يدخل عليها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لهذا الحمل،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إشعاراً بأنّ منشأ المنع في الغناء هو بعض الاُمور المحرَّمة المقترنة به كالالتهاء وغيره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يواصل نقل كلام الفيض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 ريب في تحريم الغناء على سبيل اللهو والاقتران بالملاهي ونحوهما، ثمّ إن ثبت إجماع في غيره وإلاّ بقي حكمه على الإباحة وطريق الاحتياط واضح، انتهى</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كلّ حال يُفهم من خلال كلام الشيخ الأنصاري خصوصاً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p>
    <w:p>
      <w:pPr>
        <w:pStyle w:val="BookText"/>
        <w:rPr/>
      </w:pPr>
      <w:r>
        <w:rPr>
          <w:rFonts w:ascii="Amiri" w:hAnsi="Amiri" w:eastAsia="Amiri" w:cs="Amiri"/>
          <w:color w:val="111111"/>
          <w:sz w:val="28"/>
          <w:sz w:val="28"/>
          <w:szCs w:val="28"/>
          <w:rtl w:val="true"/>
          <w:lang w:bidi="ar-SA"/>
        </w:rPr>
        <w:t>استشهاده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بالتي يدخل عليها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المحرّم هو ما كان على سبيل اللهو والاقتران بالملاهي، أمّا غير ذلك فإن علمنا فيه إجماعاً فبه، وإلاّ فحكمه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يرى الشيخ في مقام الجواب على كلام الفيض أنّ الغناء نفسه بناء على ما يستفاد من الأخبار وقول اللغويين من الملاهي، ولا حاجة لحرمته إلى محرّمات اُخر، وعبارة الشيخ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الغناء على ما استفدنا من الأخبار، بل فتاوى الأصحاب وقول أهل اللغة هو من الملاهي، نظير ضرب الأوتار والنفخ في القصب والمزمار، وقد تقدّم التصريح بذلك في رواية الأعمش الواردة في الكبائر فلايحتاج في حرمته إلى أن يقترن بالمحرّمات الاُخر، كما هو ظاهر بعض ما تقدَّم من المحدّثين المذكورين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الروايات المتضافرة، بل المتواترة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عن الغناء وعن جميع ما يتعلّق به هو تحريمه بنفسه مع قطع النظر عن اقترانه بسائر العناوين المحرّمة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إذا كان تحريم الغناء إنّما هو للعوارض المحرّمة كان الاهتمام بالمنع عنه في هذه الروايات لغواً محضاً لورود النهي عن سائر المحرّمات بأنفسها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ويضاف إلى ذلك كلّه أنّ ما ذهب إليه المحدّث المذكور مخالف للإجماع، بل الضرورة من مذهب الشيعة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ويفسِّر الإمام الخميني  قدّس سرّه  كلام الفيض والفاضل السبزواري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ربّما نسب إلى المحدّث الكاشاني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الخراساني إنكار حرمة الغناء واختصاص الحرمة بلواحقه ومقارناته من دخول الرجال على الناس، واللعب بالملاهي، ونحوهما، ثمّ طعنوا عليهما بما لا ينبغي، وهو خلاف ظاهر كلام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والمحكيّ عن الثاني، بل الظاهر منهما أنّ الغناء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وباطل، فالحقّ هو التغنّي بالأشعار المتضمّنة لذكر الجنّة والنار والتشويق إلى دار القرار، والباطل ما هو متعارف في مجالس أهل اللهو كمجالس بني اُميّة وبني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مجموع الأخبار اختصاص حرمة الغناء وما يتعلّق به من الأجر والتعلّم والاستماع والبيع والشراء كلّها بما كان على النحو المعهود المتعارف في زمن بني اُميّة وبني العبّاس من دخول الرجال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أضاف  قدّس سرّه  قائلاً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 ظاهر هذه العبارة بل صريحها صدراً وذيلاً أنّ الغناء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محرّم وهو ما قارن تلك الخصوصيّات بمعنى أنّ الغناء المقارن لها </w:t>
      </w:r>
    </w:p>
    <w:p>
      <w:pPr>
        <w:pStyle w:val="BookText"/>
        <w:rPr/>
      </w:pPr>
      <w:r>
        <w:rPr>
          <w:rFonts w:ascii="Amiri" w:hAnsi="Amiri" w:eastAsia="Amiri" w:cs="Amiri"/>
          <w:color w:val="111111"/>
          <w:sz w:val="28"/>
          <w:sz w:val="28"/>
          <w:szCs w:val="28"/>
          <w:rtl w:val="true"/>
          <w:lang w:bidi="ar-SA"/>
        </w:rPr>
        <w:t xml:space="preserve">حرام لا أنّ المقارنات حرام فقط ، ولهذا حرّم أجرهنّ وتعليمهنّ والاستماع منهنّ، ولولا ذهابه إلى تحريمه ذاتاً لا وجه لتحريم ما ذكر، وقسم محلّل وهو ما يتغنّى بالمواعظ ونحوها، فقد استثنى من حرمة الغناء قسماً هو التغنّي بذكر اللّه تعالى، كما استثنى بعضهم التغنّي بالمراثي، وبعضهم التغنّي بالقرآن، وبعضهم الحدي، وبعضهم في العرائس وهذا أمر لم يثبت أ نّه خلاف الإجماع أو خلاف المذهب حتّى يستوجب صاحبه الطعن والنسبة إلى الخرافة والأراجيف، وقد اختاره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 تأخّر عنه، كما لا يستوجبه من استثنى القرآن وغيره، فالصواب أن يجاب عنه بالبرهان كما صنع الشيخ الأنصاري</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وكأ نّه  قدّس سرّه  يريد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فالصواب أن يجاب عنه بالبرهان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الاجتهاد أمر مقدّس ولا يحقّ لأحد أن يخطّئ اجتهاد شخص آخر، وأمّا إذا وجد الإنسان أنّ رأي الطرف الآخر يخالف ما ذهب إليه لا يستوجب صاحبه الطعن والنسبة إلى الخرافة والأراجيف، ولهذا يرتضي اُسلوب الشيخ الأنصاري  رحمه الله علیه  في ردّه على كلام الفيض الكاشاني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هي زاوية من النهج الاجتهادي والاُسلوب العلمي الذي امتاز به الإمام الخميني صاحب هذا السفر الفقهي القيّم، ونماذج من طريقته في الاستدلال والاجتهاد في المسائل الفقهية، نرى فيها كيف أ نّه  رحمه الله علیه  كان يراعي جميع الجوانب عند بحثه في كلّ مسألة، ويلاحظ جميع أطرافها، فهو  قدّس سرّه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المستطاع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الرواية بالدفاع عن سندها، ورجاله، </w:t>
      </w:r>
    </w:p>
    <w:p>
      <w:pPr>
        <w:pStyle w:val="BookText"/>
        <w:rPr/>
      </w:pPr>
      <w:r>
        <w:rPr>
          <w:rFonts w:ascii="Amiri" w:hAnsi="Amiri" w:eastAsia="Amiri" w:cs="Amiri"/>
          <w:color w:val="111111"/>
          <w:sz w:val="28"/>
          <w:sz w:val="28"/>
          <w:szCs w:val="28"/>
          <w:rtl w:val="true"/>
          <w:lang w:bidi="ar-SA"/>
        </w:rPr>
        <w:t>حتّى لا يخرج الحديث عن إطار الحجّية، ولا يسقط عن الاعتبار والاستدلال من دون مبرّر مقبول أو تُخدش شخصيّة راوٍ معيّن من دون سبب وجيه لا سمح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يعتني أكثر من المتعارف بفقه الحديث عند تناوله، ويولي اهتماماً كبيراً بالاحتمالات المختلفة والاستنتاجات المناسبة لكلّ 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يولي اهتماماً بالغاً بالنقول المختلفة والصور الاُخرى للحديث، إذا كانت في المجاميع الحديثية، والكتب الروائية، إذ يمكن أن يتغيّر المعنى، والمراد، في ضوء النقول، والصور المختلفة فيكون هناك معنى خاصّ هو المراد في الحديث توجب الغفلةُ عنه الغفلةَ عن الهدف المنشود والغاية المطلوبة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يتميّز بالعناية البالغة بظواهر الكلمات في الأحاديث والروايات والدقّة الكاملة في أقوال الفقهاء، والابتعاد عن الاستفادات البعيدة وغير المأنوسة وغير المناسبة لظواهر الكلمات والعبارات في الأحاديث والروايات وأقوال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 هذا إلى جانب تثمينه لعملية الاجتهاد، ودفاعه عن الرأي القائم على الاستدلال العلمي النابع عن الاجتهاد مهما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عرفنا ذلك في مسألة الغناء، وما واجه به من هاجم الفيض  رحمه الله علیه  </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الاستعراض الكامل للمنهج العلمي الذي اتّسم به العمل الاجتهادي عند الإمام الراحل  قدّس سرّه  يحتاج إلى وقت أوسع، وإلى المزيد من التعمّق والمطالعة في ما كتبه هذا الفقيه الفريد وهذا العلم العليم في شتى مجالات الفقه والاُصول والفلسفة والعرفان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أوقفنا عليه القارئ الكريم هنا ليس إلاّ نماذج وشذرات معدودة وأطراف وزوايا محدودة من هذا النهج، أتينا بها في هذه المقدّمة على أمل أن تكون بداية لأصحاب الرأي وطلاّب التحقيق تحدوهم على دراسة أوسع لمنهجه، واُسلوبه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لدراسة ما طلع به من رؤية في صعيد الحكومة والدولة ليفتحوا بذلك فصلاً جديداً في فقه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يجدر بنا أن نشكر حجج الإسلام، أصحاب الفضيلة الذين حقّقوا هذا الكتاب وهذا الأثر العلمي النفيس للإمام الراحل وأخرجوه بهذه الحلّة القشيبة والهيئة البديعة، جزاهم اللّه خير الجزاء وتقبّل منهم ومنّا هذا العمل بفضله</w:t>
      </w:r>
    </w:p>
    <w:p>
      <w:pPr>
        <w:pStyle w:val="BookText"/>
        <w:rPr/>
      </w:pPr>
      <w:r>
        <w:rPr>
          <w:rFonts w:ascii="Amiri" w:hAnsi="Amiri" w:eastAsia="Amiri" w:cs="Amiri"/>
          <w:color w:val="111111"/>
          <w:sz w:val="28"/>
          <w:sz w:val="28"/>
          <w:szCs w:val="28"/>
          <w:rtl w:val="true"/>
          <w:lang w:bidi="ar-SA"/>
        </w:rPr>
        <w:t>ومنّه وكرمه إنّه نعم المولى ونعم المثيب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الهاشمي</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ربيع المولود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54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39" o:detectmouseclick="t"/>
                <v:stroke color="#3465a4" joinstyle="round" endcap="flat"/>
                <w10:wrap type="none"/>
              </v:shape>
            </w:pict>
          </mc:Fallback>
        </mc:AlternateConten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الاُولى من الأصل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2" o:detectmouseclick="t"/>
                <v:stroke color="#3465a4" joinstyle="round" endcap="flat"/>
                <w10:wrap type="none"/>
              </v:shape>
            </w:pict>
          </mc:Fallback>
        </mc:AlternateConten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الثانية من الأصل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826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5" o:detectmouseclick="t"/>
                <v:stroke color="#3465a4" joinstyle="round" endcap="flat"/>
                <w10:wrap type="none"/>
              </v:shape>
            </w:pict>
          </mc:Fallback>
        </mc:AlternateConten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صفحة من الأصل في مبحث الغيبة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130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7"/>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48" o:detectmouseclick="t"/>
                <v:stroke color="#3465a4" joinstyle="round" endcap="flat"/>
                <w10:wrap type="none"/>
              </v:shape>
            </w:pict>
          </mc:Fallback>
        </mc:AlternateConten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صفحة اُخرى من الأصل في مبحث الغيبة </w:t>
      </w:r>
      <w:bookmarkStart w:id="30" w:name="pg15158_206768"/>
    </w:p>
    <w:p>
      <w:pPr>
        <w:pStyle w:val="Heading2"/>
        <w:numPr>
          <w:ilvl w:val="1"/>
          <w:numId w:val="1"/>
        </w:numPr>
        <w:rPr/>
      </w:pPr>
      <w:bookmarkStart w:id="31" w:name="__RefHeading___Toc1851438_2142443653"/>
      <w:bookmarkStart w:id="32" w:name="_Toc10"/>
      <w:bookmarkEnd w:id="30"/>
      <w:bookmarkEnd w:id="31"/>
      <w:r>
        <w:rPr>
          <w:rtl w:val="true"/>
        </w:rPr>
        <w:t>المکاسب المحرمة</w:t>
      </w:r>
      <w:bookmarkEnd w:id="32"/>
    </w:p>
    <w:p>
      <w:pPr>
        <w:pStyle w:val="Heading3"/>
        <w:numPr>
          <w:ilvl w:val="2"/>
          <w:numId w:val="1"/>
        </w:numPr>
        <w:rPr/>
      </w:pPr>
      <w:bookmarkStart w:id="33" w:name="__RefHeading___Toc1851440_2142443653"/>
      <w:bookmarkStart w:id="34" w:name="_Toc11"/>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وصلّى اللّه على محمّد وآله الطاهرين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ولعنة اللّه على أعدائهم أجمعين إلى يوم الدين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المكاسب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5158_206772"/>
      <w:bookmarkStart w:id="36" w:name="pg15158_206772"/>
      <w:bookmarkEnd w:id="36"/>
    </w:p>
    <w:p>
      <w:pPr>
        <w:pStyle w:val="Heading3"/>
        <w:numPr>
          <w:ilvl w:val="2"/>
          <w:numId w:val="1"/>
        </w:numPr>
        <w:rPr/>
      </w:pPr>
      <w:bookmarkStart w:id="37" w:name="pg15158_206772"/>
      <w:bookmarkStart w:id="38" w:name="__RefHeading___Toc1851442_2142443653"/>
      <w:bookmarkStart w:id="39" w:name="_Toc12"/>
      <w:bookmarkEnd w:id="37"/>
      <w:bookmarkEnd w:id="38"/>
      <w:r>
        <w:rPr>
          <w:rtl w:val="true"/>
        </w:rPr>
        <w:t>تقسيم المكاسب و بیان المراد من المکاسب المحرّمة</w:t>
      </w:r>
      <w:bookmarkEnd w:id="39"/>
    </w:p>
    <w:p>
      <w:pPr>
        <w:pStyle w:val="BookText"/>
        <w:rPr/>
      </w:pPr>
      <w:r>
        <w:rPr>
          <w:rFonts w:ascii="Amiri" w:hAnsi="Amiri" w:eastAsia="Amiri" w:cs="Amiri"/>
          <w:color w:val="111111"/>
          <w:sz w:val="28"/>
          <w:sz w:val="28"/>
          <w:szCs w:val="28"/>
          <w:rtl w:val="true"/>
          <w:lang w:bidi="ar-SA"/>
        </w:rPr>
        <w:t>وبيان المراد من المكاسب المحرّمة</w:t>
      </w:r>
    </w:p>
    <w:p>
      <w:pPr>
        <w:pStyle w:val="BookText"/>
        <w:rPr/>
      </w:pPr>
      <w:r>
        <w:rPr>
          <w:rFonts w:ascii="Amiri" w:hAnsi="Amiri" w:eastAsia="Amiri" w:cs="Amiri"/>
          <w:color w:val="111111"/>
          <w:sz w:val="28"/>
          <w:sz w:val="28"/>
          <w:szCs w:val="28"/>
          <w:rtl w:val="true"/>
          <w:lang w:bidi="ar-SA"/>
        </w:rPr>
        <w:t xml:space="preserve">قد اختلف كلمات الأعيان في تقسيمها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فقسّمها المحقّق إلى محرّم ومكروه ومباح</w:t>
      </w:r>
      <w:r>
        <w:rPr>
          <w:rStyle w:val="FootnoteAnchor"/>
          <w:rtl w:val="true"/>
        </w:rPr>
        <w:footnoteReference w:id="31"/>
      </w:r>
      <w:r>
        <w:rPr>
          <w:rFonts w:ascii="Amiri" w:hAnsi="Amiri" w:eastAsia="Amiri" w:cs="Amiri"/>
          <w:color w:val="111111"/>
          <w:sz w:val="28"/>
          <w:sz w:val="28"/>
          <w:szCs w:val="28"/>
          <w:rtl w:val="true"/>
          <w:lang w:bidi="ar-SA"/>
        </w:rPr>
        <w:t xml:space="preserve">، لكن جعل المقسم ما يكتسب به ، مع عدّه ما لا ينتفع به وما يجب على الإنسان فعله من الأقسام ؛ وهما ليسا من أقسام ما جعله مقسماً ، وكذا ما ذكرها في المكروهات ، كبيع الصرف والأكفان وغيرهما ممّا هي من أنواع المكاسب المكروهة ، لا ما يكتسب به المكروه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مراده ما يكون الاكتساب به محرّماً أو مكروهاً أو مباحاً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المكاسب على خمسة أضرب حسب الأحكام الخمسة ، ثمّ المعايش على ثلاثة أضرب</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العلاّمة جعل المقسم المتاجر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بانقسام الأحكام الخمسة ، ومثّل للواجب بما يحتاج الإنسان إليه لقوته وقوت عياله مع انحصار الوجه </w:t>
      </w:r>
    </w:p>
    <w:p>
      <w:pPr>
        <w:pStyle w:val="BookText"/>
        <w:rPr/>
      </w:pPr>
      <w:r>
        <w:rPr>
          <w:rFonts w:ascii="Amiri" w:hAnsi="Amiri" w:eastAsia="Amiri" w:cs="Amiri"/>
          <w:color w:val="111111"/>
          <w:sz w:val="28"/>
          <w:sz w:val="28"/>
          <w:szCs w:val="28"/>
          <w:rtl w:val="true"/>
          <w:lang w:bidi="ar-SA"/>
        </w:rPr>
        <w:t xml:space="preserve">بالمتجر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صنعه ابن حمزة</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وللمكروه بالصرف ونحوه ، وللمحظور بأقسام عدّ منها ما لا ينتفع به ، كالحشرات ونحوها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 أنّ الأقسام للتجارة ، وأنّ الأحكام الخمسة هي التكليفية لا مع الوضعية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عدّ واجباً غير وجيه ؛ لأنّ التجارة لا تصير واجبة شرعاً ، ولو كان الطريق في تحصيل قوت العيال منحصراً بها ؛ لما حقّق في محلّه من عدم وجوب ما يتوقّف عليه الواجب حتّى المقدّمات الوجودية</w:t>
      </w:r>
      <w:r>
        <w:rPr>
          <w:rStyle w:val="FootnoteAnchor"/>
          <w:rtl w:val="true"/>
        </w:rPr>
        <w:footnoteReference w:id="35"/>
      </w:r>
      <w:r>
        <w:rPr>
          <w:rFonts w:ascii="Amiri" w:hAnsi="Amiri" w:eastAsia="Amiri" w:cs="Amiri"/>
          <w:color w:val="111111"/>
          <w:sz w:val="28"/>
          <w:sz w:val="28"/>
          <w:szCs w:val="28"/>
          <w:rtl w:val="true"/>
          <w:lang w:bidi="ar-SA"/>
        </w:rPr>
        <w:t xml:space="preserve">، وعلى فرض وجوب ما يتوقّف عليه ، يتعلّق الوجوب بعنوان آخر غير عنوان ذوات الموقوف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صارت واجبة بالعرض ، ليس وجيهاً ، والتفصيل يطلب من مظانّه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الحرمة في كثير ممّا ذكره غير ثابتة أو ثابتة العدم ، كالتجارة بما لا ينتفع به ؛ فإنّها من حيث هي تجارة ونقل وانتقال ليست محرّمة ، والتصرّف في مال الغير بعد بطلان المعاملة وإن كان محرّماً لكنّه غير مربوط بالتجارة ، وكذا التجارة بالأعيان النجسة غير ثابتة الحرمة ، على ما يأتي الكلام فيها </w:t>
      </w:r>
      <w:r>
        <w:rPr>
          <w:rStyle w:val="FootnoteAnchor"/>
          <w:rtl w:val="true"/>
        </w:rPr>
        <w:footnoteReference w:id="36"/>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bookmarkStart w:id="40" w:name="pg15158_206774"/>
    </w:p>
    <w:p>
      <w:pPr>
        <w:pStyle w:val="BookText"/>
        <w:rPr/>
      </w:pPr>
      <w:bookmarkEnd w:id="40"/>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المقسم في التجارة الواجبة والمستحبّة والمكروهة هو الكسب المنتهي إلى النقل والانتقال العقلائي الممضى ؛ أعني النقل والانتقال الواقعي الذي يوصل المكلّف إلى حفظ النظام مثلاً ، بناءً على ما هو التحقيق من وجوب المقدّمة الموصلة لا المطلقة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المحرّمة لو كان كذلك يلزم صحّة المعاملة وهي خلاف الواقع المسلّم عندهم ، فلا بدّ وأن يكون المراد فيها المعاملة العقلائية التي زعم العقلاء النقل فيها ، فلا يكون المقسم واحداً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المقسم نفس طبيعة المعاملة الجامعة بين الصحيحة والفاسدة ، وحيثية الإيصال من خصوصيات القسم </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851444_2142443653"/>
      <w:bookmarkStart w:id="42" w:name="_Toc13"/>
      <w:bookmarkEnd w:id="41"/>
      <w:r>
        <w:rPr>
          <w:rtl w:val="true"/>
        </w:rPr>
        <w:t>في متعلّق الحرمة</w:t>
      </w:r>
      <w:bookmarkEnd w:id="42"/>
    </w:p>
    <w:p>
      <w:pPr>
        <w:pStyle w:val="BookText"/>
        <w:rPr/>
      </w:pPr>
      <w:r>
        <w:rPr>
          <w:rFonts w:ascii="Amiri" w:hAnsi="Amiri" w:eastAsia="Amiri" w:cs="Amiri"/>
          <w:color w:val="111111"/>
          <w:sz w:val="28"/>
          <w:sz w:val="28"/>
          <w:szCs w:val="28"/>
          <w:rtl w:val="true"/>
          <w:lang w:bidi="ar-SA"/>
        </w:rPr>
        <w:t>ثمّ إنّ المحرّم على فرض ثبوته هو المعاملة العقلائية ؛ أي إنشاء السبب جدّاً لغرض التسبيب إلى النقل والانتقال ، لا النقل والانتقال ، ولا هو بقصد ترتّب الأثر</w:t>
      </w:r>
      <w:r>
        <w:rPr>
          <w:rStyle w:val="FootnoteAnchor"/>
          <w:rtl w:val="true"/>
        </w:rPr>
        <w:footnoteReference w:id="38"/>
      </w:r>
      <w:r>
        <w:rPr>
          <w:rFonts w:ascii="Amiri" w:hAnsi="Amiri" w:eastAsia="Amiri" w:cs="Amiri"/>
          <w:color w:val="111111"/>
          <w:sz w:val="28"/>
          <w:sz w:val="28"/>
          <w:szCs w:val="28"/>
          <w:rtl w:val="true"/>
          <w:lang w:bidi="ar-SA"/>
        </w:rPr>
        <w:t>، ولا تبديل المال أو المنفعة</w:t>
      </w:r>
      <w:r>
        <w:rPr>
          <w:rStyle w:val="FootnoteAnchor"/>
          <w:rtl w:val="true"/>
        </w:rPr>
        <w:footnoteReference w:id="39"/>
      </w:r>
      <w:r>
        <w:rPr>
          <w:rFonts w:ascii="Amiri" w:hAnsi="Amiri" w:eastAsia="Amiri" w:cs="Amiri"/>
          <w:color w:val="111111"/>
          <w:sz w:val="28"/>
          <w:sz w:val="28"/>
          <w:szCs w:val="28"/>
          <w:rtl w:val="true"/>
          <w:lang w:bidi="ar-SA"/>
        </w:rPr>
        <w:t xml:space="preserve">؛ لأنّ الظاهر أنّ المعاملات هي الأسباب التي قد تنتهي إلى المسبّبات وقد لا تنتهي إليها ؛ ولهذا صحّ تقسيمها إلى الصحيحة والفاسدة بلا تأوّل ، فلو كانت عبارة عن النقل والتبديل لكان أمرها دائراً بين الوجود والعدم ، لا الصحّة والفساد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يعقل أن يكون المحرّم النقل وما يتلوه ؛ لأ نّهما غير ممكن التحقّق بعد </w:t>
      </w:r>
    </w:p>
    <w:p>
      <w:pPr>
        <w:pStyle w:val="BookText"/>
        <w:rPr/>
      </w:pPr>
      <w:r>
        <w:rPr>
          <w:rFonts w:ascii="Amiri" w:hAnsi="Amiri" w:eastAsia="Amiri" w:cs="Amiri"/>
          <w:color w:val="111111"/>
          <w:sz w:val="28"/>
          <w:sz w:val="28"/>
          <w:szCs w:val="28"/>
          <w:rtl w:val="true"/>
          <w:lang w:bidi="ar-SA"/>
        </w:rPr>
        <w:t xml:space="preserve">وضوح بطلان تلك المعاملات نصّاً وفتوى ، وإرادة النقل العقلائي مع قطع النظر عن حكم الشرع ولو لعدم الإنفاذ ، لا ترجع إلى محصّل ؛ لعدم الوجود للنقل اللولائي ، كما لا وجود للنقل الوهمي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يمكن أن يتّصف بالحرمة هو المعاملة السببية ؛ أي الإنشاء الجدّي بقصد حصول المسبّبات ، لا بمعنى كون القصد جزء الموضوع ، بل بمعنى أنّ موضوع الحرمة الإنشاء الجدّي الملازم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هاهنا ، لا ينافي ما اخترناه من دلالة النهي المتعلّق بمعاملة</w:t>
      </w:r>
    </w:p>
    <w:p>
      <w:pPr>
        <w:pStyle w:val="BookText"/>
        <w:rPr/>
      </w:pPr>
      <w:r>
        <w:rPr>
          <w:rFonts w:ascii="IRNazanin" w:hAnsi="IRNazanin" w:eastAsia="IRNazanin"/>
          <w:color w:val="111111"/>
          <w:sz w:val="28"/>
          <w:sz w:val="28"/>
          <w:szCs w:val="28"/>
          <w:rtl w:val="true"/>
          <w:lang w:bidi="fa-IR"/>
        </w:rPr>
        <w:t>على صحّتها ؛ وفاقاً لبعض أهل الخلاف</w:t>
      </w:r>
      <w:r>
        <w:rPr>
          <w:rStyle w:val="FootnoteAnchor"/>
          <w:rtl w:val="true"/>
        </w:rPr>
        <w:footnoteReference w:id="40"/>
      </w:r>
      <w:r>
        <w:rPr>
          <w:rFonts w:ascii="Amiri" w:hAnsi="Amiri" w:eastAsia="Amiri" w:cs="Amiri"/>
          <w:color w:val="111111"/>
          <w:sz w:val="28"/>
          <w:sz w:val="28"/>
          <w:szCs w:val="28"/>
          <w:rtl w:val="true"/>
          <w:lang w:bidi="ar-SA"/>
        </w:rPr>
        <w:t xml:space="preserve">؛ لأنّ الكلام هناك في الدلالة العرفية أو العقلية ، وفي المقام في تصوير متعلّق الحرمة بعد الفراغ عن بطلان المعاملة وحرمتها ، مع أنّ ما ذكرناه هناك لا يخلو من كلام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فلنرجع إلى أقسام المعاملات المحرّمة أو ما قيل بتحريمها </w:t>
      </w:r>
      <w:r>
        <w:rPr>
          <w:rFonts w:eastAsia="Amiri" w:cs="Amiri" w:ascii="Amiri" w:hAnsi="Amiri"/>
          <w:color w:val="111111"/>
          <w:sz w:val="28"/>
          <w:szCs w:val="28"/>
          <w:rtl w:val="true"/>
          <w:lang w:bidi="ar-SA"/>
        </w:rPr>
        <w:t xml:space="preserve">: </w:t>
      </w:r>
      <w:bookmarkStart w:id="43" w:name="pg15158_206776"/>
    </w:p>
    <w:p>
      <w:pPr>
        <w:pStyle w:val="Heading3"/>
        <w:numPr>
          <w:ilvl w:val="2"/>
          <w:numId w:val="1"/>
        </w:numPr>
        <w:rPr/>
      </w:pPr>
      <w:bookmarkStart w:id="44" w:name="__RefHeading___Toc1851446_2142443653"/>
      <w:bookmarkStart w:id="45" w:name="_Toc14"/>
      <w:bookmarkEnd w:id="43"/>
      <w:bookmarkEnd w:id="44"/>
      <w:r>
        <w:rPr>
          <w:rtl w:val="true"/>
        </w:rPr>
        <w:t>القسم الأوّل في الاكتساب بالأعيان النجسة</w:t>
      </w:r>
      <w:bookmarkEnd w:id="45"/>
    </w:p>
    <w:p>
      <w:pPr>
        <w:pStyle w:val="Heading4"/>
        <w:numPr>
          <w:ilvl w:val="3"/>
          <w:numId w:val="1"/>
        </w:numPr>
        <w:rPr/>
      </w:pPr>
      <w:bookmarkStart w:id="46" w:name="__RefHeading___Toc1851448_2142443653"/>
      <w:bookmarkStart w:id="47" w:name="_Toc15"/>
      <w:bookmarkEnd w:id="46"/>
      <w:r>
        <w:rPr>
          <w:rtl w:val="true"/>
        </w:rPr>
        <w:t>اشارة</w:t>
      </w:r>
      <w:bookmarkEnd w:id="4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جهات من البحث </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5158_206778"/>
      <w:bookmarkStart w:id="49" w:name="pg15158_206778"/>
      <w:bookmarkEnd w:id="49"/>
    </w:p>
    <w:p>
      <w:pPr>
        <w:pStyle w:val="Heading4"/>
        <w:numPr>
          <w:ilvl w:val="3"/>
          <w:numId w:val="1"/>
        </w:numPr>
        <w:rPr/>
      </w:pPr>
      <w:bookmarkStart w:id="50" w:name="pg15158_206778"/>
      <w:bookmarkStart w:id="51" w:name="__RefHeading___Toc1851450_2142443653"/>
      <w:bookmarkStart w:id="52" w:name="_Toc16"/>
      <w:bookmarkEnd w:id="50"/>
      <w:bookmarkEnd w:id="51"/>
      <w:r>
        <w:rPr>
          <w:rtl w:val="true"/>
        </w:rPr>
        <w:t xml:space="preserve">الجهة الاُولى </w:t>
      </w:r>
      <w:r>
        <w:rPr>
          <w:rtl w:val="true"/>
        </w:rPr>
        <w:t xml:space="preserve">: </w:t>
      </w:r>
      <w:r>
        <w:rPr>
          <w:rtl w:val="true"/>
        </w:rPr>
        <w:t>في الحرمة التكليفية للاكتساب بالأعيان النجسة</w:t>
      </w:r>
      <w:bookmarkEnd w:id="52"/>
    </w:p>
    <w:p>
      <w:pPr>
        <w:pStyle w:val="Heading4"/>
        <w:numPr>
          <w:ilvl w:val="3"/>
          <w:numId w:val="1"/>
        </w:numPr>
        <w:rPr/>
      </w:pPr>
      <w:bookmarkStart w:id="53" w:name="__RefHeading___Toc1851452_2142443653"/>
      <w:bookmarkStart w:id="54" w:name="_Toc17"/>
      <w:bookmarkEnd w:id="53"/>
      <w:r>
        <w:rPr>
          <w:rtl w:val="true"/>
        </w:rPr>
        <w:t xml:space="preserve">وفیه جهات من البحث </w:t>
      </w:r>
      <w:r>
        <w:rPr>
          <w:rtl w:val="true"/>
        </w:rPr>
        <w:t>:</w:t>
      </w:r>
      <w:bookmarkEnd w:id="54"/>
    </w:p>
    <w:p>
      <w:pPr>
        <w:pStyle w:val="Heading5"/>
        <w:numPr>
          <w:ilvl w:val="4"/>
          <w:numId w:val="1"/>
        </w:numPr>
        <w:rPr/>
      </w:pPr>
      <w:bookmarkStart w:id="55" w:name="__RefHeading___Toc1851454_2142443653"/>
      <w:bookmarkStart w:id="56" w:name="_Toc18"/>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المهمّ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حرمته شرعاً ؛ بمعنى أنّ إيقاع المعاملة عليها محرّم وإن لم يترتّب عليها المسبّب ولا يحصل 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عليها بحرمتها ونجاستها وعدم المنفعة المعتدّ بها لها </w:t>
      </w:r>
      <w:r>
        <w:rPr>
          <w:rStyle w:val="FootnoteAnchor"/>
          <w:rtl w:val="true"/>
        </w:rPr>
        <w:footnoteReference w:id="41"/>
      </w:r>
      <w:r>
        <w:rPr>
          <w:rFonts w:ascii="Amiri" w:hAnsi="Amiri" w:eastAsia="Amiri" w:cs="Amiri"/>
          <w:color w:val="111111"/>
          <w:sz w:val="28"/>
          <w:sz w:val="28"/>
          <w:szCs w:val="28"/>
          <w:rtl w:val="true"/>
          <w:lang w:bidi="ar-SA"/>
        </w:rPr>
        <w:t xml:space="preserve">، ليس على ما ينبغي ؛ لأنّها لا تقتضي الحرمة الشرعية لنفس المعاملة ، إلاّ أن يراد بالأوّلين بيان تحقّق موضوع الروايات ، كرواية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 فالأولى صرف الكلام إليها،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دلّت أو يتوهّم دلالتها على عموم المدّعى ، روايات ضعيفة الأسناد ، بل في كون بعضها رواية تأمّل ونظر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جبر أسنادها غير وجيهة ؛ لعدم إحراز استناد الأصحاب إليها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يدّعى الجزم على أن لا مستند لهم غيرها ، وهو محلّ كلام ؛ لاحتمال </w:t>
      </w:r>
    </w:p>
    <w:p>
      <w:pPr>
        <w:pStyle w:val="BookText"/>
        <w:rPr/>
      </w:pPr>
      <w:r>
        <w:rPr>
          <w:rFonts w:ascii="Amiri" w:hAnsi="Amiri" w:eastAsia="Amiri" w:cs="Amiri"/>
          <w:color w:val="111111"/>
          <w:sz w:val="28"/>
          <w:sz w:val="28"/>
          <w:szCs w:val="28"/>
          <w:rtl w:val="true"/>
          <w:lang w:bidi="ar-SA"/>
        </w:rPr>
        <w:t xml:space="preserve">استفادتهم الحكم الكلّي من الموارد الخاصّة ولو بإلغاء الخصوصية ، كما يظهر ذلك من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أخفى سنداً وأوضح دلالة من غيرها ، وفيها بعد ذكر وجوه الحلال من وجه التجارات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كلّه حلال بيعه وشراؤه وإمساكه واستعماله وهبته وعاريته ، وأمّا وجوه الحرام من البيع والشراء ، فكلّ أمر يكون فيه الفساد ممّا هو منهيّ عنه من جهة أكله أو شربه أو كسبه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نكاحه أو ملكه أو إمساكه أو هبته أو عاريته ، أو شيء يكون فيه وجه من وجوه الفساد ، نظير البيع بالربا أو البيع للميتة ، أو الدم ، أو لحم الخنزير،أو لحوم السباع من صنوف سباع الوحش والطير ، أو جلودها ، أو الخمر ، أو شيء من وجوه النجس ؛ فهذا كلّه حرام ومحرّم ؛ لأنّ ذلك كلّه منهيّ عن أكله وشربه ولبسه وملكه وإمساكه والتقلّب فيه فجميع تقلّبه في ذلك حرام</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ينبغي الإشكال في دلالتها على عموم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الحرام على الوضعي ؛ بدعوى عدم ظهوره في التكليفي ، سيّما في زمان الصدور ، غير صحيح ، كما يتّضح بالنظر إلى فقرات الرواية ، سيّما مع ذكر شاللبس والإمساك وسائر التقلّبات فيها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التقلّب في ذلك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لما تقدّم ، فكأ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الأكل والشرب واللبس وغيرها حرام ، كذلك سائر التقلّبات كالبيع والشراء </w:t>
      </w:r>
    </w:p>
    <w:p>
      <w:pPr>
        <w:pStyle w:val="BookText"/>
        <w:rPr/>
      </w:pPr>
      <w:r>
        <w:rPr>
          <w:rFonts w:ascii="Amiri" w:hAnsi="Amiri" w:eastAsia="Amiri" w:cs="Amiri"/>
          <w:color w:val="111111"/>
          <w:sz w:val="28"/>
          <w:sz w:val="28"/>
          <w:szCs w:val="28"/>
          <w:rtl w:val="true"/>
          <w:lang w:bidi="ar-SA"/>
        </w:rPr>
        <w:t xml:space="preserve">والصلح والعارية وغيرها أيضاً حرام ، فهي كالنصّ في الحرمة التكليفية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أمر يكون فيه الفساد ممّا قد نهي عنه من جهة أكله وشربه ولبسه ونكاحه وإمساكه ، لوجه الفساد ، ومثل الميتة والدم ولحم الخنزير والربا وجمي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الفواحش ولحوم السباع والخمر وما أشبه ذلك ، فحرام ضارّ للجسم وفساد للنفس</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ودلالتها دون السابقة ؛ لاحتمال إرادة الحرمة الوضعية ، ولا قرينة على التكليفية ؛ لأنّ الظاهر منها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حلال بيعه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 للجسم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نكتة لتحريم الأكل والشرب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الخدشة في دلالتها وإن كان الأرجح أيضاً إرادة الحرمة الشرعية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الحلال من البيوع ، كلّ ما هو حلال من المأكول والمشروب وغير ذلك ؛ ممّا هو قوام للناس وصلاح ومباح لهم الانتفاع به ، وما كان محرّماً أصله ، منهيّاً عنه لم يجز بيعه ولا شراؤه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ضعيفة الدلالة ؛ لأنّ الظاهر من جواز البيع وعدم جوازه ، هو الجواز الوضعي ؛ لأنّ الأوامر والنواهي وكذا الجواز وعدمه إذا تعلّقت بالعناوين الآلية التوصّلية تكون ظاهرة في الإرشاد إلى عدم إمكان التوصّل بها إلى ما يتوقّع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وبر 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الصلاة في وبره</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 ظاهران في عدم صحّتها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بيع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عدم النفسية لتلك العناوين وعدم كونها منظوراً فيها ، بل هي عناوين آلية للتوصّل إلى ما هو المقصود من النقل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فاستفادة الحرمة النفسية لعنوان البيع منها ، تحتاج إلى قيام قرينة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بائع الخبيثات ومشتريها في الإثم سواء</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دلالتها تأمّل ؛ لعدم ظهورها في أنّ الإثم لنفس البيع والشراء ، فإنّها في مقام بيان حكم آخر بعد فرض إثم لهما ، فلا يظهر منها أنّ الإثم المفروض لأجل نفس عنوان البيع والشراء ، أو لأخذ الثمن والتصرّف فيه وأخذ الخمر وشربه ، وإن لا تخل من إشعار على أنّ المحرّم البيع والشراء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وردت في العذرة ، كرواية سماعة بن مهران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تكون </w:t>
      </w:r>
    </w:p>
    <w:p>
      <w:pPr>
        <w:pStyle w:val="BookText"/>
        <w:rPr/>
      </w:pPr>
      <w:r>
        <w:rPr>
          <w:rFonts w:ascii="IRNazanin" w:hAnsi="IRNazanin" w:eastAsia="IRNazanin"/>
          <w:color w:val="111111"/>
          <w:sz w:val="28"/>
          <w:sz w:val="28"/>
          <w:szCs w:val="28"/>
          <w:rtl w:val="true"/>
          <w:lang w:bidi="fa-IR"/>
        </w:rPr>
        <w:t xml:space="preserve">موثّقة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علیه السلام وأنا حاضر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رجل أبيع العذرة فما تقول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بيعها وثمنها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ببيع العذرة</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يكتسب به ، 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مستقلّة صدرت في مورد آخر ، جمعها مع ما قبلها سماعة في كلام واحد ، كما يؤيّده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العذرة بالاسم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يقال في مقام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بيعها وثمنها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بين الوضعي والتكليفي ،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الحرمة التكليفية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تقدّم من أنّ الحرمة إذا تعلّقت بالعناوين التوصّلية الآلية ظاهرة في الوضعية ، وإذا تعلّقت بالعناوين النفسية ظاهرة في التكليفية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لولا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بأس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يكون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التكليفية ؛ لعدم معنىً للوضعية بالنسبة إلى الثمن إلاّ بتكلّف بعيد ، والحمل على الجامع خلاف الظاهر ، والحمل على التكليفية بالنسبة إلى البيع وإن كان خلاف الظاهر أيضاً ، لكنّه أرجح من الحمل على الجامع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أنّ المراد من الحرمة المعنى الأعمّ ، سيّما إذا كانت تلك الفقرة في ذيل الاُولى ، فكأ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بيعها وضعاً ، ولا بأس به تكليفاً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وإن لا يخلو من التكلّف ، لكنّه أرجح من سائر ما قيل في </w:t>
      </w:r>
    </w:p>
    <w:p>
      <w:pPr>
        <w:pStyle w:val="BookText"/>
        <w:rPr/>
      </w:pPr>
      <w:r>
        <w:rPr>
          <w:rFonts w:ascii="IRNazanin" w:hAnsi="IRNazanin" w:eastAsia="IRNazanin"/>
          <w:color w:val="111111"/>
          <w:sz w:val="28"/>
          <w:sz w:val="28"/>
          <w:szCs w:val="28"/>
          <w:rtl w:val="true"/>
          <w:lang w:bidi="fa-IR"/>
        </w:rPr>
        <w:t>وجه الجمع</w:t>
      </w:r>
      <w:r>
        <w:rPr>
          <w:rStyle w:val="FootnoteAnchor"/>
          <w:rtl w:val="true"/>
        </w:rPr>
        <w:footnoteReference w:id="50"/>
      </w:r>
      <w:r>
        <w:rPr>
          <w:rFonts w:ascii="Amiri" w:hAnsi="Amiri" w:eastAsia="Amiri" w:cs="Amiri"/>
          <w:color w:val="111111"/>
          <w:sz w:val="28"/>
          <w:sz w:val="28"/>
          <w:szCs w:val="28"/>
          <w:rtl w:val="true"/>
          <w:lang w:bidi="ar-SA"/>
        </w:rPr>
        <w:t xml:space="preserve">، بل لا يبعد أن يكون مقبولاً مع ملاحظة أنّ في الشريعة بيعاً لا بأس به بعنوانه ، وما هو حرام كذلك ، مع بطلانهما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فتدلّ على عدم حرمة بيعها ذاتاً وإن كان باطلاً ، وأنّ مساقها ليس مساق الخمر الحرام بيعها بعنوانه على ما هو ظاهر جملة من الروايات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فرض عدم مقبولية الجمع المذكور ولا سائر ما قيل في وجهه ، فالظاهر لزوم العمل على أدلّة العلاج ، خلافاً للشيخ الأعظم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الجمع بين الحكمين في كلام واحد لمخاطب واحد ، يدلّ على أنّ تعارض الأوّلين ليس إلاّ من حيث الدلالة ، فلا يرجع فيه إلى المرجّحات السندية أو الخارجية</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انتهى ، ويريد بالأوّلين ، رواية يعقوب بن شعيب ومحمّد بن مضارب</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اليد عن قواعد باب التعارض لا يجوز إلاّ بعد إحراز كون رواية سماعة صادرة في مجلس واحد لمخاطب واحد ، وهو غير مسلّم ؛ لاحتمال جمعهما في نقل واحد ، خصوصاً مع إشعار نفس الرواية بذلك كما تقدّم ، وبُعد صدور مثلها في كلام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الراوي سماعة الذي قيل في مضمراته</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جمع روايات مستقلاّت في نقل واحد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سمّى المرويّ عنه في صدرها ، وأضمر في البقيّة ، فيظهر منه أنّ دأبه </w:t>
      </w:r>
    </w:p>
    <w:p>
      <w:pPr>
        <w:pStyle w:val="BookText"/>
        <w:rPr/>
      </w:pPr>
      <w:r>
        <w:rPr>
          <w:rFonts w:ascii="Amiri" w:hAnsi="Amiri" w:eastAsia="Amiri" w:cs="Amiri"/>
          <w:color w:val="111111"/>
          <w:sz w:val="28"/>
          <w:sz w:val="28"/>
          <w:szCs w:val="28"/>
          <w:rtl w:val="true"/>
          <w:lang w:bidi="ar-SA"/>
        </w:rPr>
        <w:t xml:space="preserve">الجمع في النقل عن روايات مستقلّة متفرّقة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تعارض الأوّلين من حيث الدلالة ، لا يوجب رفع اليد عن أدلّة العلاج ، بل هو محقّق موضوعها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كشف ذلك عن وجه الجمع بينهما ، كان لما ذكر وجه ، لكنّه كما ترى ؛ لأنّ الميزان في جمع الروايتين هو الجمع المقبول العقلائي ؛ وهو أمر لا يكاد يخفى على العرف ، وليس أمراً تعبّدياً يبنى عليه تعبّداً ، ومع عدم وجه الجمع بينهما عرفاً ، يحرز موضوع أدلّة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العمل بأدلّة التعارض في رواية واحدة مشتملة على حكمين متنافيين ، لا يوجب عدم العمل بها في الحديثين المختلفين المستقلّين ، 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عدم الرجوع إلى المرجّحات في رواية مشتملة على حكمين متنافيين ، غير مسلّم ؛ لإمكان أن يقال بصدق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عنكم الخبران المختلفان</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يروى عن أبي عبداللّه علیه السلام شيء ويروى عنه خلاف ذلك فبأيّهما آخذ </w:t>
      </w:r>
      <w:r>
        <w:rPr>
          <w:rFonts w:eastAsia="IRNazanin" w:cs="IRNazanin"/>
          <w:color w:val="111111"/>
          <w:sz w:val="28"/>
          <w:szCs w:val="28"/>
          <w:rtl w:val="true"/>
          <w:lang w:bidi="fa-IR"/>
        </w:rPr>
        <w:t>. . .»</w:t>
      </w:r>
      <w:r>
        <w:rPr>
          <w:rStyle w:val="FootnoteAnchor"/>
          <w:rtl w:val="true"/>
        </w:rPr>
        <w:footnoteReference w:id="55"/>
      </w:r>
      <w:r>
        <w:rPr>
          <w:rFonts w:ascii="Amiri" w:hAnsi="Amiri" w:eastAsia="Amiri" w:cs="Amiri"/>
          <w:color w:val="111111"/>
          <w:sz w:val="28"/>
          <w:sz w:val="28"/>
          <w:szCs w:val="28"/>
          <w:rtl w:val="true"/>
          <w:lang w:bidi="ar-SA"/>
        </w:rPr>
        <w:t xml:space="preserve">على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الانصراف إلى النقلين المنفصلين ممنوعة جدّاً ، بل مناسبات الحكم والموضوع تقتضي عموم الحكم للمتّصلين أيضاً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على فرض تسليم دلالة الرواية على حرمة بيع العذرة تكليفاً ، بتسليم </w:t>
      </w:r>
    </w:p>
    <w:p>
      <w:pPr>
        <w:pStyle w:val="BookText"/>
        <w:rPr/>
      </w:pPr>
      <w:r>
        <w:rPr>
          <w:rFonts w:ascii="Amiri" w:hAnsi="Amiri" w:eastAsia="Amiri" w:cs="Amiri"/>
          <w:color w:val="111111"/>
          <w:sz w:val="28"/>
          <w:sz w:val="28"/>
          <w:szCs w:val="28"/>
          <w:rtl w:val="true"/>
          <w:lang w:bidi="ar-SA"/>
        </w:rPr>
        <w:t>جمع شيخ الطائفة</w:t>
      </w:r>
      <w:r>
        <w:rPr>
          <w:rStyle w:val="FootnoteAnchor"/>
          <w:rtl w:val="true"/>
        </w:rPr>
        <w:footnoteReference w:id="56"/>
      </w:r>
      <w:r>
        <w:rPr>
          <w:rFonts w:ascii="Amiri" w:hAnsi="Amiri" w:eastAsia="Amiri" w:cs="Amiri"/>
          <w:color w:val="111111"/>
          <w:sz w:val="28"/>
          <w:sz w:val="28"/>
          <w:szCs w:val="28"/>
          <w:rtl w:val="true"/>
          <w:lang w:bidi="ar-SA"/>
        </w:rPr>
        <w:t xml:space="preserve">وحمل حرمة البيع على التكليفية ، فهل يمكن إسراء الحكم إلى سائر النجاسات ، كالبول والدم وغيرهما ، بدعوى إلغاء الخصوصية ، واستفادة أنّ حرمة بيع العذرة لقذارتها ونجاستها ، أم لا ؟ لمنع إلغاء الخصوصية عرفاً ؛ فإنّ الطباع تتنفّر عن العذرة ما لا تتنفّر عن غيرها ، وأنّ في بيعها نحو مهانة للنفوس الآبية ، لعلّ الشارع الأقدس لم يرض للمؤمن تلك المهانة والدناءة ، فحرّم بيعها تكليفاً ، بخلاف سائر النجاسات ، كالخمر والخنزير والكلب حتّى البول ، فلا يمكن إسراء الحكم إليها ، وهو الأرجح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خرء سائر الحيوانات الغير المأكولة فالظاهر صدق العذرة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عدم الصدق ، فإلغاء الخصوصية عن عذرة الإنسان وإسراء الحكم إلى سائر العذرات النجسة ، غير بعيد وإن لا يخلو عن إشكال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وردت في الخمر ، وهي روايات مستفيضة متقاربة المضمون ، مرويّة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للراوندي</w:t>
      </w:r>
      <w:r>
        <w:rPr>
          <w:rStyle w:val="FootnoteAnchor"/>
          <w:rtl w:val="true"/>
        </w:rPr>
        <w:footnoteReference w:id="6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وأسنادها وإن لا تخلو عن خدشة ، لكن يمكن دعوى الوثوق والاطمئنان بالصدور إجمالاً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رواية جابر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رسول اللّه‌ صلی الله علیه و آله وسلم  في الخمر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غارسها ، وحارسها ، وعاصرها ، وشاربها ، وساقيها ، وحاملها ، والمحمولة إليه ، وبائعها ، ومشتريها ، وآكل ثمنها</w:t>
      </w:r>
      <w:r>
        <w:rPr>
          <w:rFonts w:eastAsia="IRNazanin" w:cs="IRNazanin"/>
          <w:color w:val="111111"/>
          <w:sz w:val="28"/>
          <w:szCs w:val="28"/>
          <w:rtl w:val="true"/>
          <w:lang w:bidi="fa-IR"/>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منها غيرها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شبهة في دلالتها على المدّعى في خصوص الخمر ؛ فإنّ الظاهر من لعن البائع والمشتري في مقابل آكل الثمن ، أ نّهما بما لهما من العنوان ملعونان ، فيظهر</w:t>
      </w:r>
    </w:p>
    <w:p>
      <w:pPr>
        <w:pStyle w:val="BookText"/>
        <w:rPr/>
      </w:pPr>
      <w:r>
        <w:rPr>
          <w:rFonts w:ascii="Amiri" w:hAnsi="Amiri" w:eastAsia="Amiri" w:cs="Amiri"/>
          <w:color w:val="111111"/>
          <w:sz w:val="28"/>
          <w:sz w:val="28"/>
          <w:szCs w:val="28"/>
          <w:rtl w:val="true"/>
          <w:lang w:bidi="ar-SA"/>
        </w:rPr>
        <w:t xml:space="preserve">منه أنّ البيع والاشتراء محرّمان وإن لم يترتّب عليهما أثرهما المطلوب شرعاً ؛ أي النقل والانتقال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إسراء الحكم إلى سائر النجاسات فغير جائز ؛ لخصوصية في الخمر ليست في غيرها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الظاهر كون سائر أنواع المسكرات بحكمها ؛ لاحتمال صدقها عليها ولو ببعض المناسبات ، ولعموم التنزيل في روايات عديدة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كرواية أبي الجارود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الخمر فكلّ مسكر من الشراب إذا أخمر فهو خمر</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عطاء بن يسار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w:t>
      </w:r>
    </w:p>
    <w:p>
      <w:pPr>
        <w:pStyle w:val="BookText"/>
        <w:rPr/>
      </w:pPr>
      <w:r>
        <w:rPr>
          <w:rFonts w:ascii="Amiri" w:hAnsi="Amiri" w:eastAsia="Amiri" w:cs="Amiri"/>
          <w:color w:val="111111"/>
          <w:sz w:val="28"/>
          <w:sz w:val="28"/>
          <w:szCs w:val="28"/>
          <w:rtl w:val="true"/>
          <w:lang w:bidi="ar-SA"/>
        </w:rPr>
        <w:t>مسكر حرام وكلّ مسكر خمر</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علي بن يقطين عن أبي الحسن الماضي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لم يحرّم الخمر لاسمها ، ولكن حرّمها لعاقبتها ، فما كان عاقبته عاقبة الخمر فهو خمر</w:t>
      </w:r>
      <w:r>
        <w:rPr>
          <w:rFonts w:eastAsia="IRNazanin" w:cs="IRNazanin"/>
          <w:color w:val="111111"/>
          <w:sz w:val="28"/>
          <w:szCs w:val="28"/>
          <w:rtl w:val="true"/>
          <w:lang w:bidi="fa-IR"/>
        </w:rPr>
        <w:t>»</w:t>
      </w:r>
      <w:r>
        <w:rPr>
          <w:rStyle w:val="FootnoteAnchor"/>
          <w:rtl w:val="true"/>
        </w:rPr>
        <w:footnoteReference w:id="70"/>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دلالتها على المطلوب لا تكاد تخفى ؛ لإطلاق التنزيل ولأنّ الحمل يقتضي الاتّحاد، وبعد عدم كونه تكويناً لا بدّ من تصحيحه ، وتصحيح الدعوى كونهما واحداً من جميع الجهات في التشريع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والحمل على بعض الآثار غير وجيه ؛ لعدم وجاهة الحمل وصحّته ، مع اختلافهما في جميع الآثار إلاّ في حرمة الشرب مثلاً ، إلاّ أن تكون سائر الآثار بحكم العدم ، فيحتاج إلى دعوى اُخرى ، وهي خلاف الظاهر ، بل الحمل مع موافقتهما في جملة من الآثار يعدّ غير وجيه عرفاً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مقتضى تحكيم تلك الروايات على الروايات المشتملة على لعن رسول اللّه‌ صلی الله علیه و آله وسلم  الخمر وبائعها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أنّ ما ثبت لها في تلك الروايات ، ثبت لسائر المسكرات ، فإنّ هذه الروايات منقّحة لموضوعها ، ومعه لا مجال للتشكيك في الدلالة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وخصوص ما ورد في الفقّاع في رواية سليمان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 علیه السلام ما تقول في شرب الفقّاع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 مجهول يا سليمان فلا تشربه، أما يا سليمان لو كان الحكم لي والدار لي لجلدت شاربه ولقتلت بائعه</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ورواية الوشّاء التي لا يبعد أن تكون صحيحة ، المحكيّة عن رسالة تحريم الفقّاع للشيخ الطوسي  قدّس سرّه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الفقّاع ، فكتب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 وهو خمر ، ومن شربه كان بمنزلة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لي أبو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الدار لي لقتلت بائعه ولجلدت شاربه</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هاهنا جملة من الروايات في بيع الخنزير والكلب والميتة وغيرها </w:t>
      </w:r>
      <w:r>
        <w:rPr>
          <w:rStyle w:val="FootnoteAnchor"/>
          <w:rtl w:val="true"/>
        </w:rPr>
        <w:footnoteReference w:id="73"/>
      </w:r>
      <w:r>
        <w:rPr>
          <w:rFonts w:ascii="Amiri" w:hAnsi="Amiri" w:eastAsia="Amiri" w:cs="Amiri"/>
          <w:color w:val="111111"/>
          <w:sz w:val="28"/>
          <w:sz w:val="28"/>
          <w:szCs w:val="28"/>
          <w:rtl w:val="true"/>
          <w:lang w:bidi="ar-SA"/>
        </w:rPr>
        <w:t xml:space="preserve">، وفي دلالتها إشكال ومنع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التمسّك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xml:space="preserve">بدعوى أنّ وجوب الاجتناب متفرّع على </w:t>
      </w:r>
    </w:p>
    <w:p>
      <w:pPr>
        <w:pStyle w:val="BookText"/>
        <w:rPr/>
      </w:pPr>
      <w:r>
        <w:rPr>
          <w:rFonts w:ascii="Amiri" w:hAnsi="Amiri" w:eastAsia="Amiri" w:cs="Amiri"/>
          <w:color w:val="111111"/>
          <w:sz w:val="28"/>
          <w:sz w:val="28"/>
          <w:szCs w:val="28"/>
          <w:rtl w:val="true"/>
          <w:lang w:bidi="ar-SA"/>
        </w:rPr>
        <w:t>الرجس ، فيدلّ على علّية الرجس لذلك ، وأنّ المذكورات واجبة الاجتناب ؛ لكونها رجساً ، فتدلّ الآية على وجوب الاجتناب عن كلّ رجس ، ومقتضى إطلاق وجوب التجنّب عنه ، الاجتناب عن جميع التقلّبات ، ومنها البيع والشراء</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وجيه ؛ لأنّ الظاهر منها أنّ وجوب الاجتناب متفرّع على الرجس الذي هو من عمل الشيطان ، وكون الشيء من عمله بأيّ معنىً كان ، لا يمكن لنا إحرازه إلاّ ببيان من الشارع ، ومع الشكّ في كون شيء من عمله ، كالبيع والشراء ، لا يمكن التمسّك بها لإثبات وجوب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مع أنّ نفس الخمر ليست من عمله ، وإن كانت رجساً فلا بدّ من تقدير ، ولعلّ المقدّر الشرب ، لا مطلق التقلّبات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الخمر من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ادّعاء ، و المصحّح له هو كون جميع تقلّباتها من عمله ، ومع حرمة شربها فقط ، 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عمله بنحو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والمجاز في الحذف قد فرغنا عن تهجينه في محلّه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الرجس مطلقاً أو في خصوص المورد بمناسبة ذكر الميسر والأنصاب والأزلام ، يشكل أن يكون بمعنى النجاسة المعهودة ، وإن كان له وجه صحّة لو ثبتت إرادته ، لكن استظهار كونه بمعناها مشكل بل ممنوع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ويتلوها في عدم صحّة التمسّك بها للمطلوب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وَالرُّجْزَ </w:t>
      </w:r>
      <w:bookmarkStart w:id="57" w:name="pg15158_206790"/>
    </w:p>
    <w:p>
      <w:pPr>
        <w:pStyle w:val="BookText"/>
        <w:rPr/>
      </w:pPr>
      <w:bookmarkEnd w:id="57"/>
      <w:r>
        <w:rPr>
          <w:rFonts w:ascii="Amiri" w:hAnsi="Amiri" w:eastAsia="Amiri" w:cs="Amiri"/>
          <w:color w:val="111111"/>
          <w:sz w:val="28"/>
          <w:sz w:val="28"/>
          <w:szCs w:val="28"/>
          <w:rtl w:val="true"/>
          <w:lang w:bidi="ar-SA"/>
        </w:rPr>
        <w:t>فَاهْجُرْ</w:t>
      </w:r>
      <w:r>
        <w:rPr>
          <w:rFonts w:eastAsia="Amiri" w:cs="Amiri" w:ascii="Amiri" w:hAnsi="Amiri"/>
          <w:color w:val="111111"/>
          <w:sz w:val="28"/>
          <w:szCs w:val="28"/>
          <w:rtl w:val="true"/>
          <w:lang w:bidi="ar-SA"/>
        </w:rPr>
        <w:t>(</w:t>
      </w:r>
      <w:r>
        <w:rPr>
          <w:rStyle w:val="FootnoteAnchor"/>
          <w:rtl w:val="true"/>
        </w:rPr>
        <w:footnoteReference w:id="77"/>
      </w:r>
      <w:r>
        <w:rPr>
          <w:rStyle w:val="FootnoteAnchor"/>
          <w:rtl w:val="true"/>
        </w:rPr>
        <w:footnoteReference w:id="78"/>
      </w:r>
      <w:r>
        <w:rPr>
          <w:rFonts w:ascii="Amiri" w:hAnsi="Amiri" w:eastAsia="Amiri" w:cs="Amiri"/>
          <w:color w:val="111111"/>
          <w:sz w:val="28"/>
          <w:sz w:val="28"/>
          <w:szCs w:val="28"/>
          <w:rtl w:val="true"/>
          <w:lang w:bidi="ar-SA"/>
        </w:rPr>
        <w:t>فإنّ كونه بمعنى النجاسة المعهودة غير ظاهر ، كما لم يحتمله الطبرسي في تفسيره ،</w:t>
      </w:r>
      <w:r>
        <w:rPr>
          <w:rStyle w:val="FootnoteAnchor"/>
          <w:rtl w:val="true"/>
        </w:rPr>
        <w:footnoteReference w:id="79"/>
      </w:r>
      <w:r>
        <w:rPr>
          <w:rFonts w:ascii="Amiri" w:hAnsi="Amiri" w:eastAsia="Amiri" w:cs="Amiri"/>
          <w:color w:val="111111"/>
          <w:sz w:val="28"/>
          <w:sz w:val="28"/>
          <w:szCs w:val="28"/>
          <w:rtl w:val="true"/>
          <w:lang w:bidi="ar-SA"/>
        </w:rPr>
        <w:t xml:space="preserve">ولم ينقل احتماله من المفسّرين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فرضه لا يبعد أن يكون المراد من هجره ، الهجر في الصلاة ، كما لعلّه الظاهر من قوله تعالى قبلها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قبيل ذكر العامّ عقيب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فالاستدلال للمطلوب بها محلّ إشكال ومنع </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1851456_2142443653"/>
      <w:bookmarkStart w:id="59" w:name="_Toc19"/>
      <w:bookmarkEnd w:id="58"/>
      <w:r>
        <w:rPr>
          <w:rtl w:val="true"/>
        </w:rPr>
        <w:t xml:space="preserve">الجهة الثانية </w:t>
      </w:r>
      <w:r>
        <w:rPr>
          <w:rtl w:val="true"/>
        </w:rPr>
        <w:t xml:space="preserve">: </w:t>
      </w:r>
      <w:r>
        <w:rPr>
          <w:rtl w:val="true"/>
        </w:rPr>
        <w:t>في حرمة الأثمان المأخوذة بعنوان ثمن النجس أو الحرام</w:t>
      </w:r>
      <w:bookmarkEnd w:id="59"/>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مهمّة أصيلة في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أنّ الأثمان المأخوذة في مقابل الأعيان النجسة ، هل هي محرّمة بعنوان ثمن النجس أو الحرام ، أو ثمن الخمر والخنزير وغيرهما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ما يكتسب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حرام ، وهذا غير حرمة التصرّف في مال الغير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النبوي المعروف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وقريب منه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عوالي اللآلي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إذا حرّم على قوم أكل شيء حرّم عليهم ثمنه</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موسى بن جعفر علیه السلام ، عن آبائه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أخوف ما أخاف على اُمّتي من بعدي ، هذه المكاسب المحرّمة والشهوة الخفيّة والربا</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البرقي مرسلة نحوها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المكاسب جمع المكسب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يكتسب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ثمن المحرّمات ، 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صحيحة محمّد بن مسلم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من ثقيف</w:t>
      </w:r>
    </w:p>
    <w:p>
      <w:pPr>
        <w:pStyle w:val="BookText"/>
        <w:rPr/>
      </w:pPr>
      <w:r>
        <w:rPr>
          <w:rFonts w:ascii="IRNazanin" w:hAnsi="IRNazanin" w:eastAsia="IRNazanin"/>
          <w:color w:val="111111"/>
          <w:sz w:val="28"/>
          <w:sz w:val="28"/>
          <w:szCs w:val="28"/>
          <w:rtl w:val="true"/>
          <w:lang w:bidi="fa-IR"/>
        </w:rPr>
        <w:t>أهدى إلى رسول اللّه‌ صلی الله علیه و آله وسلم  راويتين من خمر ، فأمر بهما رسول اللّه‌ صلی الله علیه و آله وسلم</w:t>
      </w:r>
    </w:p>
    <w:p>
      <w:pPr>
        <w:pStyle w:val="BookText"/>
        <w:rPr/>
      </w:pPr>
      <w:r>
        <w:rPr>
          <w:rFonts w:ascii="Amiri" w:hAnsi="Amiri" w:eastAsia="Amiri" w:cs="Amiri"/>
          <w:color w:val="111111"/>
          <w:sz w:val="28"/>
          <w:sz w:val="28"/>
          <w:szCs w:val="28"/>
          <w:rtl w:val="true"/>
          <w:lang w:bidi="ar-SA"/>
        </w:rPr>
        <w:t xml:space="preserve">فاُهريقتا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حرّم شربها حرّم ثمنها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تشعر أو تدلّ على ملازمة حرمة الشيء شرباً أو أكلاً أو انتفاعاً لحرمة ثمنه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رواية أبي بصير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ثمن الخمر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اُهدي إلى رسول اللّه‌ صلی الله علیه و آله وسلم  راوية خمر بعد ما حرّمت الخمر فأمر بها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تباع ، فلمّا أن مرّ بها الذي يبيعها ، ناداه رسول اللّه‌ صلی الله علیه و آله وسلم  من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صاحب الراوية إنّ الذي حرّم شربها فقد حرّم ثمنها ، فأمر بها فصبّت في الصعيد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الخمر ومهر البغيّ وثمن الكلب الذي لا يصطاد من السحت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ولعلّها أوضح في التعميم؛ لمكان إرداف الخمر بمهر البغيّ وثمن الكلب،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استفادة العموم من الموارد الخاصّة الواردة فيها الروايات ، كثمن الخمر والنبيذ والمسكر والميتة والكلب والعذرة ومهر البغيّ وأجر الكاهن وأجر الزانية واُجور الفواحش والرشوة وغيرها </w:t>
      </w:r>
      <w:r>
        <w:rPr>
          <w:rStyle w:val="FootnoteAnchor"/>
          <w:rtl w:val="true"/>
        </w:rPr>
        <w:footnoteReference w:id="86"/>
      </w:r>
      <w:r>
        <w:rPr>
          <w:rFonts w:ascii="Amiri" w:hAnsi="Amiri" w:eastAsia="Amiri" w:cs="Amiri"/>
          <w:color w:val="111111"/>
          <w:sz w:val="28"/>
          <w:sz w:val="28"/>
          <w:szCs w:val="28"/>
          <w:rtl w:val="true"/>
          <w:lang w:bidi="ar-SA"/>
        </w:rPr>
        <w:t xml:space="preserve">، المستفاد من مجموعها ولو بالمناسبات وإلغاء الخصوصية ، أنّ اللّه إذا حرّم شيئاً حرّم ثمنه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الثمن محرّم بعنوان ثمن الحرام أو ثمن النجس ؛ لأنّ الظاهر من تعلّق حكم على عنوانٍ موضوعيته ، فالحمل على حرمته باعتبار التصرّف في مال الغير بلا إذنه ، خلاف ظواهر الأدلّة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ذلك التعبير لم يرد في شيء من المعاملات الباطلة من جهة فقد ما يعتبر فيها </w:t>
      </w:r>
      <w:r>
        <w:rPr>
          <w:rFonts w:eastAsia="Amiri" w:cs="Amiri" w:ascii="Amiri" w:hAnsi="Amiri"/>
          <w:color w:val="111111"/>
          <w:sz w:val="28"/>
          <w:szCs w:val="28"/>
          <w:rtl w:val="true"/>
          <w:lang w:bidi="ar-SA"/>
        </w:rPr>
        <w:t xml:space="preserve">. </w:t>
      </w:r>
      <w:bookmarkStart w:id="60" w:name="pg15158_206793"/>
    </w:p>
    <w:p>
      <w:pPr>
        <w:pStyle w:val="Heading5"/>
        <w:numPr>
          <w:ilvl w:val="4"/>
          <w:numId w:val="1"/>
        </w:numPr>
        <w:rPr/>
      </w:pPr>
      <w:bookmarkStart w:id="61" w:name="__RefHeading___Toc1851458_2142443653"/>
      <w:bookmarkStart w:id="62" w:name="_Toc20"/>
      <w:bookmarkEnd w:id="60"/>
      <w:bookmarkEnd w:id="61"/>
      <w:r>
        <w:rPr>
          <w:rtl w:val="true"/>
        </w:rPr>
        <w:t xml:space="preserve">الجهة الثالثة </w:t>
      </w:r>
      <w:r>
        <w:rPr>
          <w:rtl w:val="true"/>
        </w:rPr>
        <w:t xml:space="preserve">: </w:t>
      </w:r>
      <w:r>
        <w:rPr>
          <w:rtl w:val="true"/>
        </w:rPr>
        <w:t>في الحرمة الوضعية للاكتساب بالأعيان النجسة</w:t>
      </w:r>
      <w:bookmarkEnd w:id="62"/>
    </w:p>
    <w:p>
      <w:pPr>
        <w:pStyle w:val="BookText"/>
        <w:rPr/>
      </w:pPr>
      <w:r>
        <w:rPr>
          <w:rFonts w:ascii="Amiri" w:hAnsi="Amiri" w:eastAsia="Amiri" w:cs="Amiri"/>
          <w:color w:val="111111"/>
          <w:sz w:val="28"/>
          <w:sz w:val="28"/>
          <w:szCs w:val="28"/>
          <w:rtl w:val="true"/>
          <w:lang w:bidi="ar-SA"/>
        </w:rPr>
        <w:t xml:space="preserve">ثمّ إنّ الظاهر استفادة جهة اُخرى من تلك الروايات غير أصيلة في البحث عنها في المقام ، وهي بطلان المعاملة ؛ لأنّ تحريم الثمن لا يجتمع عرفاً مع الصحّة وإيجاب الوفاء بالعقود ، فلازمه العرفي بطلانها وإن كان الثمن بعنوانه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على البطلان ، بل يستفاد ذلك من بعض الروايات الظاهرة في الإرشاد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اكترى دابّة أو سفينة فحمل عليها المكتري خمراً أو خنازير أو ما يحرم ، لم يكن على صاحب الدابّة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تعاقدا على حمل ذلك فالعقد فاسد ، والكري على ذلك حرام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يكتسب به ، 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محرّماً أصله منهيّاً عنه لم يجز بيعه ولا شراؤه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عن آبائه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 الله علیه و آله وسلم  نهى عن بيع الأحرار ، وعن بيع الميتة والخنزير والأصنام ، وعن عسب الفحل ، وعن ثمن الخمر ، وعن بيع العذرة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ميتة</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علي بن جعفر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أخيه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الماشية تكون للرجل ، فيموت بعضها ، يصلح له بيع جلودها ودباغها ولبسها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ولو لبسها فلا يصلّ فيها</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جامع البزنطي ، كما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في أليات الأغنام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يأكلها ولا يبيعها</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مرسلة ابن أبي نجران أو ابن أبي عمير عن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نصراني أسلم وعنده خمر وخنازير وعليه دين، هل يبيع خمره وخنازيره ويقضي دينه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رجل وله خمر أو خنازير ، ثمّ مات ، وهي في ملكه ، وعليه دين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يبيع ديّانه أو وليّ له غير مسلم خمره وخنازيره ويقضى دينه ، وليس له أن يبيعه وهو حيّ ، ولا يمسكه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يضرّ بها لو فرض عدم العمل على الجزء الأوّل منها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صحيحة ابن اُذينة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عبداللّه علیه السلام ، أسأله عن رجل له </w:t>
      </w:r>
      <w:bookmarkStart w:id="63" w:name="pg15158_206795"/>
    </w:p>
    <w:p>
      <w:pPr>
        <w:pStyle w:val="BookText"/>
        <w:rPr/>
      </w:pPr>
      <w:bookmarkEnd w:id="63"/>
      <w:r>
        <w:rPr>
          <w:rFonts w:ascii="Amiri" w:hAnsi="Amiri" w:eastAsia="Amiri" w:cs="Amiri"/>
          <w:color w:val="111111"/>
          <w:sz w:val="28"/>
          <w:sz w:val="28"/>
          <w:szCs w:val="28"/>
          <w:rtl w:val="true"/>
          <w:lang w:bidi="ar-SA"/>
        </w:rPr>
        <w:t xml:space="preserve">كرم أيبيع العنب والتمر ممّن يعلم أ نّه يجعله خمراً أو سكراً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باعه حلالاً في الإبّان الذي يحلّ شربه أو أكله فلا بأس ببيعه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تشعر بأنّ حلّية الشرب والأكل موجب لعدم البأس ، فما كان حراماً لا يحلّ بيعه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منها غيرها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أنّ المناقشة في بعض ما ذكر سنداً أو دلالة لا تضرّ بالوثوق على ثبوت الحكم من جميعها ، فلا ينبغي التأمّل في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الأدلّة اللفظية في المقامات الثلاثة </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1851460_2142443653"/>
      <w:bookmarkStart w:id="65" w:name="_Toc21"/>
      <w:bookmarkEnd w:id="64"/>
      <w:r>
        <w:rPr>
          <w:rtl w:val="true"/>
        </w:rPr>
        <w:t>حول كلمات الفقهاء في المقامات الثلاثة</w:t>
      </w:r>
      <w:bookmarkEnd w:id="65"/>
    </w:p>
    <w:p>
      <w:pPr>
        <w:pStyle w:val="BookText"/>
        <w:rPr/>
      </w:pPr>
      <w:r>
        <w:rPr>
          <w:rFonts w:ascii="Amiri" w:hAnsi="Amiri" w:eastAsia="Amiri" w:cs="Amiri"/>
          <w:color w:val="111111"/>
          <w:sz w:val="28"/>
          <w:sz w:val="28"/>
          <w:szCs w:val="28"/>
          <w:rtl w:val="true"/>
          <w:lang w:bidi="ar-SA"/>
        </w:rPr>
        <w:t xml:space="preserve">وأمّا كلمات الفقهاء من دعاوي الإجماع وغيره فمختلفة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تعرّضت للحكم الوضعي أو ظاهرها ذلك ، كعبارات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الإجماع على عدم جواز بيع ما كان نجساً ، وعدم جواز بيع السرجين النجس والخمر والمنيّ وغيرها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وهو ظاهر في عدم الجواز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تعبيره بعدم الجواز في كثير من الموارد التي لا تكون التجارة بعنوانها محرّمة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العبد الآبق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الصوف على</w:t>
      </w:r>
    </w:p>
    <w:p>
      <w:pPr>
        <w:pStyle w:val="BookText"/>
        <w:rPr/>
      </w:pPr>
      <w:r>
        <w:rPr>
          <w:rFonts w:ascii="IRNazanin" w:hAnsi="IRNazanin" w:eastAsia="IRNazanin"/>
          <w:color w:val="111111"/>
          <w:sz w:val="28"/>
          <w:sz w:val="28"/>
          <w:szCs w:val="28"/>
          <w:rtl w:val="true"/>
          <w:lang w:bidi="fa-IR"/>
        </w:rPr>
        <w:t>ظهور الغنم منفرداً</w:t>
      </w:r>
      <w:r>
        <w:rPr>
          <w:rFonts w:eastAsia="IRNazanin" w:cs="IRNazanin"/>
          <w:color w:val="111111"/>
          <w:sz w:val="28"/>
          <w:szCs w:val="28"/>
          <w:rtl w:val="true"/>
          <w:lang w:bidi="fa-IR"/>
        </w:rPr>
        <w:t>»</w:t>
      </w:r>
      <w:r>
        <w:rPr>
          <w:rStyle w:val="FootnoteAnchor"/>
          <w:rtl w:val="true"/>
        </w:rPr>
        <w:footnoteReference w:id="9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السلم في اللحوم</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يؤجّل السلم إلى الحصاد والدياس</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فالجواز واللاجواز في المقامات ظاهران في الوضعي ،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السيّد ابن زهرة 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ذكرا في شرائط العوضين الطهارة أو الإباحة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يشترط في المعقود عليه الطهارة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 نجس العين كالخمر والميتة والخنزير لم يصحّ إجماعاً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 ثمّ تمسّك بالآيتين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فمورد دعوى الإجماع هو عدم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السرجين النجس إجماعاً منّا، وبه قال مالك والشافعي</w:t>
      </w:r>
    </w:p>
    <w:p>
      <w:pPr>
        <w:pStyle w:val="BookText"/>
        <w:rPr/>
      </w:pPr>
      <w:r>
        <w:rPr>
          <w:rFonts w:ascii="Amiri" w:hAnsi="Amiri" w:eastAsia="Amiri" w:cs="Amiri"/>
          <w:color w:val="111111"/>
          <w:sz w:val="28"/>
          <w:sz w:val="28"/>
          <w:szCs w:val="28"/>
          <w:rtl w:val="true"/>
          <w:lang w:bidi="ar-SA"/>
        </w:rPr>
        <w:t>وأحمد ؛ للإجماع على نجاسته فيحرم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 نّه رجيع نجس فلم يصحّ بيعه كرجيع الآدمي</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الحرمة ، الوضعية ولو بالقرائن ، مع أنّ مورد دعواه الإجماع ، </w:t>
      </w:r>
    </w:p>
    <w:p>
      <w:pPr>
        <w:pStyle w:val="BookText"/>
        <w:rPr/>
      </w:pPr>
      <w:r>
        <w:rPr>
          <w:rFonts w:ascii="Amiri" w:hAnsi="Amiri" w:eastAsia="Amiri" w:cs="Amiri"/>
          <w:color w:val="111111"/>
          <w:sz w:val="28"/>
          <w:sz w:val="28"/>
          <w:szCs w:val="28"/>
          <w:rtl w:val="true"/>
          <w:lang w:bidi="ar-SA"/>
        </w:rPr>
        <w:t xml:space="preserve">عدم الجواز الظاهر في الوضعي ؛ وكذا الحال في سائر كلماته ولو بملاحظة عنوان البحث وملاحظة استدلالاته المناسبة للبطلان ، لا حرمة البيع بعنوانه ؛ أعني الإنشاء عن جدّ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زهرة في جملة من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واشترطنا أن يكون منتفعاً به ؛ تحرّزاً ممّا لا منفعة فيه كالحشرات وغيرها ، وقيّدنا بكونها مباحة ؛ تحفّظاً من المنافع المحرّمة ، ويدخل في ذلك كلّ نجس لا يمكن تطهيره إلاّ ما أخرجه الدليل</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تمسّك بإجماع الطائفة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حمزة فقد ذكر ما لا يجوز تملّكه في شريعة الإسلام من أقسام البيع</w:t>
      </w:r>
    </w:p>
    <w:p>
      <w:pPr>
        <w:pStyle w:val="BookText"/>
        <w:rPr/>
      </w:pPr>
      <w:r>
        <w:rPr>
          <w:rFonts w:ascii="IRNazanin" w:hAnsi="IRNazanin" w:eastAsia="IRNazanin"/>
          <w:color w:val="111111"/>
          <w:sz w:val="28"/>
          <w:sz w:val="28"/>
          <w:szCs w:val="28"/>
          <w:rtl w:val="true"/>
          <w:lang w:bidi="fa-IR"/>
        </w:rPr>
        <w:t>الفاسد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جملة من الإجماعات المدّعاة في الموارد الخاصّة أيضاً ، موردها الحكم الوضعي ، كمحكيّ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صحّة بيع الخمر والميتة</w:t>
      </w:r>
      <w:r>
        <w:rPr>
          <w:rStyle w:val="FootnoteAnchor"/>
          <w:rtl w:val="true"/>
        </w:rPr>
        <w:footnoteReference w:id="104"/>
      </w:r>
      <w:r>
        <w:rPr>
          <w:rFonts w:ascii="Amiri" w:hAnsi="Amiri" w:eastAsia="Amiri" w:cs="Amiri"/>
          <w:color w:val="111111"/>
          <w:sz w:val="28"/>
          <w:sz w:val="28"/>
          <w:szCs w:val="28"/>
          <w:rtl w:val="true"/>
          <w:lang w:bidi="ar-SA"/>
        </w:rPr>
        <w:t xml:space="preserve">، وكذا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الميتة</w:t>
      </w:r>
      <w:r>
        <w:rPr>
          <w:rStyle w:val="FootnoteAnchor"/>
          <w:rtl w:val="true"/>
        </w:rPr>
        <w:footnoteReference w:id="105"/>
      </w:r>
      <w:r>
        <w:rPr>
          <w:rFonts w:ascii="Amiri" w:hAnsi="Amiri" w:eastAsia="Amiri" w:cs="Amiri"/>
          <w:color w:val="111111"/>
          <w:sz w:val="28"/>
          <w:sz w:val="28"/>
          <w:szCs w:val="28"/>
          <w:rtl w:val="true"/>
          <w:lang w:bidi="ar-SA"/>
        </w:rPr>
        <w:t xml:space="preserve">، وإجماع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جواز بيع أشياء منها الكلب</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صحّة بيعه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صحّة جعل جلد الميتة اُجرة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يصحّ بيع الخنزير ولا إجارته ولا الانتفاع به إجماعاً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تعرّضت لحرمة مطلق الانتفاع أو خصوص التكسّب به ؛ بمعنى أنّ ما يكتسب بالأعيان النجسة حرام ، كالإجماعين المحكيّين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في بيان حرمة بيع الأعيان النجسة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يحرم بيعها ؛ لأ نّها محرّمة الانتفاع ، وكلّ محرّم الانتفاع لا يصحّ بيعه ، أمّا الصغرى فإجماعية</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أخذ الثمن من أوضح الانتفاعات بها ، وأمّا أصل إيقاع البيع فليس انتفاعاً ، كما 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عنوان البحث 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ضروب الاكتساب ، وفيه 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يحرم التكسّب به ، وهو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 النجسة</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كما ترى ظاهر في أنّ محطّ البحث اُمور يحرم التكسّب بها ؛ أي كسب المال بها ، ولهذا يشكل في دعاويه الإجماع على حرمة بيع الاُمور المذكورة في </w:t>
      </w:r>
    </w:p>
    <w:p>
      <w:pPr>
        <w:pStyle w:val="BookText"/>
        <w:rPr/>
      </w:pPr>
      <w:r>
        <w:rPr>
          <w:rFonts w:ascii="Amiri" w:hAnsi="Amiri" w:eastAsia="Amiri" w:cs="Amiri"/>
          <w:color w:val="111111"/>
          <w:sz w:val="28"/>
          <w:sz w:val="28"/>
          <w:szCs w:val="28"/>
          <w:rtl w:val="true"/>
          <w:lang w:bidi="ar-SA"/>
        </w:rPr>
        <w:t xml:space="preserve">خلال بحثه ، أن يكون مراده حرمة عنوان البيع ، مع أنّ في استدلالاته ما ينافي ذلك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يحرم التكسّب فيما عدا الكلاب الأربعة إجماعاً منّا</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 نّه ليس معنى التكسّب نفس المعاملة ، بل تعاطي الثمن في مقابل الأعيان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المكاسب على خمسة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الأحكام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المتاجر ، ثمّ قسّم المعايش إلى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 ومحظور ومكروه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مراده بالمعايش مقابل المكاسب ، وهو ما يكتسب وما هو معيشته بالاكتساب وإن كانت عبارته مشوّشة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ذلك هو المراد من عبارة المحقّق</w:t>
      </w:r>
      <w:r>
        <w:rPr>
          <w:rStyle w:val="FootnoteAnchor"/>
          <w:rtl w:val="true"/>
        </w:rPr>
        <w:footnoteReference w:id="114"/>
      </w:r>
      <w:r>
        <w:rPr>
          <w:rFonts w:ascii="Amiri" w:hAnsi="Amiri" w:eastAsia="Amiri" w:cs="Amiri"/>
          <w:color w:val="111111"/>
          <w:sz w:val="28"/>
          <w:sz w:val="28"/>
          <w:szCs w:val="28"/>
          <w:rtl w:val="true"/>
          <w:lang w:bidi="ar-SA"/>
        </w:rPr>
        <w:t xml:space="preserve">؛ حيث جعل المقسم ما يكتسب به ، وقسّمه إلى أقسام ؛ لعدم صحّة العبارة إلاّ بالحمل على أنّ التقسيم لما يكتسب ؛ أي ما يتعاطى في مقابل المذكورات ، فكأ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الأعيان النجسة حرام ، وكذا باقي الأقسام ، ولا يضرّ كون بعض الأقسام حراماً بعنوان الثمن وبعضها بعنوان كونه مال الغير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وإن كان خلاف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يكتسب به ، وكذا يستشكل في المكاسب المكروهة ؛ حيث إنّ ذات المعاملة مكروهة ، لكن لا يبعد أن يكون </w:t>
      </w:r>
    </w:p>
    <w:p>
      <w:p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من قلم النسّاخ ، وإلاّ فالكلام في المكاسب المحرّمة ، وهي جمع مكسب بمعنى ما يكسب ، لا ما يكتسب به ، وأمّا في المكروهات ، فلعلّه قائل بكراهة ما يكسب فيها أيضاً ، ككراهة أصل العمل ، كما لا يبعد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ظاهرة في الحرمة التكليفية لأصل المعاملة ، أو يدّعى ظهورها فيها ، كعبارة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وممّا انفردت به الإمامية القول بتحريم بيع الفقّاع وابتياعه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شئت أن تبني هذه المسألة على تحريمه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حظر شربه ، وكلّ ما حظر شربه حظر ابتياعه وبيعه ، والتفرقة بين الأمرين خروج عن إجماع الاُمّة</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دعوى الإجماع في خصوص الفقّاع لو سلّم ظهوره في الحرمة التكليفية ، ولا ريب في حرمة البيع والشراء في الخمر والفقّاع وكلّ مسكر ، إنّما الكلام في سائر أنواع النجاسات والمحرّمات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الإحكام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بيع الدم وشراؤه حرام إجماعاً ؛ لنجاسته وعدم الانتفاع به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بملاحظة التعليل بعدم الانتفاع به أن يكون المراد بالحرمة ، الوضعية منها ، ويحتمل أن يكون هذا الإجماع مستنقذاً من الإجماع على عدم الانتفاع به ، بتوهّم أنّ نفس البيع والشراء من الانتفاعات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على تحريم بيع العذرة وشرائها</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فيه ما تقدّم ، مع قرب احتمال الخلط بين المقامات الثلاثة المتقدّمة فتوهّم من الإجماع على عدم جواز البيع ، الإجماع على حرمته نفساً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ما تقدّم من ظهور حرمة البيع في الوضعية ، ولا بدّ في بيان الحرمة التكليفية في نفس إيقاع المعاملة من بيان أوضح ممّا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دليل معتدّ به معتمد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المسكرات على حرمة عنوان المعاملة شرعاً ، إلاّ أن يدّعى أنّ اعتماد الأصحاب على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كفاية مطابقة فتواهم لمضمونها في جبر سندها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كلتا الدعويين منع ، بل لم يثبت مطابقة فتوى المشهور لمضمونها ، كما ظهر ممّا تقدّم من الإجماعات المنقولة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بقيت فروع </w:t>
      </w:r>
      <w:r>
        <w:rPr>
          <w:rFonts w:eastAsia="Amiri" w:cs="Amiri" w:ascii="Amiri" w:hAnsi="Amiri"/>
          <w:color w:val="111111"/>
          <w:sz w:val="28"/>
          <w:szCs w:val="28"/>
          <w:rtl w:val="true"/>
          <w:lang w:bidi="ar-SA"/>
        </w:rPr>
        <w:t xml:space="preserve">: </w:t>
      </w:r>
      <w:bookmarkStart w:id="66" w:name="pg15158_206802"/>
    </w:p>
    <w:p>
      <w:pPr>
        <w:pStyle w:val="Heading4"/>
        <w:numPr>
          <w:ilvl w:val="3"/>
          <w:numId w:val="1"/>
        </w:numPr>
        <w:rPr/>
      </w:pPr>
      <w:bookmarkStart w:id="67" w:name="__RefHeading___Toc1851462_2142443653"/>
      <w:bookmarkStart w:id="68" w:name="_Toc22"/>
      <w:bookmarkEnd w:id="66"/>
      <w:bookmarkEnd w:id="67"/>
      <w:r>
        <w:rPr>
          <w:rtl w:val="true"/>
        </w:rPr>
        <w:t>بقیت فروع</w:t>
      </w:r>
      <w:r>
        <w:rPr>
          <w:rtl w:val="true"/>
        </w:rPr>
        <w:t>:</w:t>
      </w:r>
      <w:bookmarkEnd w:id="68"/>
    </w:p>
    <w:p>
      <w:pPr>
        <w:pStyle w:val="Heading5"/>
        <w:numPr>
          <w:ilvl w:val="4"/>
          <w:numId w:val="1"/>
        </w:numPr>
        <w:rPr/>
      </w:pPr>
      <w:bookmarkStart w:id="69" w:name="__RefHeading___Toc1851464_2142443653"/>
      <w:bookmarkStart w:id="70" w:name="_Toc23"/>
      <w:bookmarkEnd w:id="69"/>
      <w:r>
        <w:rPr>
          <w:rtl w:val="true"/>
        </w:rPr>
        <w:t xml:space="preserve">الفرع الأوّل </w:t>
      </w:r>
      <w:r>
        <w:rPr>
          <w:rtl w:val="true"/>
        </w:rPr>
        <w:t xml:space="preserve">: </w:t>
      </w:r>
      <w:r>
        <w:rPr>
          <w:rtl w:val="true"/>
        </w:rPr>
        <w:t>في إلحاق المائعات المتنجّسة بالأعيان النجسة</w:t>
      </w:r>
      <w:bookmarkEnd w:id="70"/>
    </w:p>
    <w:p>
      <w:pPr>
        <w:pStyle w:val="BookText"/>
        <w:rPr/>
      </w:pPr>
      <w:r>
        <w:rPr>
          <w:rFonts w:ascii="Amiri" w:hAnsi="Amiri" w:eastAsia="Amiri" w:cs="Amiri"/>
          <w:color w:val="111111"/>
          <w:sz w:val="28"/>
          <w:sz w:val="28"/>
          <w:szCs w:val="28"/>
          <w:rtl w:val="true"/>
          <w:lang w:bidi="ar-SA"/>
        </w:rPr>
        <w:t xml:space="preserve">هل يلحق بالأعيان النجسة ، المائعات المتنجّسة بها إذا لم تكن قابلة للتطهير ، أو مطلقاً ، أو لا تلحق بها مطلقاً ، أو تلحق في بعض الأحكام ؟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يمكن أن يستشهد بإلحاق كلّ متنجّس بما تنجّس به في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 ما تنجّس بالخمر أو سائر المسكرات يلحق بها في الأحكام الثلاثة المتقدّمة ؛ أي حرمة عنوان البيع وحرمة ثمنه بما هو ثمنه وبطلان المعاملة ، وفي غيرها فيما له من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جابر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فأرة في خابية فيها سمن أو زيت ، فما ترى في أكله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الفأرة أهون عليّ من أن أترك طعامي من أجلها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لم تستخفّ بالفأرة ، وإنّما استخففت بدينك ، إنّ اللّه حرّم الميتة من كلّ شيء</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أنّ التمسّك بالكبرى مع عدم انطباقها على المورد المسؤول عنه وهو الطعام ، لا يتمّ إلاّ بتنزيل المتنجّس بالميتة منزلتها ، فيظهر منه أنّ المتنجّس بالميتة ميتة حكماً ، فيتعدّى إلى غيرها بإلغاء الخصوصية ، أو عدم القول بالفصل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 فإنّ الظاهر أ نّه لم يتمسّك بالكبرى لإثبات حرمة الزيت </w:t>
      </w:r>
    </w:p>
    <w:p>
      <w:pPr>
        <w:pStyle w:val="BookText"/>
        <w:rPr/>
      </w:pPr>
      <w:r>
        <w:rPr>
          <w:rFonts w:ascii="Amiri" w:hAnsi="Amiri" w:eastAsia="Amiri" w:cs="Amiri"/>
          <w:color w:val="111111"/>
          <w:sz w:val="28"/>
          <w:sz w:val="28"/>
          <w:szCs w:val="28"/>
          <w:rtl w:val="true"/>
          <w:lang w:bidi="ar-SA"/>
        </w:rPr>
        <w:t>والسمن، بل بعد بيان حرمتهما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الرجل ما قال، أراد بيان أنّ الميتة من الفأرة وغيرها حرام بحكم اللّه تعالى ، والاستخفاف إنّما هو بحكمه تعالى لا بها ، مع احتمال تفسّخ الفأرة وإرادة الرجل أكل الزيت بما فيه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عدم دلالة الرواية بوجه على إرادة التنزيل ؛ فإنّ إرادته من تلك العبارة في غاية البعد ، بل لا تخلو من استهجان ، فضلاً عن استفادة عموم التنزيل وعن إسراء الحكم إلى سائر المتنجّسات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بإسراء حكم كلّ نجس إلى ما تنجّس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ويتلوه في الضعف ، التشبّث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نجّسه أو ينجّسه في المتنجّسات ، كالمفهوم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لا ينجّسه شيء</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وقوله في النبيذ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يبلّ الميل ينجّس حبّاً من ماء</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ينجّسه الشيء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يجعله نجساً ، وبعد عدم صيرورته نجساً عيناً بحسب الواقع ، لا محالة ينزّل على التنزيل ، ومقتضى إطلاق التنزيل ، ثبوت مطلق حكم كلّ نجس له ، فإذا تنجّس بالخمر ينزّل منزلتها ، وتثبت له أحكامها وهكذا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الظاهر أنّ مقابلة النجس والمتنجّس من اصطلاح الفقهاء ، ولا يبعد القول بأنّ المتنجّس نجس كسائر النجاسات ،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بعد </w:t>
      </w:r>
    </w:p>
    <w:p>
      <w:pPr>
        <w:pStyle w:val="BookText"/>
        <w:rPr/>
      </w:pPr>
      <w:r>
        <w:rPr>
          <w:rFonts w:ascii="Amiri" w:hAnsi="Amiri" w:eastAsia="Amiri" w:cs="Amiri"/>
          <w:color w:val="111111"/>
          <w:sz w:val="28"/>
          <w:sz w:val="28"/>
          <w:szCs w:val="28"/>
          <w:rtl w:val="true"/>
          <w:lang w:bidi="ar-SA"/>
        </w:rPr>
        <w:t>تسليم التنزيل ، لا يكون ذلك إلاّ في النجاسة لا في حيثيات اُخر ، وغايته لزوم</w:t>
      </w:r>
    </w:p>
    <w:p>
      <w:pPr>
        <w:pStyle w:val="BookText"/>
        <w:rPr/>
      </w:pPr>
      <w:r>
        <w:rPr>
          <w:rFonts w:ascii="Amiri" w:hAnsi="Amiri" w:eastAsia="Amiri" w:cs="Amiri"/>
          <w:color w:val="111111"/>
          <w:sz w:val="28"/>
          <w:sz w:val="28"/>
          <w:szCs w:val="28"/>
          <w:rtl w:val="true"/>
          <w:lang w:bidi="ar-SA"/>
        </w:rPr>
        <w:t xml:space="preserve">غسل ما تنجّس بملاقي كلّ نجس بنحو ما تنجّس به ، فيكون ملاقي الولوغ كالولوغ في نجاسته ، وملاقي الخمر كالخمر فيها وهكذا ، لا في سائر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تنزيل شيء منزلة الخمر ، كما ورد في الفقّاع أ نّه خمر ، وبين تنزيله منزلتها في النجاسة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الفلاني نجس كالخمر ، أو أنّ الخمر صيّرتها نجساً نحو نجاستها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 استفادة التنزيل من تلك الروايات مشكلة ، بل ممنوعة مطلقاً حتّى في النجاسة ، فضلاً عن سائر الآثار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دليل على كون كلّ متنجّس بحكم ما تنجّس به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دليل على حرمة عنوان التجارة ، كالبيع وغيره في المائعات المتنجّسة الغير القابلة للتطهير ، كالدبس والسمن ، فضلاً عمّا تقبله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 على إشكال في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غير صالحتين لإثبات حكم ؛ لضعفهما ، بل عدم إحراز كون الثانية رواية ؛ لقرب احتمال كونه كتاب فتوى لفقيه جمع بين الروايات ، إلاّ فيما نسبه إلى المعصوم ؛ فيكون مرسلة غير معتمدة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بائع الخبيثات ومشتريها في الإثم سواء</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الإشكال في دلالته</w:t>
      </w:r>
      <w:r>
        <w:rPr>
          <w:rStyle w:val="FootnoteAnchor"/>
          <w:rtl w:val="true"/>
        </w:rPr>
        <w:footnoteReference w:id="124"/>
      </w:r>
      <w:r>
        <w:rPr>
          <w:rFonts w:ascii="Amiri" w:hAnsi="Amiri" w:eastAsia="Amiri" w:cs="Amiri"/>
          <w:color w:val="111111"/>
          <w:sz w:val="28"/>
          <w:sz w:val="28"/>
          <w:szCs w:val="28"/>
          <w:rtl w:val="true"/>
          <w:lang w:bidi="ar-SA"/>
        </w:rPr>
        <w:t xml:space="preserve">؛ لكونه في مقام بيان الحكم بالتسوية ، فلا يستفاد منه أنّ الإثم لنفس البيع والشراء ، مضافاً إلى أنّ في سنده إشكالاً بجهالة بعض رواته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إجماعات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شيء منها على هذا العنوان ؛ أي حرمة البيع ، كما يأتي</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 نّه ليس دليل على أنّ ثمن المتنجّس المائع سحت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النبوي المتقدّم من طرق العامّة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 السند ، إمكان الخدشة في الدلالة ، بدعوى انصرافه إلى المحرّمات الأصلية ، لا ما صار حراماً بتبع الغير ، ولو نوقش فيه وقيل بإطلاقه ، فلا دافع لضعفه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جبر سنده باستناد</w:t>
      </w:r>
      <w:r>
        <w:rPr>
          <w:rStyle w:val="FootnoteAnchor"/>
          <w:rtl w:val="true"/>
        </w:rPr>
        <w:footnoteReference w:id="127"/>
      </w:r>
      <w:r>
        <w:rPr>
          <w:rFonts w:ascii="Amiri" w:hAnsi="Amiri" w:eastAsia="Amiri" w:cs="Amiri"/>
          <w:color w:val="111111"/>
          <w:sz w:val="28"/>
          <w:sz w:val="28"/>
          <w:szCs w:val="28"/>
          <w:rtl w:val="true"/>
          <w:lang w:bidi="ar-SA"/>
        </w:rPr>
        <w:t xml:space="preserve">الشيخ وابن زهرة والحلّي والعلاّمة وغيرهم به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بناء شيخ الطائفة وابن زهرة بل والعلاّمة ، كالسيّد المرتضى في إيراد الروايات التي من طرق العامّة على إلزام فقهائهم ، لا على الاستناد بها في الفتوى ، كما لا يخفى على الناظر في تلك الكتب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ولهذا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استند في عدم جواز بيع الخمر بإجماع الفرقة ، ثمّ أورد</w:t>
      </w:r>
    </w:p>
    <w:p>
      <w:pPr>
        <w:pStyle w:val="BookText"/>
        <w:rPr/>
      </w:pPr>
      <w:r>
        <w:rPr>
          <w:rFonts w:ascii="Amiri" w:hAnsi="Amiri" w:eastAsia="Amiri" w:cs="Amiri"/>
          <w:color w:val="111111"/>
          <w:sz w:val="28"/>
          <w:sz w:val="28"/>
          <w:szCs w:val="28"/>
          <w:rtl w:val="true"/>
          <w:lang w:bidi="ar-SA"/>
        </w:rPr>
        <w:t xml:space="preserve">روايات من العامّة عليه ، ولم يستند بواحد من روايات أصحابنا </w:t>
      </w:r>
      <w:r>
        <w:rPr>
          <w:rStyle w:val="FootnoteAnchor"/>
          <w:rtl w:val="true"/>
        </w:rPr>
        <w:footnoteReference w:id="128"/>
      </w:r>
      <w:r>
        <w:rPr>
          <w:rFonts w:ascii="Amiri" w:hAnsi="Amiri" w:eastAsia="Amiri" w:cs="Amiri"/>
          <w:color w:val="111111"/>
          <w:sz w:val="28"/>
          <w:sz w:val="28"/>
          <w:szCs w:val="28"/>
          <w:rtl w:val="true"/>
          <w:lang w:bidi="ar-SA"/>
        </w:rPr>
        <w:t xml:space="preserve">، مع كثرتها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 ابن زهرة بعد الاستدلال على اشتراط كون المنفعة مباحة بالإجماع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ويحتجّ على من قال من المخالفين بجواز بيع الكلاب مطلقاً ، وبيع سرقين ما لا يؤكل لحمه ، وبيع الخمر بوكالة الذمّي على بيعها ، بما رووه من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حرّم شيئاً حرّم ثمنه</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والغفلة عن هذه الدقيقة ، أوجبت توهّم جبر سند بعض الأخبار التي ليست من طرقنا ، مع أنّ الجابر هو الاستناد في الفتوى ، بحيث يحرز أنّ الفتوى الكذائية من المشهور مستندة إلى رواية كذائية ، وهذا غير ثابت بذكر الرواية في تلك الكتب المعدّة لبيان الاستدلال على مذهب الإمامية والردّ على مخالفيهم ، ككتابي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اقتفى ابن زهرة إثر علم الهدى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w:t>
      </w:r>
      <w:r>
        <w:rPr>
          <w:rStyle w:val="FootnoteAnchor"/>
          <w:rtl w:val="true"/>
        </w:rPr>
        <w:footnoteReference w:id="130"/>
      </w:r>
      <w:r>
        <w:rPr>
          <w:rFonts w:ascii="Amiri" w:hAnsi="Amiri" w:eastAsia="Amiri" w:cs="Amiri"/>
          <w:color w:val="111111"/>
          <w:sz w:val="28"/>
          <w:sz w:val="28"/>
          <w:szCs w:val="28"/>
          <w:rtl w:val="true"/>
          <w:lang w:bidi="ar-SA"/>
        </w:rPr>
        <w:t xml:space="preserve">، بل يشعر أو يدلّ كلامه المتقدّم على عدم اعتبار الرواية المتقدّمة عند أصحابنا ، وإنّما احتجّ بها إلزاماً عليهم ، وليس عندي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الاستناد بمثل النبوي في الحكم ، كما لم يستندوا عليه أصحابنا المتقدّمون ، اعتماداً وفتوى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النبوي المتقدّم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إذا حرّم على قوم أكل شيء حرّم عليهم ثمنه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وسنده أوهن من سابقه مع أ نّه في المأكول ، وإلغاء الخصوصية منه وإسراء الحكم إلى المشروب المحرّم أصلاً وتبعاً محلّ تأمّل ، ومرّ حال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وإلغاء الخصوصية من الروايات الكثيرة الواردة في نجاسات ومحرّمات خاصّة ، بأنّ ثمنها سحت ، مشكل بالنسبة إلى المتنجّسات ؛ لاحتمال أن تكون لأعيان النجاسات خصوصية توجب غلظة في الحكم لا تكون في المتنجّس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على المطلوب بما وردت في العصير</w:t>
      </w:r>
      <w:r>
        <w:rPr>
          <w:rStyle w:val="FootnoteAnchor"/>
          <w:rtl w:val="true"/>
        </w:rPr>
        <w:footnoteReference w:id="133"/>
      </w:r>
      <w:r>
        <w:rPr>
          <w:rFonts w:ascii="Amiri" w:hAnsi="Amiri" w:eastAsia="Amiri" w:cs="Amiri"/>
          <w:color w:val="111111"/>
          <w:sz w:val="28"/>
          <w:sz w:val="28"/>
          <w:szCs w:val="28"/>
          <w:rtl w:val="true"/>
          <w:lang w:bidi="ar-SA"/>
        </w:rPr>
        <w:t xml:space="preserve">غير وجيه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وأوهن منه الاستدلال</w:t>
      </w:r>
      <w:r>
        <w:rPr>
          <w:rStyle w:val="FootnoteAnchor"/>
          <w:rtl w:val="true"/>
        </w:rPr>
        <w:footnoteReference w:id="134"/>
      </w:r>
      <w:r>
        <w:rPr>
          <w:rFonts w:ascii="Amiri" w:hAnsi="Amiri" w:eastAsia="Amiri" w:cs="Amiri"/>
          <w:color w:val="111111"/>
          <w:sz w:val="28"/>
          <w:sz w:val="28"/>
          <w:szCs w:val="28"/>
          <w:rtl w:val="true"/>
          <w:lang w:bidi="ar-SA"/>
        </w:rPr>
        <w:t>بروايات اُمر فيها بإهراق الماء والمرق المتنجّسين</w:t>
      </w:r>
      <w:r>
        <w:rPr>
          <w:rStyle w:val="FootnoteAnchor"/>
          <w:rtl w:val="true"/>
        </w:rPr>
        <w:footnoteReference w:id="135"/>
      </w:r>
      <w:r>
        <w:rPr>
          <w:rFonts w:ascii="Amiri" w:hAnsi="Amiri" w:eastAsia="Amiri" w:cs="Amiri"/>
          <w:color w:val="111111"/>
          <w:sz w:val="28"/>
          <w:sz w:val="28"/>
          <w:szCs w:val="28"/>
          <w:rtl w:val="true"/>
          <w:lang w:bidi="ar-SA"/>
        </w:rPr>
        <w:t xml:space="preserve">؛ فإنّ الاستدلال بها لبطلان المعاملة بها محلّ إشكال ، فضلاً عن الاستدلال لحرمة البيع أو حرمة الثمن ؛ لأنّ الانتفاع بصاع من الماء ليس إلاّ للتوضّي أو الشرب عادة ، وهما غير جائزين بالماء النجس أو المشتبه به ، وليس </w:t>
      </w:r>
    </w:p>
    <w:p>
      <w:pPr>
        <w:pStyle w:val="BookText"/>
        <w:rPr/>
      </w:pPr>
      <w:r>
        <w:rPr>
          <w:rFonts w:ascii="Amiri" w:hAnsi="Amiri" w:eastAsia="Amiri" w:cs="Amiri"/>
          <w:color w:val="111111"/>
          <w:sz w:val="28"/>
          <w:sz w:val="28"/>
          <w:szCs w:val="28"/>
          <w:rtl w:val="true"/>
          <w:lang w:bidi="ar-SA"/>
        </w:rPr>
        <w:t xml:space="preserve">لهما نفع آخر ، ولعلّ الأمر بالإراقة كناية عن عدم نفع له ، وكذا المرق لا نفع له إلاّ الأكل الممنوع منه ، فلا تدلّ تلك الروايات على إلغاء مالية الملاقي للنجس ، وإن كان الاحتياط حسناً ، بل لا ينبغي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المعاملة به ، فالظاهر تسلّمه لدى الأصحاب في الجملة ، كما هو مقتضى دعوى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وقيّدنا بكونها مباحة ؛ تحفّظاً من المنافع المحرّمة ، ويدخل</w:t>
      </w:r>
    </w:p>
    <w:p>
      <w:pPr>
        <w:pStyle w:val="BookText"/>
        <w:rPr/>
      </w:pPr>
      <w:r>
        <w:rPr>
          <w:rFonts w:ascii="Amiri" w:hAnsi="Amiri" w:eastAsia="Amiri" w:cs="Amiri"/>
          <w:color w:val="111111"/>
          <w:sz w:val="28"/>
          <w:sz w:val="28"/>
          <w:szCs w:val="28"/>
          <w:rtl w:val="true"/>
          <w:lang w:bidi="ar-SA"/>
        </w:rPr>
        <w:t>في ذلك كلّ نجس لا يمكن تطهيره ، إلاّ ما أخرجه الدليل من بيع الكلب المعلّم للصيد ، والزيت النجس للاستصباح به تحت السماء ، وهو إجماع الطائفة</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استدلّ على المخالف في بعض الفروع بالنبوي المتقدّم</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ودعوى الإجماع بملاحظة ذيل العبارة وصدرها تعمّ المتنجّس ، والظاهر دعواه على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العبارة أنّ الإجماع هو الدليل المخرج للكلب وتاليه ، لا على الكلّية المتقدّمة ، تأمّل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الثاني بعد تقسيم المتنجّسات بالجامد والمائع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مائعاً ، 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لا يطهر كالخلّ والدبس ، فهذا لا يجوز بيعه إجماعاً ؛ لأ نّه نجس لا يمكن تطهيره من النجاسة فلم يجز بيعه كالأعيان النجسة ، وإمّا أن يطهر كالماء ، ففيه للشافعي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يجوز بيعه ؛ لأ نّه نجس </w:t>
      </w:r>
    </w:p>
    <w:p>
      <w:pPr>
        <w:pStyle w:val="BookText"/>
        <w:rPr/>
      </w:pPr>
      <w:r>
        <w:rPr>
          <w:rFonts w:ascii="Amiri" w:hAnsi="Amiri" w:eastAsia="Amiri" w:cs="Amiri"/>
          <w:color w:val="111111"/>
          <w:sz w:val="28"/>
          <w:sz w:val="28"/>
          <w:szCs w:val="28"/>
          <w:rtl w:val="true"/>
          <w:lang w:bidi="ar-SA"/>
        </w:rPr>
        <w:t>لا يمكن غسله ، ولا يطهر بالغسل، فلا يجوز بيعه كالخمر</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التقسيم وإن كان في ذيل البحث عمّا تحرم التكسّب به ، لكن ظاهر كلامه دعوى الإجماع على الحكم الوضعي ، ولعلّه استفاد حرمة التكسّب به من الحكم الوضعي ، ولو كانت الحرمة لأجل عدم انتقال المال إلى البائع ، فيكون مراده من حرمة التكسّب أعمّ ممّا حرم بعنوان التكسّب أو بعنوان التصرّف في مال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ظاهره الإجماع على بطلان المعاملة ، لا حرمة الثمن بعنوانه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التشبّث للبطلان بنقل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كراراً على أنّ ما كان نجساً لا يجوز بيعه في بيع القرد والسرجين النجس والمنيّ</w:t>
      </w:r>
      <w:r>
        <w:rPr>
          <w:rStyle w:val="FootnoteAnchor"/>
          <w:rtl w:val="true"/>
        </w:rPr>
        <w:footnoteReference w:id="139"/>
      </w:r>
      <w:r>
        <w:rPr>
          <w:rFonts w:ascii="Amiri" w:hAnsi="Amiri" w:eastAsia="Amiri" w:cs="Amiri"/>
          <w:color w:val="111111"/>
          <w:sz w:val="28"/>
          <w:sz w:val="28"/>
          <w:szCs w:val="28"/>
          <w:rtl w:val="true"/>
          <w:lang w:bidi="ar-SA"/>
        </w:rPr>
        <w:t xml:space="preserve">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عدم جواز بيع ما لا يقبل التطهير عن جملة من كتب القدماء والمتأخّرين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أنّ بطلانها في الجملة مفروغ عنه لدى الأصحاب ، فلا ينبغي الخدشة فيه </w:t>
      </w:r>
      <w:r>
        <w:rPr>
          <w:rFonts w:eastAsia="Amiri" w:cs="Amiri" w:ascii="Amiri" w:hAnsi="Amiri"/>
          <w:color w:val="111111"/>
          <w:sz w:val="28"/>
          <w:szCs w:val="28"/>
          <w:rtl w:val="true"/>
          <w:lang w:bidi="ar-SA"/>
        </w:rPr>
        <w:t xml:space="preserve">. </w:t>
      </w:r>
      <w:bookmarkStart w:id="71" w:name="pg15158_206810"/>
    </w:p>
    <w:p>
      <w:pPr>
        <w:pStyle w:val="Heading5"/>
        <w:numPr>
          <w:ilvl w:val="4"/>
          <w:numId w:val="1"/>
        </w:numPr>
        <w:rPr/>
      </w:pPr>
      <w:bookmarkStart w:id="72" w:name="__RefHeading___Toc1851466_2142443653"/>
      <w:bookmarkStart w:id="73" w:name="_Toc24"/>
      <w:bookmarkEnd w:id="71"/>
      <w:bookmarkEnd w:id="72"/>
      <w:r>
        <w:rPr>
          <w:rtl w:val="true"/>
        </w:rPr>
        <w:t xml:space="preserve">الفرع الثاني </w:t>
      </w:r>
      <w:r>
        <w:rPr>
          <w:rtl w:val="true"/>
        </w:rPr>
        <w:t xml:space="preserve">: </w:t>
      </w:r>
      <w:r>
        <w:rPr>
          <w:rtl w:val="true"/>
        </w:rPr>
        <w:t>حول ما هو موضوع الحرمة في الأحكام الثلاثة</w:t>
      </w:r>
      <w:bookmarkEnd w:id="73"/>
    </w:p>
    <w:p>
      <w:pPr>
        <w:pStyle w:val="BookText"/>
        <w:rPr/>
      </w:pPr>
      <w:r>
        <w:rPr>
          <w:rFonts w:ascii="Amiri" w:hAnsi="Amiri" w:eastAsia="Amiri" w:cs="Amiri"/>
          <w:color w:val="111111"/>
          <w:sz w:val="28"/>
          <w:sz w:val="28"/>
          <w:szCs w:val="28"/>
          <w:rtl w:val="true"/>
          <w:lang w:bidi="ar-SA"/>
        </w:rPr>
        <w:t xml:space="preserve">يمكن بحسب التصوّر أن يكون موضوع الحكمين المتقدّمين في غير المسكرات ، والأحكام الثلاثة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محرّم الانتفاع من جميع الجهات ، بحيث لو كان فيه جهة حلّية لم تترتّب عليه الأحكام أو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الموضوع ما كان محرّم الانتفاع ولو بجهة من الجهات ولو كان محلّل الانتفاع بجهات اُخر ، فيكون جلد الميتة مثلاً موضوع الحكمين ؛ أي البطلان وحرمة الثمن ولو جاز الاستقاء به للبساتين وبيع لأجله ، بمجرّد كونه محرّم اللبس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الموضوع ما كان فيه جهة حرمة إذا اتّجر به لأجلها ، دون ما كان فيه جهة حلّية واتّجر به لأجلها ، فالعناوين المشتملة على جهتين يكون حكم الاتّجار والتكسّب بها تابعاً لوقوعهما لتلك الجهة ، فالعصير المغليّ يحلّ بيعه للتخليل ، ولا يحلّ للتخمير أو الشرب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هذا الاحتمال يمكن أن يكون شرط الحرمة ، الاتّجار لأجل جهة الفساد ، فمع عدم قصد جهة من الجهات يكون محلّلاً ، أو يكون شرط الحلّية قصد جهة الصلاح فلا يحلّ إلاّ معه ، ويكون الاتّجار به على نحو الإطلاق وبلا قصد جهة محرّماً </w:t>
      </w:r>
      <w:r>
        <w:rPr>
          <w:rFonts w:eastAsia="Amiri" w:cs="Amiri" w:ascii="Amiri" w:hAnsi="Amiri"/>
          <w:color w:val="111111"/>
          <w:sz w:val="28"/>
          <w:szCs w:val="28"/>
          <w:rtl w:val="true"/>
          <w:lang w:bidi="ar-SA"/>
        </w:rPr>
        <w:t xml:space="preserve">. </w:t>
      </w:r>
      <w:bookmarkStart w:id="74" w:name="pg15158_206811"/>
    </w:p>
    <w:p>
      <w:pPr>
        <w:pStyle w:val="BookText"/>
        <w:rPr/>
      </w:pPr>
      <w:bookmarkEnd w:id="74"/>
      <w:r>
        <w:rPr>
          <w:rFonts w:ascii="Amiri" w:hAnsi="Amiri" w:eastAsia="Amiri" w:cs="Amiri"/>
          <w:color w:val="111111"/>
          <w:sz w:val="28"/>
          <w:sz w:val="28"/>
          <w:szCs w:val="28"/>
          <w:rtl w:val="true"/>
          <w:lang w:bidi="ar-SA"/>
        </w:rPr>
        <w:t xml:space="preserve">وهنا احتمالات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كاحتمال أن يكون المحرّم بيعه لمن يعلم أ نّه يستعمله في الحرام ، والمحلّل بيعه لمن يعلم أ نّه يستعمله في المحلّل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صرف الكلام إلى مفاد الروايات ؛ ليتّضح مقدار دلالتها في العناوين النجسة ، ثمّ البحث عن مستثنياتها على فرض عموم فيها </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1851468_2142443653"/>
      <w:bookmarkStart w:id="76" w:name="_Toc25"/>
      <w:bookmarkEnd w:id="75"/>
      <w:r>
        <w:rPr>
          <w:rtl w:val="true"/>
        </w:rPr>
        <w:t>مفاد الروايات في المقام</w:t>
      </w:r>
      <w:bookmarkEnd w:id="76"/>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فقرات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الاحتمال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تفسير التجارات في جميع البيوع ووجوه الحلال من وجه التجارات التي يجوز للبائع أن يبيع ممّا لا يجوز له ، وكذلك المشتري الذي يجوز له شراؤه ممّا لا يجوز ، فكلّ مأمور به ممّا هو غذاء للعباد وقوامهم به في اُمورهم في وجوه الصلاح الذي لا يقيمهم غيره ، ممّا يأكلون ويشربون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شيء يكون لهم فيه الصلاح من جهة من الجهات ، فهذا كلّه حلال بيعه وشراؤه وإمساكه واستعماله وهبته وعاريته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وجوه الحرام من البيع والشراء ، فكلّ أمر يكون فيه الفساد ممّا هو منهيّ عنه من جهة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يكون فيه وجه من وجوه الفساد ، نظير البيع بالربا ، أو البيع للميتة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فهذا كلّه حرام ومحرّم ؛ لأنّ ذلك كلّه منهيّ عن أكله وشربه ولبسه وملكه وإمساكه والتقلّب فيه بوجه من الوجوه ؛ لما فيه من الفساد ، فجميع تقلّبه في ذلك حرام </w:t>
      </w:r>
      <w:r>
        <w:rPr>
          <w:rFonts w:eastAsia="Amiri" w:cs="Amiri" w:ascii="Amiri" w:hAnsi="Amiri"/>
          <w:color w:val="111111"/>
          <w:sz w:val="28"/>
          <w:szCs w:val="28"/>
          <w:rtl w:val="true"/>
          <w:lang w:bidi="ar-SA"/>
        </w:rPr>
        <w:t>. .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مقتضى إطلاق صدرها ، أنّ كلّ شيء يكون فيه وجه من وجوه الصلاح ، جاز الاتّجار والتكسّب به مطلقاً وإن كان فيه وجه أو وجوه من الفساد ، ومقتضى إطلاق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الصدر وعن جهة تأتي الإشارة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فيه جهة من جهات الفساد ، يحرم الاتّجار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الجمع بينهما عرفاً ، أنّ ما فيه جهة صلاح وفساد ، إذا كان التقلّب لأجل الصلاح يكون حلالاً ، وإن كان لجهة الفساد يكون حراماً ، بل مقتضى مناسبة الحكم والموضوع وفهم العرف والعقلاء من الرواية من أنّ جهة الفساد أوجبت حرمة المعاملة لأجل ترتّب الفساد عليها ، أنّ التقلّبات بهذه الجهة محرّمة ، فلا إشكال في استفادة ذلك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ظهور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فجميع تقلّبه في ذلك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تقلّب هذا الشيء في ذلك الوجه الحرام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 يكون المراد أنّ تقلّب الإنسان في ذلك الشيء المشتمل على الفساد حرام ، بعيد مخالف للظاهر ، سيّما مع ما مرّ من مناسبة الحكم والموضوع ومقابلة الصدر والذيل ، مضافاً إلى ظهور بعض فقراتها الاُخر ، مثل ما ذكر في تفسير الإجارات في 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الرواية معتمدة ، صارت موجبةً للتصرّف في سائر روايات الأبواب ؛ لحكومتها عليها لو فرض لها إطلاق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ونحوها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w:t>
      </w:r>
      <w:r>
        <w:rPr>
          <w:rStyle w:val="FootnoteAnchor"/>
          <w:rtl w:val="true"/>
        </w:rPr>
        <w:footnoteReference w:id="142"/>
      </w:r>
      <w:r>
        <w:rPr>
          <w:rFonts w:ascii="Amiri" w:hAnsi="Amiri" w:eastAsia="Amiri" w:cs="Amiri"/>
          <w:color w:val="111111"/>
          <w:sz w:val="28"/>
          <w:sz w:val="28"/>
          <w:szCs w:val="28"/>
          <w:rtl w:val="true"/>
          <w:lang w:bidi="ar-SA"/>
        </w:rPr>
        <w:t xml:space="preserve">، فإنّ مقتضى الجمع العقلائي بين صدرهما وذيلهما ، والمناسبة بين الحكم والموضوع ، أنّ الحلّية والحرمة </w:t>
      </w:r>
    </w:p>
    <w:p>
      <w:pPr>
        <w:pStyle w:val="BookText"/>
        <w:rPr/>
      </w:pPr>
      <w:r>
        <w:rPr>
          <w:rFonts w:ascii="Amiri" w:hAnsi="Amiri" w:eastAsia="Amiri" w:cs="Amiri"/>
          <w:color w:val="111111"/>
          <w:sz w:val="28"/>
          <w:sz w:val="28"/>
          <w:szCs w:val="28"/>
          <w:rtl w:val="true"/>
          <w:lang w:bidi="ar-SA"/>
        </w:rPr>
        <w:t xml:space="preserve">تابعتان للاستعمال في جهة الصلاح والفساد ، على نحو ما تقدّم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 يمكن استفادة عدم الجواز فيما إذا علم أ نّه يستعمله في جهة الفساد ،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يتلوها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العمومات في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غيرها فالروايات الواردة في الخمر على طائفتين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المستفيضة المشتملة على لعن رسول اللّه‌ صلی الله علیه و آله وسلم  الخمر وغارسها وحارسها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غير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كرواية جابر ،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رسول اللّه‌ صلی الله علیه و آله وسلم  في الخمر</w:t>
      </w:r>
    </w:p>
    <w:p>
      <w:pPr>
        <w:pStyle w:val="BookText"/>
        <w:rPr/>
      </w:pP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غارسها وحارسها وعاصرها وشاربها وساقيها وحاملها والمحمولة إليه وبائعها ومشتريها وآكل ثمنها</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منها غيرها من الروايات الكثيرة من الفريقين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الطائفة قاصرة عن إثبات الحرمة لمطلق بيع الخمر ، كما لو باع للتخليل لو فرض إمكانه ، أو باع للتداوي إن قلنا بجوازه في مورد الاضطرار ، لا لأدلّة رفع ما اضطرّوا إليه ، بل لقصور الروايات عن إثبات الحكم لغير البيع </w:t>
      </w:r>
    </w:p>
    <w:p>
      <w:pPr>
        <w:pStyle w:val="BookText"/>
        <w:rPr/>
      </w:pPr>
      <w:r>
        <w:rPr>
          <w:rFonts w:ascii="Amiri" w:hAnsi="Amiri" w:eastAsia="Amiri" w:cs="Amiri"/>
          <w:color w:val="111111"/>
          <w:sz w:val="28"/>
          <w:sz w:val="28"/>
          <w:szCs w:val="28"/>
          <w:rtl w:val="true"/>
          <w:lang w:bidi="ar-SA"/>
        </w:rPr>
        <w:t xml:space="preserve">والشراء المتداولين في سوق الفسّاق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فرض أنّ العصير المغليّ بنفسه صار خمراً ، ثمّ صار خلاًّ ، فعصره عاصر للتخليل فهل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ملعون بلسان رسول اللّه‌ صلی الله علیه و آله وسلم  ؛ لأ نّه عصر ما يصير خمراً ولو صار خلاًّ بعده ، وكان عصره للخلّ ؟ لا أظنّ بأحد احتماله ، وذلك لأنّ الظاهر المستفاد من تلك الروايات ، أنّ الشرب المعمول به ، وكلّ ما هو من مقدّماته أو مربوط به حرام ، لا لحرمة المقدّمة ؛ فإنّها ليست بحرام جزماً ، بل لجعل الحرمة عليها سياسة لقلع ؛ الفساد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عدم دلالة تلك الطائفة على حرمة المعاملة ، ولا الثمن ولا بطلانها في غير ما قلناه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والطائفة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حرمة ثمنها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كصحيحة محمّد بن مسلم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ترك غلاماً له في كرم له يبيعه عنباً أو عصيراً ، فانطلق الغلام فعصر خمراً ثمّ باعه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ثمنه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من ثقيف أهدى إلى رسول اللّه‌ صلی الله علیه و آله وسلم  راويتين من خمر ، فأمر بهما رسول اللّه‌ صلی الله علیه و آله وسلم  فاُهريقتا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حرّم شربها حرّم</w:t>
      </w:r>
    </w:p>
    <w:p>
      <w:pPr>
        <w:pStyle w:val="BookText"/>
        <w:rPr/>
      </w:pPr>
      <w:r>
        <w:rPr>
          <w:rFonts w:ascii="IRNazanin" w:hAnsi="IRNazanin" w:eastAsia="IRNazanin"/>
          <w:color w:val="111111"/>
          <w:sz w:val="28"/>
          <w:sz w:val="28"/>
          <w:szCs w:val="28"/>
          <w:rtl w:val="true"/>
          <w:lang w:bidi="fa-IR"/>
        </w:rPr>
        <w:t xml:space="preserve">ثمنها </w:t>
      </w:r>
      <w:r>
        <w:rPr>
          <w:rFonts w:eastAsia="IRNazanin" w:cs="IRNazanin"/>
          <w:color w:val="111111"/>
          <w:sz w:val="28"/>
          <w:szCs w:val="28"/>
          <w:rtl w:val="true"/>
          <w:lang w:bidi="fa-IR"/>
        </w:rPr>
        <w:t>. .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وقريب منها 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الطائفة أيضاً قاصرة عن إثبات الحكم بنحو الإطلاق ؛ لأنّ المتعارف </w:t>
      </w:r>
    </w:p>
    <w:p>
      <w:pPr>
        <w:pStyle w:val="BookText"/>
        <w:rPr/>
      </w:pPr>
      <w:r>
        <w:rPr>
          <w:rFonts w:ascii="Amiri" w:hAnsi="Amiri" w:eastAsia="Amiri" w:cs="Amiri"/>
          <w:color w:val="111111"/>
          <w:sz w:val="28"/>
          <w:sz w:val="28"/>
          <w:szCs w:val="28"/>
          <w:rtl w:val="true"/>
          <w:lang w:bidi="ar-SA"/>
        </w:rPr>
        <w:t xml:space="preserve">في بيع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غيره نادراً جدّاً سيّما في تلك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البيع للشرب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التخليل فالظاهر عدم انقلاب الخمر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وردت في بعض الروايات من تخليلها بالعلاج</w:t>
      </w:r>
      <w:r>
        <w:rPr>
          <w:rStyle w:val="FootnoteAnchor"/>
          <w:rtl w:val="true"/>
        </w:rPr>
        <w:footnoteReference w:id="146"/>
      </w:r>
      <w:r>
        <w:rPr>
          <w:rFonts w:ascii="IRNazanin" w:hAnsi="IRNazanin" w:eastAsia="IRNazanin"/>
          <w:color w:val="111111"/>
          <w:sz w:val="28"/>
          <w:sz w:val="28"/>
          <w:szCs w:val="28"/>
          <w:rtl w:val="true"/>
          <w:lang w:bidi="fa-IR"/>
        </w:rPr>
        <w:t>، لعلّها التي كانت في حال الغليان ، واختمرت في الجملة ، دون ما صارت خمراً ، ولهذا أمر رسول اللّه‌ صلی الله علیه و آله وسلم بإهراقها وإهراق جميع ما في المدينة من الخمر ، على ما في بعض الروايات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كان انقلابها إلى الخلّ ممكناً ، لكان من البعيد الأمر بإهراقها ، ولهذا لا يجوز إراقة العصير المغليّ بنفسه أو بالنار ولو اُحرز كونهما خمراً ، إذا أراد صاحبه أن يعمل به خلاًّ أو دبساً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يمكن حمل ما دلّت على جعل الخمر العتيقة خلاًّ</w:t>
      </w:r>
      <w:r>
        <w:rPr>
          <w:rStyle w:val="FootnoteAnchor"/>
          <w:rtl w:val="true"/>
        </w:rPr>
        <w:footnoteReference w:id="148"/>
      </w:r>
      <w:r>
        <w:rPr>
          <w:rFonts w:ascii="Amiri" w:hAnsi="Amiri" w:eastAsia="Amiri" w:cs="Amiri"/>
          <w:color w:val="111111"/>
          <w:sz w:val="28"/>
          <w:sz w:val="28"/>
          <w:szCs w:val="28"/>
          <w:rtl w:val="true"/>
          <w:lang w:bidi="ar-SA"/>
        </w:rPr>
        <w:t xml:space="preserve">على ما ذكرناه ، فلا بدّ من تأويل آخر فيها ، لو ثبت عدم إمكان جعلها خلاًّ بالعلاج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إمكانه ، لكن لا شبهة في عدم تعارفه ، وعدم كونه من المنافع المطلوبة لها ، ولعلّ الأمر بإراقتها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إمكان التخليل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الأحكام السياسية لقلع مادّة الفساد وقطع عذر الشاربين للخمر ؛ حيث يمكن لهم الاعتذار باتّخاذها للتخمير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في أنّ المنفعة المتعارفة لها الشرب ، والأدلّة منصرفة </w:t>
      </w:r>
    </w:p>
    <w:p>
      <w:pPr>
        <w:pStyle w:val="BookText"/>
        <w:rPr/>
      </w:pPr>
      <w:r>
        <w:rPr>
          <w:rFonts w:ascii="Amiri" w:hAnsi="Amiri" w:eastAsia="Amiri" w:cs="Amiri"/>
          <w:color w:val="111111"/>
          <w:sz w:val="28"/>
          <w:sz w:val="28"/>
          <w:szCs w:val="28"/>
          <w:rtl w:val="true"/>
          <w:lang w:bidi="ar-SA"/>
        </w:rPr>
        <w:t xml:space="preserve">عن غيره ، والتداوي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جوّزناه في بعض الموارد النادرة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بحيث يدفع الانصراف أو يمنع عن الإراقة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الراوية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أهدى الخمر لرسول اللّه‌ صلی الله علیه و آله وسلم  ؛ لكونها من أحبّ الأشياء عندهم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حرّم شربها حرّم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يستفاد منه إلاّ الثمن في بيع الخمر ، حسب تعارفه عندهم ، وكان صاحب الراوية يريد بيعها كذلك ، لا المورد النادر الذي يجب أو يجوز شربها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فرض في مورد صار العصير في غليانه خمراً يمكن تخليلها ، فبيعت لذلك ، لا تدلّ مثل تلك الروايات على منعه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ما دلّت على أنّ ثمن الخمر سحت ، من الروايات المستفيضة</w:t>
      </w:r>
      <w:r>
        <w:rPr>
          <w:rStyle w:val="FootnoteAnchor"/>
          <w:rtl w:val="true"/>
        </w:rPr>
        <w:footnoteReference w:id="149"/>
      </w:r>
      <w:r>
        <w:rPr>
          <w:rFonts w:ascii="Amiri" w:hAnsi="Amiri" w:eastAsia="Amiri" w:cs="Amiri"/>
          <w:color w:val="111111"/>
          <w:sz w:val="28"/>
          <w:sz w:val="28"/>
          <w:szCs w:val="28"/>
          <w:rtl w:val="true"/>
          <w:lang w:bidi="ar-SA"/>
        </w:rPr>
        <w:t xml:space="preserve">؛ فإنّ الظاهر منها أنّ التكسّب بها في التجارة المتعارفة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منصرفة إلى ما هو المعهود الشائع ، والنادر بهذه المثابة منسيّ عن الأذهان ، سيّما مع المناسبات المغروسة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ما يمكن ، أو يتوهّم استفادة حرمة أصل المعاملة بعنوانها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دلّت على حرمة الثمن أو بطلان المعاملة ، فمضافاً إلى بعض ما مرّ ، النبوي المتقدّم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احتمالات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أنّ التحريم إذا تعلّق بذات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w:t>
      </w:r>
    </w:p>
    <w:p>
      <w:pPr>
        <w:pStyle w:val="BookText"/>
        <w:rPr/>
      </w:pPr>
      <w:r>
        <w:rPr>
          <w:rFonts w:ascii="Amiri" w:hAnsi="Amiri" w:eastAsia="Amiri" w:cs="Amiri"/>
          <w:color w:val="111111"/>
          <w:sz w:val="28"/>
          <w:sz w:val="28"/>
          <w:szCs w:val="28"/>
          <w:rtl w:val="true"/>
          <w:lang w:bidi="ar-SA"/>
        </w:rPr>
        <w:t xml:space="preserve">الميتة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ثمنه ؛ لأنّ تحريم الذات تحريم جميع منافعها ، ومنها الثمن ، فيكون بياناً لحدود ما شرّع اللّه تعالى ، لا لأصل التشريع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يراد الإخبار بالملازمة بين ما إذا تعلّق الحرمة بذات شيء ، وبين حرمة ثمنه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لأنّ حرمة ذات شيء حرمة جميع الانتفاعات منها بلا وسط ، كالشرب والأكل وهكذا ، وهي ملازمة لحرمة ثمنه ؛ لأجل إسقاط ماليته فلا يجوز معاملته ، أو لحرمة ثمنه بما هو ثمنه نظير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لأنّ حرمة ذاته بحرمة الانتفاعات المقصودة منه ، ومع سلبها لا يصحّ بيعه ؛ لأ نّه مسلوب المنفعة عرفاً بهذا اللحاظ وفي محيط القانون ، فيكون ثمنه حراماً؛ لعدم وقوع المعاملة ، أو مع سلبها يحرم ثمنه بحكم الشرع وبعنوان كونه ثمنه ، نظير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يراد أنّ اللّه إذا حرّم شيئاً في الجملة بأيّ نحو ، سواء تعلّقت الحرمة بذاته ، أو نهى عن شربه أو أكله أو لبسه أو غير ذلك ، حرّم ثمنه ؛ لإسقاط ماليته شرعاً ، أو لتحريم ثمنه بما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يراد أ نّه إذا حرّمت منافعه المقصودة ، سواء حرّمها بتعليق الحكم على ذاته ، أو على تلك المنفعة المقصودة ، حرّم ثمنه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الأظهر من بينها هو ما قبل الأخير ؛ لاقتضاء الإطلاق وللتفاهم العرفي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أن يكون نظره في ذلك إلى ما تعلّق التحريم بذات الشيء ، فبعيد جدّاً على جميع احتمالاته سيّما الأوّل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الاحتمال المذكور ، النبوي المتقدّم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إذا </w:t>
      </w:r>
    </w:p>
    <w:p>
      <w:pPr>
        <w:pStyle w:val="BookText"/>
        <w:rPr/>
      </w:pPr>
      <w:r>
        <w:rPr>
          <w:rFonts w:ascii="Amiri" w:hAnsi="Amiri" w:eastAsia="Amiri" w:cs="Amiri"/>
          <w:color w:val="111111"/>
          <w:sz w:val="28"/>
          <w:sz w:val="28"/>
          <w:szCs w:val="28"/>
          <w:rtl w:val="true"/>
          <w:lang w:bidi="ar-SA"/>
        </w:rPr>
        <w:t>حرّم على قوم أكل شيء حرّم عليهم ثمنه</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 xml:space="preserve">وصحيحة محمّد بن مسلم عن أبي عبداللّه علیه السلام المتقدّمة ،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حرّم شربها حرّم ثمنها</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وتؤيّده أيضاً الروايات الواردة في موارد كثيرة على تحريم الثمن ، مع عدم تحريم جميع المنافع</w:t>
      </w:r>
      <w:r>
        <w:rPr>
          <w:rStyle w:val="FootnoteAnchor"/>
          <w:rtl w:val="true"/>
        </w:rPr>
        <w:footnoteReference w:id="153"/>
      </w:r>
      <w:r>
        <w:rPr>
          <w:rFonts w:ascii="Amiri" w:hAnsi="Amiri" w:eastAsia="Amiri" w:cs="Amiri"/>
          <w:color w:val="111111"/>
          <w:sz w:val="28"/>
          <w:sz w:val="28"/>
          <w:szCs w:val="28"/>
          <w:rtl w:val="true"/>
          <w:lang w:bidi="ar-SA"/>
        </w:rPr>
        <w:t xml:space="preserve">، سنشير إلى جملة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إطلاق النبوي وإن كان حرمة ثمن ما حرّم ، سواء بيع لاستفادة المنفعة المحرّمة أو المحلّلة ، وسواء بيع لمن يستفيد منه المحرّم أو لا ، لكن لا يبعد دعوى دلالتها على التحريم في القسم الأوّل من الشقّين ؛ لمناسبة الحكم والموضوع ، والوثوق بأنّ التحريم إنّما هو للفساد المترتّب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يشمل ما إذا بيع لصلاح حال الناس ، وللجهة المحلّلة ، سيّما مع ما تقدّم من دلالة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وسيّما مع ما ورد في الموارد العديدة من تجويز بيع المحرّم لاستفادة المحلّل ، والغرض العقلائي المباح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كروايات وردت في تجويز بيع الكلب الصيود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أبي القاسم الصيقل ، الدالّة على جواز بيع غلاف السيوف من جلود الميتة</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يكتسب به ، 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وردت في تجويز بيع الزيت المتنجّس للاستصباح تحت السماء ، وممّن يعمل صابوناً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دلّت على جواز بيع المغنّية إذا كان الاشتراء لتذكّر الجنّة لا للتغنّي</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دلّت على جواز عمل الحمائل وغيرها بشعر الخنزير</w:t>
      </w:r>
      <w:r>
        <w:rPr>
          <w:rStyle w:val="FootnoteAnchor"/>
          <w:rtl w:val="true"/>
        </w:rPr>
        <w:footnoteReference w:id="158"/>
      </w:r>
      <w:r>
        <w:rPr>
          <w:rFonts w:ascii="Amiri" w:hAnsi="Amiri" w:eastAsia="Amiri" w:cs="Amiri"/>
          <w:color w:val="111111"/>
          <w:sz w:val="28"/>
          <w:sz w:val="28"/>
          <w:szCs w:val="28"/>
          <w:rtl w:val="true"/>
          <w:lang w:bidi="ar-SA"/>
        </w:rPr>
        <w:t xml:space="preserve">، الظاهر منها جواز بيعها ؛ ضرورة أنّ عملها إنّما هو للمعيشة والتكسّب ، كما يظهر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وردت في جواز بيع العجين من الماء النجس ، ممّن يستحلّ الميتة</w:t>
      </w:r>
      <w:r>
        <w:rPr>
          <w:rStyle w:val="FootnoteAnchor"/>
          <w:rtl w:val="true"/>
        </w:rPr>
        <w:footnoteReference w:id="159"/>
      </w:r>
      <w:r>
        <w:rPr>
          <w:rFonts w:ascii="Amiri" w:hAnsi="Amiri" w:eastAsia="Amiri" w:cs="Amiri"/>
          <w:color w:val="111111"/>
          <w:sz w:val="28"/>
          <w:sz w:val="28"/>
          <w:szCs w:val="28"/>
          <w:rtl w:val="true"/>
          <w:lang w:bidi="ar-SA"/>
        </w:rPr>
        <w:t xml:space="preserve">،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بعض الروايات في الخمر شاهد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كصحيحة جميل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لي على الرجل الدراهم فيعطيني بها خمراً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ثمّ أفسدها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واجعلها خلاًّ</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ويحتمل أن يكون المراد بعلي أمير المؤمنين صلوات اللّه عليه ، واستشهد أبو عبداللّه علیه السلام بقوله ، ويحتمل أن يكون المراد علي بن الحديد ، أحد رواة السند ؛ </w:t>
      </w:r>
    </w:p>
    <w:p>
      <w:pPr>
        <w:pStyle w:val="BookText"/>
        <w:rPr/>
      </w:pPr>
      <w:r>
        <w:rPr>
          <w:rFonts w:ascii="Amiri" w:hAnsi="Amiri" w:eastAsia="Amiri" w:cs="Amiri"/>
          <w:color w:val="111111"/>
          <w:sz w:val="28"/>
          <w:sz w:val="28"/>
          <w:szCs w:val="28"/>
          <w:rtl w:val="true"/>
          <w:lang w:bidi="ar-SA"/>
        </w:rPr>
        <w:t xml:space="preserve">نقل عنه بعض الرواة المتأخّر منه تفسيره للإفساد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أخذها في مقابل الدين ، ووقوعها عوضه إذا أخذها للتخليل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عبيد بن زرارة في الموثّق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يأخذ الخمر فيجعلها خلاًّ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 الأخذ من الغير ؛ لعدم تعارف جعل العصير خمراً ثمّ خلاًّ ، وليس المراد من الخمر العصير المغليّ جزماً ، ومقتضى إطلاقه جواز الأخذ ولو بشراء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من ذيل 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بحرمة التقلّب في الخمر لأجل إرادة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عالجتها وطيّنت رأسها ثمّ كشفت عنها ، فنظرت إليها قبل الوقت ، فوجدتها خمراً ، أيحلّ لي إمساكها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 إنّما إرادتك أن يتحوّل الخمر خلاًّ ؛ وليس إرادتك الفساد</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أنّ الناظر فيما تقدّم ، يستظهر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حرّم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تحريم الثمن فيما إذا بيع في مورد الفساد لا مطلقاً ، ولا أقلّ من قصوره عن الإطلاق </w:t>
      </w:r>
      <w:r>
        <w:rPr>
          <w:rFonts w:eastAsia="Amiri" w:cs="Amiri" w:ascii="Amiri" w:hAnsi="Amiri"/>
          <w:color w:val="111111"/>
          <w:sz w:val="28"/>
          <w:szCs w:val="28"/>
          <w:rtl w:val="true"/>
          <w:lang w:bidi="ar-SA"/>
        </w:rPr>
        <w:t xml:space="preserve">. </w:t>
      </w:r>
      <w:bookmarkStart w:id="77" w:name="pg15158_206821"/>
    </w:p>
    <w:p>
      <w:pPr>
        <w:pStyle w:val="Heading5"/>
        <w:numPr>
          <w:ilvl w:val="4"/>
          <w:numId w:val="1"/>
        </w:numPr>
        <w:rPr/>
      </w:pPr>
      <w:bookmarkStart w:id="78" w:name="__RefHeading___Toc1851470_2142443653"/>
      <w:bookmarkStart w:id="79" w:name="_Toc26"/>
      <w:bookmarkEnd w:id="77"/>
      <w:bookmarkEnd w:id="78"/>
      <w:r>
        <w:rPr>
          <w:rtl w:val="true"/>
        </w:rPr>
        <w:t>كلمات الفقهاء في المقام</w:t>
      </w:r>
      <w:bookmarkEnd w:id="79"/>
    </w:p>
    <w:p>
      <w:pPr>
        <w:pStyle w:val="BookText"/>
        <w:rPr/>
      </w:pPr>
      <w:r>
        <w:rPr>
          <w:rFonts w:ascii="Amiri" w:hAnsi="Amiri" w:eastAsia="Amiri" w:cs="Amiri"/>
          <w:color w:val="111111"/>
          <w:sz w:val="28"/>
          <w:sz w:val="28"/>
          <w:szCs w:val="28"/>
          <w:rtl w:val="true"/>
          <w:lang w:bidi="ar-SA"/>
        </w:rPr>
        <w:t xml:space="preserve">ثمّ لا يبعد أن تكون كلمات الفقهاء أو جملة منها أيضاً موافقة لما ذكرناه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جملة من أدلّته على جواز بيع الزيت النجس ممّن يستصبح به تحت السماء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وروى أبو علي بن أبي هريرة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وسلم  أذن في الاستصباح بالزيت 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على جواز بيعه ، وأنّ لغيره لا يجوز إذا قلنا بدليل الخطاب</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جعل ابن زهرة</w:t>
      </w:r>
      <w:r>
        <w:rPr>
          <w:rStyle w:val="FootnoteAnchor"/>
          <w:rtl w:val="true"/>
        </w:rPr>
        <w:footnoteReference w:id="164"/>
      </w:r>
      <w:r>
        <w:rPr>
          <w:rFonts w:ascii="Amiri" w:hAnsi="Amiri" w:eastAsia="Amiri" w:cs="Amiri"/>
          <w:color w:val="111111"/>
          <w:sz w:val="28"/>
          <w:sz w:val="28"/>
          <w:szCs w:val="28"/>
          <w:rtl w:val="true"/>
          <w:lang w:bidi="ar-SA"/>
        </w:rPr>
        <w:t>إباحة المنفعة من شرائط العوض ؛ تحفّظاً من المنافع</w:t>
      </w:r>
    </w:p>
    <w:p>
      <w:pPr>
        <w:pStyle w:val="BookText"/>
        <w:rPr/>
      </w:pPr>
      <w:r>
        <w:rPr>
          <w:rFonts w:ascii="Amiri" w:hAnsi="Amiri" w:eastAsia="Amiri" w:cs="Amiri"/>
          <w:color w:val="111111"/>
          <w:sz w:val="28"/>
          <w:sz w:val="28"/>
          <w:szCs w:val="28"/>
          <w:rtl w:val="true"/>
          <w:lang w:bidi="ar-SA"/>
        </w:rPr>
        <w:t xml:space="preserve">المحرّمة ، وأدخل كلّ نجس لا يمكن تطهيره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منه دوران الصحّة والفساد مدار جواز الانتفاع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على جواز البيع والإجارة بجواز الانتفاع بالشيء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إجارة الكلب ، وهو قول بعض الشافعية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 نّها منفعة مباحة فجازت المعاوضة عنها</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ما ليس بنجس من العذرات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نّها طاهرة ينتفع بها ، فجاز بيعها</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تأمّل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على صحّة بيع الكلب بصحّة الانتفاع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سوّغنا بيع كلب الصيد ، صحّ بيع كلب الماشية والزرع والحائط ؛ لأنّ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على عدم جواز إجارة الخنزير وبيعه بأن لا منفعة فيه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بيع كلّ ما فيه منفعة ؛ لأنّ الملك سبب لإطلاق التصرّف ، والمنفعة المباحة كما يجوز استيفاؤها ، يجوز أخذ العوض عنها ، فيباح لغيره بذل ماله فيها</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كلماته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للفخر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للمقداد ، في الأعيان النجسة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يحرم بيعها ؛ لأ نّها محرّمة الانتفاع ، 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محرّم الانتفاع</w:t>
      </w:r>
    </w:p>
    <w:p>
      <w:pPr>
        <w:pStyle w:val="BookText"/>
        <w:rPr/>
      </w:pPr>
      <w:r>
        <w:rPr>
          <w:rFonts w:ascii="Amiri" w:hAnsi="Amiri" w:eastAsia="Amiri" w:cs="Amiri"/>
          <w:color w:val="111111"/>
          <w:sz w:val="28"/>
          <w:sz w:val="28"/>
          <w:szCs w:val="28"/>
          <w:rtl w:val="true"/>
          <w:lang w:bidi="ar-SA"/>
        </w:rPr>
        <w:t>لا يصحّ بيعه</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مع أنّ تحصيل الإجماع أو الشهرة المعتمدة في مثل هذه المسألة التي تراكمت فيها الأدلّة ، وللاجتهاد فيها قدم راسخ ، غير ممكن ، سيّما مع تمسّك جملة من الأعيان بالأدلّة اللفظية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حال الكبرى الكلّية ، ولا بدّ في الاستنتاج من البحث الكلّي عن صغراها ، ثمّ البحث عن جزئيات المسائل </w:t>
      </w:r>
      <w:r>
        <w:rPr>
          <w:rFonts w:eastAsia="Amiri" w:cs="Amiri" w:ascii="Amiri" w:hAnsi="Amiri"/>
          <w:color w:val="111111"/>
          <w:sz w:val="28"/>
          <w:szCs w:val="28"/>
          <w:rtl w:val="true"/>
          <w:lang w:bidi="ar-SA"/>
        </w:rPr>
        <w:t xml:space="preserve">. </w:t>
      </w:r>
      <w:bookmarkStart w:id="80" w:name="pg15158_206823"/>
    </w:p>
    <w:p>
      <w:pPr>
        <w:pStyle w:val="Heading5"/>
        <w:numPr>
          <w:ilvl w:val="4"/>
          <w:numId w:val="1"/>
        </w:numPr>
        <w:rPr/>
      </w:pPr>
      <w:bookmarkStart w:id="81" w:name="__RefHeading___Toc1851472_2142443653"/>
      <w:bookmarkStart w:id="82" w:name="_Toc27"/>
      <w:bookmarkEnd w:id="80"/>
      <w:bookmarkEnd w:id="81"/>
      <w:r>
        <w:rPr>
          <w:rtl w:val="true"/>
        </w:rPr>
        <w:t>البحث الكلّي حول الانتفاع بالأعيان النجسة وبالمتنجّسات</w:t>
      </w:r>
      <w:bookmarkEnd w:id="82"/>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الأصل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كأصالتي الحلّ والإباحة ، وعموم خلق ما في الأرض جميعاً لنا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الَّذِى خَلَقَ لَكُمْ مَا فِى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الانتفاع بكلّ شيء من كلّ وجه ، إلاّ ما قام الدليل على 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ادّعي الأصل الثانوي على حرمة الانتفاع بالأعيان النجسة وبالمتنجّسات مستدلاًّ بالكتاب والسنّة والإجماع</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الأوّل ،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بدعوى رجوع الضمير إلى الرجس ، وأنّ وجوب الاجتناب عن المذكورات لانسلاكها فيه ؛ إمّا حقيقةً كالخمر ، أو ادّعاءً كغيرها ، وأنّ الرجس هو النجس المعهود ، ووجوب الاجتناب عن الشيء يقتضي عدم الانتفاع بشيء منه ، وإلاّ لم يناسب التعبير بالاجتناب والتباعد عنه ، فتدلّ على حرمة الانتفاع مطلقاً عن كلّ رجس ونجس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ممنوعية رجوع الضمير إلى الرجس ؛ إذ من المحتمل رجوعه إلى عمل الشيطان ، بل لعلّه الأنسب في مقام التأكيد عن لزوم التجنّب عن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رجوعه إليه ، لا يسلّم الرجوع إليه مطلقاً ، بل مع قيد كونه من عمل الشيطان ، وإلاّ فلو كانت علّة وجوب الاجتناب كون الشيء رجساً ، </w:t>
      </w:r>
    </w:p>
    <w:p>
      <w:pPr>
        <w:pStyle w:val="BookText"/>
        <w:rPr/>
      </w:pPr>
      <w:r>
        <w:rPr>
          <w:rFonts w:ascii="Amiri" w:hAnsi="Amiri" w:eastAsia="Amiri" w:cs="Amiri"/>
          <w:color w:val="111111"/>
          <w:sz w:val="28"/>
          <w:sz w:val="28"/>
          <w:szCs w:val="28"/>
          <w:rtl w:val="true"/>
          <w:lang w:bidi="ar-SA"/>
        </w:rPr>
        <w:t xml:space="preserve">لم يكن ذكر عمل الشيطان مناسباً ، والرجوع إلى كلّ منهما مستقلاًّ لو فرض إمكانه خلاف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رجوع الضمير إلى الرجس الذي من عمل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الرجس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من عمله يجب الاجتناب عنه ، وما ليس كذلك لا يجب ، فتدلّ أو تشعر على جواز الانتفاع في الجملة بالنجاسات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منها ولو بمناسبة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وبقرينة قوله متّصلاً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وَالْبَغْضَاءَ فِى الْخَمْرِ وَالْمَيْسِرِ وَيَصُدَّكُمْ عَنْ ذِكْرِ اللّه‌ِ وَعَنِ الصَّلَوةِ</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أنّ شرب الخمر والمقامرة وعبادة الأوثان رجس من عمله ، لا بنحو المجاز في الحذف ، بل بادّعاء أن لا خاصّية للخمر إلاّ شربها ، ولا للميسر إلاّ اللعب ، إذا كان المراد به آلاته ، وأمّا</w:t>
      </w:r>
    </w:p>
    <w:p>
      <w:pPr>
        <w:pStyle w:val="BookText"/>
        <w:rPr/>
      </w:pPr>
      <w:r>
        <w:rPr>
          <w:rFonts w:ascii="Amiri" w:hAnsi="Amiri" w:eastAsia="Amiri" w:cs="Amiri"/>
          <w:color w:val="111111"/>
          <w:sz w:val="28"/>
          <w:sz w:val="28"/>
          <w:szCs w:val="28"/>
          <w:rtl w:val="true"/>
          <w:lang w:bidi="ar-SA"/>
        </w:rPr>
        <w:t xml:space="preserve">إن كان المراد ، اللعب بالآلة فلا دعوى فيه ، ويكون قرينةً على أنّ المراد بالخمر أيضاً شربه ، وبالأنصاب عبادتها ، بنحو ما مرّ من الدعوى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إيقاع العداوة والبغضاء والصدّ عن ذكر اللّه وعن الصلاة ، إنّما هو بشرب الخمر والمقامرة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وإمساكها للتخليل ليس من عمل الشيطان ، ولا آلة له لإيقاع العداوة والبغضاء والصدّ عن ذكر اللّه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أنّ في كون الرجس بمعنى النجس المعهود إشكالاً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كتب اللغة</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بمعانٍ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فدار الأمر بين حمله على </w:t>
      </w:r>
    </w:p>
    <w:p>
      <w:pPr>
        <w:pStyle w:val="BookText"/>
        <w:rPr/>
      </w:pPr>
      <w:r>
        <w:rPr>
          <w:rFonts w:ascii="Amiri" w:hAnsi="Amiri" w:eastAsia="Amiri" w:cs="Amiri"/>
          <w:color w:val="111111"/>
          <w:sz w:val="28"/>
          <w:sz w:val="28"/>
          <w:szCs w:val="28"/>
          <w:rtl w:val="true"/>
          <w:lang w:bidi="ar-SA"/>
        </w:rPr>
        <w:t xml:space="preserve">الرجس بمعنى القذر المعهود ، وارتكاب التجوّز في الآية زائداً على الدعوى المتقدّمة ، أو حمله على القبيح وحفظ ظهورها من هذه الحيثية ، والثاني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تنزيل عبادة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كفر باللّه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القذارة ، أو تنزيل نفسها منزلتها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منزلة القذارة الصورية في وجوب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من الوهن ؛ فإنّه من تنزيل العظيم ، منزلة الحقير في مورد يقتضي التعظيم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تحريم الخبائث ، بتقريب أنّ النجاسات والمتنجّسات من الخبيثات وأنّ الحرمة إذا تعلّقت بذات الشيء تفيد حرمة مطلق الانتفاعات ؛ لأنّ التعلّق بها مبنيّ على الدعوى ، وهي أنسب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النظر فيه بعد ذكر الآية الكريمة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يَتَّقُونَ وَيُؤتُونَ الزَّكَوةَ وَالَّذِينَ هُمْ بِآيَاتِنَا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النَّبِىَّ الْأُمِّىَّ الَّذِى يَجِدُونَهُ مَكْتُوباً عِنْدَهُمْ فِى التَّوْرَاةِ وَالاْءِنْجِيلِ يَأْمُرُهُمْ بِالْمَعْرُوفِ وَيَنْهَاهُمْ عَنِ الْمُنْكَرِ وَيُحِلُّ لَهُمُ الطَّيِّبَاتِ وَيُحَرِّمُ عَلَيْهِمُ الْخَبَائِثَ </w:t>
      </w:r>
      <w:r>
        <w:rPr>
          <w:rFonts w:eastAsia="Amiri" w:cs="Amiri" w:ascii="Amiri" w:hAnsi="Amiri"/>
          <w:color w:val="111111"/>
          <w:sz w:val="28"/>
          <w:szCs w:val="28"/>
          <w:rtl w:val="true"/>
          <w:lang w:bidi="ar-SA"/>
        </w:rPr>
        <w:t>. . .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مبنى الاستدلال على دعوى تعلّق الحرمة على عنوان الخبيثات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الآية ليست بصدد بيان تحريم الخبائث ، بل بصدد الإخبار عن أوصاف النبي صلی الله علیه و آله وسلم  بأ نّه يأمرهم بالمعروف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وليس المراد أنّ النبي صلی الله علیه و آله وسلم  يحرّم عنوان الخبائث أو ذاتها ، ويحلّ عنوان الطيّبات أو ذاتها ، بل بصدد بيان أ نّه </w:t>
      </w:r>
    </w:p>
    <w:p>
      <w:pPr>
        <w:pStyle w:val="BookText"/>
        <w:rPr/>
      </w:pPr>
      <w:r>
        <w:rPr>
          <w:rFonts w:ascii="Amiri" w:hAnsi="Amiri" w:eastAsia="Amiri" w:cs="Amiri"/>
          <w:color w:val="111111"/>
          <w:sz w:val="28"/>
          <w:sz w:val="28"/>
          <w:szCs w:val="28"/>
          <w:rtl w:val="true"/>
          <w:lang w:bidi="ar-SA"/>
        </w:rPr>
        <w:t xml:space="preserve">يحلّ كلّ ما كان طيّباً ويحرّم كلّ ما كان خبيثاً بالحمل الشائع ولو بالنهي عن أكله وشربه ، فإذا نهى عن شرب الخمر وأكل الميتة ولحم الخنزير وهكذا ، يصدق أ نّه حرّم الخبائث ، فلا دلالة للآية على تحريم عنوان الخبائث ، وهو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بمفهوم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مَا ذَا أُحِلَّ لَهُمْ قُلْ أُحِلَّ لَكُمُ الطَّيِّبَاتُ</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ليس على ما ينبغي ؛ فإنّ المراد من حلّية الطيّبات ، حلّية ما كان طيّباً بالحمل الشائع ، لا أنّ الحلّية متعلّقة بعنوان الطيّب أو</w:t>
      </w:r>
    </w:p>
    <w:p>
      <w:pPr>
        <w:pStyle w:val="BookText"/>
        <w:rPr/>
      </w:pPr>
      <w:r>
        <w:rPr>
          <w:rFonts w:ascii="IRNazanin" w:hAnsi="IRNazanin" w:eastAsia="IRNazanin"/>
          <w:color w:val="111111"/>
          <w:sz w:val="28"/>
          <w:sz w:val="28"/>
          <w:szCs w:val="28"/>
          <w:rtl w:val="true"/>
          <w:lang w:bidi="fa-IR"/>
        </w:rPr>
        <w:t xml:space="preserve">ذاته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جمع للتعبير عمّا هو حلال ، لا أنّ الحلال في الشريعة شيء واحد هو عنوان الطيّب ، والحرام شيء واحد هو عنوان الخبيث المقابل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صدرها وذيلها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الأكل ، كما تأتي الإشارة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المفهوم على فرضه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يحلّ لكم غير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عليكم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ينتج لما نحن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إمكان إنكار المفهوم ولو كان بصدد التحديد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 بنحو ما تقدّم من التقريب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لم يتّضح أنّ المراد بالرجز، الرجس؛ فإنّه بمعانٍ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الأوثان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 نّه بالضمّ اسم صنم فيما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صنمان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أساف ونائلة</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ولعلّ الأقرب أن يكون الأمر ، بهجر الأوثان أو عبادتها ، وأمّا النجس المعهود ، فمن البعيد إرادته في أوّل سورة نزلت عليه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قيل</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إقرأ ، قبل تأسيس الشريعة اُصولاً وفروعاً ، على ما يشهد به الذوق السليم ، ولهذا لا يبعد أن يكون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 غير تطهير اللباس ، بل تنزيه نسائه أو أقربائه عن دنس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ممّا فسّر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على حرمة مطلق الانتفاع بالنجس بل والمتنجّس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مرّ أنّ المستفاد من موارد منها ، جواز التقليب في وجوه الصلاح ، وإنّما عدم الجواز فيما إذا قلّبها في 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كغيرها من الروايات المتقدّمة تدلّ على خلاف المطلوب ، فراجع</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يتوهّم إمكان استنقاذ الكلّية من الموارد الجزئية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 وَلَحْمُ الْخِنْزِيرِ</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فإنّ تعلّق الحرمة بذات العناوين المذكورة فيها ، يدلّ على حرمة جميع الانتفاعات</w:t>
      </w:r>
      <w:r>
        <w:rPr>
          <w:rStyle w:val="FootnoteAnchor"/>
          <w:rtl w:val="true"/>
        </w:rPr>
        <w:footnoteReference w:id="186"/>
      </w:r>
      <w:r>
        <w:rPr>
          <w:rFonts w:ascii="Amiri" w:hAnsi="Amiri" w:eastAsia="Amiri" w:cs="Amiri"/>
          <w:color w:val="111111"/>
          <w:sz w:val="28"/>
          <w:sz w:val="28"/>
          <w:szCs w:val="28"/>
          <w:rtl w:val="true"/>
          <w:lang w:bidi="ar-SA"/>
        </w:rPr>
        <w:t xml:space="preserve">، فإنّها أولى في تصحيح </w:t>
      </w:r>
    </w:p>
    <w:p>
      <w:pPr>
        <w:pStyle w:val="BookText"/>
        <w:rPr/>
      </w:pPr>
      <w:r>
        <w:rPr>
          <w:rFonts w:ascii="Amiri" w:hAnsi="Amiri" w:eastAsia="Amiri" w:cs="Amiri"/>
          <w:color w:val="111111"/>
          <w:sz w:val="28"/>
          <w:sz w:val="28"/>
          <w:szCs w:val="28"/>
          <w:rtl w:val="true"/>
          <w:lang w:bidi="ar-SA"/>
        </w:rPr>
        <w:t>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وَالدَّمَ وَلَحْمَ الْخِنْزِيرِ</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وكالروايات الكثيرة الدالّة على وجوب إهراق الماء المتنجّس</w:t>
      </w:r>
      <w:r>
        <w:rPr>
          <w:rStyle w:val="FootnoteAnchor"/>
          <w:rtl w:val="true"/>
        </w:rPr>
        <w:footnoteReference w:id="188"/>
      </w:r>
      <w:r>
        <w:rPr>
          <w:rFonts w:ascii="IRNazanin" w:hAnsi="IRNazanin" w:eastAsia="IRNazanin"/>
          <w:color w:val="111111"/>
          <w:sz w:val="28"/>
          <w:sz w:val="28"/>
          <w:szCs w:val="28"/>
          <w:rtl w:val="true"/>
          <w:lang w:bidi="fa-IR"/>
        </w:rPr>
        <w:t>، والمرق المتنجّس</w:t>
      </w:r>
      <w:r>
        <w:rPr>
          <w:rStyle w:val="FootnoteAnchor"/>
          <w:rtl w:val="true"/>
        </w:rPr>
        <w:footnoteReference w:id="189"/>
      </w:r>
      <w:r>
        <w:rPr>
          <w:rFonts w:ascii="Amiri" w:hAnsi="Amiri" w:eastAsia="Amiri" w:cs="Amiri"/>
          <w:color w:val="111111"/>
          <w:sz w:val="28"/>
          <w:sz w:val="28"/>
          <w:szCs w:val="28"/>
          <w:rtl w:val="true"/>
          <w:lang w:bidi="ar-SA"/>
        </w:rPr>
        <w:t>، وإلقاء ما حول النجس في الدهن الجامد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في صحيحة الكاهلي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حسنته عن أبي عبداللّه علیه السلام في مورد قطع أليات الغنم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كتاب علي علیه السلام أنّ ما قطع منها ميّت لا ينتفع به</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استفادة حرمة مطلق الانتفاعات في الموارد المذكورة ، فضلاً عن الإسراء إلى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الآيتان ، فلقرائن فيهما وفيما قبلهما وبعدهما ، تدلّ على أنّ المراد بتحريم العناوين ، تحريم أكلها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لحم الخنزير ؛ للجزم بعدم إرادة جواز الانتفاع بغير لحمه ، وعدم الجواز في الميتة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ذكر الكلب ؛ لعدم كونه ممّا يتعارف أكله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الاضطرار في المجاعة ؛ فإنّ المراد منه جواز أكلها في المخمصة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قبل الآية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مِنْ طَيِّبَاتِ مَا رَزَقْنَاكُمْ وَاشْكُرُوا للّه‌ِ إِنْ كُنْتُمْ إِيَّاهُ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وتعقيب الاُولى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مَا ذَا أُحِلَّ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 الَّذِينَ أُوتُوا الْكِتَابَ 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فاحتفافهما بما ذكر ، يوجب ظهورهما في إرادة الأكل ، لا الانتفاعات الاُخر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الشائع من المنافع منها ، سيّما الدم ولحم الخنزير ، هو الأكل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مع ورود روايات يظهر منها ما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كرواية المفضّل بن عمر المرويّة عن أبي عبداللّه علیه السلام بطرق لا يبعد حسن بعضها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لم حرّم اللّه الخمر والميتة والدم ولحم الخنزير ؟ 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ولكنّه خلق الخلق ، فعلم ما تقوم به أبدانهم وما يصلحهم ، فأحلّه لهم وأباحه تفضّلاً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الميتة فإنّه لا يدمنها أحد إلاّ ضعف بدنه ، ونحل جسمه ، وذهبت قوّته ، وانقطع نسله ، ولا يموت آكل الميتة إلاّ فجأة</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 xml:space="preserve">ثمّ ذكر مفاسد أكل الدم ، وأكل لحم الخنزير ، وشرب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منها أنّ متعلّق الحرمة في الآية الأكل والشرب لا غير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وقريب منها روايات اُخر</w:t>
      </w:r>
      <w:r>
        <w:rPr>
          <w:rStyle w:val="FootnoteAnchor"/>
          <w:rtl w:val="true"/>
        </w:rPr>
        <w:footnoteReference w:id="193"/>
      </w:r>
      <w:r>
        <w:rPr>
          <w:rFonts w:ascii="Amiri" w:hAnsi="Amiri" w:eastAsia="Amiri" w:cs="Amiri"/>
          <w:color w:val="111111"/>
          <w:sz w:val="28"/>
          <w:sz w:val="28"/>
          <w:szCs w:val="28"/>
          <w:rtl w:val="true"/>
          <w:lang w:bidi="ar-SA"/>
        </w:rPr>
        <w:t xml:space="preserve">، يظهر منها ما ذكر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الروايات الآمرة بإهراق الماء المتنجّس ، فلأنّ الماء القليل الذي بقي في الإناء من فضل الكلب ونحوه ، لا فائدة له نوعاً سوى الشرب ، أو الوضوء ، أو غسل شيء به ؛ ومع عدم جوازها لا بدّ من إهراقه ، فلا تدلّ تلك الروايات على حرمة مطلق الانتفاع به لو فرض له انتفاع ، كصبّه على أصل شجر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الروايات الواردة فيه ، إنّما هي في مقام بيان أحكام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في الكلب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رجس نجس لا يتوضّأ بفضله ، واصبب ذلك الماء ، واغسله بالتراب</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 في مقام بيان عدم جواز التوضّي به ، وطريق تطهير الإناء ، لا عدم جواز سائر الانتفاعات ، سيّما مثل تطيين التراب به ، وكذا حال سائر الروايات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فيها الأمر بإهراق المرق ، مضافاً إلى عدم نفع له إلاّ الأكل الممنوع ، فالأمر بإهراقه في رواية السكوني</w:t>
      </w:r>
      <w:r>
        <w:rPr>
          <w:rStyle w:val="FootnoteAnchor"/>
          <w:rtl w:val="true"/>
        </w:rPr>
        <w:footnoteReference w:id="195"/>
      </w:r>
      <w:r>
        <w:rPr>
          <w:rFonts w:ascii="Amiri" w:hAnsi="Amiri" w:eastAsia="Amiri" w:cs="Amiri"/>
          <w:color w:val="111111"/>
          <w:sz w:val="28"/>
          <w:sz w:val="28"/>
          <w:szCs w:val="28"/>
          <w:rtl w:val="true"/>
          <w:lang w:bidi="ar-SA"/>
        </w:rPr>
        <w:t xml:space="preserve">لذلك ، والظاهر أ نّه كناية عن حرمة أكله ، كما يدلّ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ويغسل اللحم ويؤكل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في رواية زكريّا بن آدم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يهراق المرق ، أو يطعمه أهل الذمّة ، أو الكلب ، واللحم اغسله وكله</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وإطعامهما نحو انتفاع به ، سيّما إذا كان الذمّي ضيفاً له ، والكلب لماشيته </w:t>
      </w:r>
    </w:p>
    <w:p>
      <w:pPr>
        <w:pStyle w:val="BookText"/>
        <w:rPr/>
      </w:pPr>
      <w:r>
        <w:rPr>
          <w:rFonts w:ascii="Amiri" w:hAnsi="Amiri" w:eastAsia="Amiri" w:cs="Amiri"/>
          <w:color w:val="111111"/>
          <w:sz w:val="28"/>
          <w:sz w:val="28"/>
          <w:szCs w:val="28"/>
          <w:rtl w:val="true"/>
          <w:lang w:bidi="ar-SA"/>
        </w:rPr>
        <w:t xml:space="preserve">وحراسته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أيضاً تجويز بيع العجين النجس من المستحلّ ، وكذا في مرسلة</w:t>
      </w:r>
    </w:p>
    <w:p>
      <w:pPr>
        <w:pStyle w:val="BookText"/>
        <w:rPr/>
      </w:pPr>
      <w:r>
        <w:rPr>
          <w:rFonts w:ascii="Amiri" w:hAnsi="Amiri" w:eastAsia="Amiri" w:cs="Amiri"/>
          <w:color w:val="111111"/>
          <w:sz w:val="28"/>
          <w:sz w:val="28"/>
          <w:szCs w:val="28"/>
          <w:rtl w:val="true"/>
          <w:lang w:bidi="ar-SA"/>
        </w:rPr>
        <w:t>ابن أبي عمير</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روايات إلقاء ما حول الجامد من الدهن وغيره ، فتدلّ على جواز الانتفاع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موثّقة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الفأرة تقع في السمن ، أو في الزيت ، فتموت فيه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جامداً فتطرحها وما حولها ، ويؤكل ما بقي ، وإن كان ذائباً فاسرج به ، وأعلمهم إذا بعته</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منها جواز الإسراج ولو بالجامد الذي حولها ، وإنّما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كونه معتدّاً به ؛ مع قوّة احتمال أن يكون كناية عن عدم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الانتفاع بصنوف النجاسات ، ولا دليل عامّ على حرمة جميع الانتفاعات بها ، كما لا دليل كذلك على حرمة بيعها ، بل مقتضى إطلاق الأدلّة جوازه فيما ينتفع به ، فلا بدّ من التماس دليل على الخروج من الكلّيتين المتقدّمتين ، ففي كلّ مورد ليس الدليل إلاّ الأدلّة العامّة ، يحكم بجواز</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الانتفاع به ، وجواز البيع في ما ينتفع به ، كالبول ممّا لا يؤكل لحمه ، والمنيّ ؛ لعدم الدليل فيهما بالخصوص ، فيجوز الانتفاع بهما في غير الشرب والأكل وبيعهما لو فرض لهما منفعة عقلائية ، كمنيّ الحيوانات للتلقيح المتعارف في هذا العصر </w:t>
      </w:r>
      <w:r>
        <w:rPr>
          <w:rFonts w:eastAsia="Amiri" w:cs="Amiri" w:ascii="Amiri" w:hAnsi="Amiri"/>
          <w:color w:val="111111"/>
          <w:sz w:val="28"/>
          <w:szCs w:val="28"/>
          <w:rtl w:val="true"/>
          <w:lang w:bidi="ar-SA"/>
        </w:rPr>
        <w:t xml:space="preserve">. </w:t>
      </w:r>
      <w:bookmarkStart w:id="83" w:name="pg15158_206832"/>
    </w:p>
    <w:p>
      <w:pPr>
        <w:pStyle w:val="Heading5"/>
        <w:numPr>
          <w:ilvl w:val="4"/>
          <w:numId w:val="1"/>
        </w:numPr>
        <w:rPr/>
      </w:pPr>
      <w:bookmarkStart w:id="84" w:name="__RefHeading___Toc1851474_2142443653"/>
      <w:bookmarkStart w:id="85" w:name="_Toc28"/>
      <w:bookmarkEnd w:id="83"/>
      <w:bookmarkEnd w:id="84"/>
      <w:r>
        <w:rPr>
          <w:rtl w:val="true"/>
        </w:rPr>
        <w:t>البحث في الانتفاع ببعض الأعيان النجسة الواردة فيها روايات بالخصوص</w:t>
      </w:r>
      <w:bookmarkEnd w:id="85"/>
    </w:p>
    <w:p>
      <w:pPr>
        <w:pStyle w:val="BookText"/>
        <w:rPr/>
      </w:pPr>
      <w:r>
        <w:rPr>
          <w:rFonts w:ascii="Amiri" w:hAnsi="Amiri" w:eastAsia="Amiri" w:cs="Amiri"/>
          <w:color w:val="111111"/>
          <w:sz w:val="28"/>
          <w:sz w:val="28"/>
          <w:szCs w:val="28"/>
          <w:rtl w:val="true"/>
          <w:lang w:bidi="ar-SA"/>
        </w:rPr>
        <w:t xml:space="preserve">بقي الكلام في موارد خاصّة ، وردت فيها روايات ، يجب التعرّض لها بالخصوص </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1851476_2142443653"/>
      <w:bookmarkStart w:id="87" w:name="_Toc29"/>
      <w:bookmarkEnd w:id="86"/>
      <w:r>
        <w:rPr>
          <w:rtl w:val="true"/>
        </w:rPr>
        <w:t>حكم الانتفاع بالدم وبيعه</w:t>
      </w:r>
      <w:bookmarkEnd w:id="87"/>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فيه جواز الانتفاع به في غير الأكل ، وجواز بيعه لذلك ؛ فإنّ ما وردت فيه من الآية والرواية لا تدلّ على حرمة الانتفاع به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تقدّم الكلام في الآية الكريمة</w:t>
      </w:r>
      <w:r>
        <w:rPr>
          <w:rStyle w:val="FootnoteAnchor"/>
          <w:rtl w:val="true"/>
        </w:rPr>
        <w:footnoteReference w:id="199"/>
      </w:r>
      <w:r>
        <w:rPr>
          <w:rFonts w:ascii="Amiri" w:hAnsi="Amiri" w:eastAsia="Amiri" w:cs="Amiri"/>
          <w:color w:val="111111"/>
          <w:sz w:val="28"/>
          <w:sz w:val="28"/>
          <w:szCs w:val="28"/>
          <w:rtl w:val="true"/>
          <w:lang w:bidi="ar-SA"/>
        </w:rPr>
        <w:t xml:space="preserve">، مع أ نّه لم يكن في تلك الأعصار للدم نفع غير الأكل ، فالتحريم منصرف إليه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حال الروايات الدالّة على حرمة سبعة أشياء من الذبيحة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 فإنّ الظاهر منها حرمة الأكل ، كما تشهد به نفس الروايات ؛ فإنّ في جملة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يؤكل من الشاة كذا وكذا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 وهي قرينة على أنّ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 من الشاة سبعة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والخصيتان </w:t>
      </w:r>
      <w:r>
        <w:rPr>
          <w:rFonts w:eastAsia="Amiri" w:cs="Amiri" w:ascii="Amiri" w:hAnsi="Amiri"/>
          <w:color w:val="111111"/>
          <w:sz w:val="28"/>
          <w:szCs w:val="28"/>
          <w:rtl w:val="true"/>
          <w:lang w:bidi="ar-SA"/>
        </w:rPr>
        <w:t>. . .»</w:t>
      </w:r>
      <w:r>
        <w:rPr>
          <w:rStyle w:val="FootnoteAnchor"/>
          <w:rtl w:val="true"/>
        </w:rPr>
        <w:footnoteReference w:id="201"/>
      </w:r>
      <w:r>
        <w:rPr>
          <w:rFonts w:ascii="Amiri" w:hAnsi="Amiri" w:eastAsia="Amiri" w:cs="Amiri"/>
          <w:color w:val="111111"/>
          <w:sz w:val="28"/>
          <w:sz w:val="28"/>
          <w:szCs w:val="28"/>
          <w:rtl w:val="true"/>
          <w:lang w:bidi="ar-SA"/>
        </w:rPr>
        <w:t xml:space="preserve">هو حرمة الأكل ، </w:t>
      </w:r>
      <w:bookmarkStart w:id="88" w:name="pg15158_206833"/>
    </w:p>
    <w:p>
      <w:pPr>
        <w:pStyle w:val="BookText"/>
        <w:rPr/>
      </w:pPr>
      <w:bookmarkEnd w:id="88"/>
      <w:r>
        <w:rPr>
          <w:rFonts w:ascii="Amiri" w:hAnsi="Amiri" w:eastAsia="Amiri" w:cs="Amiri"/>
          <w:color w:val="111111"/>
          <w:sz w:val="28"/>
          <w:sz w:val="28"/>
          <w:szCs w:val="28"/>
          <w:rtl w:val="true"/>
          <w:lang w:bidi="ar-SA"/>
        </w:rPr>
        <w:t xml:space="preserve">مع أنّ المذكورات لم يكن لها نفع في تلك الأعصار إلاّ الأكل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شبهة في قصور الأدلّة عن إثبات حرمة سائر الانتفاعات من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بيع سبعة أشياء منها الدم في مرفوعة أبي يحيى الواسطي</w:t>
      </w:r>
      <w:r>
        <w:rPr>
          <w:rStyle w:val="FootnoteAnchor"/>
          <w:rtl w:val="true"/>
        </w:rPr>
        <w:footnoteReference w:id="202"/>
      </w:r>
      <w:r>
        <w:rPr>
          <w:rFonts w:ascii="Amiri" w:hAnsi="Amiri" w:eastAsia="Amiri" w:cs="Amiri"/>
          <w:color w:val="111111"/>
          <w:sz w:val="28"/>
          <w:sz w:val="28"/>
          <w:szCs w:val="28"/>
          <w:rtl w:val="true"/>
          <w:lang w:bidi="ar-SA"/>
        </w:rPr>
        <w:t>، يراد به البيع للأكل ؛ لتعارف أكله في تلك الأمكنة</w:t>
      </w:r>
    </w:p>
    <w:p>
      <w:pPr>
        <w:pStyle w:val="BookText"/>
        <w:rPr/>
      </w:pPr>
      <w:r>
        <w:rPr>
          <w:rFonts w:ascii="Amiri" w:hAnsi="Amiri" w:eastAsia="Amiri" w:cs="Amiri"/>
          <w:color w:val="111111"/>
          <w:sz w:val="28"/>
          <w:sz w:val="28"/>
          <w:szCs w:val="28"/>
          <w:rtl w:val="true"/>
          <w:lang w:bidi="ar-SA"/>
        </w:rPr>
        <w:t xml:space="preserve">والأزمنة ، كما يشهد به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فالأشبه جواز بيعه إذا كان له نفع عقلائي في هذا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شتات كلمات الفقهاء أيضاً دوران حرمة التكسّب بالنجاسات مدار عدم جواز الانتفاع ، كما مرّت جملة من كلماتهم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يظهر لزوم إرجاع محكيّ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في الدم على ذلك ، سيّما مع تعليله بعدم الانتفاع به </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1851478_2142443653"/>
      <w:bookmarkStart w:id="90" w:name="_Toc30"/>
      <w:bookmarkEnd w:id="89"/>
      <w:r>
        <w:rPr>
          <w:rtl w:val="true"/>
        </w:rPr>
        <w:t>حكم الانتفاع بالعذرة وبيعها</w:t>
      </w:r>
      <w:bookmarkEnd w:id="90"/>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جواز الانتفاع بأرواث مأكول اللحم ، وكذا جواز بيعها ، وسائر التقلّب فيها ، عدا الأكل ؛ للسيرة المستمرّة بين المسلمين</w:t>
      </w:r>
    </w:p>
    <w:p>
      <w:pPr>
        <w:pStyle w:val="BookText"/>
        <w:rPr/>
      </w:pPr>
      <w:r>
        <w:rPr>
          <w:rFonts w:ascii="Amiri" w:hAnsi="Amiri" w:eastAsia="Amiri" w:cs="Amiri"/>
          <w:color w:val="111111"/>
          <w:sz w:val="28"/>
          <w:sz w:val="28"/>
          <w:szCs w:val="28"/>
          <w:rtl w:val="true"/>
          <w:lang w:bidi="ar-SA"/>
        </w:rPr>
        <w:t xml:space="preserve">في الأعصار والأمصار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سرجين ما يؤكل لحمه يجوز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ويدلّ على </w:t>
      </w:r>
    </w:p>
    <w:p>
      <w:pPr>
        <w:pStyle w:val="BookText"/>
        <w:rPr/>
      </w:pPr>
      <w:r>
        <w:rPr>
          <w:rFonts w:ascii="Amiri" w:hAnsi="Amiri" w:eastAsia="Amiri" w:cs="Amiri"/>
          <w:color w:val="111111"/>
          <w:sz w:val="28"/>
          <w:sz w:val="28"/>
          <w:szCs w:val="28"/>
          <w:rtl w:val="true"/>
          <w:lang w:bidi="ar-SA"/>
        </w:rPr>
        <w:t>ذلك بيع أهل الأمصار في جميع الأعصار لزروعهم وثمارهم ، ولم نجد أحداً كره ذلك ، ولا خلاف فيه ، فوجب أن يكون جائزاً</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السيّد الإجماع على جواز الانتفاع بها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ينبغي إطالة الكلام في مثل المسألة ، بل لا بدّ من تأويل</w:t>
      </w:r>
    </w:p>
    <w:p>
      <w:pPr>
        <w:pStyle w:val="BookText"/>
        <w:rPr/>
      </w:pPr>
      <w:r>
        <w:rPr>
          <w:rFonts w:ascii="Amiri" w:hAnsi="Amiri" w:eastAsia="Amiri" w:cs="Amiri"/>
          <w:color w:val="111111"/>
          <w:sz w:val="28"/>
          <w:sz w:val="28"/>
          <w:szCs w:val="28"/>
          <w:rtl w:val="true"/>
          <w:lang w:bidi="ar-SA"/>
        </w:rPr>
        <w:t>ظاهر المفيد وسلاّر</w:t>
      </w:r>
      <w:r>
        <w:rPr>
          <w:rStyle w:val="FootnoteAnchor"/>
          <w:rtl w:val="true"/>
        </w:rPr>
        <w:footnoteReference w:id="207"/>
      </w: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 xml:space="preserve">، مع تشويش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واحتمال كون مراد سلاّر من العذرة عذرة الإنسان أو مع عذرة غير المأكول ، ومن الأبوال مطلقها واستثنى منها بول الإبل ، وإنّما حرم بول غيره ؛ لعدم منفعة حتّى في الطاهر منه ، فيكون ممّا لا يجوز بيعه لذلك ، بل ما ذكرناه محتمل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 ولم يحضرني كلام المفيد  رحمه الله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لا ينبغي التأمّل في جواز الانتفاع بالعذرة النجسة ، سيّما عذرة الإنسان ؛ للسيرة المستمرّة في الأعصار على الانتفاع بها في التسميد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سرجين ما لا يؤكل لحمه ، وعذرة الإنسان ، وخرء الكلاب ، لا يجوز بيعها ، ويجوز الانتفاع بها في الزروع والكروم واُصول الشجر بلا خلاف</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العلاّمة وغيره ، أنّ جوازه للتسميد مفروغ عنه </w:t>
      </w:r>
      <w:r>
        <w:rPr>
          <w:rFonts w:eastAsia="Amiri" w:cs="Amiri" w:ascii="Amiri" w:hAnsi="Amiri"/>
          <w:color w:val="111111"/>
          <w:sz w:val="28"/>
          <w:szCs w:val="28"/>
          <w:rtl w:val="true"/>
          <w:lang w:bidi="ar-SA"/>
        </w:rPr>
        <w:t xml:space="preserve">. </w:t>
      </w:r>
      <w:bookmarkStart w:id="91" w:name="pg15158_206835"/>
    </w:p>
    <w:p>
      <w:pPr>
        <w:pStyle w:val="BookText"/>
        <w:rPr/>
      </w:pPr>
      <w:bookmarkEnd w:id="91"/>
      <w:r>
        <w:rPr>
          <w:rFonts w:ascii="Amiri" w:hAnsi="Amiri" w:eastAsia="Amiri" w:cs="Amiri"/>
          <w:color w:val="111111"/>
          <w:sz w:val="28"/>
          <w:sz w:val="28"/>
          <w:szCs w:val="28"/>
          <w:rtl w:val="true"/>
          <w:lang w:bidi="ar-SA"/>
        </w:rPr>
        <w:t xml:space="preserve">إنّما الكلام في جواز بيعها وصحّته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مطلقاً ، كانت من الإنسان أو غيره من الحيوانات الغير المأكولة ، أو لا مطلقاً ، أو جاز في غير الإنسان ، أو العكس ؟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يتّضح الأوجه منها بعد النظر في الأخبار وكلمات الأصحاب </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851480_2142443653"/>
      <w:bookmarkStart w:id="93" w:name="_Toc31"/>
      <w:bookmarkEnd w:id="92"/>
      <w:r>
        <w:rPr>
          <w:rtl w:val="true"/>
        </w:rPr>
        <w:t>الأخبار الواردة في المقام</w:t>
      </w:r>
      <w:bookmarkEnd w:id="93"/>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الواردة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بعضها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علّق فيها الحكم على عنوان العذرة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رواية يعقوب بن شعيب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 من السحت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يكتسب به ، 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محمّد بن مضارب عنه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ببيع العذرة</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موثّقة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علیه السلام وأنا حاضر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رجل أبيع العذرة فما تقول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بيعها وثمنها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ببيع العذرة</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يكتسب به ، 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15158_206836"/>
    </w:p>
    <w:p>
      <w:pPr>
        <w:pStyle w:val="BookText"/>
        <w:rPr/>
      </w:pPr>
      <w:bookmarkEnd w:id="94"/>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عن آبائه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 آله وسلم  نهى عن بيع 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بيع العذرة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ميتة</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ويظهر من رواية المفضّل بن عمر عنه علیه السلام جواز الانتفاع بها ، بل تشعر أو تدلّ على جواز بيعها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1851482_2142443653"/>
      <w:bookmarkStart w:id="96" w:name="_Toc32"/>
      <w:bookmarkEnd w:id="95"/>
      <w:r>
        <w:rPr>
          <w:rtl w:val="true"/>
        </w:rPr>
        <w:t>في بيان المراد من العذرة</w:t>
      </w:r>
      <w:bookmarkEnd w:id="96"/>
    </w:p>
    <w:p>
      <w:pPr>
        <w:pStyle w:val="BookText"/>
        <w:rPr/>
      </w:pPr>
      <w:r>
        <w:rPr>
          <w:rFonts w:ascii="Amiri" w:hAnsi="Amiri" w:eastAsia="Amiri" w:cs="Amiri"/>
          <w:color w:val="111111"/>
          <w:sz w:val="28"/>
          <w:sz w:val="28"/>
          <w:szCs w:val="28"/>
          <w:rtl w:val="true"/>
          <w:lang w:bidi="ar-SA"/>
        </w:rPr>
        <w:t>ثمّ إنّ العذرة هل هي خرء مطلق الحيوان ، كما لعلّه الظاهر من اللغويين ، أو خصوص الإنسان ، كما عن بعض أهل اللغة</w:t>
      </w:r>
      <w:r>
        <w:rPr>
          <w:rStyle w:val="FootnoteAnchor"/>
          <w:rtl w:val="true"/>
        </w:rPr>
        <w:footnoteReference w:id="2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الأخذ بما دلّت على أنّ ثمنها سحت ، على فرض تعارض الروايات ، وعدم مقبولية الجمع المتقدّم منّا </w:t>
      </w:r>
      <w:r>
        <w:rPr>
          <w:rStyle w:val="FootnoteAnchor"/>
          <w:rtl w:val="true"/>
        </w:rPr>
        <w:footnoteReference w:id="217"/>
      </w:r>
      <w:r>
        <w:rPr>
          <w:rFonts w:ascii="Amiri" w:hAnsi="Amiri" w:eastAsia="Amiri" w:cs="Amiri"/>
          <w:color w:val="111111"/>
          <w:sz w:val="28"/>
          <w:sz w:val="28"/>
          <w:szCs w:val="28"/>
          <w:rtl w:val="true"/>
          <w:lang w:bidi="ar-SA"/>
        </w:rPr>
        <w:t>، ولا سائر ما قيل في وجهه</w:t>
      </w:r>
      <w:r>
        <w:rPr>
          <w:rStyle w:val="FootnoteAnchor"/>
          <w:rtl w:val="true"/>
        </w:rPr>
        <w:footnoteReference w:id="218"/>
      </w:r>
      <w:r>
        <w:rPr>
          <w:rFonts w:ascii="Amiri" w:hAnsi="Amiri" w:eastAsia="Amiri" w:cs="Amiri"/>
          <w:color w:val="111111"/>
          <w:sz w:val="28"/>
          <w:sz w:val="28"/>
          <w:szCs w:val="28"/>
          <w:rtl w:val="true"/>
          <w:lang w:bidi="ar-SA"/>
        </w:rPr>
        <w:t xml:space="preserve">؛ لأنّ ما يباع من العذرات النجسة ليس إلاّ عذرة الإنسان ، وأمّا عذرة الكلب والسنّور ونحوهما فلا تباع ، ولم يكن بيعها معهوداً قطّ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بعض الروايات الضعيفة؛ من النهي عن الصلاة في خفّ يتّخذ من </w:t>
      </w:r>
    </w:p>
    <w:p>
      <w:pPr>
        <w:pStyle w:val="BookText"/>
        <w:rPr/>
      </w:pPr>
      <w:r>
        <w:rPr>
          <w:rFonts w:ascii="Amiri" w:hAnsi="Amiri" w:eastAsia="Amiri" w:cs="Amiri"/>
          <w:color w:val="111111"/>
          <w:sz w:val="28"/>
          <w:sz w:val="28"/>
          <w:szCs w:val="28"/>
          <w:rtl w:val="true"/>
          <w:lang w:bidi="ar-SA"/>
        </w:rPr>
        <w:t>جلود الدارش ، معلّلاً بأ نّه يدبغ بخرء الكلاب</w:t>
      </w:r>
      <w:r>
        <w:rPr>
          <w:rStyle w:val="FootnoteAnchor"/>
          <w:rtl w:val="true"/>
        </w:rPr>
        <w:footnoteReference w:id="219"/>
      </w:r>
      <w:r>
        <w:rPr>
          <w:rFonts w:ascii="Amiri" w:hAnsi="Amiri" w:eastAsia="Amiri" w:cs="Amiri"/>
          <w:color w:val="111111"/>
          <w:sz w:val="28"/>
          <w:sz w:val="28"/>
          <w:szCs w:val="28"/>
          <w:rtl w:val="true"/>
          <w:lang w:bidi="ar-SA"/>
        </w:rPr>
        <w:t xml:space="preserve">، لا يدلّ على أنّ خرءها كان يباع ويشترى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المقطوع عدم معهودية بيعه ، بل المتعارف بيع عذرة الإنسان التي يحتاج إليها الناس للتسميد ، وكذا عذرة الحيوانات المأكولة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مورد السؤال في موثّقة سماعة ، ومورد سائر الروايات إلاّ عمّا كان مورد البيع والشراء ، لا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تقييد ما دلّت على أنّ ثمن العذرة سحت ، وبيعها حرام بالإجماع والسيرة على صحّة بيع عذرة المأكول اللحم ، مستهجناً ؛ للزوم إخراج ما هو أكثر تداولاً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هو لجميع صنوف الحيوانات المحلّلة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للزرع والطبخ والحمّامات وسائر احتياجات الناس ، وبقاء عنوان واحد هو عذرة الإنسان للزرع فقط ، ولا فرق في الاستهجان بين التخصيص الكثير والتقييد كذلك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ووضوح حكم عذرة ما يؤكل لحمه بالإجماع والسيرة في عصرنا ، لا يلازم وضوحه في تلك الأزمنة ؛ ضرورة أنّ الأحكام الواضحة في الأعصار المتأخّرة كانت غالباً نظرية ، بل مجهولة سابقاً وفي أوائل الإسلام ونشر الأحكام ، حتّى عصر الأئمّة علیهم السلام ، ولهذا خالف فيها المسلمون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فدعوى انصرافها إلى عذرة الإنسان ؛ لوضوح حكم خرء ما يؤكل لحمه ، غير وجيهة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منع الاستهجان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بدعوى عدم محذور لإطلاق الحكم بالنسبة إلى </w:t>
      </w:r>
    </w:p>
    <w:p>
      <w:pPr>
        <w:pStyle w:val="BookText"/>
        <w:rPr/>
      </w:pPr>
      <w:r>
        <w:rPr>
          <w:rFonts w:ascii="Amiri" w:hAnsi="Amiri" w:eastAsia="Amiri" w:cs="Amiri"/>
          <w:color w:val="111111"/>
          <w:sz w:val="28"/>
          <w:sz w:val="28"/>
          <w:szCs w:val="28"/>
          <w:rtl w:val="true"/>
          <w:lang w:bidi="ar-SA"/>
        </w:rPr>
        <w:t xml:space="preserve">سائر أنواع غير المأكول لغرض المنع عن الموارد النادرة أو احتمال شيوع الاستفادة في الأزمنة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الجمع بين الروايات ، بتقييد روايات المنع بالإجماع والسيرة فيما يؤكل لحمه ، فتنقلب النسبة بين الطائفتين المتباينتين إلى الأعمّ والأخصّ المطلق ، فيقيّد الأعمّ بالأخصّ ، فصارت النتيجة عدم الجواز في عذرة غير المأكول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كونها مختصّة بفضلات الإنسان، كما نقل عن بعض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التعارض بينها لو كانت حجّة في نفسها ، لكن ليس فيها ما يعتمد عليه ، عدا موثّقة سماعة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أحرزنا أنّ ذيلها رواية منفصلة جمعهما سماعة في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في مضمراته</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قلنا بجريان عمل التعارض وإعمال العلاج في رواية واحدة مشتملة على حكمين 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إعمال قواعد التعارض فيها ؛ من الأخذ بما هو الموافق للكتاب أوّلاً ، ومع فقده الأخذ بما يخالف العامّة ، وهذان الترجيحان للمجوّز على ما حكي من كون المنع مذهب أكثر العامّة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الرجوع إلى المرجّح ، إنّما هو بعد عدم إحراز الشهرة الفتوائية على أحد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من أ نّها لتميّز الحجّة عن غيرها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ولو قلنا بأ نّها من المرجّحات أيضاً ، يقدّم الترجيح بها على سائرها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بدّ من عطف النظر إلى الإجماعات المنقولة وكلمات القوم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سرجين ما يؤكل لحمه يجوز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دليلنا على جواز ذلك أ نّه طاهر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النجس منه فلدلالة 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بالنبوي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الإجماع على أنّ السرجين النجس لا يجوز بيعه ، والسرجين معرّب سرگين لا يطلق على عذرة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والشاهد على أنّ المراد منه غيرها ، قوله في محكيّ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سرجين ما لا يؤكل لحمه وعذرة الإنسان وخرء الكلاب ، لا يجوز بيعها ، ويجوز الانتفاع بها في الزروع والكروم واُصول الشجر بلا خلاف</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نجس العين فلا يجوز بيعه ، كجلود الميتة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والعذرة والسرقين</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لكن لم يدّع الإجماع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يجوز بيع السرجين النجس إجماعاً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 نّه رجيع نجس ، فلم يصحّ بيعه كرجيع الآدمي</w:t>
      </w:r>
      <w:r>
        <w:rPr>
          <w:rFonts w:eastAsia="Amiri" w:cs="Amiri" w:ascii="Amiri" w:hAnsi="Amiri"/>
          <w:color w:val="111111"/>
          <w:sz w:val="28"/>
          <w:szCs w:val="28"/>
          <w:rtl w:val="true"/>
          <w:lang w:bidi="ar-SA"/>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منه إلزام الخصم بما هو مورد تسلّمه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فتحصّل أنّ المراد به غير ما للآدمي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ذلك ، لكن يكفي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w:t>
      </w:r>
    </w:p>
    <w:p>
      <w:pPr>
        <w:pStyle w:val="BookText"/>
        <w:rPr/>
      </w:pPr>
      <w:r>
        <w:rPr>
          <w:rFonts w:ascii="Amiri" w:hAnsi="Amiri" w:eastAsia="Amiri" w:cs="Amiri"/>
          <w:color w:val="111111"/>
          <w:sz w:val="28"/>
          <w:sz w:val="28"/>
          <w:szCs w:val="28"/>
          <w:rtl w:val="true"/>
          <w:lang w:bidi="ar-SA"/>
        </w:rPr>
        <w:t>عدم الخلاف في عذرة الإنسان مستقلاًّ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يتّضح رجوع نفي الخلاف إلى عدم جواز البيع وإلى جواز الانتفاع كليهما ، والمتيقّن الثاني ، ويكفي الشكّ فيه في عدم ثبوت الإجماع أو دعواه ، فاتّضح بطلان نسبة حكاية الإجماع إلى الشيخ ، 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وأوضح بطلاناً نسبته إلى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بيع السرجين النجس ، وبه قال الشافعي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مجمع على نجاسته فلم يجز بيعه كالميتة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استدلّ بالروايات</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 الإجماع إلاّ على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واستنتاج عدم جواز بيعه اجتهاد منه ، بل لو كان بيعه مورد الإجماع ، لم يدّع كذلك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 xml:space="preserve">لإلزامهم والإجماع من الفريقين على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الممكن الخدشة في دعوى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جواز بيع السرجين النجس ؛ لأ نّه معلّل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للإجماع على نجاسته فيحرم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مثله يشكل إثبات الإجماع على الحكم الأوّل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وقيّدنا بكونها مباحة ؛ تحفّظاً عن المنافع المحرّمة ، ويدخل في ذلك كلّ نجس لا يمكن تطهيره ، إلاّ ما أخرجه الدليل ، من بيع الكلب المعلّم للصيد ، والزيت النجس للاستصباح به تحت السماء ، وهو إجماع الطائفة</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والظاهر منه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للدليل ، فكان مورد الإجماع جواز بيع الكلب المعلّم والزيت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رجوعه إلى جميع ما تقدّم ، لكن يكون محطّ كلامه عدم جواز بيع ما حرّمت منافعه ، دون ما حلّت ، وقد تقدّم أنّ الانتفاع بالعذرات جائز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الفخر والمقداد الإجماع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على حرمة الانتفاع بالأعيان النجسة ، وقد تقدّم</w:t>
      </w:r>
      <w:r>
        <w:rPr>
          <w:rStyle w:val="FootnoteAnchor"/>
          <w:rtl w:val="true"/>
        </w:rPr>
        <w:footnoteReference w:id="231"/>
      </w:r>
      <w:r>
        <w:rPr>
          <w:rFonts w:ascii="Amiri" w:hAnsi="Amiri" w:eastAsia="Amiri" w:cs="Amiri"/>
          <w:color w:val="111111"/>
          <w:sz w:val="28"/>
          <w:sz w:val="28"/>
          <w:szCs w:val="28"/>
          <w:rtl w:val="true"/>
          <w:lang w:bidi="ar-SA"/>
        </w:rPr>
        <w:t xml:space="preserve">أيضاً ما فيها ، بل يظهر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جواز البيع لعدم جواز الانتفاع ، ومع جواز الثاني يجوز الأوّل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بعض ما تقدّم يظهر الكلام في قول الشهيد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خلال كلام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وتحريم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بيع الأرواث والأبوال ممّا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موضع وفاق</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تحريم بيع العذرة وشرائها </w:t>
      </w:r>
      <w:r>
        <w:rPr>
          <w:rStyle w:val="FootnoteAnchor"/>
          <w:rtl w:val="true"/>
        </w:rPr>
        <w:footnoteReference w:id="233"/>
      </w:r>
      <w:r>
        <w:rPr>
          <w:rFonts w:ascii="Amiri" w:hAnsi="Amiri" w:eastAsia="Amiri" w:cs="Amiri"/>
          <w:color w:val="111111"/>
          <w:sz w:val="28"/>
          <w:sz w:val="28"/>
          <w:szCs w:val="28"/>
          <w:rtl w:val="true"/>
          <w:lang w:bidi="ar-SA"/>
        </w:rPr>
        <w:t xml:space="preserve">، ولم يحضرني عبارتها ، لكن إثبات الحكم به مشكل ؛ لاحتمال أنّ دعواه مبنيّة على اجتهاده في كلام القوم ، كدعوى شيخ الطائفة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ودعوى ابن زهرة ، مع أ نّه قد تقدّم أنّ دعوى الإجماع في هذه المسألة التي تراكمت فيها الأخبار والأدلّة مشكلة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إثبات شهرة في بيع عذرة الإنسان للمنافع المحلّلة ، بحيث يرجّح بها الرواية على عدم الجواز ، أو تترك بها ما دلّت على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في وجه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بندرة الانتفاع بها فلا تكون متموّلة لدى</w:t>
      </w:r>
    </w:p>
    <w:p>
      <w:pPr>
        <w:pStyle w:val="BookText"/>
        <w:rPr/>
      </w:pPr>
      <w:r>
        <w:rPr>
          <w:rFonts w:ascii="Amiri" w:hAnsi="Amiri" w:eastAsia="Amiri" w:cs="Amiri"/>
          <w:color w:val="111111"/>
          <w:sz w:val="28"/>
          <w:sz w:val="28"/>
          <w:szCs w:val="28"/>
          <w:rtl w:val="true"/>
          <w:lang w:bidi="ar-SA"/>
        </w:rPr>
        <w:t xml:space="preserve">العقلاء ، أو بإسقاط الشارع ماليتها ، فلا يجوز بيعها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يخفى ما فيهما ، فإنّه بعد ما نرى أ نّها ذات منفعة عقلائية متداولة شائعة ، 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نادرة ، أو غير متموّلة لدى العقلاء ؟ ومالية الشيء تبع للخواصّ والمنافع المترتّبة عليه ، ولم يدلّ دليل على إسقاط الشارع ماليتها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فالأشبه بالقواعد الجواز وإن كان الحكم به مشكلاً من حيث عدم العثور على استثناء أحد عذرة الإنسان من عدم جواز بيع الأعيان النجسة ، وظهور كلماتهم في مطلق العذرات النجسة ، كعبارات المتون الفقهية وغيرها ، واحتمال أن يكون مرادهم بالسرجين النجس مطلق العذرات ، ومظنونية رجوع قيد عدم الخلاف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الحكمين جميعاً </w:t>
      </w:r>
      <w:r>
        <w:rPr>
          <w:rStyle w:val="FootnoteAnchor"/>
          <w:rtl w:val="true"/>
        </w:rPr>
        <w:footnoteReference w:id="236"/>
      </w:r>
      <w:r>
        <w:rPr>
          <w:rFonts w:ascii="Amiri" w:hAnsi="Amiri" w:eastAsia="Amiri" w:cs="Amiri"/>
          <w:color w:val="111111"/>
          <w:sz w:val="28"/>
          <w:sz w:val="28"/>
          <w:szCs w:val="28"/>
          <w:rtl w:val="true"/>
          <w:lang w:bidi="ar-SA"/>
        </w:rPr>
        <w:t xml:space="preserve">، وخصوص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الكاشف 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اشتهار الحكم بينهم ، وفهم المتأخّرين عن عبارة الشيخ دعوى الإجماع على المطلق</w:t>
      </w:r>
      <w:r>
        <w:rPr>
          <w:rStyle w:val="FootnoteAnchor"/>
          <w:rtl w:val="true"/>
        </w:rPr>
        <w:footnoteReference w:id="238"/>
      </w:r>
      <w:r>
        <w:rPr>
          <w:rFonts w:ascii="Amiri" w:hAnsi="Amiri" w:eastAsia="Amiri" w:cs="Amiri"/>
          <w:color w:val="111111"/>
          <w:sz w:val="28"/>
          <w:sz w:val="28"/>
          <w:szCs w:val="28"/>
          <w:rtl w:val="true"/>
          <w:lang w:bidi="ar-SA"/>
        </w:rPr>
        <w:t>، بل لعلّهم أرسلوا الحكم في عذرة الإنسان إرسال المسلّمات يستدلّ بها على غيرها ، كما تقدّم عن العلاّمة</w:t>
      </w:r>
      <w:r>
        <w:rPr>
          <w:rStyle w:val="FootnoteAnchor"/>
          <w:rtl w:val="true"/>
        </w:rPr>
        <w:footnoteReference w:id="239"/>
      </w:r>
      <w:r>
        <w:rPr>
          <w:rFonts w:ascii="IRNazanin" w:hAnsi="IRNazanin" w:eastAsia="IRNazanin"/>
          <w:color w:val="111111"/>
          <w:sz w:val="28"/>
          <w:sz w:val="28"/>
          <w:szCs w:val="28"/>
          <w:rtl w:val="true"/>
          <w:lang w:bidi="fa-IR"/>
        </w:rPr>
        <w:t xml:space="preserve">، وعن </w:t>
      </w:r>
    </w:p>
    <w:p>
      <w:pPr>
        <w:pStyle w:val="BookText"/>
        <w:rPr/>
      </w:pP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مقام جمع الأخبار ، حمل أخبار المنع على عذرة الإنسان ، </w:t>
      </w:r>
      <w:r>
        <w:rPr>
          <w:rFonts w:eastAsia="Amiri" w:cs="Amiri" w:ascii="Amiri" w:hAnsi="Amiri"/>
          <w:color w:val="111111"/>
          <w:sz w:val="28"/>
          <w:szCs w:val="28"/>
          <w:rtl w:val="true"/>
          <w:lang w:bidi="ar-SA"/>
        </w:rPr>
        <w:t>. . .</w:t>
      </w:r>
      <w:r>
        <w:rPr>
          <w:rStyle w:val="FootnoteAnchor"/>
          <w:rtl w:val="true"/>
        </w:rPr>
        <w:footnoteReference w:id="240"/>
      </w:r>
      <w:r>
        <w:rPr>
          <w:rFonts w:ascii="Amiri" w:hAnsi="Amiri" w:eastAsia="Amiri" w:cs="Amiri"/>
          <w:color w:val="111111"/>
          <w:sz w:val="28"/>
          <w:sz w:val="28"/>
          <w:szCs w:val="28"/>
          <w:rtl w:val="true"/>
          <w:lang w:bidi="ar-SA"/>
        </w:rPr>
        <w:t xml:space="preserve">إلى غير ذلك ممّا يعثرعليه المتتبّع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بعدم الجواز أحوط ، بل لا يخلو من رجحان ، سيّما مع احتمال كون العذرة اسماً للأعمّ ، كما لعلّه تشهد به صحيحة محمّد بن إسماعيل بن بزيع في أحكام البئر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يسقط فيها شيء من عذرة كالبعرة ونحوها</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 واقتضاء انقلاب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المتقدّم</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بيع عذرة غير المأكول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لعذرة الإنسان منفعة غير التسميد المحلّل ، فلا يحتمل أن يكون مرادهم نفي الجواز في غير مورد المنفعة المحلّلة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أن يكون مرادهم سلب المالية العقلائية ، فكان حكمهم بعدم الجواز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في الحشرات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فرق بين المقام وبين مثل الدم الذي كان نفعه المتداول محرّماً؛ لاحتمال أن يكون حكمهم بعدم الجواز فيه لفقدان نفع محلّل ، بخلاف العذرة التي نفعها المتعارف هو المحلّل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أنّ كلّ واحد ممّا ذكر وإن أمكن النظر فيه ، لكن يرجّح في النظر عدم الجواز من مجموع هذه الوجوه ، سيّما عدم احتمال أحد استثناءها على الظاهر </w:t>
      </w:r>
      <w:r>
        <w:rPr>
          <w:rFonts w:eastAsia="Amiri" w:cs="Amiri" w:ascii="Amiri" w:hAnsi="Amiri"/>
          <w:color w:val="111111"/>
          <w:sz w:val="28"/>
          <w:szCs w:val="28"/>
          <w:rtl w:val="true"/>
          <w:lang w:bidi="ar-SA"/>
        </w:rPr>
        <w:t xml:space="preserve">. </w:t>
      </w:r>
      <w:bookmarkStart w:id="97" w:name="pg15158_206844"/>
    </w:p>
    <w:p>
      <w:pPr>
        <w:pStyle w:val="Heading5"/>
        <w:numPr>
          <w:ilvl w:val="4"/>
          <w:numId w:val="1"/>
        </w:numPr>
        <w:rPr/>
      </w:pPr>
      <w:bookmarkStart w:id="98" w:name="__RefHeading___Toc1851484_2142443653"/>
      <w:bookmarkStart w:id="99" w:name="_Toc33"/>
      <w:bookmarkEnd w:id="97"/>
      <w:bookmarkEnd w:id="98"/>
      <w:r>
        <w:rPr>
          <w:rtl w:val="true"/>
        </w:rPr>
        <w:t>حكم الانتفاع بالميتة وبيعها</w:t>
      </w:r>
      <w:bookmarkEnd w:id="99"/>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وأجزاؤها التي تحلّها الحياة من ذي النفس السائلة ، فيقع الكلام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التكليفي ، وهو حرمة الانتفاع بها وعدمها ، بحيث يكون المحرّم الانتفاع لبساً وافتراشاً ونحوهما وإن لم يحصل منه محذور آخر ، كتنجيس ما يلاقيه من المائعات المشروبة والانتفاع منها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نفس الانتفاع بها عنواناً مستقلاًّ محرّماً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الوضعي ؛ أي بطلان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كلام آخر يظهر في خلال البحث ، وهو حرمة ثمنه بعنوانه ، كما تقدّم المقصود منه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فممّا تدلّ على حرمة الانتفاع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الآية الكريمة التي تقدّم الكلام فيها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1851486_2142443653"/>
      <w:bookmarkStart w:id="101" w:name="_Toc34"/>
      <w:bookmarkEnd w:id="100"/>
      <w:r>
        <w:rPr>
          <w:rtl w:val="true"/>
        </w:rPr>
        <w:t>الروايات التي يمكن أن يستدلّ بها على حرمة الانتفاع بالميتة</w:t>
      </w:r>
      <w:bookmarkEnd w:id="10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جلود السباع ، أينتفع بها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رميت وسمّيت فانتفع بجلده ، وأمّا الميتة ، فلا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والظاهر منها ولو بإلغاء الخصوصية عرفاً ، حرمة الانتفاع بالميتة مطلقاً ، سواء كان الانتفاع في الجامدات أو المائعات ، لزم منه محذور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على انتفاع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كجعل جلدها محلاًّ للدبس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دليل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علي بن أبي المغيرة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الميتة ينتفع منها بشيء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رسول اللّه‌ صلی الله علیه و آله وسلم مرّ بشاة ميتة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على أهل هذه الشاة إذ لم ينتفعوا بلحمها ، أن ينتفعوا بإهابها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تلك شاة لسودة بنت زمعة زوجة النبي صلی الله علیه و آله وسلم  ، وكانت شاة مهزولة لا ينتفع بلحمها ، فتركوها حتّى ماتت ،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على أهلها إذ لم ينتفعوا بلحمها ، أن ينتفعوا بإهابها أن تذكّى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نسخة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تذكّى</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ودلالتها واضحة ، سيّما إذا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بالفعل ، ويكون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ينتفع منها بوجه من الوجوه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سندها ضعف بعلي بن أبي المغيرة ؛ للوثوق بأنّ توثيق العلاّمة تبع للنجاشي في ابنه الحسن بن علي بن أبي المغيرة ، وظاهر كلام النجاشي توثيق ابنه</w:t>
      </w:r>
      <w:r>
        <w:rPr>
          <w:rStyle w:val="FootnoteAnchor"/>
          <w:rtl w:val="true"/>
        </w:rPr>
        <w:footnoteReference w:id="247"/>
      </w:r>
      <w:r>
        <w:rPr>
          <w:rFonts w:ascii="Amiri" w:hAnsi="Amiri" w:eastAsia="Amiri" w:cs="Amiri"/>
          <w:color w:val="111111"/>
          <w:sz w:val="28"/>
          <w:sz w:val="28"/>
          <w:szCs w:val="28"/>
          <w:rtl w:val="true"/>
          <w:lang w:bidi="ar-SA"/>
        </w:rPr>
        <w:t xml:space="preserve">، فتعبير السيّد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بالصحيحة</w:t>
      </w:r>
      <w:r>
        <w:rPr>
          <w:rStyle w:val="FootnoteAnchor"/>
          <w:rtl w:val="true"/>
        </w:rPr>
        <w:footnoteReference w:id="248"/>
      </w:r>
      <w:r>
        <w:rPr>
          <w:rFonts w:ascii="Amiri" w:hAnsi="Amiri" w:eastAsia="Amiri" w:cs="Amiri"/>
          <w:color w:val="111111"/>
          <w:sz w:val="28"/>
          <w:sz w:val="28"/>
          <w:szCs w:val="28"/>
          <w:rtl w:val="true"/>
          <w:lang w:bidi="ar-SA"/>
        </w:rPr>
        <w:t xml:space="preserve">غير وجيه ظاهراً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أبي مريم</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نقل قضيّة اُخرى شبيهة بها ، لكن ليس لها</w:t>
      </w:r>
    </w:p>
    <w:p>
      <w:pPr>
        <w:pStyle w:val="BookText"/>
        <w:rPr/>
      </w:pPr>
      <w:r>
        <w:rPr>
          <w:rFonts w:ascii="Amiri" w:hAnsi="Amiri" w:eastAsia="Amiri" w:cs="Amiri"/>
          <w:color w:val="111111"/>
          <w:sz w:val="28"/>
          <w:sz w:val="28"/>
          <w:szCs w:val="28"/>
          <w:rtl w:val="true"/>
          <w:lang w:bidi="ar-SA"/>
        </w:rPr>
        <w:t xml:space="preserve">إطلاق بالنسبة إلى جميع الانتفاعات ، بل نقل قضيّة يظهر منها عدم جواز الانتفاع بها في الجملة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عبداللّه بن يحيى الكاهلي على طريق الصدوق ، بل الكليني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وثاقة سهل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علیه السلام وأنا عنده عن قطع أليات الغنم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بقطعها إذا كنت تصلح بها مالك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كتاب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قطع منها ميّت لا ينتفع به</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منها أنّ عدم جواز الانتفاع بالميتة ، كان مفروغاً منه ، وإنّما لا ينتفع بالمقطوع لكونه ميتة حكماً وتنزيلاً ، أو حقيقة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إطلاق عدم الانتفاع بالأليات ، عدم الانتفاع بالميتة أيضاً ، إلاّ أن يناقش في الإطلاق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الميتة لمّا كان مفروغاً منه ، لم تكن الرواية إلاّ بصدد تنزيل الجزء المقطوع منزلة الميتة في عدم الانتفاع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الجزء تبعاً في الحكم الثابت للميتة ، فيكون مقدار عدم الانتفاع به كمقداره فيها ؛ ولم يتّضح فيها ؛ وليست بصدد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بصدد بيان عدم الانتفاع به ابتداءً ، بل بصدد بيان تشبيهه بها في الحكم الثابت ؛ فلا إطلاق فيها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الفتح بن يزيد الجرجاني عن أبي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إليه أسأله عن جلود الميتة التي يؤكل لحمها ذكيّاً ، فكتب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ينتفع من الميتة بإهاب ولا عصب ؛ وكلّ ما كان من السخال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الصوف إن جزّ ، والوبر والأنفحة والقرن ، ولا يتعدّى إلى غيرها</w:t>
      </w:r>
      <w:r>
        <w:rPr>
          <w:rFonts w:eastAsia="IRNazanin" w:cs="IRNazanin"/>
          <w:color w:val="111111"/>
          <w:sz w:val="28"/>
          <w:szCs w:val="28"/>
          <w:rtl w:val="true"/>
          <w:lang w:bidi="fa-IR"/>
        </w:rPr>
        <w:t>»</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الصوف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والظاهر وقوع سقط فيها ، ويحتمل أن يكون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الصوف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بإهاب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محذوف الخبر هو ينتفع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إطلاقها ، ولا يبعد فهم المثالية من المذكور ، سيّما مع ذيلها ، فتدلّ على عدم جواز الانتفاع بالميتة مطلقاً ، لكنّها ضعيفة السند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علي بن جعفر علیه السلام عن أخيه موسى بن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لبس السمور والسنجاب والفنك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يلبس ولا يصلّى فيه ، إلاّ أن يكون ذكيّاً</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لكنّها مع ضعفها مخصوصة باللباس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في حديث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وكلّ ما أنبتت الأرض فلا بأس بلبسه والصلاة فيه ، وكلّ شيء يحلّ أكله فلا بأس بلبس جلده الذكيّ منه ، وصوفه وشعره ووبره ، وإن كان الصوف والشعر والريش </w:t>
      </w:r>
    </w:p>
    <w:p>
      <w:pPr>
        <w:pStyle w:val="BookText"/>
        <w:rPr/>
      </w:pPr>
      <w:r>
        <w:rPr>
          <w:rFonts w:ascii="Amiri" w:hAnsi="Amiri" w:eastAsia="Amiri" w:cs="Amiri"/>
          <w:color w:val="111111"/>
          <w:sz w:val="28"/>
          <w:sz w:val="28"/>
          <w:szCs w:val="28"/>
          <w:rtl w:val="true"/>
          <w:lang w:bidi="ar-SA"/>
        </w:rPr>
        <w:t>والوبر من الميتة وغير الميتة ذكيّاً فلا بأس بلبس ذلك ، والصلاة فيه</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الخدشة في دلالتها بعد الغضّ عن سندها ؛ بأنّ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 بلبسه والصلاة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بصدد بيان حكم اللبس في الصلاة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 بلبسه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 المقدّمي المذكور توطئة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بلبس الحرير والحرب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بالجلوس في المسجد والقضاء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بأخذ الماء من الدجلة والشرب منه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شيء يحلّ أكله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بصدد بيان اللبس في الصلاة أيضاً ، وكذا الفقرة الأخيرة ، فلا يستفاد منها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تكليفي مربوط بأصل اللبس ووضعي مربوط بالصلاة ، كما هو ظاهر عند العارف بأساليب الكلام ، ولا أقلّ من أن يكون احتمالاً مانعاً عن الاستدلال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علي بن جعفر عن أخيه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الماشية تكون للرجل ، فيموت بعضها ، يصلح له بيع جلودها ودباغها ولبسها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ولو لبسها فلا يصلّي فيها</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ضعفها واختصاصها باللبس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التأمّل في دلالتها على الحرمة؛ لضعف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لو لم نقل بإشعاره أو دلالته على الكراهة، سيّما 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فرض اللبس في ما هو محرّم لا يخلو من بعد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أكل الجبن وتقليد السيف وفيه الكيمخت والغراء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يعلم أ نّه ميتة</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إطلاق في مفهومها ، فإنّه بصدد بيان حكم المنطوق لا المفهوم ، فلا يستفاد منها إلاّ ثبوت البأس مع العلم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قضيّة مهملة ، حتّى في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لا ينجّسه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إذا قلنا بإلغاء الخصوصية عن المنطوق ، وإلاّ فلا يثبت الحكم في المفهوم إلاّ بالنسبة إلى أكل الجبن وتقليد السيف ، مع أنّ إثبات البأس أعمّ من الحرمة ، مضافاً إلى أنّ الظاهر أنّ الحكم في الجبن محمول على التقيّة ، لو كان الجواب عن السؤالين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عوالي اللآلي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صحّ عنه صلی الله علیه و آله وسلم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تنتفعوا من الميتة بإهاب ولا 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شاة ميمونة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انتفعوا بجلدها ؟</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أبي ليلى عن عبداللّه بن 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علينا كتاب</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 آله وسلم  في أرض جهينة وأنا غلام شابّ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تستمتعوا من الميتة بإهاب ولا عصب</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102" w:name="pg15158_206850"/>
    </w:p>
    <w:p>
      <w:pPr>
        <w:pStyle w:val="BookText"/>
        <w:rPr/>
      </w:pPr>
      <w:bookmarkEnd w:id="102"/>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ينتفع من الميتة بإهاب ولا عظم ولا عصب</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الأطعمة المحرّمة ،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الروايات على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عدم جواز الانتفاع بالميتة مطلقاً ولو بإلغاء الخصوصية عرفاً ، كموثّقة سماعة ورواية الجرجاني وعلي بن أبي المغيرة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عدم جواز اللبس ، كروايتي علي بن جعفر 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مرّ الكلام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عدم جواز الانتفاع بإهاب ولا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جعلها من الطائفة الاُولى ، بدعوى إلغاء الخصوصية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عدم جواز تقليد السيف إذا كان جلده من الميتة ، وهي موثّقة سماعة </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851488_2142443653"/>
      <w:bookmarkStart w:id="104" w:name="_Toc35"/>
      <w:bookmarkEnd w:id="103"/>
      <w:r>
        <w:rPr>
          <w:rtl w:val="true"/>
        </w:rPr>
        <w:t>الروايات الدالّة على جواز الانتفاع بالميتة في موارد خاصّة</w:t>
      </w:r>
      <w:bookmarkEnd w:id="104"/>
    </w:p>
    <w:p>
      <w:pPr>
        <w:pStyle w:val="BookText"/>
        <w:rPr/>
      </w:pPr>
      <w:r>
        <w:rPr>
          <w:rFonts w:ascii="Amiri" w:hAnsi="Amiri" w:eastAsia="Amiri" w:cs="Amiri"/>
          <w:color w:val="111111"/>
          <w:sz w:val="28"/>
          <w:sz w:val="28"/>
          <w:szCs w:val="28"/>
          <w:rtl w:val="true"/>
          <w:lang w:bidi="ar-SA"/>
        </w:rPr>
        <w:t>وبإزاء تلك الروايات روايات اُخر يستفاد منها جواز الانتفاع في موارد خاصّة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سألت أبا عبداللّه علیه السلام عن جلد الخنزير يجعل دلواً يستقى به الماء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والظاهر أنّ السؤال عن الانتفاع بجلده ، لا عن طهارة الماء ونجاسته بملاقاته ، بل الظاهر أنّ مثل جلد الخنزير يجعل دلواً لسقي الزراعات والأشجار ، لا لشرب الآدمي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منها بإلغاء الخصوصية جواز الانتفاع بجلده لو لم يؤدّ إلى محذور ، كتنجّس ملاقيه ، وكذا جواز الانتفاع بجلود سائر الميتات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عيسى بن عبيد عن أبي القاسم الصيقل وولده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كتبوا إلى الرجل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اللّه فداك ، إنّا قوم نعمل السيوف ، ليست لنا معيشة ولا تجارة غيرها ، ونحن مضطرّون إليها ، وإنّما علاجنا جلود الميتة والبغال والحمير الأهلية ، لا يجوز في أعمالنا غيرها ، فيحلّ لنا عملها وشراؤها وبيعها ومسّها بأيدينا وثيابنا ، ونحن نصلّي في ثيابنا ، ونحن محتاجون إلى جوابك في هذه المسألة يا سيّدنا ؛ لضرورتنا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ثوباً للصلاة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وقوائم السيوف التي تسمّى السفن ، نتّخذها من جلود السمك ، فهل يجوز لي العمل بها ، ولسنا نأكل لحومها ؟ فكتب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صحيحة ، ولا يضرّ بها جهالة أبي القاسم ؛ لأنّ الراوي للكتابة والجواب هو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كتبوا ؛ أي قال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الصيقل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مخبر لا الصيقل وولده ، وإلاّ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كون الراوي الصيقل ، مخالف للظاهر جدّاً ، سيّما مع قوله في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الراوي الصيقل ،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في السند من يتأمّل فيه إلاّ أحمد بن محمّد بن الحسن بن الوليد ، ومحمّد بن عيسى بن عبيد ، وهما ثقتان على 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والمظنون لولا المقطوع به ،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نعمل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نغمد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شبيهتان كتابة في العربية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والشاهد عليه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القاسم الصيقل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 نّه ابن أبي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أعمل أغماد السيوف من جلود الحمر الميتة ، فتصيب ثيابي فاُصلّي فيها ؟ فكتب إليّ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 ثوباً لصلاتك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فكتبت إلى أبي جعفر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كتبت إلى أبيك بكذا وكذا ، فصعب ذلك عليّ فصرت أعملها من جلود الحمر الوحشية الذكيّة ، فكتب علیه السلام إليّ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أعمال البرّ بالصبر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ما تعمل وحشياً ذكيّاً ، فلا بأس</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أنّ المكاتبة المشار إليها في هذه الرواية ، هي المكاتبة المتقدّمة ؛ حيث كان ولد أبي القاسم من جملة المكاتبين ، واحتمال كون القاسم الصيقل غير ابن أبي القاسم الصيقل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 السيوف بمعنى صنعتها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تصقيلها ، عمل مستقلّ كان في تلك الأزمنة في غاية الأهمّية ؛ وهو غير عمل تغميدها الذي كان مبايناً لهما ، ومن البعيد قيام شخص بعملهما معاً في ذلك العصر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لنا معيشة ولا تجارة غيرها ، ونحن مضطرّون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فأيّة معيشة وتجارة أعظم من صنعة السيوف في تلك الأزمنة ؛ أزمنة الحروب السيفية ، عصر السيف ؟ وأيّ احتياج لصانع السيف إلى عمل الجلود ؟</w:t>
      </w:r>
    </w:p>
    <w:p>
      <w:pPr>
        <w:pStyle w:val="BookText"/>
        <w:rPr/>
      </w:pPr>
      <w:r>
        <w:rPr>
          <w:rFonts w:ascii="Amiri" w:hAnsi="Amiri" w:eastAsia="Amiri" w:cs="Amiri"/>
          <w:color w:val="111111"/>
          <w:sz w:val="28"/>
          <w:sz w:val="28"/>
          <w:szCs w:val="28"/>
          <w:rtl w:val="true"/>
          <w:lang w:bidi="ar-SA"/>
        </w:rPr>
        <w:t xml:space="preserve">فلا شبهة في أنّ أبا القاسم وولده بحسب هذه الرواية كان عملهم أغماد السيف ، وإنّما سألوا عن بيع الميتة وشرائها وعملها ومسّها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وحملها على بيع السيوف لا بيع 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 شيخنا الأنصاري</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للرواية الصحيحة الصريحة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رواية عن أبي القاسم الصيقل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صيقل ، أشتري السيوف وأبيعها من السلطان </w:t>
      </w:r>
      <w:r>
        <w:rPr>
          <w:rFonts w:eastAsia="Amiri" w:cs="Amiri" w:ascii="Amiri" w:hAnsi="Amiri"/>
          <w:color w:val="111111"/>
          <w:sz w:val="28"/>
          <w:szCs w:val="28"/>
          <w:rtl w:val="true"/>
          <w:lang w:bidi="ar-SA"/>
        </w:rPr>
        <w:t xml:space="preserve">. . . </w:t>
      </w:r>
      <w:r>
        <w:rPr>
          <w:rStyle w:val="FootnoteAnchor"/>
          <w:rtl w:val="true"/>
        </w:rPr>
        <w:footnoteReference w:id="263"/>
      </w:r>
      <w:r>
        <w:rPr>
          <w:rFonts w:ascii="Amiri" w:hAnsi="Amiri" w:eastAsia="Amiri" w:cs="Amiri"/>
          <w:color w:val="111111"/>
          <w:sz w:val="28"/>
          <w:sz w:val="28"/>
          <w:szCs w:val="28"/>
          <w:rtl w:val="true"/>
          <w:lang w:bidi="ar-SA"/>
        </w:rPr>
        <w:t xml:space="preserve">، يظهر منها أيضاً أنّ شغله لم يكن عمل السيف بل كان صيقلاً ، وبمقتضى الروايتين أ نّه كان يشتري السيوف ، ويغمدها ويبيع من السلطان ، ولعلّه كان شغله مختلفاً بحسب الأزمان ، ولعلّه كان تاجراً وله عمّال اشتغلوا بتغميد السيوف ، وعمّال بالصيقل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بيعه الأغماد ، ولا معنى لإعطائها بلا ثمن وبنحو المجّانية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مضطرّون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المراد من الاضطرار هو الذي يحلّ المحظورات ، سيّما في مثل رجل صيقل كان يبيع من السلطان ، بل المراد الاضطرار والاحتياج في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ترك القاسم العمل بالميتة بمجرّد صعوبة اتّخاذ ثوب للصلاة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 لا وجه للاضطرار المبيح للمحظور إلى عمل خصوص الميتة في بلد المسلمين الشائع فيها الجلود الذكيّة في عصر الرضا والجواد علیهما السلام ، مع حلّية ذبائح العامّة واعتبار سوقهم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وكون الصيقل الذي يشتري السيوف ويبيعها من السلطان مضطرّاً إلى عمل الميتة ولم يمكن له اشتراء الجلود الذكيّة ، مقطوع الفساد ،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الظاهر من الرواية أ نّهم كانوا مضطرّين إلى عمل السيوف أو أغمادها ، لا إلى عمل خصوص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في أعمالنا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يراد منه أنّ عملهم خصوص الميتة ، بل المراد أ نّه لا يجوز عملهم ، ولا تدور تجارتهم ، إلاّ مع الابتلاء بها ، فلا يكون المراد الاضطرار بخصوصها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علاجنا من جلود الميتة من البغال والحمير</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 وعلى هذه النسخة أيضاً لا يراد بالاضطرار هو المبيح للمحظورات ، سيّما مع ملاحظة رواية القاسم الصيقل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يظهر منها أنّ مراده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صعب ذلك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صعب عليه من جهة احتمال التقيّة في صدور الحكم من أبيه علیه السلام ، ولعلّ مراده صعوبة غسل البدن واللباس وتعويضه للصلوات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أعمال البرّ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يظهر منه بوجه عدم جواز العمل بغير المذكّى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ظاهرة الدلالة على جواز بيع جلد الميتة وشرائه وسائر الاستفادات منه ، بل يظهر من ذيل الثانية ؛ أي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أعمال البرّ </w:t>
      </w:r>
    </w:p>
    <w:p>
      <w:pPr>
        <w:pStyle w:val="BookText"/>
        <w:rPr/>
      </w:pPr>
      <w:r>
        <w:rPr>
          <w:rFonts w:ascii="Amiri" w:hAnsi="Amiri" w:eastAsia="Amiri" w:cs="Amiri"/>
          <w:color w:val="111111"/>
          <w:sz w:val="28"/>
          <w:sz w:val="28"/>
          <w:szCs w:val="28"/>
          <w:rtl w:val="true"/>
          <w:lang w:bidi="ar-SA"/>
        </w:rPr>
        <w:t>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الأرجح ترك العمل بالميتة ، فيكون شاهد جمع بينها وبين ما دلّت على أنّ الميتة لا ينتفع بها ، أو جلد الميتة لا ينتفع به ، وهو الحمل على الكراهة في ما لا محذور في الانتفاع بها ، مع أ نّها أخصّ مطلقاً من روايات المنع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جلد الميتة المملوح وهو الكيمخت ، فرخّص فيه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تمسّه فهو أفضل</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 مع دلالتها على جواز الانتفاع بجلد الميتة ، يظهر منها أيضاً وجه الجمع المتقدّم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تفسير الكيمخت فيها ، يظهر جواز التمسّك بما دلّ على جواز لبسه ، على جواز الانتفاع بجلد الميتة ، كصحيحة الريّان بن الصلت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لبس الفراء والسمّور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والكيمخت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بهذا كلّه إلاّ بالثعالب</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هذا التفسير ينافي ما في رواية علي بن أبي حمزة</w:t>
      </w:r>
      <w:r>
        <w:rPr>
          <w:rStyle w:val="FootnoteAnchor"/>
          <w:rtl w:val="true"/>
        </w:rPr>
        <w:footnoteReference w:id="267"/>
      </w:r>
      <w:r>
        <w:rPr>
          <w:rFonts w:ascii="Amiri" w:hAnsi="Amiri" w:eastAsia="Amiri" w:cs="Amiri"/>
          <w:color w:val="111111"/>
          <w:sz w:val="28"/>
          <w:sz w:val="28"/>
          <w:szCs w:val="28"/>
          <w:rtl w:val="true"/>
          <w:lang w:bidi="ar-SA"/>
        </w:rPr>
        <w:t xml:space="preserve">؛ حيث فسّر فيها الكيمخت بجلود دوابّ ، منه ما يكون ذكيّاً ومنه ما يكون ميتة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وتشهد للحمل المتقدّم أيضاً ، رواية الحسن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IRNazanin" w:hAnsi="IRNazanin" w:eastAsia="IRNazanin"/>
          <w:color w:val="111111"/>
          <w:sz w:val="28"/>
          <w:sz w:val="28"/>
          <w:szCs w:val="28"/>
          <w:rtl w:val="true"/>
          <w:lang w:bidi="fa-IR"/>
        </w:rPr>
        <w:t xml:space="preserve">أبا الحسن علیه السلامفقلت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إنّ أهل الجبل تثقل عندهم أليات الغنم</w:t>
      </w:r>
    </w:p>
    <w:p>
      <w:pPr>
        <w:pStyle w:val="BookText"/>
        <w:rPr/>
      </w:pPr>
      <w:r>
        <w:rPr>
          <w:rFonts w:ascii="Amiri" w:hAnsi="Amiri" w:eastAsia="Amiri" w:cs="Amiri"/>
          <w:color w:val="111111"/>
          <w:sz w:val="28"/>
          <w:sz w:val="28"/>
          <w:szCs w:val="28"/>
          <w:rtl w:val="true"/>
          <w:lang w:bidi="ar-SA"/>
        </w:rPr>
        <w:t xml:space="preserve">فيقطعونها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فيستصبح بها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تعلم أ نّه يصيب اليد والثوب وهو حرام ؟</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يظهر منها أنّ وجه المنع هو تنجّس الثوب واليد به ، فتدلّ على كراهة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إرشاداً إلى أولوية الترك ، لئلاّ يبتلي بالنجاسة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البزنطي صاحب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يكون له الغنم ، يقطع من ألياتها وهي أحياء ؛ أيصلح أن ينتفع بما قطع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يذيبها ويسرج بها ، ولا يأكلها ولا يبيعها</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منها أنّ الممنوع من الانتفاعات هو الأكل والبيع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الانتفاعات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باب المثال، ولهذا 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يأكلها ولا يبيعها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ينه عن غيرهما ، فتدلّ على جواز مطلق الانتفاع بها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وبضميمة ما دلّت على أنّ الأليات ميتة ولو تنزيلاً ، يفهم أن لا حكم لها مستقلاًّ غير ما للميتة، فتدلّ على جواز الانتفاع بالميتة في ما سوى الأكل والبيع</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ينتفع من الميتة بإهاب ولا عظم ولا عصب ، فلمّا كان من الغد ، خرجت معه ، فإذا سخلة مطروحة على الطريق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على </w:t>
      </w:r>
    </w:p>
    <w:p>
      <w:pPr>
        <w:pStyle w:val="BookText"/>
        <w:rPr/>
      </w:pPr>
      <w:r>
        <w:rPr>
          <w:rFonts w:ascii="Amiri" w:hAnsi="Amiri" w:eastAsia="Amiri" w:cs="Amiri"/>
          <w:color w:val="111111"/>
          <w:sz w:val="28"/>
          <w:sz w:val="28"/>
          <w:szCs w:val="28"/>
          <w:rtl w:val="true"/>
          <w:lang w:bidi="ar-SA"/>
        </w:rPr>
        <w:t>أهل هذه لو انتفعوا بإهابها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فأين قولك بالأمس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ينتفع منها بالإهاب الذي لا يلصق</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حاكمة على كلّ ما دلّت على عدم جواز الانتفاع بجلد الميتة ؛ بل بها مطلقاً ؛ فإنّ الظاهر منها أنّ الانتفاع بالميتة لا محذور فيه ، وإنّما</w:t>
      </w:r>
    </w:p>
    <w:p>
      <w:pPr>
        <w:pStyle w:val="BookText"/>
        <w:rPr/>
      </w:pPr>
      <w:r>
        <w:rPr>
          <w:rFonts w:ascii="Amiri" w:hAnsi="Amiri" w:eastAsia="Amiri" w:cs="Amiri"/>
          <w:color w:val="111111"/>
          <w:sz w:val="28"/>
          <w:sz w:val="28"/>
          <w:szCs w:val="28"/>
          <w:rtl w:val="true"/>
          <w:lang w:bidi="ar-SA"/>
        </w:rPr>
        <w:t xml:space="preserve">المحذور من جهة السراية ، ولعلّ الإلصاق كناية عنها ، ويحتمل أن يكون المراد بالجلد الذي لا يلصق ، هو ما عولج بالملح والدباغ ، فدلّت على عدم جواز الانتفاع قبله ، لكنّها ضعيفة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ذيل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قال في شاة ميمونة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انتفعتم بجلدها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وهاهنا عدّة روايات تدلّ على جواز اللبس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كرواية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عن علي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أو أبا الحسن علیه السلام عن لباس الفراء، والصلاة فيها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فيها إلاّ ما كان منه ذكيّاً</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السكوت عن حرمة لبسها دليل على جوازه ، وإنّما الممنوع الصلاة فيها ، تأمّل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وكصحيحة الريّان بن الصلت المتقدّمة</w:t>
      </w:r>
      <w:r>
        <w:rPr>
          <w:rStyle w:val="FootnoteAnchor"/>
          <w:rtl w:val="true"/>
        </w:rPr>
        <w:footnoteReference w:id="273"/>
      </w:r>
      <w:r>
        <w:rPr>
          <w:rFonts w:ascii="IRNazanin" w:hAnsi="IRNazanin" w:eastAsia="IRNazanin"/>
          <w:color w:val="111111"/>
          <w:sz w:val="28"/>
          <w:sz w:val="28"/>
          <w:szCs w:val="28"/>
          <w:rtl w:val="true"/>
          <w:lang w:bidi="fa-IR"/>
        </w:rPr>
        <w:t xml:space="preserve">عن الرضا علیه السلام ، وفيها نفي البأس عن لبس أشياء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الكيمخت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ورواية علي بن أبي حمزة، أنّ رجلاً سأل أبا عبداللّه علیه السلام وأنا عنده عن الرجل يتقلّد السيف ويصلّي فيه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فيه الكيمخت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الكيمخت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جلود دوابّ ؛ منه ما يكون ذكيّاً ومنه ما يكون ميتة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 أ نّه ميتة فلا تصلِّ فيه</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تدلّ على جواز تقليده ، وإنّما لا يجوز الصلاة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 عن أبيه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علیه السلام كان يصلّي في سيفه وعليه الكيمخت</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قوله ذلك يدلّ على أنّ الكيمخت ميتة ، وإلاّ فلا وجه لنقله ،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أن لا معارضة بين الروايات ، بل لِما دلّت على الجواز نحو حكومة على غيرها ،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أخبار الجواز على التقيّة فرع المعارضة ، ومع الجمع العقلائي لا مصير لذلك </w:t>
      </w:r>
      <w:r>
        <w:rPr>
          <w:rFonts w:eastAsia="Amiri" w:cs="Amiri" w:ascii="Amiri" w:hAnsi="Amiri"/>
          <w:color w:val="111111"/>
          <w:sz w:val="28"/>
          <w:szCs w:val="28"/>
          <w:rtl w:val="true"/>
          <w:lang w:bidi="ar-SA"/>
        </w:rPr>
        <w:t xml:space="preserve">. </w:t>
      </w:r>
      <w:bookmarkStart w:id="105" w:name="pg15158_206859"/>
    </w:p>
    <w:p>
      <w:pPr>
        <w:pStyle w:val="Heading5"/>
        <w:numPr>
          <w:ilvl w:val="4"/>
          <w:numId w:val="1"/>
        </w:numPr>
        <w:rPr/>
      </w:pPr>
      <w:bookmarkStart w:id="106" w:name="__RefHeading___Toc1851490_2142443653"/>
      <w:bookmarkStart w:id="107" w:name="_Toc36"/>
      <w:bookmarkEnd w:id="105"/>
      <w:bookmarkEnd w:id="106"/>
      <w:r>
        <w:rPr>
          <w:rtl w:val="true"/>
        </w:rPr>
        <w:t>دعاوي الإجماع والشهرة على حرمة الانتفاع بالميتة</w:t>
      </w:r>
      <w:bookmarkEnd w:id="107"/>
    </w:p>
    <w:p>
      <w:pPr>
        <w:pStyle w:val="BookText"/>
        <w:rPr/>
      </w:pPr>
      <w:r>
        <w:rPr>
          <w:rFonts w:ascii="Amiri" w:hAnsi="Amiri" w:eastAsia="Amiri" w:cs="Amiri"/>
          <w:color w:val="111111"/>
          <w:sz w:val="28"/>
          <w:sz w:val="28"/>
          <w:szCs w:val="28"/>
          <w:rtl w:val="true"/>
          <w:lang w:bidi="ar-SA"/>
        </w:rPr>
        <w:t xml:space="preserve">نعم، ما يمنعنا عن الجرأة إلى الذهاب إلى الجواز ، هو دعاوي الإجماع، وعدم الخلاف ، وعدم وجدانه ، والشهرة في المسألة ؛ أهمّها ما حكي عن الحلّي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صحيحة البزنطي المتقدّمة</w:t>
      </w:r>
      <w:r>
        <w:rPr>
          <w:rStyle w:val="FootnoteAnchor"/>
          <w:rtl w:val="true"/>
        </w:rPr>
        <w:footnoteReference w:id="276"/>
      </w:r>
      <w:r>
        <w:rPr>
          <w:rFonts w:ascii="Amiri" w:hAnsi="Amiri" w:eastAsia="Amiri" w:cs="Amiri"/>
          <w:color w:val="111111"/>
          <w:sz w:val="28"/>
          <w:sz w:val="28"/>
          <w:szCs w:val="28"/>
          <w:rtl w:val="true"/>
          <w:lang w:bidi="ar-SA"/>
        </w:rPr>
        <w:t xml:space="preserve">الدالّة على جواز الانتفاع بأليات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يلتفت إلى هذا الحديث ، فإنّه من نوادر الأخبار ، والإجماع منعقد على تحريم الميتة والتصرّف فيها بكلّ حال إلاّ أكلها للمضطرّ</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أيضاً أنّ عدم جواز الانتفاع بأليات الميتة ، والمبانة من الحيّ ، موضع وفاق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حكاية عدم جواز الانتفاع عن المحقّق والعلاّمة ،</w:t>
      </w:r>
    </w:p>
    <w:p>
      <w:pPr>
        <w:pStyle w:val="BookText"/>
        <w:rPr/>
      </w:pPr>
      <w:r>
        <w:rPr>
          <w:rFonts w:ascii="Amiri" w:hAnsi="Amiri" w:eastAsia="Amiri" w:cs="Amiri"/>
          <w:color w:val="111111"/>
          <w:sz w:val="28"/>
          <w:sz w:val="28"/>
          <w:szCs w:val="28"/>
          <w:rtl w:val="true"/>
          <w:lang w:bidi="ar-SA"/>
        </w:rPr>
        <w:t xml:space="preserve">والشهيدين ، والفاضل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قضيّة كلام الباقين قطعاً 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اللقب معتبر إجماعاً في عبارات الفقهاء ، وبه يثبت الوفاق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السوق والقرائن</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يظهر منه عدم تحصيل الإجماع أو الشهرة من كلمات الفقهاء ، وإنّما الاستفادة من اجتهاده ؛ ولا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صريح المحقّق الأردبيلي</w:t>
      </w:r>
      <w:r>
        <w:rPr>
          <w:rStyle w:val="FootnoteAnchor"/>
          <w:rtl w:val="true"/>
        </w:rPr>
        <w:footnoteReference w:id="28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والمحدّث المجلسي</w:t>
      </w:r>
      <w:r>
        <w:rPr>
          <w:rStyle w:val="FootnoteAnchor"/>
          <w:rtl w:val="true"/>
        </w:rPr>
        <w:footnoteReference w:id="281"/>
      </w:r>
      <w:r>
        <w:rPr>
          <w:rFonts w:ascii="Amiri" w:hAnsi="Amiri" w:eastAsia="Amiri" w:cs="Amiri"/>
          <w:color w:val="111111"/>
          <w:sz w:val="28"/>
          <w:sz w:val="28"/>
          <w:szCs w:val="28"/>
          <w:rtl w:val="true"/>
          <w:lang w:bidi="ar-SA"/>
        </w:rPr>
        <w:t xml:space="preserve">منع الإجماع، ويظهر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عثوره</w:t>
      </w:r>
    </w:p>
    <w:p>
      <w:pPr>
        <w:pStyle w:val="BookText"/>
        <w:rPr/>
      </w:pPr>
      <w:r>
        <w:rPr>
          <w:rFonts w:ascii="Amiri" w:hAnsi="Amiri" w:eastAsia="Amiri" w:cs="Amiri"/>
          <w:color w:val="111111"/>
          <w:sz w:val="28"/>
          <w:sz w:val="28"/>
          <w:szCs w:val="28"/>
          <w:rtl w:val="true"/>
          <w:lang w:bidi="ar-SA"/>
        </w:rPr>
        <w:t xml:space="preserve">على اتّفاق الأصحاب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ظاهرهم الاتّفاق عليه، كما قيل</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جواز الاستصباح به ، وتبعه جملة من متأخّري المتأخّرين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 في ذيل حديث زرارة المتقدّم</w:t>
      </w:r>
      <w:r>
        <w:rPr>
          <w:rStyle w:val="FootnoteAnchor"/>
          <w:rtl w:val="true"/>
        </w:rPr>
        <w:footnoteReference w:id="285"/>
      </w:r>
      <w:r>
        <w:rPr>
          <w:rFonts w:ascii="Amiri" w:hAnsi="Amiri" w:eastAsia="Amiri" w:cs="Amiri"/>
          <w:color w:val="111111"/>
          <w:sz w:val="28"/>
          <w:sz w:val="28"/>
          <w:szCs w:val="28"/>
          <w:rtl w:val="true"/>
          <w:lang w:bidi="ar-SA"/>
        </w:rPr>
        <w:t xml:space="preserve">في الاستقاء بجلد الخنزير ،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أ نّه لا بأس أن يستقى به ، لكن يستعمل ذلك في سقي الدوابّ والأشجار ونحو ذلك</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منه ، وإن يحتمل أن يكون في مقام جمع الروايات ودفع التناقض عنها ، لكن لو لم يجز ذلك لسقي الدوابّ والأشجار أيضاً ، يكون من قبيل الفرار من المطر إلى الميزاب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 وعن ابن البرّاج</w:t>
      </w:r>
      <w:r>
        <w:rPr>
          <w:rStyle w:val="FootnoteAnchor"/>
          <w:rtl w:val="true"/>
        </w:rPr>
        <w:footnoteReference w:id="288"/>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وتلميذه كاشف الرموز 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 جواز الاستقاء بجلودها لغير الصلاة 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ميله إليه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مرويّ</w:t>
      </w:r>
      <w:r>
        <w:rPr>
          <w:rStyle w:val="FootnoteAnchor"/>
          <w:rtl w:val="true"/>
        </w:rPr>
        <w:footnoteReference w:id="291"/>
      </w:r>
      <w:r>
        <w:rPr>
          <w:rFonts w:ascii="Amiri" w:hAnsi="Amiri" w:eastAsia="Amiri" w:cs="Amiri"/>
          <w:color w:val="111111"/>
          <w:sz w:val="28"/>
          <w:sz w:val="28"/>
          <w:szCs w:val="28"/>
          <w:rtl w:val="true"/>
          <w:lang w:bidi="ar-SA"/>
        </w:rPr>
        <w:t xml:space="preserve">، ولعلّه يشعر بميله إليه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الوضوء بحوض اتّخذ من جلد الميتة إذا كان كرّاً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الجنيد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جلد الميتة يطهر بالدباغ</w:t>
      </w:r>
      <w:r>
        <w:rPr>
          <w:rStyle w:val="FootnoteAnchor"/>
          <w:rtl w:val="true"/>
        </w:rPr>
        <w:footnoteReference w:id="293"/>
      </w:r>
      <w:r>
        <w:rPr>
          <w:rFonts w:ascii="IRNazanin" w:hAnsi="IRNazanin" w:eastAsia="IRNazanin"/>
          <w:color w:val="111111"/>
          <w:sz w:val="28"/>
          <w:sz w:val="28"/>
          <w:szCs w:val="28"/>
          <w:rtl w:val="true"/>
          <w:lang w:bidi="fa-IR"/>
        </w:rPr>
        <w:t>؛ فلا محالة يجوز الانتفاع به حينئذٍ عندهما ، بل هو محتمل الصدوق ، بل الصدوقين ؛ لموافقة فتواهما له نوعاً ، ولنقل الأوّل رواية عن الصادق علیه السلام تدلّ على جواز جعل اللبن والماء ونحوهما في جلد الميتة</w:t>
      </w:r>
      <w:r>
        <w:rPr>
          <w:rStyle w:val="FootnoteAnchor"/>
          <w:rtl w:val="true"/>
        </w:rPr>
        <w:footnoteReference w:id="294"/>
      </w:r>
      <w:r>
        <w:rPr>
          <w:rFonts w:ascii="Amiri" w:hAnsi="Amiri" w:eastAsia="Amiri" w:cs="Amiri"/>
          <w:color w:val="111111"/>
          <w:sz w:val="28"/>
          <w:sz w:val="28"/>
          <w:szCs w:val="28"/>
          <w:rtl w:val="true"/>
          <w:lang w:bidi="ar-SA"/>
        </w:rPr>
        <w:t xml:space="preserve">، مع قوله قبيل ذلك في حقّ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أقصد فيه قصد المصنّفين في إيراد جميع ما رووه ، بل قصدت إلى إيراد ما اُفتي به ، وأحكم بصحّته ، وأعتقد فيه أ نّه حجّة بيني وبين ربّي</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وإن لم يف بهذا العهد في كتابه كما يظهر للمراجع به ، لكن رجوعه عنه في أوّل الكتاب في غاية البعد </w:t>
      </w:r>
      <w:r>
        <w:rPr>
          <w:rFonts w:eastAsia="Amiri" w:cs="Amiri" w:ascii="Amiri" w:hAnsi="Amiri"/>
          <w:color w:val="111111"/>
          <w:sz w:val="28"/>
          <w:szCs w:val="28"/>
          <w:rtl w:val="true"/>
          <w:lang w:bidi="ar-SA"/>
        </w:rPr>
        <w:t xml:space="preserve">. </w:t>
      </w:r>
      <w:bookmarkStart w:id="108" w:name="pg15158_206862"/>
    </w:p>
    <w:p>
      <w:pPr>
        <w:pStyle w:val="BookText"/>
        <w:rPr/>
      </w:pPr>
      <w:bookmarkEnd w:id="108"/>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بأس أن تتوضّأ من الماء إذا كان في زقّ من جلدة ميتة ، ولا بأس بأن تشربه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وتجويز ابن الجنيد ومن بعده ، وإن كان مبنيّاً على طهارة جلدها بالدباغ ، أو عدم تنجّس المائع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احتمال في كلام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ذلك تكون استفادة الإجماع من كلام القوم مشكلاً ، فإنّ الإجماع التقديري ليس بشيء ، هذا مع عدم وضوح مسلك ابن إدريس في باب الإجماع</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فالأشبه الجواز ، والأحوط الترك ، هذا حال جواز الانتفاع </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851492_2142443653"/>
      <w:bookmarkStart w:id="110" w:name="_Toc37"/>
      <w:bookmarkEnd w:id="109"/>
      <w:r>
        <w:rPr>
          <w:rtl w:val="true"/>
        </w:rPr>
        <w:t>جواز البيع فيما جاز الانتفاع</w:t>
      </w:r>
      <w:bookmarkEnd w:id="110"/>
    </w:p>
    <w:p>
      <w:pPr>
        <w:pStyle w:val="BookText"/>
        <w:rPr/>
      </w:pPr>
      <w:r>
        <w:rPr>
          <w:rFonts w:ascii="Amiri" w:hAnsi="Amiri" w:eastAsia="Amiri" w:cs="Amiri"/>
          <w:color w:val="111111"/>
          <w:sz w:val="28"/>
          <w:sz w:val="28"/>
          <w:szCs w:val="28"/>
          <w:rtl w:val="true"/>
          <w:lang w:bidi="ar-SA"/>
        </w:rPr>
        <w:t xml:space="preserve">وهل يجوز البيع وسائر الانتقالات في ما جاز الانتفاع به ؟ الأقوى هو الجواز ؛ لعدم دليل على المنع سوى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Style w:val="FootnoteAnchor"/>
          <w:rtl w:val="true"/>
        </w:rPr>
        <w:footnoteReference w:id="298"/>
      </w:r>
      <w:r>
        <w:rPr>
          <w:rFonts w:ascii="Amiri" w:hAnsi="Amiri" w:eastAsia="Amiri" w:cs="Amiri"/>
          <w:color w:val="111111"/>
          <w:sz w:val="28"/>
          <w:sz w:val="28"/>
          <w:szCs w:val="28"/>
          <w:rtl w:val="true"/>
          <w:lang w:bidi="ar-SA"/>
        </w:rPr>
        <w:t xml:space="preserve">، وهي ضعيفة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وسوى روايات دلّت على أنّ ثمن الميتة سحت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كرواية السكوني الموثّقة 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السحت ثمن الميتة</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الصدوق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الزانية سحت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وثمن الميتة سحت</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حمّاد بن عمرو وأنس بن محمّد عن أبيه ، جميعاً عن جعفر بن محمّد ، عن آبائه علیهم السلام في وصيّة النبي صلی الله علیه و آله وسلم  لعلي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 من السحت ثمن الميتة</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وسوى صحيحة البزنطي صاحب الرضا عنه في أليات مقطوعة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يذيبها ويسرج بها ولا يأكلها ولا يبيعها</w:t>
      </w:r>
      <w:r>
        <w:rPr>
          <w:rFonts w:eastAsia="Amiri" w:cs="Amiri" w:ascii="Amiri" w:hAnsi="Amiri"/>
          <w:color w:val="111111"/>
          <w:sz w:val="28"/>
          <w:szCs w:val="28"/>
          <w:rtl w:val="true"/>
          <w:lang w:bidi="ar-SA"/>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الحميري بإسناده عن موسى بن جعفر علیه السلام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عدا الأخيرة مخصّصة بصحيحة محمّد بن عيسى المتقدّمة عن الصيقل</w:t>
      </w:r>
      <w:r>
        <w:rPr>
          <w:rStyle w:val="FootnoteAnchor"/>
          <w:rtl w:val="true"/>
        </w:rPr>
        <w:footnoteReference w:id="304"/>
      </w:r>
      <w:r>
        <w:rPr>
          <w:rFonts w:ascii="Amiri" w:hAnsi="Amiri" w:eastAsia="Amiri" w:cs="Amiri"/>
          <w:color w:val="111111"/>
          <w:sz w:val="28"/>
          <w:sz w:val="28"/>
          <w:szCs w:val="28"/>
          <w:rtl w:val="true"/>
          <w:lang w:bidi="ar-SA"/>
        </w:rPr>
        <w:t xml:space="preserve">التي يظهر منها جواز الانتفاع بجلد الميتة ، وجواز بيعها لذلك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العرف مساعد لإلغاء الخصوصية ، والجمع بينها وبين ما تقدّم ؛ بأنّ كلّ مورد يجوز الانتفاع بها يجوز بيعها لذلك ، وإنّما يحرم بيعها ويكون ثمنها سحتاً إذا بيعت للأكل ونحوه ممّا لا يجوز الانتفاع بها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ويؤيّد ذلك ، رواية أبي مخلّد السراج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عبداللّه علیه السلام إذ دخل</w:t>
      </w:r>
    </w:p>
    <w:p>
      <w:pPr>
        <w:pStyle w:val="BookText"/>
        <w:rPr/>
      </w:pPr>
      <w:r>
        <w:rPr>
          <w:rFonts w:ascii="Amiri" w:hAnsi="Amiri" w:eastAsia="Amiri" w:cs="Amiri"/>
          <w:color w:val="111111"/>
          <w:sz w:val="28"/>
          <w:sz w:val="28"/>
          <w:szCs w:val="28"/>
          <w:rtl w:val="true"/>
          <w:lang w:bidi="ar-SA"/>
        </w:rPr>
        <w:t>عليه معتب</w:t>
      </w:r>
      <w:r>
        <w:rPr>
          <w:rStyle w:val="FootnoteAnchor"/>
          <w:rtl w:val="true"/>
        </w:rPr>
        <w:footnoteReference w:id="30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بالباب رجلان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فدخلا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سرّاج أبيع جلود النمر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مدبوغة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لقوّة احتمال أن تكون جلود النمر للميتة ، لبعد تذكيته ، وإشعار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مدبوغة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أو دلالته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الدباغ لا يدلّ على صدورها تقيّة ؛ لعدم الحكم بطهارتها أو صحّة الصلاة فيها ، ولعلّ الدباغة دخيلة في الحكم ، أو في رفع الكراهة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وتؤيّده صحيحة عبد الرحمان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الفراء أشتريه من الرجل الذي لعلّي لا أثق به ، فيبيعني على أ نّها ذكيّة ، أبيعها على</w:t>
      </w:r>
    </w:p>
    <w:p>
      <w:pPr>
        <w:pStyle w:val="BookText"/>
        <w:rPr/>
      </w:pPr>
      <w:r>
        <w:rPr>
          <w:rFonts w:ascii="Amiri" w:hAnsi="Amiri" w:eastAsia="Amiri" w:cs="Amiri"/>
          <w:color w:val="111111"/>
          <w:sz w:val="28"/>
          <w:sz w:val="28"/>
          <w:szCs w:val="28"/>
          <w:rtl w:val="true"/>
          <w:lang w:bidi="ar-SA"/>
        </w:rPr>
        <w:t xml:space="preserve">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 لا تثق به فلا تبعها على أ نّها ذكيّة ، إلاّ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ذكيّة</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مقتضى إطلاقها جواز الاشتراء والبيع ، وإن كان الرجل مجهول الحال ولم يكن في سوق المسلمين ، إلاّ أن يقال بكونه بصدد بيان حكم آخر ، وهو جواز الشهادة بمجرّد قول البائع مع عدم وثاقته ، فإطلاقها مشكل بل ممنوع </w:t>
      </w:r>
      <w:r>
        <w:rPr>
          <w:rFonts w:eastAsia="Amiri" w:cs="Amiri" w:ascii="Amiri" w:hAnsi="Amiri"/>
          <w:color w:val="111111"/>
          <w:sz w:val="28"/>
          <w:szCs w:val="28"/>
          <w:rtl w:val="true"/>
          <w:lang w:bidi="ar-SA"/>
        </w:rPr>
        <w:t xml:space="preserve">. </w:t>
      </w:r>
      <w:bookmarkStart w:id="111" w:name="pg15158_206865"/>
    </w:p>
    <w:p>
      <w:pPr>
        <w:pStyle w:val="BookText"/>
        <w:rPr/>
      </w:pPr>
      <w:bookmarkEnd w:id="111"/>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بالجمع المذكور ، ولا يبعد حمل الأخيرة على ذلك أيضاً ؛ لأنّ الانتفاع المتعارف من الأليات هو الأكل ، وأمّا الإذابة للإسراج فمن المنافع النادرة الغير المتداولة ، فالنهي عن بيعها لعلّه لأجل المنفعة المتعارفة التي</w:t>
      </w:r>
    </w:p>
    <w:p>
      <w:pPr>
        <w:pStyle w:val="BookText"/>
        <w:rPr/>
      </w:pPr>
      <w:r>
        <w:rPr>
          <w:rFonts w:ascii="Amiri" w:hAnsi="Amiri" w:eastAsia="Amiri" w:cs="Amiri"/>
          <w:color w:val="111111"/>
          <w:sz w:val="28"/>
          <w:sz w:val="28"/>
          <w:szCs w:val="28"/>
          <w:rtl w:val="true"/>
          <w:lang w:bidi="ar-SA"/>
        </w:rPr>
        <w:t xml:space="preserve">كانت البيوع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منصرفة عن البيع للمنفعة النادرة ، فالجواز مطلقاً للمنافع المحلّلة لا يخلو من قوّة ، وقد استقصينا سابقاً كلمات القوم ، وقلنا بأنّ الظاهر منهم جواز البيع وسائر الانتقالات مع جواز الانتفاع ، إذا كان النفع عقلائياً موجباً</w:t>
      </w:r>
    </w:p>
    <w:p>
      <w:pPr>
        <w:pStyle w:val="BookText"/>
        <w:rPr/>
      </w:pPr>
      <w:r>
        <w:rPr>
          <w:rFonts w:ascii="Amiri" w:hAnsi="Amiri" w:eastAsia="Amiri" w:cs="Amiri"/>
          <w:color w:val="111111"/>
          <w:sz w:val="28"/>
          <w:sz w:val="28"/>
          <w:szCs w:val="28"/>
          <w:rtl w:val="true"/>
          <w:lang w:bidi="ar-SA"/>
        </w:rPr>
        <w:t>لمالية الشيء ، فراجع</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1851494_2142443653"/>
      <w:bookmarkStart w:id="113" w:name="_Toc38"/>
      <w:bookmarkEnd w:id="112"/>
      <w:r>
        <w:rPr>
          <w:rtl w:val="true"/>
        </w:rPr>
        <w:t>فرع</w:t>
      </w:r>
      <w:r>
        <w:rPr>
          <w:rtl w:val="true"/>
        </w:rPr>
        <w:t xml:space="preserve">: </w:t>
      </w:r>
      <w:r>
        <w:rPr>
          <w:rtl w:val="true"/>
        </w:rPr>
        <w:t>حكم الانتفاع بالمشتبه بالمذكّى وبيعه</w:t>
      </w:r>
      <w:bookmarkEnd w:id="113"/>
    </w:p>
    <w:p>
      <w:pPr>
        <w:pStyle w:val="BookText"/>
        <w:rPr/>
      </w:pPr>
      <w:r>
        <w:rPr>
          <w:rFonts w:ascii="Amiri" w:hAnsi="Amiri" w:eastAsia="Amiri" w:cs="Amiri"/>
          <w:color w:val="111111"/>
          <w:sz w:val="28"/>
          <w:sz w:val="28"/>
          <w:szCs w:val="28"/>
          <w:rtl w:val="true"/>
          <w:lang w:bidi="ar-SA"/>
        </w:rPr>
        <w:t xml:space="preserve">كما لا يجوز بيع الميتة للمنفعة المحرّمة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 ، لا يجوز بيعها في ضمن المشتبه بالمذكّى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بيع المذكّى الواقعي بينهما ؛ لعدم جواز الانتفاع بواحد منهما عقلاً ؛ للعلم الإجمالي المنجّز للواقع ، فيكون أخذ المال في مقابل المذكّى الذي سقط الانتفاع به مطلقاً ، أكلاً للمال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كون المشتري مسلماً ، وكذا لو كان كافراً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الكفّار مكلّفون بالفروع ، كما هو الأقوى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قلنا بعدم كونهم مكلّفين بها ، وجاز لهم أكل الميتة والتصرّف فيها ، </w:t>
      </w:r>
    </w:p>
    <w:p>
      <w:pPr>
        <w:pStyle w:val="BookText"/>
        <w:rPr/>
      </w:pPr>
      <w:r>
        <w:rPr>
          <w:rFonts w:ascii="Amiri" w:hAnsi="Amiri" w:eastAsia="Amiri" w:cs="Amiri"/>
          <w:color w:val="111111"/>
          <w:sz w:val="28"/>
          <w:sz w:val="28"/>
          <w:szCs w:val="28"/>
          <w:rtl w:val="true"/>
          <w:lang w:bidi="ar-SA"/>
        </w:rPr>
        <w:t xml:space="preserve">فالظاهر جواز بيع الواقعي المذكّى منه ؛ لأنّ المسلم جاز له الانتفاع بالمذكّى الواقعي مع الإمكان ، وأخذ المال في مقابله انتفاع به ، والكافر جاز له الانتفاع بالمشتبهين فرضاً ، ولا دليل على لزوم كون المبيع بشخصه ممكن الانتفاع للبائع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لو كان البائع والمشتري مسلمين ، واشتبه المذكّى بالميتة لدى البائع دون المشتري ، صحّ بيع المذكّى الواقعي من المسلم العالم بالواقع ، وليس أخذ المال بإزائه أكلاً له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مع جهل المشتري أيضاً لا يجوز البيع بقصد المذكّى الواقعي ،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بعدم جريان أصالة عدم التذكية في المشتبهين ولو لم يلزم من جريانهما مخالفة عملية كما فيما نحن فيه ، وقلنا بجريان أصالة الحلّ في أحدهما تخييراً ، فحينئذٍ يمكن أن يقال بجواز البيع بالقصد المذكور ، كما اختاره الشيخ الأنصاري</w:t>
      </w:r>
      <w:r>
        <w:rPr>
          <w:rStyle w:val="FootnoteAnchor"/>
          <w:rtl w:val="true"/>
        </w:rPr>
        <w:footnoteReference w:id="309"/>
      </w:r>
      <w:r>
        <w:rPr>
          <w:rFonts w:ascii="Amiri" w:hAnsi="Amiri" w:eastAsia="Amiri" w:cs="Amiri"/>
          <w:color w:val="111111"/>
          <w:sz w:val="28"/>
          <w:sz w:val="28"/>
          <w:szCs w:val="28"/>
          <w:rtl w:val="true"/>
          <w:lang w:bidi="ar-SA"/>
        </w:rPr>
        <w:t xml:space="preserve">ويأتي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بجواز بيع أحدهما مخيّراً ؛ فللبائع أن يختار أحدهما ، ويبيعه من مسلم وغيره بمقتضى أصالة الحلّ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المدقّقين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أصالة الحلّ لا يثبت بها إلاّ جواز الأكل ولا يحرز بها المذكّى الواقعي ، والمفروض عدم جواز بيع الميتة الواقعية ، فمع الشكّ في تحقّق الموضوع القابل للنقل والانتقال ، يحكم بأصالة عدم الانتقال وإن لم يكن هناك أصل يثبت به عدم كونه مذكّى ، وذلك نظير المال المردّد بين كونه مال </w:t>
      </w:r>
    </w:p>
    <w:p>
      <w:pPr>
        <w:pStyle w:val="BookText"/>
        <w:rPr/>
      </w:pPr>
      <w:r>
        <w:rPr>
          <w:rFonts w:ascii="Amiri" w:hAnsi="Amiri" w:eastAsia="Amiri" w:cs="Amiri"/>
          <w:color w:val="111111"/>
          <w:sz w:val="28"/>
          <w:sz w:val="28"/>
          <w:szCs w:val="28"/>
          <w:rtl w:val="true"/>
          <w:lang w:bidi="ar-SA"/>
        </w:rPr>
        <w:t>الشخص ، أو مال غيره ، فإنّه وإن قلنا بجواز أكله إذا لم يكن مسبوقاً بكونه ملكاً لغيره ، لكن لا نقول بجواز بيعه ، للشكّ في الملكية المترتّب عليها جواز البيع ونفوذه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أصالة الحلّ ، ليس حلّية الأكل فقط ، بل مقتضى إطلاق أدلّتها جواز ترتيب جميع آثار الحلّية على المشكوك فيه ظاهراً ، ومن آثارها جواز البيع وصحّته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أنّ مفاد أصالة الحلّ أعمّ من التكليفية والوضعية ، فإذا شكّ في نفوذ بيع المشكوك فيه ، يحكم بنفوذه بأصالة الحلّ الوضعي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جواز الأكل وسائر الانتفاعات ، كاشف عن ملكيته لدى الشارع ولو ظاهراً ، كما أنّ النهي عن جميع التصرّفات ، كاشف عن سقوطها لديه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ملكية الميتة المعلومة وماليتها عقلائية ، لا بدّ في نفيهما من ردع الشارع ، ولا دليل على الردع في مورد المشتبه ، مع تجويز الشارع الانتفاعات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ثبوت ماليته وملكيته وجواز التصرّف فيه ، يصحّ بيعه بإطلاق أدلّة تنفيذه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ترتيب جميع أحكام عدم الحرمة الواقعية على الحلّية الثابتة بأصالة الحلّ في مشتبه الحكم</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عليه إطلاق أدلّة أصالة الحلّ ؛ فإنّ قوله في صحيحة ابن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وحرام ، فهو لك حلال أبداً حتّى تعرف الحرام بعينه ، فتدعه</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xml:space="preserve">لا قصور فيه لإثبات جميع آثار الحلّية الواقعية عليه ؛ لأنّ الحلّية لمّا لم تكن واقعية ، تحمل على الظاهرية وبحسب ترتيب الآثار بلسان جعل الموضوع ، وإطلاقه يقتضي ترتيب جميع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منها موثّقة مسعدة بن صدقة</w:t>
      </w:r>
      <w:r>
        <w:rPr>
          <w:rStyle w:val="FootnoteAnchor"/>
          <w:rtl w:val="true"/>
        </w:rPr>
        <w:footnoteReference w:id="313"/>
      </w:r>
      <w:r>
        <w:rPr>
          <w:rFonts w:ascii="Amiri" w:hAnsi="Amiri" w:eastAsia="Amiri" w:cs="Amiri"/>
          <w:color w:val="111111"/>
          <w:sz w:val="28"/>
          <w:sz w:val="28"/>
          <w:szCs w:val="28"/>
          <w:rtl w:val="true"/>
          <w:lang w:bidi="ar-SA"/>
        </w:rPr>
        <w:t xml:space="preserve">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نّها من أدلّة أصالة الحلّ ، وإن لا يخلو من مناقشة ذكرناها في محلّه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على صحّة البيع ، لا يتوقّف على إحراز كونه مذكّى بأمارة معتبرة ، أو إحراز عدم كونه ميتة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إمكان استصحاب كون المشتبه قابلاً للنقل والانتقال ، ومملوكاً يجوز فيه أنحاء التصرّفات ، فتكون تلك الاستصحابات ، حاكمة على استصحاب عدم الانتقال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عدم بقاء الموضوع لعروض الموت على الحيوان ، قد فرغنا عن جوابه في محلّه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فمع عدم ثبوت المنع الشرعي، يكون البيع عقلائياً، منسلكاً تحت أدلّة تنفيذه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بعد قصور أدلّة عدم جواز بيع الميتة الواقعية لإثبات الحكم في المشتبه ، وبعد البناء على عدم جريان أصالة عدم التذكية ، والبناء على جريان أصالة الحلّ وسائر الاُصول الشرعية في أحد الطرفين تخييراً ، إنّ مقتضى الاُصول صحّة بيعه وإن قلنا بأنّ أصالة الحلّ لا تفي بذلك ، بل الاستصحابات المذكورة مقدّمة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في صحّة البيع ، الملكية ، وكذا صحّة الانتفاع بما هو ملك ، وفي المقام إن باع المذكّى الواقعي ، فقد أوقع البيع على ملكه ، لكن صحّة الانتفاع به مشكوك فيها ؛ لاحتمال أن يكون مختاره غير مملوكه ، وإن أوقع البيع على المشتبه ، يكون ملكيته له مشكوكاً فيها ، فلا يمكن إحراز الشرطين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نّا نختار بيع أحد المشتبهين ، ونحرز الملكية بالاستصحاب ، كما تقدّم ؛ لأنّ المفروض جريان الاُصول في أحد الأطراف تخييراً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اختيار بيع المذكّى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جواز الانتفاع بكلّ من المشتبهين تخييراً من آثار ملك المذكّى الواقعي الموجود يقيناً في المشتبهين ومن منافعه ، وهذا القدر كافٍ في تحقّق الانتفاع المعتبر في صحّة البيع ؛ فإنّه ليس من أكل المال بالباطل ، بعد تسليمهما للمشتري ، وجواز انتفاعه بأحدهما الذي هو نتيجة ملكية المذكّى الواقعي المردّد بينهما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الانتفاع بأحدهما المردّد ، لا يعقل أن يكون من آثار ملكيته الواقعية لأحد الطرفين ، فإنّ أثر الملكية الواقعية جواز التصرّف في خصوص الملك ، لا في غيره ، ولا في المردّد بينه وبين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الحلّية التي من أحكام الملك واقعاً هي الحلّية الواقعية ، لا الظاهرية ، ولا الأعمّ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ملكية المذكّى الواقعي محقّقة لموضوع الاشتباه ، كما أنّ الميتة الواقعية أيضاً دخيلة في ذلك ، وكذلك الاختلاط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الحلّية الظاهرية فهي مجعولة على المشتبه بما هو كذلك ، لا من آثار الواقع؛ ضرورة عدم إمكان تعدّي الحكم والأثر من موضوعه إلى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جواز الانتفاع الظاهري كافٍ في صحّة البيع ، فالأولى حينئذٍ أن يختار صحّة بيع أحد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القائل المحقّق ، استشكل في ذلك بأ 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للبيع</w:t>
      </w:r>
    </w:p>
    <w:p>
      <w:pPr>
        <w:pStyle w:val="BookText"/>
        <w:rPr/>
      </w:pPr>
      <w:r>
        <w:rPr>
          <w:rFonts w:ascii="Amiri" w:hAnsi="Amiri" w:eastAsia="Amiri" w:cs="Amiri"/>
          <w:color w:val="111111"/>
          <w:sz w:val="28"/>
          <w:sz w:val="28"/>
          <w:szCs w:val="28"/>
          <w:rtl w:val="true"/>
          <w:lang w:bidi="ar-SA"/>
        </w:rPr>
        <w:t>هو حرمة الانتفاع واقعاً الذي هو غير معلوم الارتفاع ، فراجع كلامه ، زيد في علوّ مقامه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على المباني الغير المسلّمة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اقتضاء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الانتفاع بواحد منهما ، لا أكلاً ولا بيعاً ، من مسلم ولا من كافر ، بناءً على تكليفهم بالفروع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هاهنا نكتة يجب التنبيه عليها وهي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العلم الإجمالي قد يتعلّق بالحكم الفعلي والإرادة الفعلية الجازمة ، وفي مثله لا يمكن احتمال الترخيص لأحد الطرفين ، فضلاً عنهما ، بل مع العلم بالإرادة الفعلية للمولى لا يمكن احتمال صدور الترخيص منه في الشبهة البدوية أيضاً ؛ لعدم إمكان احتمال وقوع التناقض في إرادته ، فالعلم الإجمالي كذلك علّة تامّة لوجوب الموافقة وحرمة المخالفة، ومع هذا العلم تطرح أدلّة الاُصول حتّى في الشبهات البدوية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يتعلّق العلم بحجّة شرعية لأجل إطلاق دليل أو عمومه لمورد المشتبه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 وَلَحْمُ الْخِنْزِيرِ</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فإنّ 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يقتضي حرمة الميتة واقعاً ، سواء كان الموضوع معلوماً ، أو لا ، وفي مثله يمكن احتمال الترخيص في ارتكاب جميع أطراف المعلوم بالإجمال ، فضلاً عن بعضه ، فمع ورود الترخيص يستكشف عن عدم فعلية إرادة المولى في المورد المشتبه ، إمّا بتقييد الإطلاق ، أو بأنحاء اُخر من التصوّرات التي في الاُصول بيانها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العلم الإجمالي من قبيل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نوع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ترك ظاهر دليل معتمد دلّ على الترخيص في بعض الأطراف أو جميعها ؛ لعدم حكم للعقل في مثله ، وعدم كون الترخيص مخالفاً للقواعد والعقول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الخلط بين المقامين صار موجباً لطرح بعض الروايات </w:t>
      </w:r>
    </w:p>
    <w:p>
      <w:pPr>
        <w:pStyle w:val="BookText"/>
        <w:rPr/>
      </w:pPr>
      <w:r>
        <w:rPr>
          <w:rFonts w:ascii="Amiri" w:hAnsi="Amiri" w:eastAsia="Amiri" w:cs="Amiri"/>
          <w:color w:val="111111"/>
          <w:sz w:val="28"/>
          <w:sz w:val="28"/>
          <w:szCs w:val="28"/>
          <w:rtl w:val="true"/>
          <w:lang w:bidi="ar-SA"/>
        </w:rPr>
        <w:t>الصحيحة الدالّة على الترخيص في أطراف العلم الإجمالي</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الانتفاع بأطراف المشتبه أكلاً وغيره ، فيظهر من الأردبيلي الميل إليه في مطلق المشتبهات</w:t>
      </w:r>
      <w:r>
        <w:rPr>
          <w:rStyle w:val="FootnoteAnchor"/>
          <w:rtl w:val="true"/>
        </w:rPr>
        <w:footnoteReference w:id="322"/>
      </w:r>
      <w:r>
        <w:rPr>
          <w:rFonts w:ascii="IRNazanin" w:hAnsi="IRNazanin" w:eastAsia="IRNazanin"/>
          <w:color w:val="111111"/>
          <w:sz w:val="28"/>
          <w:sz w:val="28"/>
          <w:szCs w:val="28"/>
          <w:rtl w:val="true"/>
          <w:lang w:bidi="fa-IR"/>
        </w:rPr>
        <w:t xml:space="preserve">، وتمسّك في المقام بصحيحة عبداللّه بن سنان 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فيه حلال وحرام، فهو لك حلال أبداً حتّى تعرف الحرام بعينه فتدعه</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وصحيحة ضريس الكناسي عن أبي جعفر علیه السلام</w:t>
      </w:r>
      <w:r>
        <w:rPr>
          <w:rStyle w:val="FootnoteAnchor"/>
          <w:rtl w:val="true"/>
        </w:rPr>
        <w:footnoteReference w:id="324"/>
      </w:r>
      <w:r>
        <w:rPr>
          <w:rFonts w:ascii="Amiri" w:hAnsi="Amiri" w:eastAsia="Amiri" w:cs="Amiri"/>
          <w:color w:val="111111"/>
          <w:sz w:val="28"/>
          <w:sz w:val="28"/>
          <w:szCs w:val="28"/>
          <w:rtl w:val="true"/>
          <w:lang w:bidi="ar-SA"/>
        </w:rPr>
        <w:t xml:space="preserve">، وهناك روايات اُخر ربّما يأتي الكلام فيها مستقصىً في باب المال المختلط بالحرام ، إن شاء اللّه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الأقوى في المقام عدم جواز الانتفاع بهما ، لا لطرح الأدلّة بتوهّم كونها خلاف العقل والقواعد ؛ لما عرفت ، بل لظهور صحيحتي الحلبي الآتيتين</w:t>
      </w:r>
      <w:r>
        <w:rPr>
          <w:rStyle w:val="FootnoteAnchor"/>
          <w:rtl w:val="true"/>
        </w:rPr>
        <w:footnoteReference w:id="325"/>
      </w:r>
      <w:r>
        <w:rPr>
          <w:rFonts w:ascii="Amiri" w:hAnsi="Amiri" w:eastAsia="Amiri" w:cs="Amiri"/>
          <w:color w:val="111111"/>
          <w:sz w:val="28"/>
          <w:sz w:val="28"/>
          <w:szCs w:val="28"/>
          <w:rtl w:val="true"/>
          <w:lang w:bidi="ar-SA"/>
        </w:rPr>
        <w:t xml:space="preserve">عرفاً في عدم جواز أكلهما ، أو أكل أحدهما ، وعدم جواز انتفاع آخر بهما إلاّ بيعهما للمستحلّ ، وأنّ الطريق المنحصر في الاستفادة هو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وبهما يخصّص كلّ ما دلّت على تجويز ارتكاب أطراف الشبهة ، لو سلّمت دلالتها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عدم جواز تعرّف حالهما بالعرض على النار بالانبساط والانقباض، كما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w:t>
      </w:r>
      <w:r>
        <w:rPr>
          <w:rStyle w:val="FootnoteAnchor"/>
          <w:rtl w:val="true"/>
        </w:rPr>
        <w:footnoteReference w:id="326"/>
      </w:r>
      <w:r>
        <w:rPr>
          <w:rFonts w:ascii="IRNazanin" w:hAnsi="IRNazanin" w:eastAsia="IRNazanin"/>
          <w:color w:val="111111"/>
          <w:sz w:val="28"/>
          <w:sz w:val="28"/>
          <w:szCs w:val="28"/>
          <w:rtl w:val="true"/>
          <w:lang w:bidi="fa-IR"/>
        </w:rPr>
        <w:t>؛ فإنّ ذلك لو كان أمارة مطلقاً لكان على أبي عبداللّه علیه السلام بيانه لكشف الواقع وعدم ارتكاب خلاف القواعد ، فلا يتعدّى عن مورد رواية شعيب</w:t>
      </w:r>
      <w:r>
        <w:rPr>
          <w:rStyle w:val="FootnoteAnchor"/>
          <w:rtl w:val="true"/>
        </w:rPr>
        <w:footnoteReference w:id="327"/>
      </w:r>
      <w:r>
        <w:rPr>
          <w:rFonts w:ascii="Amiri" w:hAnsi="Amiri" w:eastAsia="Amiri" w:cs="Amiri"/>
          <w:color w:val="111111"/>
          <w:sz w:val="28"/>
          <w:sz w:val="28"/>
          <w:szCs w:val="28"/>
          <w:rtl w:val="true"/>
          <w:lang w:bidi="ar-SA"/>
        </w:rPr>
        <w:t>في اللحم المطروحة، لو قلنا بجواز العمل بها في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بيعهما ممّن يستحلّ الميتة ، ولا شبهة في أ نّه كما يلزم من بيعهما جميعاً رفع اليد عن أدلّة حرمة بيع الميتة وأنّ ثمنها سحت ، وعن دليل حرمة إقباض الميتة للأكل ممّن تحرم عليه ؛ فإنّ الكفّار أيضاً مكلّفون ، كذلك يلزم من بيع المذكّى الواقعي خلاف القواعد ، سواء بيّن الواقعة للمشتري ، واشترى هو أيضاً المذكّى أو لا ، فعلى الأوّل يلزم الجهالة والغرر في بعض الأحيان ، كما لو كان أحدهما مهزولاً والآخر سميناً ، واختلف قيمتهما ، إن قلنا بأ نّه غير مطلق الجهالة ، وأ نّها مفسدة كالغرر ، وتسليط الكافر على الأكل والانتفاع المحرّم عليه واستحلاله لا يوجب حلّيته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يلزم مضافاً إلى ما ذكر ، عدم مطابقة الإيجاب للقبول ؛ فإنّه يبيع المذكّى بدرهم ، والمشتري يقبلهما به ، فلا مطاوعة بينهما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نظير بيع ما يملك وما لا يملك ، حيث يقال فيه بالانحلال والصحّة </w:t>
      </w:r>
    </w:p>
    <w:p>
      <w:pPr>
        <w:pStyle w:val="BookText"/>
        <w:rPr/>
      </w:pPr>
      <w:r>
        <w:rPr>
          <w:rFonts w:ascii="Amiri" w:hAnsi="Amiri" w:eastAsia="Amiri" w:cs="Amiri"/>
          <w:color w:val="111111"/>
          <w:sz w:val="28"/>
          <w:sz w:val="28"/>
          <w:szCs w:val="28"/>
          <w:rtl w:val="true"/>
          <w:lang w:bidi="ar-SA"/>
        </w:rPr>
        <w:t xml:space="preserve">فيما يملك ، دون غيره ؛ فإنّ المطاوعة هناك حاصلة ، والانحلال عقلائي أو تعبّدي ، ولا معنى للانحلال هاهنا ؛ لعدم مقابلة مال بالميتة ؛ لعدم إيجاب البيع بالنسبة إليها ، بل لا يجوز له في هذه الصورة أخذ مقدار ثمن المذكّى ؛ لأ نّه مأخوذ بالبيع الفاسد ، فضلاً عن جميعه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فالتخلّص من بيع المجموع إلى بيع المذكّى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استحسنه المحقّق</w:t>
      </w:r>
      <w:r>
        <w:rPr>
          <w:rStyle w:val="FootnoteAnchor"/>
          <w:rtl w:val="true"/>
        </w:rPr>
        <w:footnoteReference w:id="328"/>
      </w:r>
      <w:r>
        <w:rPr>
          <w:rFonts w:ascii="Amiri" w:hAnsi="Amiri" w:eastAsia="Amiri" w:cs="Amiri"/>
          <w:color w:val="111111"/>
          <w:sz w:val="28"/>
          <w:sz w:val="28"/>
          <w:szCs w:val="28"/>
          <w:rtl w:val="true"/>
          <w:lang w:bidi="ar-SA"/>
        </w:rPr>
        <w:t>، واختاره العلاّمة</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من المطر إلى الميزاب ، لو كان نظرهما إلى</w:t>
      </w:r>
    </w:p>
    <w:p>
      <w:pPr>
        <w:pStyle w:val="BookText"/>
        <w:rPr/>
      </w:pPr>
      <w:r>
        <w:rPr>
          <w:rFonts w:ascii="Amiri" w:hAnsi="Amiri" w:eastAsia="Amiri" w:cs="Amiri"/>
          <w:color w:val="111111"/>
          <w:sz w:val="28"/>
          <w:sz w:val="28"/>
          <w:szCs w:val="28"/>
          <w:rtl w:val="true"/>
          <w:lang w:bidi="ar-SA"/>
        </w:rPr>
        <w:t xml:space="preserve">الفرار عن بيع الميتة ، لا الاستظهار من صحيحتي الحلبي وعلي بن جعفر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صحيحة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اختلط الذكيّ والميتة ، باعه ممّن يستحلّ الميتة ، وأكل ثمنه</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 وفي صحيحته الاُخرى عنه علیه السلام ، أ نّه سئل عن رجل كان له غنم وبقر ، وكان يدرك الذكيّ منها فيعزله ويعزل الميتة ، ثمّ إنّ الميتة والذكيّ اختلطا كيف يصنع به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يبيعه ممّن يستحلّ الميتة ، ويأكل ثمنه ، فإنّه لا بأس به</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بن جعفر في كتابه عن أخيه موسى علیه السلام نحوها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وجه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رجوع 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المذكّى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أراد البائع وقوع البيع على المذكّى ، لا بدّ من إخبار المشتري للواقعة ، حتّى يقع البيع صحيحاً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منها بنحو من اللزوم لزوم إخبار الطرف بالواقعة قبل إيقاع البيع عليه ، وإن يظهر من المحقّق والعلاّمة</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إطلاق كلامهما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الإخبار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الاستظهار نظر ؛ لأنّ المتفاهم العرفي منها أنّ الضمير راجع إلى المختلط ، وأنّ السؤال في الثانية عن حال المال المختلط الخارجي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يصنع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 بهذا الموجود المختلط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 ذلك المختلط ، لا خصوص المذكّى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والحمل على بيع خصوص المذكّى ، وتسليم المجموع من باب المقدّمة ، بعيد عن الأذهان العرفية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والشاهد على أنّ المراد بيع المجموع ،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يبيعه ممّن يستحلّ الميتة ويأكل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الظاهر منه أنّ الاستحلال موجب لجواز بيع الميتة وأكل ثمنها ؛ وليس النظر إلى مقام التسليم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يأكل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ظاهرة إلى ما هو مرويّ عن النبي صلی الله علیه و آله وسلم  والوصيّ علیه السلام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الميتة سحت</w:t>
      </w:r>
      <w:r>
        <w:rPr>
          <w:rFonts w:eastAsia="IRNazanin" w:cs="IRNazanin"/>
          <w:color w:val="111111"/>
          <w:sz w:val="28"/>
          <w:szCs w:val="28"/>
          <w:rtl w:val="true"/>
          <w:lang w:bidi="fa-IR"/>
        </w:rPr>
        <w:t>»</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 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اشتبه الميتة والمذكّى يحلّ ثمن الميتة ، وليس بسحت في هذه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جواز بيعهما بل تعيّنه ، وعدم جواز بيع المذكّى الواقعي ؛لما عرفت من مخالفته للقواعد ، واللازم الاقتصار على ظاهر الروايات فيبيعهما ، كما هو ظاهر الشيخ وابن حمزة</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والاحتمال المتقدّم بعيد عن كلامهما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الأردبيلي مشفوعاً بدعوى الشهرة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بعد استبعاد حمل الخبرين على بيع الواقع المذكّى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تخصيص عدم الانتفاع بالميتة ، وعدم جواز أكل ثمنه إلاّ في هذه الصورة ، وكذا تسليط الكافر على أكل الميتة ، للنصّ والشهرة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يعمل بالخبر الواحد مثل ابن إدريس يطرحهما ، ولم يجوّز بيعه</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منه اختيار هذا الوجه ، وهو 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حملهما على جواز استنقاذ مال المستحلّ للميتة بذلك برضاه ، وعدم البيع الحقيقي ، كما عن العلاّمة</w:t>
      </w:r>
      <w:r>
        <w:rPr>
          <w:rStyle w:val="FootnoteAnchor"/>
          <w:rtl w:val="true"/>
        </w:rPr>
        <w:footnoteReference w:id="337"/>
      </w:r>
      <w:r>
        <w:rPr>
          <w:rFonts w:ascii="Amiri" w:hAnsi="Amiri" w:eastAsia="Amiri" w:cs="Amiri"/>
          <w:color w:val="111111"/>
          <w:sz w:val="28"/>
          <w:sz w:val="28"/>
          <w:szCs w:val="28"/>
          <w:rtl w:val="true"/>
          <w:lang w:bidi="ar-SA"/>
        </w:rPr>
        <w:t>واستجوده الأردبيلي</w:t>
      </w:r>
      <w:r>
        <w:rPr>
          <w:rStyle w:val="FootnoteAnchor"/>
          <w:rtl w:val="true"/>
        </w:rPr>
        <w:footnoteReference w:id="338"/>
      </w:r>
      <w:r>
        <w:rPr>
          <w:rFonts w:ascii="Amiri" w:hAnsi="Amiri" w:eastAsia="Amiri" w:cs="Amiri"/>
          <w:color w:val="111111"/>
          <w:sz w:val="28"/>
          <w:sz w:val="28"/>
          <w:szCs w:val="28"/>
          <w:rtl w:val="true"/>
          <w:lang w:bidi="ar-SA"/>
        </w:rPr>
        <w:t xml:space="preserve">؛ ففيه ما لا يخفى من البعد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وأبعد منه ما احتمله شيخنا الأنصاري من حملهما على صورة قصد البائع المسلم أجزاءها التي لا تحلّها الحياة ؛ من الصوف والوبر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وتخصيص المشتري بالمستحلّ ؛ لأنّ الداعي له على الاشتراء اللحم أيضاً ، </w:t>
      </w:r>
      <w:bookmarkStart w:id="114" w:name="pg15158_206877"/>
    </w:p>
    <w:p>
      <w:pPr>
        <w:pStyle w:val="BookText"/>
        <w:rPr/>
      </w:pPr>
      <w:bookmarkEnd w:id="114"/>
      <w:r>
        <w:rPr>
          <w:rFonts w:ascii="Amiri" w:hAnsi="Amiri" w:eastAsia="Amiri" w:cs="Amiri"/>
          <w:color w:val="111111"/>
          <w:sz w:val="28"/>
          <w:sz w:val="28"/>
          <w:szCs w:val="28"/>
          <w:rtl w:val="true"/>
          <w:lang w:bidi="ar-SA"/>
        </w:rPr>
        <w:t>ولا يوجب ذلك فساد البيع ، ما لم يقع العقد عليه</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بأنّ طرحهما خير من هذا الحمل المقطوع الخلاف ، مع ورود بعض الإشكالات المتقدّمة عليه ، على فرض قصد البائع الأجزاء دون المشتري ، كما هو ظاهر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الميتة من غير ذي النفس السائلة تجوز المعاوضة عليها وعلى أجزائها القابلة للانتفاع العقلائي ؛ لقصور الأدلّة عن إثبات منعها ، واختصاصها أو انصرافها إلى غيرها </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851496_2142443653"/>
      <w:bookmarkStart w:id="116" w:name="_Toc39"/>
      <w:bookmarkEnd w:id="115"/>
      <w:r>
        <w:rPr>
          <w:rtl w:val="true"/>
        </w:rPr>
        <w:t>حكم الانتفاع بالكلب وبيعه</w:t>
      </w:r>
      <w:bookmarkEnd w:id="116"/>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البرّي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السلوقي الذي يستعمل في الصيد غالباً ، وهو من أحسن الكلاب وأخفّها ، ويقال له بالفارسية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التسمية به لأجل كونه من بلاد العرب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السلوق كصبور قرية باليمن تنسب إليها تلك الكلاب</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السلوقي ، وهو إمّا ينتفع به انتفاعاً عقلائياً للتصيّد ، أو لحراسة الماشية أو الحائط ؛ أي البستان ، أو الزرع أو الدور ونحوها ، أو لمنافع اُخر كما يستعمل بعض الأنواع منه في كشف الجرائم والتفتيشات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يتّخذ لصرف </w:t>
      </w:r>
      <w:bookmarkStart w:id="117" w:name="pg15158_206878"/>
    </w:p>
    <w:p>
      <w:pPr>
        <w:pStyle w:val="BookText"/>
        <w:rPr/>
      </w:pPr>
      <w:bookmarkEnd w:id="117"/>
      <w:r>
        <w:rPr>
          <w:rFonts w:ascii="Amiri" w:hAnsi="Amiri" w:eastAsia="Amiri" w:cs="Amiri"/>
          <w:color w:val="111111"/>
          <w:sz w:val="28"/>
          <w:sz w:val="28"/>
          <w:szCs w:val="28"/>
          <w:rtl w:val="true"/>
          <w:lang w:bidi="ar-SA"/>
        </w:rPr>
        <w:t xml:space="preserve">اللعب والتفريح والاُنس به ، كما هو المتعارف عند أقوام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لا ينتفع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لصيرورته عقوراً هراشاً ، أو مجنوناً خارجاً عن طاعة البشر بعروض داء الكَلَب عليه ؛ وهو داء يشبه الجنون يعرض الكلاب فتعضّ الناس ، فيسري إليه فيكلب أيضاً ، وإمّا لذهاب ملكة التكالب عنه ، أو صيرورتها ضعيفة فيه ، كالكلاب المهملة التي تعيش في الأزقّة والشوارع ، وهي غير صالحة للتصيّد ، وغير قابلة نوعاً للتربية لسائر المنافع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جواز المعاوضة على القسم الأوّل إذا كان صيوداً ، وهو المتيقّن من الأخبار وكلمات الأصحاب ومعاقد الإجماعات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إشكال في عدم الجواز في الأخير ؛ أي ما لا ينتفع به ، وهو المتيقّن من الأخبار ومعاقد الإجماعات على عدم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سائر الأقسام ، والأولى صرف الكلام إلى أخبار الباب </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1851498_2142443653"/>
      <w:bookmarkStart w:id="119" w:name="_Toc40"/>
      <w:bookmarkEnd w:id="118"/>
      <w:r>
        <w:rPr>
          <w:rtl w:val="true"/>
        </w:rPr>
        <w:t>الأخبار الواردة في المقام</w:t>
      </w:r>
      <w:bookmarkEnd w:id="119"/>
    </w:p>
    <w:p>
      <w:pPr>
        <w:pStyle w:val="BookText"/>
        <w:rPr/>
      </w:pPr>
      <w:r>
        <w:rPr>
          <w:rFonts w:ascii="Amiri" w:hAnsi="Amiri" w:eastAsia="Amiri" w:cs="Amiri"/>
          <w:color w:val="111111"/>
          <w:sz w:val="28"/>
          <w:sz w:val="28"/>
          <w:szCs w:val="28"/>
          <w:rtl w:val="true"/>
          <w:lang w:bidi="ar-SA"/>
        </w:rPr>
        <w:t xml:space="preserve">وهي على 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يذكر فيها قيد الصيد والاصطياد ونحوهما ممّا يمكن دعوى الإطلاق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كموثّقة السكوني 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السحت ثمن الميتة وثمن</w:t>
      </w:r>
    </w:p>
    <w:p>
      <w:pPr>
        <w:pStyle w:val="BookText"/>
        <w:rPr/>
      </w:pPr>
      <w:r>
        <w:rPr>
          <w:rFonts w:ascii="Amiri" w:hAnsi="Amiri" w:eastAsia="Amiri" w:cs="Amiri"/>
          <w:color w:val="111111"/>
          <w:sz w:val="28"/>
          <w:sz w:val="28"/>
          <w:szCs w:val="28"/>
          <w:rtl w:val="true"/>
          <w:lang w:bidi="ar-SA"/>
        </w:rPr>
        <w:t>الكلب وثمن الخمر ومهر البغيّ والرشوة في الحكم وأجر الكاهن</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حمّاد بن عمرو وأنس بن محمّد ، عن أبيه جميعاً ، عن جعفر بن محمّد علیهما السلام عن آبائه علیهم السلام في وصيّة النبي صلی الله علیه و آله وسلم لعلي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 من السحت ثمن الميتة ، وثمن الكلب وثمن الخمر</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إنكار الإطلاق فيهما وما يشبه بهما ممّا هي في مقام عدّ جملة من السحت أو من المنهيّ عنه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بصدد بيان حكم كلّ عنوان ، حتّى يؤخذ بإطلاقها ، بل بصدد بيان عدّ ما هو سحت ، نظير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الشرع 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والغيبة والتهمة والربا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 أو في الشرع 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والزكاة والحجّ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أو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بني الإسلام على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والزكاة </w:t>
      </w:r>
      <w:r>
        <w:rPr>
          <w:rFonts w:eastAsia="Amiri" w:cs="Amiri" w:ascii="Amiri" w:hAnsi="Amiri"/>
          <w:color w:val="111111"/>
          <w:sz w:val="28"/>
          <w:szCs w:val="28"/>
          <w:rtl w:val="true"/>
          <w:lang w:bidi="ar-SA"/>
        </w:rPr>
        <w:t>. . . »</w:t>
      </w:r>
      <w:r>
        <w:rPr>
          <w:rStyle w:val="FootnoteAnchor"/>
          <w:rtl w:val="true"/>
        </w:rPr>
        <w:footnoteReference w:id="343"/>
      </w:r>
      <w:r>
        <w:rPr>
          <w:rFonts w:ascii="Amiri" w:hAnsi="Amiri" w:eastAsia="Amiri" w:cs="Amiri"/>
          <w:color w:val="111111"/>
          <w:sz w:val="28"/>
          <w:sz w:val="28"/>
          <w:szCs w:val="28"/>
          <w:rtl w:val="true"/>
          <w:lang w:bidi="ar-SA"/>
        </w:rPr>
        <w:t xml:space="preserve">؛ فإنّه لا يصحّ الأخذ بالإطلاق فيها ، فيقال إنّ الكذب مطلقاً حرام ، ولا بإطلاق وجوب الصلاة لرفع ما شكّ في جزئيته أو شرطيته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من هذا القبيل ؛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السحت كذا وكذا ، في مقام عدّ أقسام السحت إجمالاً، لا بيان حكم الكلب والميتة، فالأخذ بالإطلاق في نحوه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وكحسنة الحسن بن علي الوشّا ، قال سئل أبو الحسن الرضا علیه السلام عن شراء</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المغنّية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تكون للرجل الجارية تلهيه ، وما ثمنها إلاّ ثمن كلب ، وثمن الكلب سحت ، والسحت في النار</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أوردها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باب تحريم بيع الكلاب أيضاً ، مع تقطيع وتوصيف الحسن بن علي بالقاساني</w:t>
      </w:r>
      <w:r>
        <w:rPr>
          <w:rStyle w:val="FootnoteAnchor"/>
          <w:rtl w:val="true"/>
        </w:rPr>
        <w:footnoteReference w:id="345"/>
      </w:r>
      <w:r>
        <w:rPr>
          <w:rFonts w:ascii="Amiri" w:hAnsi="Amiri" w:eastAsia="Amiri" w:cs="Amiri"/>
          <w:color w:val="111111"/>
          <w:sz w:val="28"/>
          <w:sz w:val="28"/>
          <w:szCs w:val="28"/>
          <w:rtl w:val="true"/>
          <w:lang w:bidi="ar-SA"/>
        </w:rPr>
        <w:t xml:space="preserve">، وهو من اشتباه النسخة أو قلمه الشريف ، 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الوشّا ؛ لعدم رواية لغير الوشّا في 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 وعدم ذكر من الحسن بن علي القاساني في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عين الرواية المتقدّمة ، كما أنّ ما عن العيّاشي</w:t>
      </w:r>
      <w:r>
        <w:rPr>
          <w:rStyle w:val="FootnoteAnchor"/>
          <w:rtl w:val="true"/>
        </w:rPr>
        <w:footnoteReference w:id="346"/>
      </w:r>
      <w:r>
        <w:rPr>
          <w:rFonts w:ascii="Amiri" w:hAnsi="Amiri" w:eastAsia="Amiri" w:cs="Amiri"/>
          <w:color w:val="111111"/>
          <w:sz w:val="28"/>
          <w:sz w:val="28"/>
          <w:szCs w:val="28"/>
          <w:rtl w:val="true"/>
          <w:lang w:bidi="ar-SA"/>
        </w:rPr>
        <w:t xml:space="preserve">في ذلك الباب عينها ، وتمامها ما نقلناه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إنكار الإطلاق فيها أيضاً ، بدعوى أ نّها بصدد بيان حكم شراء المغنّية وثمنها ، لا شراء الكلب وثمنه ، بل الظاهر كون ثمن الكلب مفروض الحكم وقد شبّه ثمن المغنّية به فلم تكن بصدد بيان حكم الكلب فلا إطلاق فيها ، 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هذا القبيل ، صحيحة إبراهيم بن أبي البلاد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الأوّل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إنّ رجلاً من مواليك عنده جوارٍ مغنّيات ، قيمتهنّ أربعة عشر ألف دينار ، وقد جعل لك ثلثها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لي فيها ؛ إنّ ثمن الكلب والمغنّية سحت</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الظاهر أنّ ذكر الكلب مع عدم كونه مورد الكلام ، لذكر التسوية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 نّه علیه السلام بصدد بيان نحو تحقير عن ثمن المغنّيات وشرائها ، بأنّ ثمنها وثمن </w:t>
      </w:r>
    </w:p>
    <w:p>
      <w:pPr>
        <w:pStyle w:val="BookText"/>
        <w:rPr/>
      </w:pPr>
      <w:r>
        <w:rPr>
          <w:rFonts w:ascii="Amiri" w:hAnsi="Amiri" w:eastAsia="Amiri" w:cs="Amiri"/>
          <w:color w:val="111111"/>
          <w:sz w:val="28"/>
          <w:sz w:val="28"/>
          <w:szCs w:val="28"/>
          <w:rtl w:val="true"/>
          <w:lang w:bidi="ar-SA"/>
        </w:rPr>
        <w:t xml:space="preserve">الكلب سواء ، لا بصدد بيان حكم الكلب ، من غير سبق سؤال وبمجرّد الاقتراح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بقيت رواية جرّاح المدائني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السحت ثمن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ونهى عن ثمن الكلب</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مع ضعفها ، ووهن متنها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ربّما لا يليق ذلك التركيب بالفصيح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لإثبات حكم لو سلّم إطلاقها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فيها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كموثّقة محمّد بن مسلم وعبد الرحمان بن 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كالصحيح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الكلب الذي لا يصيد سحت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بثمن الهرّ</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أبي عبداللّه العامري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ثمن الكلب الذي لا يصيد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سحت ، وأمّا الصَيود فلا بأس</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يبعد أن يكون الوليد العمّاري الراوي لذلك المتن بعينه عن أبي عبداللّه علیه السلام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351"/>
      </w:r>
      <w:r>
        <w:rPr>
          <w:rFonts w:ascii="Amiri" w:hAnsi="Amiri" w:eastAsia="Amiri" w:cs="Amiri"/>
          <w:color w:val="111111"/>
          <w:sz w:val="28"/>
          <w:sz w:val="28"/>
          <w:szCs w:val="28"/>
          <w:rtl w:val="true"/>
          <w:lang w:bidi="ar-SA"/>
        </w:rPr>
        <w:t xml:space="preserve">هو الوليد العامري ، واشتبه في النسخة ، ومن المحتمل أ نّه أبو عبداللّه العامري ، والروايتان واحدة </w:t>
      </w:r>
      <w:r>
        <w:rPr>
          <w:rFonts w:eastAsia="Amiri" w:cs="Amiri" w:ascii="Amiri" w:hAnsi="Amiri"/>
          <w:color w:val="111111"/>
          <w:sz w:val="28"/>
          <w:szCs w:val="28"/>
          <w:rtl w:val="true"/>
          <w:lang w:bidi="ar-SA"/>
        </w:rPr>
        <w:t xml:space="preserve">. </w:t>
      </w:r>
      <w:bookmarkStart w:id="120" w:name="pg15158_206882"/>
    </w:p>
    <w:p>
      <w:pPr>
        <w:pStyle w:val="BookText"/>
        <w:rPr/>
      </w:pPr>
      <w:bookmarkEnd w:id="120"/>
      <w:r>
        <w:rPr>
          <w:rFonts w:ascii="IRNazanin" w:hAnsi="IRNazanin" w:eastAsia="IRNazanin"/>
          <w:color w:val="111111"/>
          <w:sz w:val="28"/>
          <w:sz w:val="28"/>
          <w:szCs w:val="28"/>
          <w:rtl w:val="true"/>
          <w:lang w:bidi="fa-IR"/>
        </w:rPr>
        <w:t>ورواية أبي بصير عن أبي عبداللّه علیه السلام 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الخمر ، ومهر البغيّ ، وثمن الكلب الذي لا يصطاد ، من السحت</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1851500_2142443653"/>
      <w:bookmarkStart w:id="122" w:name="_Toc41"/>
      <w:bookmarkEnd w:id="121"/>
      <w:r>
        <w:rPr>
          <w:rtl w:val="true"/>
        </w:rPr>
        <w:t>المحتملات في عنوان الصَيود ونحوه والمقصود منها</w:t>
      </w:r>
      <w:bookmarkEnd w:id="122"/>
    </w:p>
    <w:p>
      <w:pPr>
        <w:pStyle w:val="BookText"/>
        <w:rPr/>
      </w:pPr>
      <w:r>
        <w:rPr>
          <w:rFonts w:ascii="Amiri" w:hAnsi="Amiri" w:eastAsia="Amiri" w:cs="Amiri"/>
          <w:color w:val="111111"/>
          <w:sz w:val="28"/>
          <w:sz w:val="28"/>
          <w:szCs w:val="28"/>
          <w:rtl w:val="true"/>
          <w:lang w:bidi="ar-SA"/>
        </w:rPr>
        <w:t xml:space="preserve">وفي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وضوح عدم كون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يصطاد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الاشتغال الخارجي فعلاً ، أو الاشتغال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من الاحتمال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أقسام ما عدا الكلب السلوقي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الروايات</w:t>
      </w:r>
      <w:r>
        <w:rPr>
          <w:rStyle w:val="FootnoteAnchor"/>
          <w:rtl w:val="true"/>
        </w:rPr>
        <w:footnoteReference w:id="353"/>
      </w:r>
      <w:r>
        <w:rPr>
          <w:rFonts w:ascii="Amiri" w:hAnsi="Amiri" w:eastAsia="Amiri" w:cs="Amiri"/>
          <w:color w:val="111111"/>
          <w:sz w:val="28"/>
          <w:sz w:val="28"/>
          <w:szCs w:val="28"/>
          <w:rtl w:val="true"/>
          <w:lang w:bidi="ar-SA"/>
        </w:rPr>
        <w:t xml:space="preserve">، إشارة إلى السلوقي ؛ بمعنى أنّ ذكر الموصول وصلته ، لمحض معرّفية موضوع الحكم ، من غير دخالة للوصف فيه ، فيكون ذات السلوقي موضوعاً لعدم الحرمة ، سواء كان صيوداً أو لا ، وغيره موضوعاً للحرمة ، صيوداً كان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الاحتمال بعيد عن ظواهر الأخبار ؛ لأنّ التوصيف والتقييد ظاهران في الموضوعية ، أو الدخالة ؛ سيّما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الصيود</w:t>
      </w:r>
      <w:r>
        <w:rPr>
          <w:rFonts w:eastAsia="Amiri" w:cs="Amiri" w:ascii="Amiri" w:hAnsi="Amiri"/>
          <w:color w:val="111111"/>
          <w:sz w:val="28"/>
          <w:szCs w:val="28"/>
          <w:rtl w:val="true"/>
          <w:lang w:bidi="ar-SA"/>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العنوان دخيلاً ، لكن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الكلب المعلّم ، كان سلوقياً أو لا ،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يصطاد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المعلّم ، بدعوى انصراف الأخبار إليهما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الانصراف ، سيّما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يصطاد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منهما سلب الوصف ، لا سلب القيد مع ثبوت أصل الوصف ، فحينئذٍ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مقابله ، هو ما ثبت له الوصف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ويتلوه في الضعف احتمال الانصراف إلى السلوقي المعلّم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يبعد انصراف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المعلّم ، بل إلى السلوقي منه ، ويأتي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يتّخذ للصيد ، وفي مقابله ما لا يتّخذ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بعيد أيضاً ؛ لأنّ الظاهر من العناوين ما هي ثابتة للكلاب ، من غير دخالة اتّخاذها لها ، أو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ما ثبت له نفس العناوين ، من غير دخالة للتعليم وعدمه ، ولا للاتّخاذ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ثبت له أ نّه الذي لا يصيد ، يكون ثمنه سحتاً ، وما يصطاد أو كان صيوداً ، ثمنه محلّل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الوصف يحتمل أن يكون بمعنى الشغل الفعلي ، فيكون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شغله الفعلي الاصطياد ، حتّى لا يشمل كلب الصيد الذي جعل صاحبه شغله الحراسة مثلاً ، ومقابله ما يكون شغله ذلك ، فينطبق غالباً على الاحتمال الثالث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بمعنى زوال ملكة الصيد عنه ، وثبوتها له ، فيكون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سلب عنه وصف كونه صيوداً وصائداً ، وزالت </w:t>
      </w:r>
    </w:p>
    <w:p>
      <w:pPr>
        <w:pStyle w:val="BookText"/>
        <w:rPr/>
      </w:pPr>
      <w:r>
        <w:rPr>
          <w:rFonts w:ascii="Amiri" w:hAnsi="Amiri" w:eastAsia="Amiri" w:cs="Amiri"/>
          <w:color w:val="111111"/>
          <w:sz w:val="28"/>
          <w:sz w:val="28"/>
          <w:szCs w:val="28"/>
          <w:rtl w:val="true"/>
          <w:lang w:bidi="ar-SA"/>
        </w:rPr>
        <w:t xml:space="preserve">ملكته ، وفي مقابله ما ثبت له الوصف والملكة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الأقرب بين الاحتمالين الأخيرين هذا الاحتمال ، بعد أظهريتهما من سائرها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الموضوع في هذا الباب نفس العنوان ، من غير دخالة للتعليم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الواردة في حكم الصيد وجواز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الصيد والذبائح</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مشحونة بذكر الكلب المعلّم ، وكثر فيها التقييد بذلك العنوان ، وأمّا في المقام فلم يرد خبر مشعر بكون الكلب المذكور هو المعلّم ، وذلك لأنّ الموضوع للحكم هناك هو الكلب المعلّم ، بخلافه 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الأظهر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الكلب الذي لا يصيد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يصطاد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سلب عنه هذا الوصف وهذه الملكة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هذا الاحتمال أقرب من سابقه ؛ لأنّ الكلب الذي له ملكة الاصطياد بحيث لو استعمل في الصيد يصطاد ، يصدق عليه أ نّه صيود ، ولا يصحّ سلب العنوان عنه ، وليس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العمل الخارجي ، مقابل العمل كذلك ، ولهذا قابله بالصيود ، فالمراد منه ما ليس بصيود ، والكلب الذي لو ترك يصيد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يصيد ، أو ليس بصيود ، بمجرّد منع صاحبه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لا ريب في أنّ الكلب المعلّم صيود وصائد ، ويصدق عليه أ نّه يصيد ويصطاد ، ولو لم يستعمله صاحبه في الصيد ، ومنعه عنه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ما علم من قوّة هذا الاحتمال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الصيود والصائد وسائر </w:t>
      </w:r>
      <w:bookmarkStart w:id="123" w:name="pg15158_206885"/>
    </w:p>
    <w:p>
      <w:pPr>
        <w:pStyle w:val="BookText"/>
        <w:rPr/>
      </w:pPr>
      <w:bookmarkEnd w:id="123"/>
      <w:r>
        <w:rPr>
          <w:rFonts w:ascii="Amiri" w:hAnsi="Amiri" w:eastAsia="Amiri" w:cs="Amiri"/>
          <w:color w:val="111111"/>
          <w:sz w:val="28"/>
          <w:sz w:val="28"/>
          <w:szCs w:val="28"/>
          <w:rtl w:val="true"/>
          <w:lang w:bidi="ar-SA"/>
        </w:rPr>
        <w:t xml:space="preserve">المشتقّات منه ، عناوين وصفية صادقة على مطلق الاصطياد ؛ كان الصيد من قبيل الغزال ، أو غيره من الحيوانات الممتنعة الوحشية من غير اعتبار قيد الحلّية فيها ، بحسب اللغة والعرف جزماً ، فإذا كان الكلب يصيد الذئب ، أو ابن آوى ، أو الثعلب ، يصدق عليه أ نّه صيود ، وصائد عرفاً ولغةً ، فالكلب الصيود ما كان يصيد الحيوان الممتنع ، من غير دخالة خصوصية حيوان فيه </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1851502_2142443653"/>
      <w:bookmarkStart w:id="125" w:name="_Toc42"/>
      <w:bookmarkEnd w:id="124"/>
      <w:r>
        <w:rPr>
          <w:rtl w:val="true"/>
        </w:rPr>
        <w:t>شمول عنوان الصيود ونحوه لمطلق الكلاب عدا المهملات منها</w:t>
      </w:r>
      <w:bookmarkEnd w:id="125"/>
    </w:p>
    <w:p>
      <w:pPr>
        <w:pStyle w:val="BookText"/>
        <w:rPr/>
      </w:pPr>
      <w:r>
        <w:rPr>
          <w:rFonts w:ascii="Amiri" w:hAnsi="Amiri" w:eastAsia="Amiri" w:cs="Amiri"/>
          <w:color w:val="111111"/>
          <w:sz w:val="28"/>
          <w:sz w:val="28"/>
          <w:szCs w:val="28"/>
          <w:rtl w:val="true"/>
          <w:lang w:bidi="ar-SA"/>
        </w:rPr>
        <w:t xml:space="preserve">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مطلق الكلاب عدا الكلاب المهملة التي في الأزقّة والأسواق ممّا زالت عنها ملكة الاصطياد والتكالب ، داخل في عنوان الكلب الذي يصطاد والصيود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يصطاد أو ليست بصيود ، وإن كانت للماشية والحراسة ونحوهما ، والكلب ما لم تكن له ملكة الاصطياد لا يتّخذ للماشية وحفظ الأغنام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فالكلاب على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عنها صفة التصيّد ، وهي التي صارت مهملة ولم يكن لها التكالب ، وهي الكلاب الدائرة في الأزقّة مهملة ، أو العائشة على صدر صاحبها العيّاش الملاعب بها والمؤانس معها ، على تأمّل في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بقيت على صفتها وملكتها السبُعية ، وهي صيود وسبع بطبعها ، وصادق عليها أ نّها تصيد وتصطاد ، سواء اتّخذت للاصطياد ، أو لحفظ الأغنام ، أو لحراسة البلد أو القرية أو المزارع ونحوها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فالميزان في جواز البيع هو صدق الوصف عليها لا استعمالها في الصيد أو </w:t>
      </w:r>
    </w:p>
    <w:p>
      <w:pPr>
        <w:pStyle w:val="BookText"/>
        <w:rPr/>
      </w:pPr>
      <w:r>
        <w:rPr>
          <w:rFonts w:ascii="Amiri" w:hAnsi="Amiri" w:eastAsia="Amiri" w:cs="Amiri"/>
          <w:color w:val="111111"/>
          <w:sz w:val="28"/>
          <w:sz w:val="28"/>
          <w:szCs w:val="28"/>
          <w:rtl w:val="true"/>
          <w:lang w:bidi="ar-SA"/>
        </w:rPr>
        <w:t xml:space="preserve">اشتغالها به ، والظاهر صدق العناوين على جميع الأنواع ؛ فكلاب الأغنام والمواشي صيود ، تصيد الذئب والغزال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بعيداً سلب صفة الاصطياد عن بعض ما يتّخذ للحراسة ، يمكن الحكم بصحّة معاملته بعدم القول بالفصل بل وبالاستصحاب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صدق العناوين لغة وعرفاً لكن الأخبار منصرفة إلى الكلاب المستعملة للتصيّد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انصراف ذلك الوصف العنواني سيّما مع مقابلة الصيود للذي لا يصيد ؛ فإنّ الثاني أعمّ من الكلاب المتّخذة للصيد وزالت عنها صفتها وليس منحصراً بقسم منها ، وكذا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الميزان الانصراف في زمان الصدور ولم يتّضح الانصراف فيه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الكلب الذي اتّخذ له ، ويكون شغله ذلك ؛ إذ هو منصرف إليه أو منصرف إلى خصوص السلوقي منه ،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يصيد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العناوين والمشتقّات مختلفة في إفادة المعنى عرفاً ؛ ألا ترى أنّ الماء الجاري لا يصدق عرفاً إلاّ على ما يكون جريانه عن منبع تحت أرضي ونحوه ، ولا يصدق على الماء الذي جرى من كوز وجرّة ونحوهما ، مع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كثير من المشتقّات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فرق بين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يصدق على كلب الماشية والزرع ونحوهما ؛ لأنّ شغل الحراسة غير شغل الصيد ،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الذي يصيد والذي لا يصيد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عرفاً على عدم اقتدار الكلب على الاصطياد ، أو على عدم اقتضائه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والكلب الذي لو اُغري </w:t>
      </w:r>
    </w:p>
    <w:p>
      <w:pPr>
        <w:pStyle w:val="BookText"/>
        <w:rPr/>
      </w:pPr>
      <w:r>
        <w:rPr>
          <w:rFonts w:ascii="Amiri" w:hAnsi="Amiri" w:eastAsia="Amiri" w:cs="Amiri"/>
          <w:color w:val="111111"/>
          <w:sz w:val="28"/>
          <w:sz w:val="28"/>
          <w:szCs w:val="28"/>
          <w:rtl w:val="true"/>
          <w:lang w:bidi="ar-SA"/>
        </w:rPr>
        <w:t xml:space="preserve">على الصيد يصيده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يصيد أو هو الذي لا يصطاد ، بمجرّد عدم استعمال صاحبه له أو عدم إغرائه ، سيّما مع كون القضيّة موجبة سالبة المحمول ، وفي مثلها يكون صدق ثبوت الصفة السلبية متوقّفاً على سلب الملكة بنظر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بين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الذي لا يصيد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الذي يصيد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من وجه ، إن كان المراد بكلب الصيد هو الكلب السلوقي ؛ أي هذا الصنف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 السلوقي المتّخذ للصيد ، يكون بين العنوان المقابل له ؛ أي غير السلوقي المتّخذ له ، مع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الذي يصيد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الروايات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الصيود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المتقدّم ، عموم من وجه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به مطلق كلب الصيد ؛ أي الذي شغله ذلك ، سلوقياً كان أو لا ، يكون بين المفهوم المقابل له ؛ أي الكلب الآخر الذي لا يكون شغله ذلك وهو الكلب الذي ليس بكلب الصيد ، وبين الكلب الذي يصيد عموم من وجه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بعدم جريان العلاج في التعارض بالعموم من وجه وأ نّهما متساقطان في جميع المفاد ، يكون المرجع عمومات حلّ البيع والتجارة عن تراضٍ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بجريانه فيه وأنّ المرجّح للرواية بجميع مفادها ، كان الترجيح مع أخبار جواز البيع وحلّية أكل الثمن ؛ لكونها موافقة للكتاب لو لم نقل بموافقتها للشهرة أيضاً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بأنّ التساقط والترجيح منحصران بمورد الاجتماع يحلّ في مورد </w:t>
      </w:r>
      <w:bookmarkStart w:id="126" w:name="pg15158_206888"/>
    </w:p>
    <w:p>
      <w:pPr>
        <w:pStyle w:val="BookText"/>
        <w:rPr/>
      </w:pPr>
      <w:bookmarkEnd w:id="126"/>
      <w:r>
        <w:rPr>
          <w:rFonts w:ascii="Amiri" w:hAnsi="Amiri" w:eastAsia="Amiri" w:cs="Amiri"/>
          <w:color w:val="111111"/>
          <w:sz w:val="28"/>
          <w:sz w:val="28"/>
          <w:szCs w:val="28"/>
          <w:rtl w:val="true"/>
          <w:lang w:bidi="ar-SA"/>
        </w:rPr>
        <w:t xml:space="preserve">التعارض أكل الثمن ويجوز البيع ؛ إمّا لمرجعية العمومات أو مرجّحيتها ، وتلحق سائر الموارد به بعدم القول بالفصل </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1851504_2142443653"/>
      <w:bookmarkStart w:id="128" w:name="_Toc43"/>
      <w:bookmarkEnd w:id="127"/>
      <w:r>
        <w:rPr>
          <w:rtl w:val="true"/>
        </w:rPr>
        <w:t>جواز بيع جميع الكلاب النافعة</w:t>
      </w:r>
      <w:bookmarkEnd w:id="128"/>
    </w:p>
    <w:p>
      <w:pPr>
        <w:pStyle w:val="BookText"/>
        <w:rPr/>
      </w:pPr>
      <w:r>
        <w:rPr>
          <w:rFonts w:ascii="Amiri" w:hAnsi="Amiri" w:eastAsia="Amiri" w:cs="Amiri"/>
          <w:color w:val="111111"/>
          <w:sz w:val="28"/>
          <w:sz w:val="28"/>
          <w:szCs w:val="28"/>
          <w:rtl w:val="true"/>
          <w:lang w:bidi="ar-SA"/>
        </w:rPr>
        <w:t xml:space="preserve">فتصير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الصور والتقادير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بيع جميع الكلاب النافعة ، وينحصر البطلان بغيرها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لزوم تخصيص الأكثر المستهجن في أدلّة المنع فاسد ؛ لأكثرية الداخل فيها من الخارج ، وأغلبية الكلاب المهملة التي لا تصيد ولا تنفع عن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وتؤيّد ما ذكرناه الروايات العامّة المتقدّمة</w:t>
      </w:r>
      <w:r>
        <w:rPr>
          <w:rStyle w:val="FootnoteAnchor"/>
          <w:rtl w:val="true"/>
        </w:rPr>
        <w:footnoteReference w:id="355"/>
      </w:r>
      <w:r>
        <w:rPr>
          <w:rFonts w:ascii="IRNazanin" w:hAnsi="IRNazanin" w:eastAsia="IRNazanin"/>
          <w:color w:val="111111"/>
          <w:sz w:val="28"/>
          <w:sz w:val="28"/>
          <w:szCs w:val="28"/>
          <w:rtl w:val="true"/>
          <w:lang w:bidi="fa-IR"/>
        </w:rPr>
        <w:t xml:space="preserve">؛ أي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ومفهوم النبوي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حرّم شيئاً حرّم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بينها وبين روايات الباب وإن كان عموماً من وجه ، لكن مفاد تلك الروايات أو بعضها حاكم على روايات الباب نحو حكومة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تكون أفرادها قليلة جدّاً بالنسبة إلى مثل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توجب تقديمها عليها للأظهرية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بوجيه ؛ لأنّ قلّة الأفراد وكثرتها لا دخل لهما بمقام الظهور والدلالة ، فإنّ مقام انطباق العناوين على الأفراد غير مقام الظهور والدلالة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بلغ الإخراج الكثير إلى حدّ الاستهجان، فهو أمر آخر غير مقام الظهور، كما لا يخفى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إلى ما عرفت من حكومتها عليها ، فلا ينظر إلى أقلّية الأفراد </w:t>
      </w:r>
    </w:p>
    <w:p>
      <w:pPr>
        <w:pStyle w:val="BookText"/>
        <w:rPr/>
      </w:pPr>
      <w:r>
        <w:rPr>
          <w:rFonts w:ascii="Amiri" w:hAnsi="Amiri" w:eastAsia="Amiri" w:cs="Amiri"/>
          <w:color w:val="111111"/>
          <w:sz w:val="28"/>
          <w:sz w:val="28"/>
          <w:szCs w:val="28"/>
          <w:rtl w:val="true"/>
          <w:lang w:bidi="ar-SA"/>
        </w:rPr>
        <w:t xml:space="preserve">إلاّ إذا استلزم التحكيم للاستهجان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 اشتهار الحكم بين الأصحاب ، من لدن زمن شيخ الطائفة بل قبله إلى الأعصار المتأخّرة</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والمفتي بالخلاف قليل ربّما يقال منحصر بالمفيد وابن سعيد</w:t>
      </w:r>
      <w:r>
        <w:rPr>
          <w:rStyle w:val="FootnoteAnchor"/>
          <w:rtl w:val="true"/>
        </w:rPr>
        <w:footnoteReference w:id="358"/>
      </w:r>
      <w:r>
        <w:rPr>
          <w:rFonts w:ascii="Amiri" w:hAnsi="Amiri" w:eastAsia="Amiri" w:cs="Amiri"/>
          <w:color w:val="111111"/>
          <w:sz w:val="28"/>
          <w:sz w:val="28"/>
          <w:szCs w:val="28"/>
          <w:rtl w:val="true"/>
          <w:lang w:bidi="ar-SA"/>
        </w:rPr>
        <w:t>، وإلاّ فالمفتي بالخلاف في كتاب ، رجع عنه في باب آخر أو كتاب آخر</w:t>
      </w:r>
      <w:r>
        <w:rPr>
          <w:rStyle w:val="FootnoteAnchor"/>
          <w:rtl w:val="true"/>
        </w:rPr>
        <w:footnoteReference w:id="359"/>
      </w:r>
      <w:r>
        <w:rPr>
          <w:rFonts w:ascii="Amiri" w:hAnsi="Amiri" w:eastAsia="Amiri" w:cs="Amiri"/>
          <w:color w:val="111111"/>
          <w:sz w:val="28"/>
          <w:sz w:val="28"/>
          <w:szCs w:val="28"/>
          <w:rtl w:val="true"/>
          <w:lang w:bidi="ar-SA"/>
        </w:rPr>
        <w:t>، أو تردّد فيه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بيع الكلاب التي لها منفعة محلّلة ، مثل كلب الصيد والماشية والزرع والحائط ، إجماعي</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استظهار الإجماع عليه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في بعض المسائل الماضية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استظهاره من 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يصحّ إجارة كلب الصيد للصيد ، وحفظ الماشية ، والزرع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أنّ الأصل جوازه ، والمنع يحتاج إلى دليل ، ولأنّ بيع هذه الكلاب يجوز عندنا ، وما يصحّ بيعه يصحّ إجارته بلا خلاف</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 الصيد والماشية والزرع ، لا كلب الصيد فقط ، وإلاّ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الكلب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كلب الصيد للصيد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مشعر بما أسلفناه من أنّ الكلب الذي لحفظ الماشية وغيرها ، من الكلاب الذي يصيد ؛ إذ ليس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كلب الصيد فقط ، وإن جعل للحفظ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 مع أنّ بناء المسلمين ظاهراً على بيع هذه الكلاب النافعة ، والظاهر أنّ هذا البناء والعمل متّصل إلى الأعصار المتقدّمة ، حتّى عصر النبي صلی الله علیه و آله وسلم  وقبله ؛ لأ نّها أموال عقلائية لها منافع عقلائية ، سيّما في محيط الحجاز محيط تربية الأغنام والأجمال ، وما كان كذلك لا بدّ من مقابلته بالمال في الأعصار والأمصار ، إلاّ أن يمنع مانع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ترتيب آثار الملكية والمالية على تلك الكلاب ؛ من إجارتها وهبتها ووقفها والوصيّة بها وجعلها مهراً للنكاح وعوضاً للخلع وغرامة قيمتها وإن قدّرها الشارع ، والتقدير لا يدلّ على عدم الملكية والمالية ؛ لأ نّه يكون في كلب الصيد أيضاً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اشتهار عدم الجواز بين المتقدّمين</w:t>
      </w:r>
      <w:r>
        <w:rPr>
          <w:rStyle w:val="FootnoteAnchor"/>
          <w:rtl w:val="true"/>
        </w:rPr>
        <w:footnoteReference w:id="364"/>
      </w:r>
      <w:r>
        <w:rPr>
          <w:rFonts w:ascii="Amiri" w:hAnsi="Amiri" w:eastAsia="Amiri" w:cs="Amiri"/>
          <w:color w:val="111111"/>
          <w:sz w:val="28"/>
          <w:sz w:val="28"/>
          <w:szCs w:val="28"/>
          <w:rtl w:val="true"/>
          <w:lang w:bidi="ar-SA"/>
        </w:rPr>
        <w:t>، في غير محلّها ؛ فإنّ مجرّد إيراد المحدّثين كالكليني وغيره تلك الأخبار في كتبهم</w:t>
      </w:r>
      <w:r>
        <w:rPr>
          <w:rStyle w:val="FootnoteAnchor"/>
          <w:rtl w:val="true"/>
        </w:rPr>
        <w:footnoteReference w:id="365"/>
      </w:r>
      <w:r>
        <w:rPr>
          <w:rFonts w:ascii="Amiri" w:hAnsi="Amiri" w:eastAsia="Amiri" w:cs="Amiri"/>
          <w:color w:val="111111"/>
          <w:sz w:val="28"/>
          <w:sz w:val="28"/>
          <w:szCs w:val="28"/>
          <w:rtl w:val="true"/>
          <w:lang w:bidi="ar-SA"/>
        </w:rPr>
        <w:t xml:space="preserve">، لا يدلّ على أنّ </w:t>
      </w:r>
    </w:p>
    <w:p>
      <w:pPr>
        <w:pStyle w:val="BookText"/>
        <w:rPr/>
      </w:pPr>
      <w:r>
        <w:rPr>
          <w:rFonts w:ascii="Amiri" w:hAnsi="Amiri" w:eastAsia="Amiri" w:cs="Amiri"/>
          <w:color w:val="111111"/>
          <w:sz w:val="28"/>
          <w:sz w:val="28"/>
          <w:szCs w:val="28"/>
          <w:rtl w:val="true"/>
          <w:lang w:bidi="ar-SA"/>
        </w:rPr>
        <w:t>فتواهم على المنع في غير كلب الصيد ، سيّما مع ما تقدّم من الاستظهار عن مثل</w:t>
      </w:r>
    </w:p>
    <w:p>
      <w:pPr>
        <w:pStyle w:val="BookText"/>
        <w:rPr/>
      </w:pPr>
      <w:r>
        <w:rPr>
          <w:rFonts w:ascii="Amiri" w:hAnsi="Amiri" w:eastAsia="Amiri" w:cs="Amiri"/>
          <w:color w:val="111111"/>
          <w:sz w:val="28"/>
          <w:sz w:val="28"/>
          <w:szCs w:val="28"/>
          <w:rtl w:val="true"/>
          <w:lang w:bidi="ar-SA"/>
        </w:rPr>
        <w:t>صحيحة ابن مسلم</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وتخيّل دعوى شيخ الطائفة الإجماع على عدم الجواز في الكلاب غير الكلب المعلّم</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تدلّ لا أقلّ على اشتهار الحكم في تلك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 فإنّه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بيع كلاب الصيد ، ويجب على قاتلها قيمتها ، إذا كانت معلّمة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بيع غير الكلب المعلّم على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الكلاب مطلقاً ، إلاّ أ نّه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الكلاب معلّمة كانت أو غير معلّمة ، ولا يجب على قاتلها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 فإنّهم لا يختلفون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w:t>
      </w:r>
    </w:p>
    <w:p>
      <w:pPr>
        <w:pStyle w:val="BookText"/>
        <w:rPr/>
      </w:pPr>
      <w:r>
        <w:rPr>
          <w:rFonts w:ascii="Amiri" w:hAnsi="Amiri" w:eastAsia="Amiri" w:cs="Amiri"/>
          <w:color w:val="111111"/>
          <w:sz w:val="28"/>
          <w:sz w:val="28"/>
          <w:szCs w:val="28"/>
          <w:rtl w:val="true"/>
          <w:lang w:bidi="ar-SA"/>
        </w:rPr>
        <w:t xml:space="preserve">أيضاً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صلی الله علیه و آله وسلم  نهى عن ثمن الكلب والسنّور ، إلاّ كلب الصيد ، وهذا نصّ</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الإجماع على جواز بيع الكلاب المعلّمة ، ولهذا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 وتمسّك بدليل النفوذ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استظهار عدم إجماعية حكم سائر الكلاب من كلامه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الحكمان إجماعيين لأشار إليهما ، ولم يدّع في خصوص كلب الصيد </w:t>
      </w:r>
      <w:r>
        <w:rPr>
          <w:rFonts w:eastAsia="Amiri" w:cs="Amiri" w:ascii="Amiri" w:hAnsi="Amiri"/>
          <w:color w:val="111111"/>
          <w:sz w:val="28"/>
          <w:szCs w:val="28"/>
          <w:rtl w:val="true"/>
          <w:lang w:bidi="ar-SA"/>
        </w:rPr>
        <w:t xml:space="preserve">. </w:t>
      </w:r>
      <w:bookmarkStart w:id="129" w:name="pg15158_206892"/>
    </w:p>
    <w:p>
      <w:pPr>
        <w:pStyle w:val="BookText"/>
        <w:rPr/>
      </w:pPr>
      <w:bookmarkEnd w:id="129"/>
      <w:r>
        <w:rPr>
          <w:rFonts w:ascii="Amiri" w:hAnsi="Amiri" w:eastAsia="Amiri" w:cs="Amiri"/>
          <w:color w:val="111111"/>
          <w:sz w:val="28"/>
          <w:sz w:val="28"/>
          <w:szCs w:val="28"/>
          <w:rtl w:val="true"/>
          <w:lang w:bidi="ar-SA"/>
        </w:rPr>
        <w:t xml:space="preserve">وتشهد بعدم إجماعيته بل إجماعية خلافه عبارته المتقدّمة عن 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فيمكن دعوى اشتهار الجواز بين المتقدّمين والمتأخّرين ، فسقطت الروايات الدالّة على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الحجّية رأساً </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1851506_2142443653"/>
      <w:bookmarkStart w:id="131" w:name="_Toc44"/>
      <w:bookmarkEnd w:id="130"/>
      <w:r>
        <w:rPr>
          <w:rtl w:val="true"/>
        </w:rPr>
        <w:t>حكم الانتفاع بالخنزير وبيعه</w:t>
      </w:r>
      <w:bookmarkEnd w:id="131"/>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الخنزير البرّي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حرمة بيعه ؛ بمعنى عدم صحّته ، وحرمة ثمنه ؛ بمعنى كونه من المأخوذ بالبيع الفاسد إذا بيع للانتفاع المحرّم ، وهو المتيقّن من الإجماع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دلّت على صحّته وجواز أخذ ثمنه عوض الدين ، كصحيحة محمّد بن مسلم عن أبي جعفر علیه السلام في رجل كان له على رجل دراهم ، فباع خمراً وخنازير ، وهو ينظر فقضاه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 أمّا للمقتضي فحلال ، وأمّا للبائع فحرام</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زرارة عن أبي عبداللّه علیه السلام في الرجل يكون لي عليه الدراهم ، فيبيع خمراً أو خنزيراً ، ثمّ يقضي منها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ونحوهما غيرهما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محمولة على كون المتبايعين ذمّيين ، أو مطروحة سيّما مع اشتمالها على بيع الخمر ، مع أنّ بطلانه وحرمة ثمنها ضروريان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الحمل على المنفعة المحلّلة ، كالتخليل في الخمر وكالانتفاع بالخنزير في تربية الدوابّ ، فكما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الانتفاع به في مثل ما أشرنا إليه ؛ أعني تربية الدوابّ ؛ فإنّ المسموع بل لعلّه المعروف بين أهله أنّ اُنس الخنزير بالخيل موجب لسمنها أو كمالها ، وكذا البيع لذلك ؟</w:t>
      </w:r>
    </w:p>
    <w:p>
      <w:pPr>
        <w:pStyle w:val="BookText"/>
        <w:rPr/>
      </w:pPr>
      <w:r>
        <w:rPr>
          <w:rFonts w:ascii="Amiri" w:hAnsi="Amiri" w:eastAsia="Amiri" w:cs="Amiri"/>
          <w:color w:val="111111"/>
          <w:sz w:val="28"/>
          <w:sz w:val="28"/>
          <w:szCs w:val="28"/>
          <w:rtl w:val="true"/>
          <w:lang w:bidi="ar-SA"/>
        </w:rPr>
        <w:t xml:space="preserve">مقتضى القواعد جوازهما ، لكن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الحيوان الذي هو نجس العين كالكلب والخنزير وما توالد منهما ، وجميع المسوخ وما توالد من ذلك ، أو من أحدهما ، فلا يجوز بيعه ولا إجارته ولا الانتفاع به ولا اقتناؤه بحال إجماعاً ، إلاّ الكلب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الطاهر غير مأكول اللحم </w:t>
      </w:r>
      <w:r>
        <w:rPr>
          <w:rFonts w:eastAsia="Amiri" w:cs="Amiri" w:ascii="Amiri" w:hAnsi="Amiri"/>
          <w:color w:val="111111"/>
          <w:sz w:val="28"/>
          <w:szCs w:val="28"/>
          <w:rtl w:val="true"/>
          <w:lang w:bidi="ar-SA"/>
        </w:rPr>
        <w:t>. .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الدعوى منه مبنيّة ظاهراً على نجاسة المسوخ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 نّها ليست مستقلّة ، قبال دعوى عدم جواز بيع الأعيان النجسة والانتفاع بها ، وليست على عنوان الكلب والخنزير مستقلّة ، ولا على الحيوان كذلك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الكلام في كلام الأعلام سابقاً </w:t>
      </w:r>
      <w:r>
        <w:rPr>
          <w:rStyle w:val="FootnoteAnchor"/>
          <w:rtl w:val="true"/>
        </w:rPr>
        <w:footnoteReference w:id="374"/>
      </w:r>
      <w:r>
        <w:rPr>
          <w:rFonts w:ascii="Amiri" w:hAnsi="Amiri" w:eastAsia="Amiri" w:cs="Amiri"/>
          <w:color w:val="111111"/>
          <w:sz w:val="28"/>
          <w:sz w:val="28"/>
          <w:szCs w:val="28"/>
          <w:rtl w:val="true"/>
          <w:lang w:bidi="ar-SA"/>
        </w:rPr>
        <w:t xml:space="preserve">، بأنّ مسألة عدم جواز الانتفاع </w:t>
      </w:r>
    </w:p>
    <w:p>
      <w:pPr>
        <w:pStyle w:val="BookText"/>
        <w:rPr/>
      </w:pPr>
      <w:r>
        <w:rPr>
          <w:rFonts w:ascii="Amiri" w:hAnsi="Amiri" w:eastAsia="Amiri" w:cs="Amiri"/>
          <w:color w:val="111111"/>
          <w:sz w:val="28"/>
          <w:sz w:val="28"/>
          <w:szCs w:val="28"/>
          <w:rtl w:val="true"/>
          <w:lang w:bidi="ar-SA"/>
        </w:rPr>
        <w:t xml:space="preserve">بالنجاسات مطلقاً حتّى فيما لا يلزم منه محذور وكذا بيعها ، عدا ما استثني منها ، ليست إجماعية بل مسألة اجتهادية محلّ خلاف بين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والمتيقّن من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المسألة من المسائل الإجماعية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حرمة بعض الانتفاعات كالأكل والشرب والبيع لهما أو لما يلزم منه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الانتفاعات الاُخر ، كالانتفاع المتقدّم من الخنزير ، أو تخليل الخمر ونحو ذلك ، فلم يثبت إجماعية حرمتها ، سيّما في مثل هذه المسألة الاجتهادية وسيّما مع مخالفة ابن إدريس</w:t>
      </w:r>
      <w:r>
        <w:rPr>
          <w:rStyle w:val="FootnoteAnchor"/>
          <w:rtl w:val="true"/>
        </w:rPr>
        <w:footnoteReference w:id="375"/>
      </w:r>
      <w:r>
        <w:rPr>
          <w:rFonts w:ascii="Amiri" w:hAnsi="Amiri" w:eastAsia="Amiri" w:cs="Amiri"/>
          <w:color w:val="111111"/>
          <w:sz w:val="28"/>
          <w:sz w:val="28"/>
          <w:szCs w:val="28"/>
          <w:rtl w:val="true"/>
          <w:lang w:bidi="ar-SA"/>
        </w:rPr>
        <w:t xml:space="preserve">ومن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أقسام المسوخ</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فالأشبه كأ نّه جواز هذا الانتفاع به ؛ للأصل وعدم دليل معتمد على خلافه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دعوى الإجماع قد عرفت حالها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ومرسلة ابن أبي نجران ، عن بعض أصحابنا ، عن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نصراني أسلم وعنده خمر وخنازير وعليه دين ، هل يبيع خمره وخنازيره ، فيقضي دينه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يونس في مجوسي باع خمراً أو خنازير إلى أجل مسمّى ثمّ أسلم قبل أن يحلّ المال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دراهمه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رجل وله خمر أو خنازير ثمّ مات وهي في ملكه وعليه دين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يبيع ديّانه ، أو وليّ له غير مسلم خمره </w:t>
      </w:r>
      <w:bookmarkStart w:id="132" w:name="pg15158_206895"/>
    </w:p>
    <w:p>
      <w:pPr>
        <w:pStyle w:val="BookText"/>
        <w:rPr/>
      </w:pPr>
      <w:bookmarkEnd w:id="132"/>
      <w:r>
        <w:rPr>
          <w:rFonts w:ascii="Amiri" w:hAnsi="Amiri" w:eastAsia="Amiri" w:cs="Amiri"/>
          <w:color w:val="111111"/>
          <w:sz w:val="28"/>
          <w:sz w:val="28"/>
          <w:szCs w:val="28"/>
          <w:rtl w:val="true"/>
          <w:lang w:bidi="ar-SA"/>
        </w:rPr>
        <w:t>وخنازيره ، ويقضي دينه ، وليس له أن يبيعه وهو حيّ ، ولا يمسكه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الاُولى بالإرسال ، والظاهر أنّ المراد ببعض الأصحاب فيها هو محمّد بن مسكان عن معاوية بن سعيد وهما ضعيفان</w:t>
      </w:r>
      <w:r>
        <w:rPr>
          <w:rStyle w:val="FootnoteAnchor"/>
          <w:rtl w:val="true"/>
        </w:rPr>
        <w:footnoteReference w:id="379"/>
      </w:r>
      <w:r>
        <w:rPr>
          <w:rFonts w:ascii="Amiri" w:hAnsi="Amiri" w:eastAsia="Amiri" w:cs="Amiri"/>
          <w:color w:val="111111"/>
          <w:sz w:val="28"/>
          <w:sz w:val="28"/>
          <w:szCs w:val="28"/>
          <w:rtl w:val="true"/>
          <w:lang w:bidi="ar-SA"/>
        </w:rPr>
        <w:t>، والتأمّل في الثانية بإسماعيل بن مرار</w:t>
      </w:r>
      <w:r>
        <w:rPr>
          <w:rStyle w:val="FootnoteAnchor"/>
          <w:rtl w:val="true"/>
        </w:rPr>
        <w:footnoteReference w:id="380"/>
      </w:r>
      <w:r>
        <w:rPr>
          <w:rFonts w:ascii="Amiri" w:hAnsi="Amiri" w:eastAsia="Amiri" w:cs="Amiri"/>
          <w:color w:val="111111"/>
          <w:sz w:val="28"/>
          <w:sz w:val="28"/>
          <w:szCs w:val="28"/>
          <w:rtl w:val="true"/>
          <w:lang w:bidi="ar-SA"/>
        </w:rPr>
        <w:t>، وعدم انتساب الحكم فيها إلى المعصوم ولعلّه فتوى</w:t>
      </w:r>
    </w:p>
    <w:p>
      <w:pPr>
        <w:pStyle w:val="BookText"/>
        <w:rPr/>
      </w:pPr>
      <w:r>
        <w:rPr>
          <w:rFonts w:ascii="Amiri" w:hAnsi="Amiri" w:eastAsia="Amiri" w:cs="Amiri"/>
          <w:color w:val="111111"/>
          <w:sz w:val="28"/>
          <w:sz w:val="28"/>
          <w:szCs w:val="28"/>
          <w:rtl w:val="true"/>
          <w:lang w:bidi="ar-SA"/>
        </w:rPr>
        <w:t xml:space="preserve">يونس ، وإن كان بعيداً ، واشتمالها على مالكية المسلم الخمر والخنازير للمنفعة الرائجة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منصرفتان إلى بيعهما للمنفعة المحرّمة الرائجة فيهما ؛ فإنّ غيرها منفعة مغفول عنها نادرة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 ذلك ، الأحوط عدم الانتفاع به وترك بيعه ؛ لدعوى الإجماع المتقدّمة ودعواه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عدم جواز بيعه</w:t>
      </w:r>
      <w:r>
        <w:rPr>
          <w:rStyle w:val="FootnoteAnchor"/>
          <w:rtl w:val="true"/>
        </w:rPr>
        <w:footnoteReference w:id="381"/>
      </w:r>
      <w:r>
        <w:rPr>
          <w:rFonts w:ascii="Amiri" w:hAnsi="Amiri" w:eastAsia="Amiri" w:cs="Amiri"/>
          <w:color w:val="111111"/>
          <w:sz w:val="28"/>
          <w:sz w:val="28"/>
          <w:szCs w:val="28"/>
          <w:rtl w:val="true"/>
          <w:lang w:bidi="ar-SA"/>
        </w:rPr>
        <w:t xml:space="preserve">، وعدم العثور على فتوى أحد بجوازه ، أو جواز الانتفاع به ، وإن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التعرّض لهذه المنفعة النادرة المغفول عنها غالباً لا يدلّ على عدم الجواز عندهم </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1851508_2142443653"/>
      <w:bookmarkStart w:id="134" w:name="_Toc45"/>
      <w:bookmarkEnd w:id="133"/>
      <w:r>
        <w:rPr>
          <w:rtl w:val="true"/>
        </w:rPr>
        <w:t>جواز الانتفاع بأجزاء الخنزير والكلب</w:t>
      </w:r>
      <w:bookmarkEnd w:id="13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الأقوى في أجزائه بل أجزاء الكلب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جلدهما وشعرهما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الانتفاع ، بل جواز البيع للانتفاع المحلّل ؛ للأصل وعموم حلّية البيع </w:t>
      </w:r>
    </w:p>
    <w:p>
      <w:pPr>
        <w:pStyle w:val="BookText"/>
        <w:rPr/>
      </w:pPr>
      <w:r>
        <w:rPr>
          <w:rFonts w:ascii="Amiri" w:hAnsi="Amiri" w:eastAsia="Amiri" w:cs="Amiri"/>
          <w:color w:val="111111"/>
          <w:sz w:val="28"/>
          <w:sz w:val="28"/>
          <w:szCs w:val="28"/>
          <w:rtl w:val="true"/>
          <w:lang w:bidi="ar-SA"/>
        </w:rPr>
        <w:t xml:space="preserve">والوفاء بالعقود ، وجملة من الروايات الواردة في الخنزير ممّا يمكن إلغاء الخصوصية وإسراء الحكم إلى أخيه ؛ ضرورة أنّ المانع لو كان ، هو النجاسة العينية ، أو هي مع كونه ميتة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كرواية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يبعد أن تكون صحيحة وأن يكون سيف بن التمّار هو سيف بن سليمان التمّار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مواليك يعمل الحمائل بشعر الخنزير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 فليغسل يده</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يكتسب به ، الباب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برد الإسكاف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رجل خرّاز ولا يستقيم عملنا إلاّ بشعر الخنزير نخرز به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منه وبره ، فاجعلها في فخّارة ، ثمّ أوقد تحتها حتّى يذهب دسمها ، ثمّ اعمل به</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منهما روايتان اُخريتان منه</w:t>
      </w:r>
      <w:r>
        <w:rPr>
          <w:rStyle w:val="FootnoteAnchor"/>
          <w:rtl w:val="true"/>
        </w:rPr>
        <w:footnoteReference w:id="384"/>
      </w:r>
      <w:r>
        <w:rPr>
          <w:rFonts w:ascii="Amiri" w:hAnsi="Amiri" w:eastAsia="Amiri" w:cs="Amiri"/>
          <w:color w:val="111111"/>
          <w:sz w:val="28"/>
          <w:sz w:val="28"/>
          <w:szCs w:val="28"/>
          <w:rtl w:val="true"/>
          <w:lang w:bidi="ar-SA"/>
        </w:rPr>
        <w:t>، ورواية عن سليمان الإسكاف</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جواز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البيع أيضاً ؛ ضرورة أنّ العامل للحمائل وكذا الخرّاز ، إنّما يعملان للتجارة ، ومعلوم أنّ صنعتهما ذلك ، فصحّة التجارة وجوازها مستفادة منها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روايات برد وسليمان الإسكاف ضعاف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أنّ المحقّق الأردبيلي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كثرة مناقشته في أسناد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عدم ضعفها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مع أنّ مجرّد نقل ابن أبي عمير كتاباً لا يدلّ على صحّته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وكصحيحة زرارة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الحبل يكون من شعر الخنزير يستقى به الماء من البئر ، هل يتوضّأ من ذلك الماء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وإن كانت بصدد بيان التوضّي من الماء ، والظاهر أنّ شبهته من جهة تنجّس الماء ، أو احتماله لذلك ، لكن نفي البأس 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نحو انتفاع بالحبل ، سيّما أنّ مقتضى إطلاقها جوازه لو كان المتوضّي هو الذي يستقي الماء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عدم حرمة الانتفاع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أنّ الوضوء ليس انتفاعاً بالحبل ، بل انتفاع بالماء ، والانتفاع بالحبل إنّما هو إخراج الماء به ، لا الوضوء من الماء الخارج ، فاسد ؛ ضرورة أنّ الانتفاع بالحبل هو رفع نحو حاجة به ، وشدّ الحبل بالدلو وإلقاؤه في البئر وإخراج الماء منه ، مقدّمات الانتفاع ، وإنّما الانتفاع هو شرب الماء والتوضّي به ونحوهما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ففرق بين حرمة التصرّف في الشيء ، وحرمة الانتفاع به ؛ فلو حرم الانتفاع بشجر مثلاً ، لا يجوز الاستظلال به والتوقّف تحت ظلّه توقّياً عن الحرّ والمطر ، مع أ نّه ليس تصرّفاً فيه ، فلو حرم الانتفاع بالوادي لا يجوز شرب مائه ، ولو بعد </w:t>
      </w:r>
    </w:p>
    <w:p>
      <w:pPr>
        <w:pStyle w:val="BookText"/>
        <w:rPr/>
      </w:pPr>
      <w:r>
        <w:rPr>
          <w:rFonts w:ascii="Amiri" w:hAnsi="Amiri" w:eastAsia="Amiri" w:cs="Amiri"/>
          <w:color w:val="111111"/>
          <w:sz w:val="28"/>
          <w:sz w:val="28"/>
          <w:szCs w:val="28"/>
          <w:rtl w:val="true"/>
          <w:lang w:bidi="ar-SA"/>
        </w:rPr>
        <w:t xml:space="preserve">أخذه في قربة ، ولا يجوز سقي الزرع والأشجار بمائه ، ولو بعد جريانه في الأنهار والسواقي ؛ لصدق الانتفاع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لو أخرج الماء بالحبل من البئر ، واُهريق قهراً ، لا يصدق أ نّه انتفع بالبئر ، ولا بالدلو والحبل ، بخلاف ما لو استعمله في الحوائج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وقريب منها موثّقته عن أبي عبداللّه علیه السلام</w:t>
      </w:r>
      <w:r>
        <w:rPr>
          <w:rStyle w:val="FootnoteAnchor"/>
          <w:rtl w:val="true"/>
        </w:rPr>
        <w:footnoteReference w:id="38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الطهارة ، أبواب الماء المطلق ،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وكروايته الاُخرى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جلد الخنزير يجعل دلواً يستقى به الماء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الصادق علیه السلام عن جلد الخنزير ، ثمّ ساق الحديث نحوها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وهي من المرسلات التي نسب الحكم جزماً إلى المعصوم علیه السلام ، ولا تقصر عن مرسلات ابن أبي عمير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كانت هي عين خبر زرارة لكان قوله ذلك دليلاً على جزمه بصدور الرواية من القرائن ، لو لم يكن توثيقاً للنهدي الواقع في رجال الحديث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أنّ جزمه باجتهاده لا يفيد لنا ، ولعلّ القرائن التي عنده لا تفيدنا </w:t>
      </w:r>
    </w:p>
    <w:p>
      <w:pPr>
        <w:pStyle w:val="BookText"/>
        <w:rPr/>
      </w:pPr>
      <w:r>
        <w:rPr>
          <w:rFonts w:ascii="Amiri" w:hAnsi="Amiri" w:eastAsia="Amiri" w:cs="Amiri"/>
          <w:color w:val="111111"/>
          <w:sz w:val="28"/>
          <w:sz w:val="28"/>
          <w:szCs w:val="28"/>
          <w:rtl w:val="true"/>
          <w:lang w:bidi="ar-SA"/>
        </w:rPr>
        <w:t xml:space="preserve">الجزم ، في غير محلّه ؛ لأنّ الظاهر من مسلكه أ نّه لم يكن أهل الاجتهادات المتعارفة عند الاُصوليين ، سيّما المتأخّرين منهم ، فالقرائن التي عنده لا محالة تكون قرائن ظاهرة توجب الاطمئنان لنا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تلك المرسلات جرأة على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دلالتها على جواز الانتفاع به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أنّ نظر السائل إنّما هو حيث انفعال الماء</w:t>
      </w:r>
      <w:r>
        <w:rPr>
          <w:rStyle w:val="FootnoteAnchor"/>
          <w:rtl w:val="true"/>
        </w:rPr>
        <w:footnoteReference w:id="390"/>
      </w:r>
      <w:r>
        <w:rPr>
          <w:rFonts w:ascii="Amiri" w:hAnsi="Amiri" w:eastAsia="Amiri" w:cs="Amiri"/>
          <w:color w:val="111111"/>
          <w:sz w:val="28"/>
          <w:sz w:val="28"/>
          <w:szCs w:val="28"/>
          <w:rtl w:val="true"/>
          <w:lang w:bidi="ar-SA"/>
        </w:rPr>
        <w:t xml:space="preserve">، وسوسة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الفرق بين الجلد والشعر ، وإطلاقها شامل لحال الضرورة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مخصّص لها إلاّ الشهرة المدّعاة بعدم جواز الاستعمال اختياراً </w:t>
      </w:r>
      <w:r>
        <w:rPr>
          <w:rStyle w:val="FootnoteAnchor"/>
          <w:rtl w:val="true"/>
        </w:rPr>
        <w:footnoteReference w:id="391"/>
      </w:r>
      <w:r>
        <w:rPr>
          <w:rFonts w:ascii="Amiri" w:hAnsi="Amiri" w:eastAsia="Amiri" w:cs="Amiri"/>
          <w:color w:val="111111"/>
          <w:sz w:val="28"/>
          <w:sz w:val="28"/>
          <w:szCs w:val="28"/>
          <w:rtl w:val="true"/>
          <w:lang w:bidi="ar-SA"/>
        </w:rPr>
        <w:t>، والإجماعات المتقدّمة على عدم جواز الانتفاع بالنجس والميتة</w:t>
      </w:r>
      <w:r>
        <w:rPr>
          <w:rStyle w:val="FootnoteAnchor"/>
          <w:rtl w:val="true"/>
        </w:rPr>
        <w:footnoteReference w:id="392"/>
      </w:r>
      <w:r>
        <w:rPr>
          <w:rFonts w:ascii="Amiri" w:hAnsi="Amiri" w:eastAsia="Amiri" w:cs="Amiri"/>
          <w:color w:val="111111"/>
          <w:sz w:val="28"/>
          <w:sz w:val="28"/>
          <w:szCs w:val="28"/>
          <w:rtl w:val="true"/>
          <w:lang w:bidi="ar-SA"/>
        </w:rPr>
        <w:t xml:space="preserve">، خرج حال الضرورة ، للشهرة بالجواز ، أو بالروايات المجبورة في هذا المقدار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الشهرة أو الإجماع على عدم جواز الانتفاع بالأعيان النجسة ، فقد مرّ الكلام فيهما </w:t>
      </w:r>
      <w:r>
        <w:rPr>
          <w:rStyle w:val="FootnoteAnchor"/>
          <w:rtl w:val="true"/>
        </w:rPr>
        <w:footnoteReference w:id="393"/>
      </w:r>
      <w:r>
        <w:rPr>
          <w:rFonts w:ascii="Amiri" w:hAnsi="Amiri" w:eastAsia="Amiri" w:cs="Amiri"/>
          <w:color w:val="111111"/>
          <w:sz w:val="28"/>
          <w:sz w:val="28"/>
          <w:szCs w:val="28"/>
          <w:rtl w:val="true"/>
          <w:lang w:bidi="ar-SA"/>
        </w:rPr>
        <w:t>فلا نعيده ، وقد ظهر هناك عدم ثبوت شهرة أو إجماع</w:t>
      </w:r>
    </w:p>
    <w:p>
      <w:pPr>
        <w:pStyle w:val="BookText"/>
        <w:rPr/>
      </w:pPr>
      <w:r>
        <w:rPr>
          <w:rFonts w:ascii="Amiri" w:hAnsi="Amiri" w:eastAsia="Amiri" w:cs="Amiri"/>
          <w:color w:val="111111"/>
          <w:sz w:val="28"/>
          <w:sz w:val="28"/>
          <w:szCs w:val="28"/>
          <w:rtl w:val="true"/>
          <w:lang w:bidi="ar-SA"/>
        </w:rPr>
        <w:t xml:space="preserve">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والمتيقّن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أصلهما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الاستعمالات والانتفاعات الخاصّة ، لا مطلقاً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أظنّ قيام إجماع أو شهرة مستقلّة في المقام غير ما ادّعي هناك ، كما يظهر </w:t>
      </w:r>
    </w:p>
    <w:p>
      <w:pPr>
        <w:pStyle w:val="BookText"/>
        <w:rPr/>
      </w:pPr>
      <w:r>
        <w:rPr>
          <w:rFonts w:ascii="Amiri" w:hAnsi="Amiri" w:eastAsia="Amiri" w:cs="Amiri"/>
          <w:color w:val="111111"/>
          <w:sz w:val="28"/>
          <w:sz w:val="28"/>
          <w:szCs w:val="28"/>
          <w:rtl w:val="true"/>
          <w:lang w:bidi="ar-SA"/>
        </w:rPr>
        <w:t xml:space="preserve">من دعوى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الخنزير</w:t>
      </w:r>
      <w:r>
        <w:rPr>
          <w:rStyle w:val="FootnoteAnchor"/>
          <w:rtl w:val="true"/>
        </w:rPr>
        <w:footnoteReference w:id="395"/>
      </w:r>
      <w:r>
        <w:rPr>
          <w:rFonts w:ascii="IRNazanin" w:hAnsi="IRNazanin" w:eastAsia="IRNazanin"/>
          <w:color w:val="111111"/>
          <w:sz w:val="28"/>
          <w:sz w:val="28"/>
          <w:szCs w:val="28"/>
          <w:rtl w:val="true"/>
          <w:lang w:bidi="fa-IR"/>
        </w:rPr>
        <w:t>، مع أنّ علم الهدى  رحمه الله علیه  لا يرى نجاسة ما لا تحلّه الحياة من نجس العين</w:t>
      </w:r>
      <w:r>
        <w:rPr>
          <w:rStyle w:val="FootnoteAnchor"/>
          <w:rtl w:val="true"/>
        </w:rPr>
        <w:footnoteReference w:id="396"/>
      </w:r>
      <w:r>
        <w:rPr>
          <w:rFonts w:ascii="Amiri" w:hAnsi="Amiri" w:eastAsia="Amiri" w:cs="Amiri"/>
          <w:color w:val="111111"/>
          <w:sz w:val="28"/>
          <w:sz w:val="28"/>
          <w:szCs w:val="28"/>
          <w:rtl w:val="true"/>
          <w:lang w:bidi="ar-SA"/>
        </w:rPr>
        <w:t xml:space="preserve">، فلا محالة يقول بجواز الانتفاع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كلام شيخ الطائفة في ذيل رواية زرارة المتقدّمة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أ نّه</w:t>
      </w:r>
    </w:p>
    <w:p>
      <w:pPr>
        <w:pStyle w:val="BookText"/>
        <w:rPr/>
      </w:pPr>
      <w:r>
        <w:rPr>
          <w:rFonts w:ascii="Amiri" w:hAnsi="Amiri" w:eastAsia="Amiri" w:cs="Amiri"/>
          <w:color w:val="111111"/>
          <w:sz w:val="28"/>
          <w:sz w:val="28"/>
          <w:szCs w:val="28"/>
          <w:rtl w:val="true"/>
          <w:lang w:bidi="ar-SA"/>
        </w:rPr>
        <w:t>لابأس أن يستقى به لكن يستعمل ذلك في سقي الدوابّ والأشجار ونحو ذلك</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المنع ثابتاً بإجماع ونحوه ، لما 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حمله على صرف الجمع بين الأخبار ودفع التناقض عنها ؛ لما مرّ ولعدم ورود خبر على عدم جواز الانتفاع بشعر الخنزير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لأجل الجمع بين الخبر وأدلّة انفعال الماء القليل ، لكن لو كان المراد صرف ذكر الوجه لكان الأوجه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أخصّ من روايات الانفعال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منه جوازه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جواز الاستقاء بجلده</w:t>
      </w:r>
      <w:r>
        <w:rPr>
          <w:rStyle w:val="FootnoteAnchor"/>
          <w:rtl w:val="true"/>
        </w:rPr>
        <w:footnoteReference w:id="398"/>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الانتفاع بغير اللحم والشحم منه</w:t>
      </w:r>
      <w:r>
        <w:rPr>
          <w:rStyle w:val="FootnoteAnchor"/>
          <w:rtl w:val="true"/>
        </w:rPr>
        <w:footnoteReference w:id="399"/>
      </w:r>
      <w:r>
        <w:rPr>
          <w:rFonts w:ascii="IRNazanin" w:hAnsi="IRNazanin" w:eastAsia="IRNazanin"/>
          <w:color w:val="111111"/>
          <w:sz w:val="28"/>
          <w:sz w:val="28"/>
          <w:szCs w:val="28"/>
          <w:rtl w:val="true"/>
          <w:lang w:bidi="fa-IR"/>
        </w:rPr>
        <w:t xml:space="preserve">، وعن مطاعم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400"/>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استعمال شعر الخنزير مطلقاً </w:t>
      </w:r>
      <w:r>
        <w:rPr>
          <w:rStyle w:val="FootnoteAnchor"/>
          <w:rtl w:val="true"/>
        </w:rPr>
        <w:footnoteReference w:id="401"/>
      </w:r>
      <w:r>
        <w:rPr>
          <w:rFonts w:ascii="IRNazanin" w:hAnsi="IRNazanin" w:eastAsia="IRNazanin"/>
          <w:color w:val="111111"/>
          <w:sz w:val="28"/>
          <w:sz w:val="28"/>
          <w:szCs w:val="28"/>
          <w:rtl w:val="true"/>
          <w:lang w:bidi="fa-IR"/>
        </w:rPr>
        <w:t xml:space="preserve">، اضطرّ إلى استعماله </w:t>
      </w:r>
    </w:p>
    <w:p>
      <w:pPr>
        <w:pStyle w:val="BookText"/>
        <w:rPr/>
      </w:pPr>
      <w:r>
        <w:rPr>
          <w:rFonts w:ascii="Amiri" w:hAnsi="Amiri" w:eastAsia="Amiri" w:cs="Amiri"/>
          <w:color w:val="111111"/>
          <w:sz w:val="28"/>
          <w:sz w:val="28"/>
          <w:szCs w:val="28"/>
          <w:rtl w:val="true"/>
          <w:lang w:bidi="ar-SA"/>
        </w:rPr>
        <w:t>أم لا ، وعن كاشف اللثام موافقته</w:t>
      </w:r>
      <w:r>
        <w:rPr>
          <w:rStyle w:val="FootnoteAnchor"/>
          <w:rtl w:val="true"/>
        </w:rPr>
        <w:footnoteReference w:id="402"/>
      </w:r>
      <w:r>
        <w:rPr>
          <w:rFonts w:ascii="Amiri" w:hAnsi="Amiri" w:eastAsia="Amiri" w:cs="Amiri"/>
          <w:color w:val="111111"/>
          <w:sz w:val="28"/>
          <w:sz w:val="28"/>
          <w:szCs w:val="28"/>
          <w:rtl w:val="true"/>
          <w:lang w:bidi="ar-SA"/>
        </w:rPr>
        <w:t xml:space="preserve">، وقال الأردبيلي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والعقل يجوّز استعماله ؛ أي شعر الخنزير ، فيما لا يشترط فيه الطهارة</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للحرمة في شعره 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الأخبار به متواترة</w:t>
      </w:r>
      <w:r>
        <w:rPr>
          <w:rStyle w:val="FootnoteAnchor"/>
          <w:rtl w:val="true"/>
        </w:rPr>
        <w:footnoteReference w:id="404"/>
      </w: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وليس ما يحكيه إلاّ كما يرويه ، والشهرة تجبرها أو تعضدها ، وإنكار من أنكر الظفر بخبر واحد لا يعتبر</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ضرورة عدم إمكان عثور الحلّي على أخبار متواترة لم يعثر على واحد منها أحد من المحدّثين والفقهاء المتقدّمين منه والمتأخّرين عنه ، فلعلّه وقع اشتباه في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بالجواز متواترة ، فإنّ له وجهاً ؛ لما تقدّم من الأخبار الكثيرة على الجواز ، أو أراد الأخبار الواردة في نجاسة الخنزير ، بدعوى استفادة حرمة الانتفاع منها ، وهو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إنكار من أنكر لا يعتبر ، كان له وجه لو ادّعى الحلّي ورود خبر واحد؛ لإمكان اطّلاعه عليه والخفاء عن غيره ، لا الأخبار المتواترة أو المستفيضة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فرض أنّ الأخبار بالجواز كانت متواترة فلا يمكن عدم اطّلاع الأصحاب عليها ، ومع اطّلاعهم عليها وترك نقلها والاكتفاء بنقل أخبار الجواز </w:t>
      </w:r>
    </w:p>
    <w:p>
      <w:pPr>
        <w:pStyle w:val="BookText"/>
        <w:rPr/>
      </w:pPr>
      <w:r>
        <w:rPr>
          <w:rFonts w:ascii="Amiri" w:hAnsi="Amiri" w:eastAsia="Amiri" w:cs="Amiri"/>
          <w:color w:val="111111"/>
          <w:sz w:val="28"/>
          <w:sz w:val="28"/>
          <w:szCs w:val="28"/>
          <w:rtl w:val="true"/>
          <w:lang w:bidi="ar-SA"/>
        </w:rPr>
        <w:t xml:space="preserve">يكشف ذلك عن معلّلية تلك الأخبار ، بل هو من أدلّ الدليل على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وقوع اشتباه في البين ، وعدم أخبار متواترة لم يطّلع عليها غيره ، أو تركوا نقلها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التفصيل بين صورة تحقّق الدسومة وعدمه ، والقول بالمنع في الاُولى دون الثانية</w:t>
      </w:r>
      <w:r>
        <w:rPr>
          <w:rStyle w:val="FootnoteAnchor"/>
          <w:rtl w:val="true"/>
        </w:rPr>
        <w:footnoteReference w:id="406"/>
      </w:r>
      <w:r>
        <w:rPr>
          <w:rFonts w:ascii="Amiri" w:hAnsi="Amiri" w:eastAsia="Amiri" w:cs="Amiri"/>
          <w:color w:val="111111"/>
          <w:sz w:val="28"/>
          <w:sz w:val="28"/>
          <w:szCs w:val="28"/>
          <w:rtl w:val="true"/>
          <w:lang w:bidi="ar-SA"/>
        </w:rPr>
        <w:t xml:space="preserve">، ضعيف ؛ لأنّ الروايات المقيّدة لا تصلح لتقييد المطلقات ، بل ولا للخروج عن الأصل مع الغمض عن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حملها على الإرشاد ، كما قيل</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الأقوى عدم الفرق بين الاضطرار وغيره كما مرّ،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إذا اضطرّ استعمل إجماعاً ، ولعلّه يكفي في الاضطرار عدم كمال العمل بدونه</w:t>
      </w:r>
      <w:r>
        <w:rPr>
          <w:rFonts w:eastAsia="Amiri" w:cs="Amiri" w:ascii="Amiri" w:hAnsi="Amiri"/>
          <w:color w:val="111111"/>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كان ذلك شرحاً لمقصود المجمعين يرجع في الحقيقة إلى جوازه مطلقاً ؛ لأنّ الاضطرار بهذا المعنى مرجعه الاختيار ، فيمكن استشعار الجواز مطلقاً منه ، لكن في كون كلامه تفسيراً لكلامهم ، أو كون مرادهم ذلك تأمّل وإشكال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بناءً على جواز الانتفاع بأجزائه ، يجوز بيعها والمعاوضة عليها ؛ لظهور الروايات المتقدّمة ، ولعمومات حلّ البيع والتجارة </w:t>
      </w:r>
      <w:r>
        <w:rPr>
          <w:rFonts w:eastAsia="Amiri" w:cs="Amiri" w:ascii="Amiri" w:hAnsi="Amiri"/>
          <w:color w:val="111111"/>
          <w:sz w:val="28"/>
          <w:szCs w:val="28"/>
          <w:rtl w:val="true"/>
          <w:lang w:bidi="ar-SA"/>
        </w:rPr>
        <w:t xml:space="preserve">. </w:t>
      </w:r>
      <w:bookmarkStart w:id="135" w:name="pg15158_206903"/>
    </w:p>
    <w:p>
      <w:pPr>
        <w:pStyle w:val="Heading5"/>
        <w:numPr>
          <w:ilvl w:val="4"/>
          <w:numId w:val="1"/>
        </w:numPr>
        <w:rPr/>
      </w:pPr>
      <w:bookmarkStart w:id="136" w:name="__RefHeading___Toc1851510_2142443653"/>
      <w:bookmarkStart w:id="137" w:name="_Toc46"/>
      <w:bookmarkEnd w:id="135"/>
      <w:bookmarkEnd w:id="136"/>
      <w:r>
        <w:rPr>
          <w:rtl w:val="true"/>
        </w:rPr>
        <w:t>حكم الانتفاع بالخمر والفقّاع وكلّ مسكر مائع</w:t>
      </w:r>
      <w:bookmarkEnd w:id="137"/>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والفقّاع وكلّ مسكر مائع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إجمالاً في حرمة بيعها وثمنها وسقوط ماليتها ، إنّما الكلام في أنّ الأحكام ثابتة للخمر مطلقاً ، حتّى ما اتّخذت للتخليل ونحوه ،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الكلام فيه مستقصىً سابقاً </w:t>
      </w:r>
      <w:r>
        <w:rPr>
          <w:rStyle w:val="FootnoteAnchor"/>
          <w:rtl w:val="true"/>
        </w:rPr>
        <w:footnoteReference w:id="409"/>
      </w:r>
      <w:r>
        <w:rPr>
          <w:rFonts w:ascii="IRNazanin" w:hAnsi="IRNazanin" w:eastAsia="IRNazanin"/>
          <w:color w:val="111111"/>
          <w:sz w:val="28"/>
          <w:sz w:val="28"/>
          <w:szCs w:val="28"/>
          <w:rtl w:val="true"/>
          <w:lang w:bidi="fa-IR"/>
        </w:rPr>
        <w:t xml:space="preserve">،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قاصرة عن إثبات الأحكام لنحو ذلك ، لا ما اشتملت على لعن رسول اللّه‌ صلی الله علیه و آله وسلم  الخمر وساقيها وبائعها </w:t>
      </w:r>
      <w:r>
        <w:rPr>
          <w:rFonts w:eastAsia="IRNazanin" w:cs="IRNazanin"/>
          <w:color w:val="111111"/>
          <w:sz w:val="28"/>
          <w:szCs w:val="28"/>
          <w:rtl w:val="true"/>
          <w:lang w:bidi="fa-IR"/>
        </w:rPr>
        <w:t>. . .</w:t>
      </w:r>
      <w:r>
        <w:rPr>
          <w:rStyle w:val="FootnoteAnchor"/>
          <w:rtl w:val="true"/>
        </w:rPr>
        <w:footnoteReference w:id="410"/>
      </w:r>
      <w:r>
        <w:rPr>
          <w:rFonts w:ascii="IRNazanin" w:hAnsi="IRNazanin" w:eastAsia="IRNazanin"/>
          <w:color w:val="111111"/>
          <w:sz w:val="28"/>
          <w:sz w:val="28"/>
          <w:szCs w:val="28"/>
          <w:rtl w:val="true"/>
          <w:lang w:bidi="fa-IR"/>
        </w:rPr>
        <w:t>، وهو ظاهر ، ولا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دلّت على أنّ ثمنها سحت</w:t>
      </w:r>
      <w:r>
        <w:rPr>
          <w:rStyle w:val="FootnoteAnchor"/>
          <w:rtl w:val="true"/>
        </w:rPr>
        <w:footnoteReference w:id="411"/>
      </w:r>
      <w:r>
        <w:rPr>
          <w:rFonts w:ascii="Amiri" w:hAnsi="Amiri" w:eastAsia="Amiri" w:cs="Amiri"/>
          <w:color w:val="111111"/>
          <w:sz w:val="28"/>
          <w:sz w:val="28"/>
          <w:szCs w:val="28"/>
          <w:rtl w:val="true"/>
          <w:lang w:bidi="ar-SA"/>
        </w:rPr>
        <w:t xml:space="preserve">؛ فإنّها أيضاً منصرفة إلى ما تعارف وشاع في بيع الخمر وسائر المسكرات ممّا توجب الفساد ، لا المتّخذ للإصلاح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شواهد على المطلوب ، فراجع</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سقوط ماليتها مطلقاً ، أمّا الأخبار المتقدّمة فظاهرة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اشتملت على ا لأمر بإه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راقها كرواية أبي ا لجارود الحاكي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لفعل النبي صلی الله علیه و آله وسلم  وإهراق ما في المدينة من الخمر</w:t>
      </w:r>
      <w:r>
        <w:rPr>
          <w:rStyle w:val="FootnoteAnchor"/>
          <w:rtl w:val="true"/>
        </w:rPr>
        <w:footnoteReference w:id="413"/>
      </w:r>
      <w:r>
        <w:rPr>
          <w:rFonts w:ascii="Amiri" w:hAnsi="Amiri" w:eastAsia="Amiri" w:cs="Amiri"/>
          <w:color w:val="111111"/>
          <w:sz w:val="28"/>
          <w:sz w:val="28"/>
          <w:szCs w:val="28"/>
          <w:rtl w:val="true"/>
          <w:lang w:bidi="ar-SA"/>
        </w:rPr>
        <w:t xml:space="preserve">، ورواية </w:t>
      </w:r>
    </w:p>
    <w:p>
      <w:pPr>
        <w:pStyle w:val="BookText"/>
        <w:rPr/>
      </w:pPr>
      <w:r>
        <w:rPr>
          <w:rFonts w:ascii="Amiri" w:hAnsi="Amiri" w:eastAsia="Amiri" w:cs="Amiri"/>
          <w:color w:val="111111"/>
          <w:sz w:val="28"/>
          <w:sz w:val="28"/>
          <w:szCs w:val="28"/>
          <w:rtl w:val="true"/>
          <w:lang w:bidi="ar-SA"/>
        </w:rPr>
        <w:t>أبي بصير</w:t>
      </w:r>
      <w:r>
        <w:rPr>
          <w:rStyle w:val="FootnoteAnchor"/>
          <w:rtl w:val="true"/>
        </w:rPr>
        <w:footnoteReference w:id="414"/>
      </w:r>
      <w:r>
        <w:rPr>
          <w:rFonts w:ascii="Amiri" w:hAnsi="Amiri" w:eastAsia="Amiri" w:cs="Amiri"/>
          <w:color w:val="111111"/>
          <w:sz w:val="28"/>
          <w:sz w:val="28"/>
          <w:szCs w:val="28"/>
          <w:rtl w:val="true"/>
          <w:lang w:bidi="ar-SA"/>
        </w:rPr>
        <w:t>وصحيحة محمّد بن مسلم</w:t>
      </w:r>
      <w:r>
        <w:rPr>
          <w:rStyle w:val="FootnoteAnchor"/>
          <w:rtl w:val="true"/>
        </w:rPr>
        <w:footnoteReference w:id="415"/>
      </w:r>
      <w:r>
        <w:rPr>
          <w:rFonts w:ascii="IRNazanin" w:hAnsi="IRNazanin" w:eastAsia="IRNazanin"/>
          <w:color w:val="111111"/>
          <w:sz w:val="28"/>
          <w:sz w:val="28"/>
          <w:szCs w:val="28"/>
          <w:rtl w:val="true"/>
          <w:lang w:bidi="fa-IR"/>
        </w:rPr>
        <w:t xml:space="preserve">الواردتين في إهداء راوية أو راويتين من الخمر إلى رسول اللّه‌ صلی الله علیه و آله وسلم  فأمر بصبّها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حرّم شربها حرّم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ثمنها سحت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فمع ضعف الاُوليين وورود الجميع في قضيّة شخصية ، ومن المحتمل عدم قابلية ما أمر بصبّها للتخليل ، لا تدلّ على عدم ملكيتها وماليتها ولو مع إمكان التخليل والأمن من الفساد ؛ لإمكان أن يكون الأمر بالصبّ لمصلحة قاهرة ، كما أنّ الأمر كذلك في أوّل تحريم الخمر ، ولعلّ الأمر به أمر سلطاني لقلع الفساد ، ولعلّه لم يكن قلعه ممكناً إلاّ بذلك ، كما هو موافق للاعتبار ، كالأمر بقلع عذق سمرة بن جندب</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دليل على إسقاط الشارع مالية جميع أقسام الخمر ، أو ملكيتها ، سيّما مثل</w:t>
      </w:r>
    </w:p>
    <w:p>
      <w:pPr>
        <w:pStyle w:val="BookText"/>
        <w:rPr/>
      </w:pPr>
      <w:r>
        <w:rPr>
          <w:rFonts w:ascii="Amiri" w:hAnsi="Amiri" w:eastAsia="Amiri" w:cs="Amiri"/>
          <w:color w:val="111111"/>
          <w:sz w:val="28"/>
          <w:sz w:val="28"/>
          <w:szCs w:val="28"/>
          <w:rtl w:val="true"/>
          <w:lang w:bidi="ar-SA"/>
        </w:rPr>
        <w:t xml:space="preserve">العصير المغليّ بنفسه إذا قيل بأ نّه خمر ومسكر ، بل المتيقّن من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 تذكرة ا لفقهاء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وغيرها ، غير ما ذكر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أ نّه لا دليل على إطلاق الحكم ، بل ظاهر بعض الروايات على </w:t>
      </w:r>
      <w:bookmarkStart w:id="138" w:name="pg15158_206905"/>
    </w:p>
    <w:p>
      <w:pPr>
        <w:pStyle w:val="BookText"/>
        <w:rPr/>
      </w:pPr>
      <w:bookmarkEnd w:id="138"/>
      <w:r>
        <w:rPr>
          <w:rFonts w:ascii="Amiri" w:hAnsi="Amiri" w:eastAsia="Amiri" w:cs="Amiri"/>
          <w:color w:val="111111"/>
          <w:sz w:val="28"/>
          <w:sz w:val="28"/>
          <w:szCs w:val="28"/>
          <w:rtl w:val="true"/>
          <w:lang w:bidi="ar-SA"/>
        </w:rPr>
        <w:t>خلافه ، كصحيحة جميل المتقدّمة</w:t>
      </w:r>
      <w:r>
        <w:rPr>
          <w:rStyle w:val="FootnoteAnchor"/>
          <w:rtl w:val="true"/>
        </w:rPr>
        <w:footnoteReference w:id="418"/>
      </w:r>
      <w:r>
        <w:rPr>
          <w:rFonts w:ascii="Amiri" w:hAnsi="Amiri" w:eastAsia="Amiri" w:cs="Amiri"/>
          <w:color w:val="111111"/>
          <w:sz w:val="28"/>
          <w:sz w:val="28"/>
          <w:szCs w:val="28"/>
          <w:rtl w:val="true"/>
          <w:lang w:bidi="ar-SA"/>
        </w:rPr>
        <w:t xml:space="preserve">وغيرها ، ولا داعي إلى صرفها عن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هي محمولة على أنّ الدائن لا بدّ أن يؤدّي الخمر للإفساد، ومعه لا دليل على عدم صحّة وقوعه ، لكن مع ذلك أنّ المسألة مشكلة في غير العصير الذي يأتي الكلام فيه ، وطريق الاحتياط ظاهر </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1851512_2142443653"/>
      <w:bookmarkStart w:id="140" w:name="_Toc47"/>
      <w:bookmarkEnd w:id="139"/>
      <w:r>
        <w:rPr>
          <w:rtl w:val="true"/>
        </w:rPr>
        <w:t>حكم العصير</w:t>
      </w:r>
      <w:bookmarkEnd w:id="140"/>
    </w:p>
    <w:p>
      <w:pPr>
        <w:pStyle w:val="BookText"/>
        <w:rPr/>
      </w:pPr>
      <w:r>
        <w:rPr>
          <w:rFonts w:ascii="Amiri" w:hAnsi="Amiri" w:eastAsia="Amiri" w:cs="Amiri"/>
          <w:color w:val="111111"/>
          <w:sz w:val="28"/>
          <w:sz w:val="28"/>
          <w:szCs w:val="28"/>
          <w:rtl w:val="true"/>
          <w:lang w:bidi="ar-SA"/>
        </w:rPr>
        <w:t xml:space="preserve">ثمّ إنّه وردت روايات في خصوص العصير لا بدّ من التعرّض لها وحدود دلالتها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نفى الريب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عدم جواز بيعه إذا نشّ وغلى من قبل نفسه ؛ لأ نّه يصير حينئذٍ خمراً ولا يطهر إلاّ بانقلابه خلاًّ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w:t>
      </w:r>
    </w:p>
    <w:p>
      <w:pPr>
        <w:pStyle w:val="BookText"/>
        <w:rPr/>
      </w:pPr>
      <w:r>
        <w:rPr>
          <w:rFonts w:ascii="Amiri" w:hAnsi="Amiri" w:eastAsia="Amiri" w:cs="Amiri"/>
          <w:color w:val="111111"/>
          <w:sz w:val="28"/>
          <w:sz w:val="28"/>
          <w:szCs w:val="28"/>
          <w:rtl w:val="true"/>
          <w:lang w:bidi="ar-SA"/>
        </w:rPr>
        <w:t xml:space="preserve">عليه الأكثر من المتقدّمين والمصنّف في 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في 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ولعلّ مراده تنصيصهم على خمريته ، أو على عدم جواز المعاوضة عليه ؛ لصيرورته خمراً ، وهو الأقرب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هو عدم الجواز فيما إذا غلى بالنار ولم يذهب ثلثاه ؛ لأ نّه خمر أو كالخمر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تقضي به قواعد الباب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استدلّ ببعض الروايات الآتية ، ونسب 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عند قوله بكراهة إسلافه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إشكال ؛ فإنّه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ويكره الاستسلاف في العصير ، فإنّه لا يؤمن </w:t>
      </w:r>
    </w:p>
    <w:p>
      <w:pPr>
        <w:pStyle w:val="BookText"/>
        <w:rPr/>
      </w:pPr>
      <w:r>
        <w:rPr>
          <w:rFonts w:ascii="Amiri" w:hAnsi="Amiri" w:eastAsia="Amiri" w:cs="Amiri"/>
          <w:color w:val="111111"/>
          <w:sz w:val="28"/>
          <w:sz w:val="28"/>
          <w:szCs w:val="28"/>
          <w:rtl w:val="true"/>
          <w:lang w:bidi="ar-SA"/>
        </w:rPr>
        <w:t>أن يطلبه صاحبه ويكون قد تغيّر إلى حال الخمر</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مراده من التغيّر إلى حال الخمر غير الغليان بالنار ، كما 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يظهر من عبارته قبيل ذلك ، التفصيل في صحّة البيع بين ما غلى بنفسه وما غلى بالنار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والعصير لا بأس بشربه وبيعه ما لم يغل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الغليان الذي يحرّم ذلك ، هو أن يصير أسفله أعلاه ، فإذا غلى حرم شربه وبيعه إلى أن يعود إلى كونه خلاًّ، وإذا غلى العصير على النار لم يجز شربه إلى أن يذهب ثلثاه</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أ نّه مع الغليان بنفسه لا يجوز شربه وبيعه ، ومع الغليان على النار يحرم شربه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نظره إلى أنّ الغليان بنفسه موجب لخمريته ، دون الغليان على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422"/>
      </w:r>
      <w:r>
        <w:rPr>
          <w:rFonts w:ascii="Amiri" w:hAnsi="Amiri" w:eastAsia="Amiri" w:cs="Amiri"/>
          <w:color w:val="111111"/>
          <w:sz w:val="28"/>
          <w:sz w:val="28"/>
          <w:szCs w:val="28"/>
          <w:rtl w:val="true"/>
          <w:lang w:bidi="ar-SA"/>
        </w:rPr>
        <w:t xml:space="preserve">نحوه تقريباً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غلى على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يكون الحلّي محرِّماً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الظاهر من عنوان شيخنا الأنصاري التفصيل</w:t>
      </w:r>
      <w:r>
        <w:rPr>
          <w:rStyle w:val="FootnoteAnchor"/>
          <w:rtl w:val="true"/>
        </w:rPr>
        <w:footnoteReference w:id="423"/>
      </w:r>
      <w:r>
        <w:rPr>
          <w:rFonts w:ascii="Amiri" w:hAnsi="Amiri" w:eastAsia="Amiri" w:cs="Amiri"/>
          <w:color w:val="111111"/>
          <w:sz w:val="28"/>
          <w:sz w:val="28"/>
          <w:szCs w:val="28"/>
          <w:rtl w:val="true"/>
          <w:lang w:bidi="ar-SA"/>
        </w:rPr>
        <w:t xml:space="preserve">على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غلى بنفسه أم لا ، اُحرزت خمريته أم لا ، قلنا بنجاسته أم لا ؛ لماليته وملكيته عرفاً ، وعدم دليل على سقوطهما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الروايات العامّة فقد مرّ الكلام فيها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ما وردت في خصوصه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السلامعن ثمن العصير قبل أن يغلي ، لمن يبتاعه ليطبخه أو يجعله خمراً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بعته قبل أن يكون خمراً وهو حلال فلا بأس</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مع قصور سندها واغتشاش ما في متنها قاصرة الدلالة ؛ لأنّ الشرطية لا مفهوم لها ؛ لأ نّها سيقت لبيان تحقّق الموضوع ، فإنّ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بعته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إذا لم تبعه وأمّا مفهوم القيد فهو من مفهوم اللقب الذي لا يقال به ولو قيل به في الشرط ، وعلى فرض المفهوم فإن قلنا بأنّ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بعته قبل أن يكون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مستقلّة ولها مفهوم مستقلّ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فيكون جملة اُخرى مستقلّة ؛ أي إذا بعته وهو حلال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جزاؤهما ، فتكون حالهما حال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 فقصِّر ، وإذا خفي الجدران فقصِّر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العنوانين بينهما عموم من وجه لو لوحظ حال الاضطرار أيضاً ، فإنّ قبل الخمرية أعمّ من كونه حلالاً ، كما إذا لم يغل ، أو حراماً</w:t>
      </w:r>
    </w:p>
    <w:p>
      <w:pPr>
        <w:pStyle w:val="BookText"/>
        <w:rPr/>
      </w:pPr>
      <w:r>
        <w:rPr>
          <w:rFonts w:ascii="Amiri" w:hAnsi="Amiri" w:eastAsia="Amiri" w:cs="Amiri"/>
          <w:color w:val="111111"/>
          <w:sz w:val="28"/>
          <w:sz w:val="28"/>
          <w:szCs w:val="28"/>
          <w:rtl w:val="true"/>
          <w:lang w:bidi="ar-SA"/>
        </w:rPr>
        <w:t xml:space="preserve">إذا غلى على النار ، بل بنفسه أيضاً على احتمال ، والحلال أعمّ من كونه قبل الخمرية أو بعدها حال الاضطرار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فيهما هو الكلام فيما إذا تعدّد الشرط واتّحد الجزاء من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رجّحنا في محلّه إجمال الدليل والرجوع إلى الاُصول العملية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 لم يلحظ حال الاضطرار يكون منطوق الثانية أخصّ من الاُولى فتقيّد به ، فيقع إشكال في المتن ؛ لأنّ ذكر الجملة الاُولى يقع بلا وجه ، بل الموضوع الحلّية ، فكان عليه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حلالاً فلا بأس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قلنا بعدم تعدّد المنطوق ، بل الثانية قيد الاُولى ، والشرطية جملة واحدة مركّبة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تحقّق مورد الاجتماع والافتراق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المفهوم ثابت مع رفع كلّ قيد ، فيدلّ على أنّ العصير إذا حرم ففيه بأس ، سواء قلنا بنجاسته أم لا ، وسواء صار خمراً أم لا ، وسواء باعه ممّن يجعله خمراً أم لا ، والمراد بالبأس هنا الحرمة جزماً ؛ لأنّ الثابت لحال كونه خمراً هو الحرمة ، ففي غيرها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تقريب دلالتها على حرمة بيع العصير المغليّ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 نّها بصدد بيان المنطوق لا المفهوم ، فلا إطلاق فيه ، والمتيقّن منه ما إذا باعه ممّن يجعله خمراً ، أو يطبخه ويجعله بختجاً ، فإنّ البختج</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يظهر من الروايات مسكر يصطنعه الفسّاق وأهل الأشربة المسكرة</w:t>
      </w:r>
      <w:r>
        <w:rPr>
          <w:rStyle w:val="FootnoteAnchor"/>
          <w:rtl w:val="true"/>
        </w:rPr>
        <w:footnoteReference w:id="427"/>
      </w:r>
      <w:r>
        <w:rPr>
          <w:rFonts w:ascii="IRNazanin" w:hAnsi="IRNazanin" w:eastAsia="IRNazanin"/>
          <w:color w:val="111111"/>
          <w:sz w:val="28"/>
          <w:sz w:val="28"/>
          <w:szCs w:val="28"/>
          <w:rtl w:val="true"/>
          <w:lang w:bidi="fa-IR"/>
        </w:rPr>
        <w:t xml:space="preserve">، وهو على ما قيل ما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پخته</w:t>
      </w:r>
      <w:r>
        <w:rPr>
          <w:rFonts w:eastAsia="IRNazanin" w:cs="IRNazanin"/>
          <w:color w:val="111111"/>
          <w:sz w:val="28"/>
          <w:szCs w:val="28"/>
          <w:rtl w:val="true"/>
          <w:lang w:bidi="fa-IR"/>
        </w:rPr>
        <w:t>»</w:t>
      </w:r>
      <w:r>
        <w:rPr>
          <w:rStyle w:val="FootnoteAnchor"/>
          <w:rtl w:val="true"/>
        </w:rPr>
        <w:footnoteReference w:id="428"/>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إطلاق في المفهوم يثبت به المدّعى ، بل من المحتمل أن يكون المراد بقوله ليطبخه ؛ أي يجعله بختجاً ، لبعد السؤال عن بيع العصير للشيرج ، سيّما من مثل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المنطوق نفي البأس عن بيعه ليطبخه أو يجعله خمراً ، فإنّه المتفاهم من </w:t>
      </w:r>
    </w:p>
    <w:p>
      <w:pPr>
        <w:pStyle w:val="BookText"/>
        <w:rPr/>
      </w:pPr>
      <w:r>
        <w:rPr>
          <w:rFonts w:ascii="Amiri" w:hAnsi="Amiri" w:eastAsia="Amiri" w:cs="Amiri"/>
          <w:color w:val="111111"/>
          <w:sz w:val="28"/>
          <w:sz w:val="28"/>
          <w:szCs w:val="28"/>
          <w:rtl w:val="true"/>
          <w:lang w:bidi="ar-SA"/>
        </w:rPr>
        <w:t xml:space="preserve">جواب السائل ، ولا يثبت في المفهوم إلاّ نفي البأس المطلق ، وهو صادق مع ثبوت البأس لأحد طرفي الترديد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المفهوم إلاّ على سلب التسوية بين طرفي الترديد ، لا ثبوت التسوية في الحكم المخالف ، مع أنّ ثبوت البأس أعمّ من الحرمة ، وكون بعض موارده حراماً لا يوجب كون البقيّة كذلك ، فدعوى الجزم أو الظهور في سائر الموارد في غير محلّها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حكاية الرواية عن 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xml:space="preserve">عنه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فتدلّ على جواز بيع العصير المغليّ بالنار بل وبنفسه ؛ فإنّ الظاهر عدم كونه خمراً بمجرّد الغليان وإن فرض كونه مسكراً ، مع أ نّه أيضاً غير معلوم ، ومع الشكّ في خمريته ينسلك بالاستصحاب في موضوع الحكم ، بناءً على عدم دخالة عنوان القبلية في موضوعه ، حتّى يلزم المثبتية كما هو المتفاهم من المفهوم عرفاً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 قال سألت أبا عبداللّه علیه السلام عن بيع العصير ممّن يجعله حراماً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ببيعه</w:t>
      </w:r>
      <w:r>
        <w:rPr>
          <w:rStyle w:val="FootnoteAnchor"/>
          <w:rtl w:val="true"/>
        </w:rPr>
        <w:footnoteReference w:id="431"/>
      </w:r>
      <w:r>
        <w:rPr>
          <w:rFonts w:ascii="Amiri" w:hAnsi="Amiri" w:eastAsia="Amiri" w:cs="Amiri"/>
          <w:color w:val="111111"/>
          <w:sz w:val="28"/>
          <w:sz w:val="28"/>
          <w:szCs w:val="28"/>
          <w:rtl w:val="true"/>
          <w:lang w:bidi="ar-SA"/>
        </w:rPr>
        <w:t>حلالاً ليجعله حراماً ، فأبعده اللّه وأسحقه</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عمر بن اُذينة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عبداللّه علیه السلام أسأله عن رجل له كرم ، أيبيع العنب والتمر ممّن يعلم أ نّه يجعله خمراً أو سكراً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باعه حلالاً في الإبّان الذي يحلّ شربه أو أكله ، فلا بأس ببيعه</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أبي كهمس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علیه السلام عن العصير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كرم وأنا أعصره كلّ سنة ، وأجعله في الدنان وأبيعه قبل أن يغلي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 وإن غلى فلا يحلّ 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ذا ، نحن نبيع تمرنا ممّن نعلم أ نّه يصنعه خمراً</w:t>
      </w:r>
      <w:r>
        <w:rPr>
          <w:rFonts w:eastAsia="IRNazanin" w:cs="IRNazanin"/>
          <w:color w:val="111111"/>
          <w:sz w:val="28"/>
          <w:szCs w:val="28"/>
          <w:rtl w:val="true"/>
          <w:lang w:bidi="fa-IR"/>
        </w:rPr>
        <w:t xml:space="preserve">» </w:t>
      </w:r>
      <w:r>
        <w:rPr>
          <w:rStyle w:val="FootnoteAnchor"/>
          <w:rtl w:val="true"/>
        </w:rPr>
        <w:footnoteReference w:id="434"/>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تلك الروايات متعرّضة لمسألة اُخرى سيأتي الكلام فيها إن شاء اللّه ، وهي بيع العصير ممّن يعلم أ نّه يجعله خمراً ، وهي غير ما نحن بصدده ؛ وهو أنّ العصير بما أ نّه حرام أو نجس هل يجوز بيعه أو لا ، باع ممّن يجعله خمراً أو خلاًّ ودبساً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الروايات أجنبيّة عن مسألتنا ، فإنّ قوله 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ببيعه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بيعه ممّن يجعله حراماً ، فالتفصيل، بين زمان الحلّية وبعده في موضوع خاصّ ، وهو البيع ممّن يجعله حراماً وخمراً ، فلا يبعد هذا التفصيل ؛ أي جواز البيع ممّن يجعله خمراً ، في الإبّان الذي يحلّ شربه ، وحرمته في حال عروض الحرمة عليه ، لو عملنا بهذه الروايات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 رواية أبي كهمس أيضاً راجعة إلى سائر الروايات بملاحظة ذيلها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ذا ، نحن نبيع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الظاهر منها أنّ السؤال كان عن بيع العصير ممّن يعلم أ نّه يجعله خمراً ، فقال أبو عبداللّه علیه السلام على ما 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عملك نحو عملنا ، نحن أيضاً نفعل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بيع العصير ممّن يجعله خمراً كان معهوداً متعارفاً ، فحمل عليه السؤال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نحو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w:t>
      </w:r>
      <w:r>
        <w:rPr>
          <w:rStyle w:val="FootnoteAnchor"/>
          <w:rtl w:val="true"/>
        </w:rPr>
        <w:footnoteReference w:id="435"/>
      </w:r>
      <w:r>
        <w:rPr>
          <w:rFonts w:ascii="Amiri" w:hAnsi="Amiri" w:eastAsia="Amiri" w:cs="Amiri"/>
          <w:color w:val="111111"/>
          <w:sz w:val="28"/>
          <w:sz w:val="28"/>
          <w:szCs w:val="28"/>
          <w:rtl w:val="true"/>
          <w:lang w:bidi="ar-SA"/>
        </w:rPr>
        <w:t>، ورواية أبي بصير</w:t>
      </w:r>
      <w:r>
        <w:rPr>
          <w:rStyle w:val="FootnoteAnchor"/>
          <w:rtl w:val="true"/>
        </w:rPr>
        <w:footnoteReference w:id="436"/>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من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العصير يطبخ بالنار حتّى يغلي من ساعته ، أيشربه صاحبه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تغيّر عن حاله وغلى فلا خير فيه ، حتّى يذهب ثلثاه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فلا يخفى ما فيه من الوهن في دلالتها على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وأوهن منها ما دلّت على أنّ الثلثين من العصير أو من الكرم حظّ الإبليس</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فمقتضى الاُصول والقواعد جواز بيع العصير المغليّ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بيعه ممّن يجعله خمراً أمر آخر ، يأتي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فيما يغلي بنفسه لا ينبغي تركه </w:t>
      </w:r>
      <w:r>
        <w:rPr>
          <w:rFonts w:eastAsia="Amiri" w:cs="Amiri" w:ascii="Amiri" w:hAnsi="Amiri"/>
          <w:color w:val="111111"/>
          <w:sz w:val="28"/>
          <w:szCs w:val="28"/>
          <w:rtl w:val="true"/>
          <w:lang w:bidi="ar-SA"/>
        </w:rPr>
        <w:t xml:space="preserve">. </w:t>
      </w:r>
      <w:bookmarkStart w:id="141" w:name="pg15158_206912"/>
    </w:p>
    <w:p>
      <w:pPr>
        <w:pStyle w:val="Heading5"/>
        <w:numPr>
          <w:ilvl w:val="4"/>
          <w:numId w:val="1"/>
        </w:numPr>
        <w:rPr/>
      </w:pPr>
      <w:bookmarkStart w:id="142" w:name="__RefHeading___Toc1851514_2142443653"/>
      <w:bookmarkStart w:id="143" w:name="_Toc48"/>
      <w:bookmarkEnd w:id="141"/>
      <w:bookmarkEnd w:id="142"/>
      <w:r>
        <w:rPr>
          <w:rtl w:val="true"/>
        </w:rPr>
        <w:t xml:space="preserve">تتميم </w:t>
      </w:r>
      <w:r>
        <w:rPr>
          <w:rtl w:val="true"/>
        </w:rPr>
        <w:t xml:space="preserve">: </w:t>
      </w:r>
      <w:r>
        <w:rPr>
          <w:rtl w:val="true"/>
        </w:rPr>
        <w:t>حكم الانتفاع بالمتنجّسات وبيعها</w:t>
      </w:r>
      <w:bookmarkEnd w:id="143"/>
    </w:p>
    <w:p>
      <w:pPr>
        <w:pStyle w:val="BookText"/>
        <w:rPr/>
      </w:pPr>
      <w:r>
        <w:rPr>
          <w:rFonts w:ascii="Amiri" w:hAnsi="Amiri" w:eastAsia="Amiri" w:cs="Amiri"/>
          <w:color w:val="111111"/>
          <w:sz w:val="28"/>
          <w:sz w:val="28"/>
          <w:szCs w:val="28"/>
          <w:rtl w:val="true"/>
          <w:lang w:bidi="ar-SA"/>
        </w:rPr>
        <w:t>قد تقدّم جواز الانتفاع بالمتنجّسات في غير ما تشترط فيه الطهارة</w:t>
      </w:r>
      <w:r>
        <w:rPr>
          <w:rStyle w:val="FootnoteAnchor"/>
          <w:rtl w:val="true"/>
        </w:rPr>
        <w:footnoteReference w:id="438"/>
      </w:r>
      <w:r>
        <w:rPr>
          <w:rFonts w:ascii="Amiri" w:hAnsi="Amiri" w:eastAsia="Amiri" w:cs="Amiri"/>
          <w:color w:val="111111"/>
          <w:sz w:val="28"/>
          <w:sz w:val="28"/>
          <w:szCs w:val="28"/>
          <w:rtl w:val="true"/>
          <w:lang w:bidi="ar-SA"/>
        </w:rPr>
        <w:t xml:space="preserve">، فيجوز الانتفاع بالزيت والسمن النجسين ونحوهما في الاستصباح وغيره ، إلاّ أن يدلّ دليل بالخصوص على المنع ، كما يجوز بيعها للمنفعة المحلّلة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في الزيت والسمن والعسل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معاوية بن وهب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جرذ مات في زيت أو سمن أو عسل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السمن والعسل ، فيؤخذ الجرذ وما حوله ، والزيت يستصبح به</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زرارة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الفأرة في السمن فماتت فيه ، فإن كان جامداً فألقها وما يليها وكُل ما بقي ، وإن كان ذائباً فلا تأكله واستصبح به ، والزيت مثل ذلك</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الفأرة تقع في السمن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bookmarkStart w:id="144" w:name="pg15158_206913"/>
    </w:p>
    <w:p>
      <w:pPr>
        <w:pStyle w:val="BookText"/>
        <w:rPr/>
      </w:pPr>
      <w:bookmarkEnd w:id="144"/>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ذائباً فأسرج به ، وأعلمهم إذا بعته</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معاوية بن وهب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كون الميثمي في السند أحمد بن الحسن بن إسماعيل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في جرذ مات في زيت ، ما تقول في بيع ذلك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بعه وبيِّنه لمن اشتراه ، ليستصبح به</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إسماعيل بن عبد الخالق عن أبي عبداللّه علیه السلام ،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الزيت فلا تبعه إلاّ لمن تبيّن له ، فيبتاع للسراج ، وأمّا الأكل فلا ، وأمّا السمن فإن كان ذائباً فهو كذلك </w:t>
      </w:r>
      <w:r>
        <w:rPr>
          <w:rFonts w:eastAsia="IRNazanin" w:cs="IRNazanin"/>
          <w:color w:val="111111"/>
          <w:sz w:val="28"/>
          <w:szCs w:val="28"/>
          <w:rtl w:val="true"/>
          <w:lang w:bidi="fa-IR"/>
        </w:rPr>
        <w:t>. .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الكلام يقع في مواضع </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851516_2142443653"/>
      <w:bookmarkStart w:id="146" w:name="_Toc49"/>
      <w:bookmarkEnd w:id="145"/>
      <w:r>
        <w:rPr>
          <w:rtl w:val="true"/>
        </w:rPr>
        <w:t>الکلام یق في مواضع</w:t>
      </w:r>
      <w:bookmarkEnd w:id="146"/>
    </w:p>
    <w:p>
      <w:pPr>
        <w:pStyle w:val="Heading5"/>
        <w:numPr>
          <w:ilvl w:val="4"/>
          <w:numId w:val="1"/>
        </w:numPr>
        <w:rPr/>
      </w:pPr>
      <w:bookmarkStart w:id="147" w:name="__RefHeading___Toc1851518_2142443653"/>
      <w:bookmarkStart w:id="148" w:name="_Toc50"/>
      <w:bookmarkEnd w:id="147"/>
      <w:r>
        <w:rPr>
          <w:rtl w:val="true"/>
        </w:rPr>
        <w:t xml:space="preserve">الموضع الأوّل </w:t>
      </w:r>
      <w:r>
        <w:rPr>
          <w:rtl w:val="true"/>
        </w:rPr>
        <w:t xml:space="preserve">: </w:t>
      </w:r>
      <w:r>
        <w:rPr>
          <w:rtl w:val="true"/>
        </w:rPr>
        <w:t>في كون صحّة بيع الدهن مشروطة باشتراط الاستصباح به</w:t>
      </w:r>
      <w:bookmarkEnd w:id="148"/>
    </w:p>
    <w:p>
      <w:pPr>
        <w:pStyle w:val="BookText"/>
        <w:rPr/>
      </w:pPr>
      <w:r>
        <w:rPr>
          <w:rFonts w:ascii="Amiri" w:hAnsi="Amiri" w:eastAsia="Amiri" w:cs="Amiri"/>
          <w:color w:val="111111"/>
          <w:sz w:val="28"/>
          <w:sz w:val="28"/>
          <w:szCs w:val="28"/>
          <w:rtl w:val="true"/>
          <w:lang w:bidi="ar-SA"/>
        </w:rPr>
        <w:t>هل صحّة بيع هذا الدهن مشروطة باشتراط الاستصباح به ، أو يكفي قصدهما لذلك ، أو لا يشترط شيء منهما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بسط الكلام في مطلق المبيع الذي حرّمت منافعه كلاًّ أو بعضاً </w:t>
      </w:r>
      <w:r>
        <w:rPr>
          <w:rFonts w:eastAsia="Amiri" w:cs="Amiri" w:ascii="Amiri" w:hAnsi="Amiri"/>
          <w:color w:val="111111"/>
          <w:sz w:val="28"/>
          <w:szCs w:val="28"/>
          <w:rtl w:val="true"/>
          <w:lang w:bidi="ar-SA"/>
        </w:rPr>
        <w:t xml:space="preserve">. </w:t>
      </w:r>
      <w:bookmarkStart w:id="149" w:name="pg15158_206914"/>
    </w:p>
    <w:p>
      <w:pPr>
        <w:pStyle w:val="Heading5"/>
        <w:numPr>
          <w:ilvl w:val="4"/>
          <w:numId w:val="1"/>
        </w:numPr>
        <w:rPr/>
      </w:pPr>
      <w:bookmarkStart w:id="150" w:name="__RefHeading___Toc1851520_2142443653"/>
      <w:bookmarkStart w:id="151" w:name="_Toc51"/>
      <w:bookmarkEnd w:id="149"/>
      <w:bookmarkEnd w:id="150"/>
      <w:r>
        <w:rPr>
          <w:rtl w:val="true"/>
        </w:rPr>
        <w:t>حكم المبيع الذي حرّمت منافعه كلاًّ أو بعضاً</w:t>
      </w:r>
      <w:bookmarkEnd w:id="151"/>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يكون له سوى المنفعة المحرّمة ، وقد تكون له سواها منفعة محلّلة لكن لا يبذل بلحاظها مال ، كما لو حرّمت منافع الخمر إلاّ سقي الشجر بها ، وقد تكون له منفعة مباحة يبذل بإزائها مال لكن تكون في جنب المنفعة المحرّمة مستهلكة مغفولاً عنها ؛ بحيث لا تعدّ له مالية لأجلها ، كما لو كانت آلة قمار عتيقة مرغوباً فيها لدى طائفة يبذل بإزائها عشرة آلاف جنيه ، وكانت مادّتها من خشبة تساوي قرانين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منفعته المباحة مرغوباً فيها ، لكن لا بمقدار المنفعة المحرّمة ، وقد تتساويان ، أو تكون المنفعة المحلّلة غالبة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بطلان المعاملة في الصورتين الاُوليين ؛ لسقوط ماليتهما في الشرع ، فيكون دليل إسقاط المنافع حاكماً على أدلّة حلّية البيع والتجارة ؛ فإنّ مبادلة ما لا يكون مالاً ليست بيعاً ولا تجارة ولا عقداً ، ولا كلام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سائر الصور فالظاهر عدم اشتراط صحّة البيع فيها باشتراط الانتفاع بالمحلّل في ضمن العقد ؛ لعدم دليل عليه ، ولعموم أدلّة الوفاء بالعقود ، وحلّية البيع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استظهر شيخنا الأعظم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الاشتراط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فإنّه بعد ذكر جواز الاستصباح بالأدهان المتنجّسة أجمع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بيعه بهذا الشرط عندنا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الاستظهار كلام ؛ لاحتمال أن يكون نظره إلى أنّ الجواز مع الاشتراط إجماعي ، كما يظهر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 ولم يحرز الإجماع على الصحّة في غير الصورة ، ولم يدلّ ذلك على أنّ مختاره لزوم الاشتراط ، بل لا يدلّ على وجود القائل بالاشتراط ؛ لأنّ دعوى الإجماع على جوازه مع الاشتراط لا تدلّ على وجود الخلاف في غيره ، ولعلّ الأصحاب لم يتعرّضوا له ، فلم يحرز الإجماع ولا الخلاف ، 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في صحّة البيع قصد المنفعة المحلّلة بنحو لا يرجع إلى الاشتراط وإلى كون العقد مبنيّاً عليه ، بل كان من قبيل القصد الخارجي نظير الدواعي ، أو يعتبر عدم قصد المنفعة المحرّمة ، أو لا يعتبر ذلك أيضاً مطلقاً ، أو يفصّل بين الصور ؟</w:t>
      </w:r>
    </w:p>
    <w:p>
      <w:pPr>
        <w:pStyle w:val="BookText"/>
        <w:rPr/>
      </w:pPr>
      <w:r>
        <w:rPr>
          <w:rFonts w:ascii="Amiri" w:hAnsi="Amiri" w:eastAsia="Amiri" w:cs="Amiri"/>
          <w:color w:val="111111"/>
          <w:sz w:val="28"/>
          <w:sz w:val="28"/>
          <w:szCs w:val="28"/>
          <w:rtl w:val="true"/>
          <w:lang w:bidi="ar-SA"/>
        </w:rPr>
        <w:t xml:space="preserve">مقتضى القواعد عدم اعتبار شيء في صحّته ؛ فإنّ قصد الانتفاع بالشيء سواء كان محرّماً أو محلّلاً ، لا دخل له في ماهية البيع ، كما أنّ المنافع لا تقابل بالأثمان فيه ، بل وجود المنفعة موجب لصيرورته مالاً يبذل بإزائه المال ، فإذا فرض وجود منفعة فيه موجب للرغبة والمالية فيه يقع البيع لأجلها صحيحاً ، سواء قصدها أو قصد المنفعة المحرّمة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قصد المنفعة المحرّمة موجب للبطلان ؛ لكون أكل المال حينئذٍ من الأكل بالباطل ؛ لأنّ صدقه لا يتوقّف على تحقّق المبادلة الحقيقية بين المال والمنفعة المحرّمة ، بل يكفي فيه كون الغرض من المعاملة فاسداً ، </w:t>
      </w:r>
    </w:p>
    <w:p>
      <w:pPr>
        <w:pStyle w:val="BookText"/>
        <w:rPr/>
      </w:pPr>
      <w:r>
        <w:rPr>
          <w:rFonts w:ascii="Amiri" w:hAnsi="Amiri" w:eastAsia="Amiri" w:cs="Amiri"/>
          <w:color w:val="111111"/>
          <w:sz w:val="28"/>
          <w:sz w:val="28"/>
          <w:szCs w:val="28"/>
          <w:rtl w:val="true"/>
          <w:lang w:bidi="ar-SA"/>
        </w:rPr>
        <w:t xml:space="preserve">ونتيجتها فاسدة كتحصيل المنفعة المحرّمة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وجيهة ؛ لأنّ الدعوى ترجع إلى التمسّك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 إِلاَّ أَنْ تَكُونَ تِجَارَةً عَنْ تَرَاضٍ</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ما لا يخفى ؛ لأنّ المراد بالباطل والتجارة وسائر العناوين المأخوذة في الكريمة هو العناوين العرفية ، لا ما هو باطل بحكم الشرع ، أو تجارة صحيحة بحكمه ، ولهذا ترى أنّ الفقهاء تمسّكوا بها لصحّة التجارة في الموارد المشكوك فيها من جهة احتمال اعتبار شرط أو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المراد بالآية ما ذكر لما صحّ الاستدلال بها في شيء من الموارد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فالمراد بالباطل في مقابل التجارة عن تراض ، نحو السرقة والخيانة والبخس والقمار والظلم ، كما عن أبي جعفر علیه السلام تفسيره ببعضها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التجارة هي التجارة العرفية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 يصحّ الاستدلال بها لصحّة البيع ولو مع قصد المنفعة المحرّمة بعد ما كان للمبيع مالية عرفية بلحاظ المنفعة المحلّلة ؛ لعدم إسقاط الشارع ماليته حتّى يقال بتحكيم دليل الإسقاط على أدلّة حلّية البيع والتجارة والوفاء بالعقود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الشيء إذا كان ذا منفعة محرّمة ومنفعة محلّلة لا تسقط ماليته بإسقاط بعضها ، بل تقلّ ماليته في محيط التشريع والملتزمين بالشريعة والقانون ، فيصير </w:t>
      </w:r>
    </w:p>
    <w:p>
      <w:pPr>
        <w:pStyle w:val="BookText"/>
        <w:rPr/>
      </w:pPr>
      <w:r>
        <w:rPr>
          <w:rFonts w:ascii="Amiri" w:hAnsi="Amiri" w:eastAsia="Amiri" w:cs="Amiri"/>
          <w:color w:val="111111"/>
          <w:sz w:val="28"/>
          <w:sz w:val="28"/>
          <w:szCs w:val="28"/>
          <w:rtl w:val="true"/>
          <w:lang w:bidi="ar-SA"/>
        </w:rPr>
        <w:t xml:space="preserve">كأ نّه لا منفعة له إلاّ المحلّلة ، فيكون مالاً في الشرع والعرف ، والتجارة به تجارة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وقصد الانتفاع بالمحرّم لا دخل له بماليته ، ولا بماهية التجارة ، بل الانتفاع به من متفرّعات التجارة ومتأخّر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اشترى أحد سكّيناً بقصد قتل المؤمن وباع البائع لذلك لا يوجب ذلك فساد المعاوضة وصيرورة أخذ المال بإزائه أكلاً له بالباطل ، بل يصحّ بيعهما ويحرم على المشتري الإقدام على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الإعانة على الإثم</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يظهر من الشيخ الأعظم في خلال البحث من التمسّك بالآية الشريفة للبطلان</w:t>
      </w:r>
      <w:r>
        <w:rPr>
          <w:rStyle w:val="FootnoteAnchor"/>
          <w:rtl w:val="true"/>
        </w:rPr>
        <w:footnoteReference w:id="449"/>
      </w:r>
      <w:r>
        <w:rPr>
          <w:rFonts w:ascii="Amiri" w:hAnsi="Amiri" w:eastAsia="Amiri" w:cs="Amiri"/>
          <w:color w:val="111111"/>
          <w:sz w:val="28"/>
          <w:sz w:val="28"/>
          <w:szCs w:val="28"/>
          <w:rtl w:val="true"/>
          <w:lang w:bidi="ar-SA"/>
        </w:rPr>
        <w:t xml:space="preserve">، كأ نّه غير 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كانت المنفعة المحلّلة في جنب المحرّمة مستهلكة لا تلاحظ مالية الشيء باعتبارها ، كما مرّ مثاله ، فلا يصحّ بيعه بنحو الإطلاق أو بلحاظ المنفعة المحلّلة بقيمة ملحوظة لأجل المنفعة المحرّمة ؛ لإسقاط الشارع ماليته من هذه الجهة ، وكون المعاملة سفهية غير عقلائية بالقيمة الكذائية ، فإنّ إعطاء مليون تومان في مقابل خشب آلة عتيقة لهوية أسقط الشارع ماليتها بلحاظ صورتها ، معاملة سفهية غير عقلائية ، ولا مشمولة لأدلّة تنفيذ المعاملات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صحّ بلحاظ مادّتها وبقيمة الخشب ؛ لأنّ سقوط المنفعة القاهرة صار </w:t>
      </w:r>
    </w:p>
    <w:p>
      <w:pPr>
        <w:pStyle w:val="BookText"/>
        <w:rPr/>
      </w:pPr>
      <w:r>
        <w:rPr>
          <w:rFonts w:ascii="Amiri" w:hAnsi="Amiri" w:eastAsia="Amiri" w:cs="Amiri"/>
          <w:color w:val="111111"/>
          <w:sz w:val="28"/>
          <w:sz w:val="28"/>
          <w:szCs w:val="28"/>
          <w:rtl w:val="true"/>
          <w:lang w:bidi="ar-SA"/>
        </w:rPr>
        <w:t xml:space="preserve">سبباً لملحوظية المنفعة المقهورة ، كما لو فرض السقوط تكويناً ، فاللوح المنقوش العتيق البالغ سعره الآلاف ، لا تلحظ قيمة خشبه وقرطاسه في ماليته لدى العقلاء ، لكن بعد محو النقش وسقوطه عن خاصّيته وماليته يلاحظ الخشب والقرطاس ، والبيع بلحاظهما صحيح عقلائي بالقيمة الملحوظة لأجلهما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مراد شيخنا الأعظم غير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كلامه في المقام من نوع تشويش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البيع مع اشتراط الانتفاع بالمحرّم في ضمن العقد ؟</w:t>
      </w:r>
    </w:p>
    <w:p>
      <w:p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رجع الشرط إلى الإلزام بالانتفاع بالمحرّم ، لا عدم الانتفاع بالمحلّل ، وكان للعين انتفاع محلّل أيضاً ، يفسد الشرط ، وفساد البيع مبنيّ على كون شرط الفاسد مفسداً ؛ لأنّ المعاوضة وقعت على العينين ، وشرط انتفاع خاصّ محرّم خارج عن حقيقة المعاوضة ، فالقائل بالصحّة يمكن أن يقول بالتحليل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رجع إلى ترك الانتفاع بالمحلّل وحصر الانتفاع بالمحرّم ، أو شرط ما يوجب عدم إمكان الانتفاع بالمحلّل ، كما لو شرط أكل الزيت النجس مثلاً ، فالوجه عدم الصحّة ؛ لأنّ مثله يرجع إلى الشرط المخالف لمقتضى العقد ، فإنّ الانتفاع بالمحرّم ممنوع شرعاً ، والمالك شرط عدم الانتفاع بالمحلّل فرضاً ، فكأ نّه باع بإسقاط جميع المنافع مطلقاً ، وفي مثله لا تقع مبادلة مال بمال ، فإنّ المالية في الأشياء متقوّمة بالانتفاع ، ومع سلبه مطلقاً لم تقع صحيحة ، فتدبّر وتأمّل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حال القواعد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روايات الباب ، فالظاهر من موثّقة أبي بصير</w:t>
      </w:r>
      <w:r>
        <w:rPr>
          <w:rStyle w:val="FootnoteAnchor"/>
          <w:rtl w:val="true"/>
        </w:rPr>
        <w:footnoteReference w:id="450"/>
      </w:r>
      <w:r>
        <w:rPr>
          <w:rFonts w:ascii="Amiri" w:hAnsi="Amiri" w:eastAsia="Amiri" w:cs="Amiri"/>
          <w:color w:val="111111"/>
          <w:sz w:val="28"/>
          <w:sz w:val="28"/>
          <w:szCs w:val="28"/>
          <w:rtl w:val="true"/>
          <w:lang w:bidi="ar-SA"/>
        </w:rPr>
        <w:t xml:space="preserve">هو إعلام المشتري بعد وقوع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على إرادة البيع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فتدلّ ولو بحسب الإطلاق على جواز الاشتراء بقصد الانتفاع بالمحرّم مع الجهل بالواقعة ، ويستفاد منه عدم اشتراط قصد النفع بالمحلّل ، وعدم مانعية قصد المحرّم مع الجهل ولو من البائع بإلغاء الخصوصية ، من غير دلالة على الاشتراط بعدم قصد المحرّم مع العلم بالواقعة ، وحرمته غير اشتراط البيع بعدمه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من موثّقة معاوية بن وهب</w:t>
      </w:r>
      <w:r>
        <w:rPr>
          <w:rStyle w:val="FootnoteAnchor"/>
          <w:rtl w:val="true"/>
        </w:rPr>
        <w:footnoteReference w:id="451"/>
      </w:r>
      <w:r>
        <w:rPr>
          <w:rFonts w:ascii="Amiri" w:hAnsi="Amiri" w:eastAsia="Amiri" w:cs="Amiri"/>
          <w:color w:val="111111"/>
          <w:sz w:val="28"/>
          <w:sz w:val="28"/>
          <w:szCs w:val="28"/>
          <w:rtl w:val="true"/>
          <w:lang w:bidi="ar-SA"/>
        </w:rPr>
        <w:t xml:space="preserve">ذلك أيضاً ، ولا أقلّ من أنّ إطلاقها يقتضي عدم الفرق بين الإعلام السابق واللاحق عن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يقال بدلالة رواية إسماعيل بن عبد الخالق</w:t>
      </w:r>
      <w:r>
        <w:rPr>
          <w:rStyle w:val="FootnoteAnchor"/>
          <w:rtl w:val="true"/>
        </w:rPr>
        <w:footnoteReference w:id="452"/>
      </w:r>
      <w:r>
        <w:rPr>
          <w:rFonts w:ascii="IRNazanin" w:hAnsi="IRNazanin" w:eastAsia="IRNazanin"/>
          <w:color w:val="111111"/>
          <w:sz w:val="28"/>
          <w:sz w:val="28"/>
          <w:szCs w:val="28"/>
          <w:rtl w:val="true"/>
          <w:lang w:bidi="fa-IR"/>
        </w:rPr>
        <w:t>على اشتراط قصد الإسراج ، بل اشتراط شرطه</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سيّما الثانية ؛ فإنّ المتفاهم منها عرفاً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المقصود بالإعلام عدم ابتلاء المشتري بالحرام فيبتاع ويسرج به ، لا أنّ الابتياع للإسراج من شرائطه ، أو قصده من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ضعفها سنداً ومعارضتها للموثّقتين المتقدّمتين لو سلّم ظهورها في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العقلائي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بمناسبة المورد والحكم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الحمل على لزوم الإعلام حتّى يحترز عنه ، كان الإعلام قبل المعاوضة أو بعدها ، كما لا يخفى ، أو حمل النهي على الكراهة جمعاً بينها وبين ما دلّت على جواز الإعلام بعدها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وهما أولى وأقرب من حمل البيع على إرادته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أنّ الروايات متوافقة المضمون ، والظاهر من جميعها بقرينة المقام أنّ لزوم التبيين لمحض التحرّز ، والبيع لغاية غير الأكل كالاستصباح ، من غير دخالة فيه أو في قصد الاستصباح للصحّة ، وهو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الاستشهاد لعدم جواز البيع مع قصد الانتفاع بالمحرّم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Style w:val="FootnoteAnchor"/>
          <w:rtl w:val="true"/>
        </w:rPr>
        <w:footnoteReference w:id="45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Style w:val="FootnoteAnchor"/>
          <w:rtl w:val="true"/>
        </w:rPr>
        <w:footnoteReference w:id="455"/>
      </w:r>
      <w:r>
        <w:rPr>
          <w:rFonts w:ascii="Amiri" w:hAnsi="Amiri" w:eastAsia="Amiri" w:cs="Amiri"/>
          <w:color w:val="111111"/>
          <w:sz w:val="28"/>
          <w:sz w:val="28"/>
          <w:szCs w:val="28"/>
          <w:rtl w:val="true"/>
          <w:lang w:bidi="ar-SA"/>
        </w:rPr>
        <w:t>بل بالرضوي</w:t>
      </w:r>
      <w:r>
        <w:rPr>
          <w:rStyle w:val="FootnoteAnchor"/>
          <w:rtl w:val="true"/>
        </w:rPr>
        <w:footnoteReference w:id="456"/>
      </w:r>
      <w:r>
        <w:rPr>
          <w:rFonts w:ascii="Amiri" w:hAnsi="Amiri" w:eastAsia="Amiri" w:cs="Amiri"/>
          <w:color w:val="111111"/>
          <w:sz w:val="28"/>
          <w:sz w:val="28"/>
          <w:szCs w:val="28"/>
          <w:rtl w:val="true"/>
          <w:lang w:bidi="ar-SA"/>
        </w:rPr>
        <w:t xml:space="preserve">والنبوي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اللّه إذا حرّم </w:t>
      </w:r>
      <w:r>
        <w:rPr>
          <w:rFonts w:eastAsia="Amiri" w:cs="Amiri" w:ascii="Amiri" w:hAnsi="Amiri"/>
          <w:color w:val="111111"/>
          <w:sz w:val="28"/>
          <w:szCs w:val="28"/>
          <w:rtl w:val="true"/>
          <w:lang w:bidi="ar-SA"/>
        </w:rPr>
        <w:t>. . .»</w:t>
      </w:r>
      <w:r>
        <w:rPr>
          <w:rStyle w:val="FootnoteAnchor"/>
          <w:rtl w:val="true"/>
        </w:rPr>
        <w:footnoteReference w:id="45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حرّم شربه حرّم ثمنه</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أكل شيء حرّم ثمنه</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المحمولة بأجمعها على التحريم مع قصد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وبالروايات الواردة في العصير</w:t>
      </w:r>
      <w:r>
        <w:rPr>
          <w:rStyle w:val="FootnoteAnchor"/>
          <w:rtl w:val="true"/>
        </w:rPr>
        <w:footnoteReference w:id="460"/>
      </w:r>
      <w:r>
        <w:rPr>
          <w:rFonts w:ascii="Amiri" w:hAnsi="Amiri" w:eastAsia="Amiri" w:cs="Amiri"/>
          <w:color w:val="111111"/>
          <w:sz w:val="28"/>
          <w:sz w:val="28"/>
          <w:szCs w:val="28"/>
          <w:rtl w:val="true"/>
          <w:lang w:bidi="ar-SA"/>
        </w:rPr>
        <w:t xml:space="preserve">الدالّة على أ نّه إذا غلى لا يجوز بيعه ممّن يجعله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وروايات حرمة بيع الخمر</w:t>
      </w:r>
      <w:r>
        <w:rPr>
          <w:rStyle w:val="FootnoteAnchor"/>
          <w:rtl w:val="true"/>
        </w:rPr>
        <w:footnoteReference w:id="461"/>
      </w:r>
      <w:r>
        <w:rPr>
          <w:rFonts w:ascii="Amiri" w:hAnsi="Amiri" w:eastAsia="Amiri" w:cs="Amiri"/>
          <w:color w:val="111111"/>
          <w:sz w:val="28"/>
          <w:sz w:val="28"/>
          <w:szCs w:val="28"/>
          <w:rtl w:val="true"/>
          <w:lang w:bidi="ar-SA"/>
        </w:rPr>
        <w:t xml:space="preserve">المحمولة على ما إذا كان البيع لأجل الفساد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 الروايات الواردة في الجارية المغنّية</w:t>
      </w:r>
      <w:r>
        <w:rPr>
          <w:rStyle w:val="FootnoteAnchor"/>
          <w:rtl w:val="true"/>
        </w:rPr>
        <w:footnoteReference w:id="462"/>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bookmarkStart w:id="152" w:name="pg15158_206921"/>
    </w:p>
    <w:p>
      <w:pPr>
        <w:pStyle w:val="BookText"/>
        <w:rPr/>
      </w:pPr>
      <w:bookmarkEnd w:id="152"/>
      <w:r>
        <w:rPr>
          <w:rFonts w:ascii="Amiri" w:hAnsi="Amiri" w:eastAsia="Amiri" w:cs="Amiri"/>
          <w:color w:val="111111"/>
          <w:sz w:val="28"/>
          <w:sz w:val="28"/>
          <w:szCs w:val="28"/>
          <w:rtl w:val="true"/>
          <w:lang w:bidi="ar-SA"/>
        </w:rPr>
        <w:t xml:space="preserve">وهي وإن لم تبلغ حدّ استفادة الحكم جزماً في المقام ؛ لضعف ما دلّت وقصور غير الضعيف عن إثبات الحكم للمتنجّس ، لكن الحكم بالصحّة جرأة ، سيّما مع الظنّ بمخالفته لمذاق الشرع ، تأمّل ، فلا يترك الاحتياط فيه </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1851522_2142443653"/>
      <w:bookmarkStart w:id="154" w:name="_Toc52"/>
      <w:bookmarkEnd w:id="153"/>
      <w:r>
        <w:rPr>
          <w:rtl w:val="true"/>
        </w:rPr>
        <w:t xml:space="preserve">الموضع الثاني </w:t>
      </w:r>
      <w:r>
        <w:rPr>
          <w:rtl w:val="true"/>
        </w:rPr>
        <w:t xml:space="preserve">: </w:t>
      </w:r>
      <w:r>
        <w:rPr>
          <w:rtl w:val="true"/>
        </w:rPr>
        <w:t>في اشتراط الإعلام بالنجاسة وعدمه</w:t>
      </w:r>
      <w:bookmarkEnd w:id="154"/>
    </w:p>
    <w:p>
      <w:pPr>
        <w:pStyle w:val="BookText"/>
        <w:rPr/>
      </w:pPr>
      <w:r>
        <w:rPr>
          <w:rFonts w:ascii="Amiri" w:hAnsi="Amiri" w:eastAsia="Amiri" w:cs="Amiri"/>
          <w:color w:val="111111"/>
          <w:sz w:val="28"/>
          <w:sz w:val="28"/>
          <w:szCs w:val="28"/>
          <w:rtl w:val="true"/>
          <w:lang w:bidi="ar-SA"/>
        </w:rPr>
        <w:t xml:space="preserve">لا شبهة في وجوب الإعلام شرطاً لو قلنا باشتراط البيع به ، أو به وبقصد الاستصباح ، أو شرطه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ينبغي الإشكال في عدم وجوبه شرطاً ولا شرعاً لو قلنا باشتراط البيع باشتراط الاستصباح فباع بالشرط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الوجوب الشرطي فواضح ، وأمّا الشرعي فلأنّ المفروض عدم استفادته من روايات الباب ، ومع اشتراط الاستصباح به يرفع احتمال التسبيب إلى الارتكاب أو تحصيل شرطه أو رفع مانعه ، فإنّه باشتراطه بشرط لازم الوفاء لدى العقلاء وبحكم الشرع ، منعه عن الأكل وسائر التصرّفات غير الإسراج ، ومعه لا يكون سبباً أو نحوه للأكل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يقع الإشكال في تسبيبه لتنجّس ظروفه ومعرضية ابتلائه بالنجس في المأكول والمشروب ، ويأتي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بعدم الوجوب شرطاً فهل يستفاد من الروايات الوجوب النفسي لمصلحة في الإعلام أم لا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منها أنّ الوجوب شرعي لغاية التحفّظ عن وقوع </w:t>
      </w:r>
      <w:bookmarkStart w:id="155" w:name="pg15158_206922"/>
    </w:p>
    <w:p>
      <w:pPr>
        <w:pStyle w:val="BookText"/>
        <w:rPr/>
      </w:pPr>
      <w:bookmarkEnd w:id="155"/>
      <w:r>
        <w:rPr>
          <w:rFonts w:ascii="Amiri" w:hAnsi="Amiri" w:eastAsia="Amiri" w:cs="Amiri"/>
          <w:color w:val="111111"/>
          <w:sz w:val="28"/>
          <w:sz w:val="28"/>
          <w:szCs w:val="28"/>
          <w:rtl w:val="true"/>
          <w:lang w:bidi="ar-SA"/>
        </w:rPr>
        <w:t>المشتري في الحرام والابتلاء بالنجس ، فعليه لا يجب ذلك إذا علم بعدم ابتلائه</w:t>
      </w:r>
    </w:p>
    <w:p>
      <w:pPr>
        <w:pStyle w:val="BookText"/>
        <w:rPr/>
      </w:pPr>
      <w:r>
        <w:rPr>
          <w:rFonts w:ascii="Amiri" w:hAnsi="Amiri" w:eastAsia="Amiri" w:cs="Amiri"/>
          <w:color w:val="111111"/>
          <w:sz w:val="28"/>
          <w:sz w:val="28"/>
          <w:szCs w:val="28"/>
          <w:rtl w:val="true"/>
          <w:lang w:bidi="ar-SA"/>
        </w:rPr>
        <w:t xml:space="preserve">به من الشرب والملاقاة ونحوهما ، بل لا يجب مع علمه بعدم تأثير الإعلام فيه ؛ لكونه ممّن لا يبالي بالدين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الكلام هاهنا في جواز البيع منه أو جواز تسليطه عليه في الفرض ، فلو فرض أ نّه باعه مع الغفلة عن عدم مبالاته وأراد أن يعلمه بعد تحويل الزيت ثمّ بعده علم بأ نّه لا يبالي بالنجس ولا تأثير لإعلامه ، لم يجب عليه ذلك ؛ لأنّ وجوب الإعلام نظير وجوب الاحتياط لا نفسية له ؛ بمعنى أ نّه لا يكون الإعلام ذا مصلحة في نفسه وإن كان الوجوب نفسياً بمعنىً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للتوصّل إلى أمر آخر ، ومع حصوله على أيّ حال أو عدم حصوله كذلك ، لا يجب ، نظير وجوب الأمر بالمعروف والنهي عن المنكر ، فإنّهما مع عدم احتمال التأثير لا يجبان ، كما هو واضح </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1851524_2142443653"/>
      <w:bookmarkStart w:id="157" w:name="_Toc53"/>
      <w:bookmarkEnd w:id="156"/>
      <w:r>
        <w:rPr>
          <w:rtl w:val="true"/>
        </w:rPr>
        <w:t>حول كلام الشيخ في أقسام إلقاء الغير في الحرمة الواقعية</w:t>
      </w:r>
      <w:bookmarkEnd w:id="157"/>
    </w:p>
    <w:p>
      <w:pPr>
        <w:pStyle w:val="BookText"/>
        <w:rPr/>
      </w:pPr>
      <w:r>
        <w:rPr>
          <w:rFonts w:ascii="IRNazanin" w:hAnsi="IRNazanin" w:eastAsia="IRNazanin"/>
          <w:color w:val="111111"/>
          <w:sz w:val="28"/>
          <w:sz w:val="28"/>
          <w:szCs w:val="28"/>
          <w:rtl w:val="true"/>
          <w:lang w:bidi="fa-IR"/>
        </w:rPr>
        <w:t xml:space="preserve">ثمّ إنّي بنيت على قصر البحث في هذا الأمر على ما ذكر ممّا هو مربوط بجوهر المسألة ، لكن جمع من أصحاب البحث أمروني بالتعرّض لما أفاده الشيخ الأعظم من العناوين الأربعة ، فنقتصر على البحث حول بعض ما أفاده وحقّقه  رحمه الله علیه  </w:t>
      </w:r>
      <w:r>
        <w:rPr>
          <w:rFonts w:eastAsia="IRNazanin" w:cs="IRNazanin"/>
          <w:color w:val="111111"/>
          <w:sz w:val="28"/>
          <w:szCs w:val="28"/>
          <w:rtl w:val="true"/>
          <w:lang w:bidi="fa-IR"/>
        </w:rPr>
        <w:t>.</w:t>
      </w:r>
    </w:p>
    <w:p>
      <w:pPr>
        <w:pStyle w:val="Heading5"/>
        <w:numPr>
          <w:ilvl w:val="4"/>
          <w:numId w:val="1"/>
        </w:numPr>
        <w:rPr/>
      </w:pPr>
      <w:bookmarkStart w:id="158" w:name="__RefHeading___Toc1851526_2142443653"/>
      <w:bookmarkStart w:id="159" w:name="_Toc54"/>
      <w:bookmarkEnd w:id="158"/>
      <w:r>
        <w:rPr>
          <w:rtl w:val="true"/>
        </w:rPr>
        <w:t xml:space="preserve">منها </w:t>
      </w:r>
      <w:r>
        <w:rPr>
          <w:rtl w:val="true"/>
        </w:rPr>
        <w:t xml:space="preserve">: </w:t>
      </w:r>
      <w:r>
        <w:rPr>
          <w:rtl w:val="true"/>
        </w:rPr>
        <w:t>كون فعل الشخص علّة تامّة لوقوع الحرام</w:t>
      </w:r>
      <w:bookmarkEnd w:id="15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 اُمور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فعل الشخص علّة تامّة لوقوع الحرام في الخارج ، كما إذا أكره غيره على المحرّم ، ولا إشكال في حرمته </w:t>
      </w:r>
    </w:p>
    <w:p>
      <w:pPr>
        <w:pStyle w:val="BookText"/>
        <w:rPr/>
      </w:pPr>
      <w:r>
        <w:rPr>
          <w:rFonts w:ascii="Amiri" w:hAnsi="Amiri" w:eastAsia="Amiri" w:cs="Amiri"/>
          <w:color w:val="111111"/>
          <w:sz w:val="28"/>
          <w:sz w:val="28"/>
          <w:szCs w:val="28"/>
          <w:rtl w:val="true"/>
          <w:lang w:bidi="ar-SA"/>
        </w:rPr>
        <w:t>وكون وزر الحرام عليه ، بل أشدّ ، لظلمه</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جهات من البحث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بصيرورة فعل الشخص علّة تامّة لتحقّق الحرام ، أن يكون فعله علّة تامّة لتحقّق الحرام من الغير ، كما هو مقتضى عنوان البحث والمثال بالمكره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العلّة التامّة ما لا تكون لغيرها في تحقّق المعلول دخالة ، ويكون تمام التأثير في إيجاده مستنداً إليها ، وإلاّ لا تكون تامّة ، وفي المقام لا يمكن تصوّر كون العلّة التامّة هو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دخالته في الإيجاد إلاّ تحصيل مورد ترجيح الفاعل المباشر بين ارتكاب الفعل وتحمّل ما أوعده المكره عليه ، وبعدُ فهو باقٍ على اختياره واصطفائه أحد طرفي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فالمكرِه لا يسلب اختيار المكرَه ، فإنّه عبارة عن اصطفاء ما هو خير له ، وهو باقٍ على قوّة التمييز وترجيح أحد طرفي الفعل واصطفائه على الآخر ، من غير فرق بين الطرف المكره عليه والطرف الآخر وإن يرجِّح غالباً أوّلهما ؛ لكونه أقلّ محذوراً ، لا لكونه مسلوب الاختيار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يحرم عليه مع الإكراه الإقدام على القتل ، ويعاقب عليه ويقتل قصاصاً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فالفرق بين الفاعل المكرَه وبين المختار الاصطلاحي ، ليس في وجود الاختيار وعدمه ، بل في أمر مقدّم على الاختيار الواقعي ، وهو تحقّق مورد الترجيح العقلي لأحد الطرفين ، فإنّه قد يحصل بعلل غير إكراه المكره ، كمن دار </w:t>
      </w:r>
    </w:p>
    <w:p>
      <w:pPr>
        <w:pStyle w:val="BookText"/>
        <w:rPr/>
      </w:pPr>
      <w:r>
        <w:rPr>
          <w:rFonts w:ascii="Amiri" w:hAnsi="Amiri" w:eastAsia="Amiri" w:cs="Amiri"/>
          <w:color w:val="111111"/>
          <w:sz w:val="28"/>
          <w:sz w:val="28"/>
          <w:szCs w:val="28"/>
          <w:rtl w:val="true"/>
          <w:lang w:bidi="ar-SA"/>
        </w:rPr>
        <w:t xml:space="preserve">أمره لأجل مرض بين الموت وقطع اليد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مكره عليه ، بل هو مضطرّ فيه ؛ أي يلجئه العقل بترجيح المصلحة الغالبة على المفسدة ، أو بالفرار من المحذور الكثير إلى القليل من غير سلب قوّة التمييز والاختيار والإرادة عنه ، وقد يحصل بإكراه مكره ، فدار أمره بين تحمّل ما أوعده عليه من القتل وغيره ، وبين إتيان ما أمره به ، وفي هذه الصورة أيضاً لم تسلب عنه المبادئ المتقدّمة بل يرجّح أقلّ المحذورين ويختاره ويريده ، وما هو كذلك شأنه كيف يمكن أن يكون علّة تامّة للفعل الصادر من المكرَه ؟</w:t>
      </w:r>
    </w:p>
    <w:p>
      <w:pPr>
        <w:pStyle w:val="BookText"/>
        <w:rPr/>
      </w:pPr>
      <w:r>
        <w:rPr>
          <w:rFonts w:ascii="Amiri" w:hAnsi="Amiri" w:eastAsia="Amiri" w:cs="Amiri"/>
          <w:color w:val="111111"/>
          <w:sz w:val="28"/>
          <w:sz w:val="28"/>
          <w:szCs w:val="28"/>
          <w:rtl w:val="true"/>
          <w:lang w:bidi="ar-SA"/>
        </w:rPr>
        <w:t>بل قلنا في محلّه</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الفاعل المباشر أيضاً ليست علّة تامّة لوجود الفعل وتحقّقه خارجاً ؛ ضرورة توسّط مبادٍ اُخر بينها وبين وجود الفعل الخارجي ، كالقوى المنبثّة في الأوتار والأعصاب ونفس الأوتار والأعصاب والعضلات ، فالنفس في العالم الطبيعي فاعلة بالآلة ، وما هي شأنها لا تكون إرادتها علّة تامّة للفعل الخارجي فضلاً عن كونها بالنسبة إلى الفعل المكره عليه كذلك ، ولهذا كثيراً ما تتخلّف الإرادة عن المراد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يمكن أن يقهر بعض النفوس القويّة قوى الفاعل وآلاته وسخّرها تحت إرادته ؛ بحيث تسلب الإرادة والاختيار والفاعلية عنه ويصير متحرّكاً وفاعلاً بإرادته وتكون قوى الفاعل كالآلة للنفس المسخِّرة إيّاه ، وفي مثله لا يكون الفعل صادراً عن المسخّر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المسخِّر القاهر ، وهو خارج عن البحث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الصادر من المكرَه بإكراه مكرِه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بواسطة الإكراه عن الحرمة الفعلية ، كالإكراه على القتل ، فإنّه محرّم فعلي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أوعده على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عن الحرمة الفعلية بالإكراه ، ولولاه يكون محرّماً فعلياً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الفعل قبل تحقّق الإكراه خارجاً عن الحرمة الفعلية ، كما لو اضطرّ إليه ولم يفعله فاُكره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حرمة الإكراه في الصورة الاُولى ؛ للقبح عقلاً في تحريك الغير على معصية المولى ، فضلاً عن إكراهه عليها ، مع أنّ النصّ والفتوى متوافقان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لا إشكال في عدم الحرمة من حيث الإكراه على الفعل في الأخيرة ؛ ضرورة أ نّه مع الضرورة صار مباحاً ومرخّصاً فيه بل قد يكون الأمر برفع الاضطرار به أو الإكراه عليه واجباً ، كما لو ترك المضطرّ المشرف على الموت أكل الميتة أو مال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فيما يكون الحكم على نحو الترخيص لا يجوز للغير إكراهه عليه؛ لكونه 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الصورة الثانية ؛ أي فيما صار الإكراه موجباً لرفع الحرمة عن المباشر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العناوين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تبديل العنوان الذي يتبدّل به الحكم من قبيل عنوان عرضي مقابل للآخر، كالمسافر والحاضر، فتكون لكلّ عنوان مصلحة خاصّة به مستتبعة لحكم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إشكال في مثله في جواز تبديل أحدهما بالآخر للفاعل ولا يحرم من </w:t>
      </w:r>
    </w:p>
    <w:p>
      <w:pPr>
        <w:pStyle w:val="BookText"/>
        <w:rPr/>
      </w:pPr>
      <w:r>
        <w:rPr>
          <w:rFonts w:ascii="Amiri" w:hAnsi="Amiri" w:eastAsia="Amiri" w:cs="Amiri"/>
          <w:color w:val="111111"/>
          <w:sz w:val="28"/>
          <w:sz w:val="28"/>
          <w:szCs w:val="28"/>
          <w:rtl w:val="true"/>
          <w:lang w:bidi="ar-SA"/>
        </w:rPr>
        <w:t xml:space="preserve">هذه الجهة على المكرِه وإن حرم عليه الظلم ، فلو أكره غيرَه على السفر لا يعاقب على إلزامه بترك الصلاة التامّة ، فإنّها في السفر محرّمة لا مصلحة فيها ، ومن قبيل تبديل عنوان بعنوان آخر في عرضه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يكون كذلك ، بأن يكون العنوان المتعلّق للحكم مبغوضاً بنحو الإطلاق وإنّما أجاز المولى في بعض الأحيان إتيان مبغوضه إلجاءً ، كمن أجاز قطع يده لحفظ نفسه ، فإنّ قطعها مبغوض مطلقاً ، لكن ربّما يختار الإنسان مبغوضه الفعلي لدفع محذور أشدّ منه فيتأسّف على وقوع تلك الواقعة التي ألزمته على التسليم على المبغوض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مثله تحصيل هذا العنوان قبيح ، والإكراه على تحصيله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من أخذ العناوين العذرية في موضوع الترخيص هو كونه من قبيل الصورة الثانية ، إلاّ أن دلّ دليل على خلافه ، ولهذا قلنا بعدم جواز إهراق الماء وتحصيل العذر والفقدان اختياراً ، واستثنى الشارع الأقدس الباغي والعادي من المضطرّ في أكل الميتة ، بل لو اضطرّ الفاعل نفسه بارتكاب محرّم قد يجب عليه إتيانه ومع ذلك يعاقب على الفعل بحكم العقل كالمتوسّط في الأرض المغصوبة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المورد تفويت لغرض المولى ، وإلقاء للنفس أو الغير في ارتكاب مبغوضه وهو قبيح عقلاً ، حرام شرعاً ، وإن لم يكن مخالفة للأمر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مورد يكون الإكراه على محرّم مع بقائه على ما هو عليه من الحرمة على المباشر كالإكراه على القتل ، يكون وزره على المباشر ، قصاصاً كان أو عقاباً ، وعلى المكره استحقاق العقاب ، وربّما يجعل له جزاءً </w:t>
      </w:r>
    </w:p>
    <w:p>
      <w:pPr>
        <w:pStyle w:val="BookText"/>
        <w:rPr/>
      </w:pPr>
      <w:r>
        <w:rPr>
          <w:rFonts w:ascii="Amiri" w:hAnsi="Amiri" w:eastAsia="Amiri" w:cs="Amiri"/>
          <w:color w:val="111111"/>
          <w:sz w:val="28"/>
          <w:sz w:val="28"/>
          <w:szCs w:val="28"/>
          <w:rtl w:val="true"/>
          <w:lang w:bidi="ar-SA"/>
        </w:rPr>
        <w:t>في الدنيا ، كما وردت رواية صحيحة بأنّ الآمر بالقتل يحبس حتّى يموت</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الثالثة من الصور المتقدّمة ، فلا وزر عليه في الارتكاب حتّى يكون وزره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لا يكون عليه وزر بل له أجر كما تقدّم ، وقد يكون عليه وزر الظلم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الثانية لا وزر على المأمور ، وعلى المكرِه وزر الظلم والإكراه بإيجاد المبغوض وتفويت المصلحة ، ولا دليل على كونه بمقدار وزر الفاعل لو كان مختاراً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ورد في باب إكراه الزوجة على الجماع نهاراً في شهر رمضان أنّ على المكرِه كفّارتين وضرب خمسين سوطاً ، وإن كانت طاوعته فعليه كفّارة وضرب خمسة وعشرين سوطاً ، وعليها مثل ذلك</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ووردت روايات بأنّ من اغتصب امرأة فرجها ، يقتل ، محصناً كان أو غير محصن</w:t>
      </w:r>
      <w:r>
        <w:rPr>
          <w:rStyle w:val="FootnoteAnchor"/>
          <w:rtl w:val="true"/>
        </w:rPr>
        <w:footnoteReference w:id="467"/>
      </w:r>
      <w:r>
        <w:rPr>
          <w:rFonts w:ascii="Amiri" w:hAnsi="Amiri" w:eastAsia="Amiri" w:cs="Amiri"/>
          <w:color w:val="111111"/>
          <w:sz w:val="28"/>
          <w:sz w:val="28"/>
          <w:szCs w:val="28"/>
          <w:rtl w:val="true"/>
          <w:lang w:bidi="ar-SA"/>
        </w:rPr>
        <w:t xml:space="preserve">، مع أنّ غير المحصن لا يقتل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الفقهاء بلا نقل خلاف أنّ ضمان التلف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المكرَه</w:t>
      </w:r>
      <w:r>
        <w:rPr>
          <w:rStyle w:val="FootnoteAnchor"/>
          <w:rtl w:val="true"/>
        </w:rPr>
        <w:footnoteReference w:id="468"/>
      </w:r>
      <w:r>
        <w:rPr>
          <w:rFonts w:ascii="Amiri" w:hAnsi="Amiri" w:eastAsia="Amiri" w:cs="Amiri"/>
          <w:color w:val="111111"/>
          <w:sz w:val="28"/>
          <w:sz w:val="28"/>
          <w:szCs w:val="28"/>
          <w:rtl w:val="true"/>
          <w:lang w:bidi="ar-SA"/>
        </w:rPr>
        <w:t xml:space="preserve">، والمقام لا يسع تحقيقه </w:t>
      </w:r>
      <w:r>
        <w:rPr>
          <w:rFonts w:eastAsia="Amiri" w:cs="Amiri" w:ascii="Amiri" w:hAnsi="Amiri"/>
          <w:color w:val="111111"/>
          <w:sz w:val="28"/>
          <w:szCs w:val="28"/>
          <w:rtl w:val="true"/>
          <w:lang w:bidi="ar-SA"/>
        </w:rPr>
        <w:t xml:space="preserve">. </w:t>
      </w:r>
      <w:bookmarkStart w:id="160" w:name="pg15158_206928"/>
    </w:p>
    <w:p>
      <w:pPr>
        <w:pStyle w:val="Heading5"/>
        <w:numPr>
          <w:ilvl w:val="4"/>
          <w:numId w:val="1"/>
        </w:numPr>
        <w:rPr/>
      </w:pPr>
      <w:bookmarkStart w:id="161" w:name="__RefHeading___Toc1851528_2142443653"/>
      <w:bookmarkStart w:id="162" w:name="_Toc55"/>
      <w:bookmarkEnd w:id="160"/>
      <w:bookmarkEnd w:id="161"/>
      <w:r>
        <w:rPr>
          <w:rtl w:val="true"/>
        </w:rPr>
        <w:t xml:space="preserve">منها </w:t>
      </w:r>
      <w:r>
        <w:rPr>
          <w:rtl w:val="true"/>
        </w:rPr>
        <w:t xml:space="preserve">: </w:t>
      </w:r>
      <w:r>
        <w:rPr>
          <w:rtl w:val="true"/>
        </w:rPr>
        <w:t>كون فعل الشخص سبباً للحرام</w:t>
      </w:r>
      <w:bookmarkEnd w:id="162"/>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فعله سبباً للحرام ، كمن قدّم إلى غيره محرّماً ، ومثله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أنّ الأقوى فيه التحريم ؛ لأنّ استناد الفعل إلى السبب أقوى ، فنسبة فعل الحرام إليه أولى ، ولذا يستقرّ الضمان على السبب دون المباشر الجاهل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ضمان ابتداءً إلاّ عليه</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فعله سبباً للحرام الفعلي وحصول المعصية فلا إشكال في قبحه عقلاً وحرمته ، لا لقوّة السبب ، بل لأنّ مطلق تحريك الغير وأمره بالمنكر محرّم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قدّم الحرام إلى العالم به ليأكله ، ارتكب محرّماً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جهل الفاعل المباشر بالواقعة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بأنّ المجهول موضوعاً بقي على مبغوضيته ، كما قلنا في الاضطرار والاستكراه ، فلا يجوز التسبيب وغيره ، لا لقوّة السبب وضعف المباشر بل هو نظير المحرّم الفعلي بلا افتراق بينهما من هذه الجهة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بعدم بقائه على مبغوضيته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يحبّ أن يؤخذ برخصه كما يحبّ أن يؤخذ بعزائمه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w:t>
      </w:r>
      <w:r>
        <w:rPr>
          <w:rStyle w:val="FootnoteAnchor"/>
          <w:rtl w:val="true"/>
        </w:rPr>
        <w:footnoteReference w:id="470"/>
      </w:r>
      <w:r>
        <w:rPr>
          <w:rFonts w:ascii="Amiri" w:hAnsi="Amiri" w:eastAsia="Amiri" w:cs="Amiri"/>
          <w:color w:val="111111"/>
          <w:sz w:val="28"/>
          <w:sz w:val="28"/>
          <w:szCs w:val="28"/>
          <w:rtl w:val="true"/>
          <w:lang w:bidi="ar-SA"/>
        </w:rPr>
        <w:t>، ويظهر من بعض الروايات جواز إيجاد الجهل ومرجوحية السؤال لرفعه</w:t>
      </w:r>
      <w:r>
        <w:rPr>
          <w:rStyle w:val="FootnoteAnchor"/>
          <w:rtl w:val="true"/>
        </w:rPr>
        <w:footnoteReference w:id="471"/>
      </w:r>
      <w:r>
        <w:rPr>
          <w:rFonts w:ascii="Amiri" w:hAnsi="Amiri" w:eastAsia="Amiri" w:cs="Amiri"/>
          <w:color w:val="111111"/>
          <w:sz w:val="28"/>
          <w:sz w:val="28"/>
          <w:szCs w:val="28"/>
          <w:rtl w:val="true"/>
          <w:lang w:bidi="ar-SA"/>
        </w:rPr>
        <w:t xml:space="preserve">، فالتسبيب إليه جائز ؛ لأ نّه تسبيب </w:t>
      </w:r>
    </w:p>
    <w:p>
      <w:pPr>
        <w:pStyle w:val="BookText"/>
        <w:rPr/>
      </w:pPr>
      <w:r>
        <w:rPr>
          <w:rFonts w:ascii="Amiri" w:hAnsi="Amiri" w:eastAsia="Amiri" w:cs="Amiri"/>
          <w:color w:val="111111"/>
          <w:sz w:val="28"/>
          <w:sz w:val="28"/>
          <w:szCs w:val="28"/>
          <w:rtl w:val="true"/>
          <w:lang w:bidi="ar-SA"/>
        </w:rPr>
        <w:t xml:space="preserve">إلى الحلال الغير المبغوض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القواعد ، لكن يظهر من جملة من الروايات عدم جواز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المتقدّمة الدالّة على وجوب الإعلام</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منها بإلغاء الخصوصية عدم جواز التسبيب ونحوه في سائر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وردت في العجين النجس من الأمر ببيعه ممّن يستحلّ</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 الأمر بدفنه والنهي عن بيعه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وردت في الميتة المختلطة بالمذكّى من الأمر ببيعه من المستحلّ دون المسلم</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وردت في إراقة المرق الكثير ، أو إطعامه الكلب أو الكافر</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ما نحن فيه ؛ أي بيع المتنجّس مع عدم الإعلام ، ليس من قبيل السبب ؛ لعدم اشتراط الأكل ولا التواطؤ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إمكان أن يأكل منه ، لا يوجب السببية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يكون مراد الشيخ من كون فعل الشخص سبباً للحرام ، </w:t>
      </w:r>
    </w:p>
    <w:p>
      <w:pPr>
        <w:pStyle w:val="BookText"/>
        <w:rPr/>
      </w:pPr>
      <w:r>
        <w:rPr>
          <w:rFonts w:ascii="Amiri" w:hAnsi="Amiri" w:eastAsia="Amiri" w:cs="Amiri"/>
          <w:color w:val="111111"/>
          <w:sz w:val="28"/>
          <w:sz w:val="28"/>
          <w:szCs w:val="28"/>
          <w:rtl w:val="true"/>
          <w:lang w:bidi="ar-SA"/>
        </w:rPr>
        <w:t xml:space="preserve">وقوّة السبب وضعف المباشر، ما أشرنا إليه من أنّ الفعل المجهول بقي على مبغوضيته ، ومعه لا يجوز التسبيب إلى ارتكاب الجاهل ، وأنّ وجود المبغوض مستند إلى السبب بنحو 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مراده صدق آكل النجس وشاربه على السبب ، حتّى يستشكل عليه بأنّ عنوان المحرّم إذا كان اختيار مباشرة الفعل ، كما هو ظاهر أدلّة المحرّمات ، لا ينسب إلى السبب ، بل ولا إلى العلّة التامّة ، فمن أوجر الخمر في حلق الغير قهراً لا يصدق عليه أ نّه شرب الخمر ، بل في مثله لا يتحقّق عنوان المحرّم رأساً ؛ فإنّ الشارب غير مختار ، والعلّة غير 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كان عنوان المحرّم ما هو أعمّ صادق على السبب والمباشر كعنوان الإتلاف ، صحّ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أقوائية السبب ، أنّ عنوان الإتلاف صادق على فعلهما ، مع زيادة الاختيار في السبب</w:t>
      </w:r>
      <w:r>
        <w:rPr>
          <w:rStyle w:val="FootnoteAnchor"/>
          <w:rtl w:val="true"/>
        </w:rPr>
        <w:footnoteReference w:id="47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نظر الشيخ ظاهراً إلى ما ذكرناه ، فالسبب موجب لوجود المبغوض في الخارج ، وهو أقوى في ذلك من المباشر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التفريق بين المقامين بما ذكره كأ نّه في غير محلّه ، فإنّ الإتلاف لا يصدق حقيقةً إلاّ على فعل المباشر، والانتساب إلى السبب مجاز بلا شبهة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قدّم مال الغير إلى جاهل فأكله ، لا يكون ممّن أتلف ماله حقيقة ، بل الآكل هو المتلف ، ولا فرق بين آكل المال ومتلفه ؛ فإنّه أتلفه بأكله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يصدق الآكل حقيقة على القادم ، لا يصدق المتلف عليه أيضاً على الحقيقة </w:t>
      </w:r>
      <w:r>
        <w:rPr>
          <w:rFonts w:eastAsia="Amiri" w:cs="Amiri" w:ascii="Amiri" w:hAnsi="Amiri"/>
          <w:color w:val="111111"/>
          <w:sz w:val="28"/>
          <w:szCs w:val="28"/>
          <w:rtl w:val="true"/>
          <w:lang w:bidi="ar-SA"/>
        </w:rPr>
        <w:t xml:space="preserve">. </w:t>
      </w:r>
      <w:bookmarkStart w:id="163" w:name="pg15158_206931"/>
    </w:p>
    <w:p>
      <w:pPr>
        <w:pStyle w:val="BookText"/>
        <w:rPr/>
      </w:pPr>
      <w:bookmarkEnd w:id="163"/>
      <w:r>
        <w:rPr>
          <w:rFonts w:ascii="Amiri" w:hAnsi="Amiri" w:eastAsia="Amiri" w:cs="Amiri"/>
          <w:color w:val="111111"/>
          <w:sz w:val="28"/>
          <w:sz w:val="28"/>
          <w:szCs w:val="28"/>
          <w:rtl w:val="true"/>
          <w:lang w:bidi="ar-SA"/>
        </w:rPr>
        <w:t xml:space="preserve">نعم ، يصحّ الانتساب المجازي في الثاني دون الأوّل ، وهو الفارق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دليل الضمان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أتلف مال الغير فهو ضامن ، لا يصحّ الحكم بالضمان في الصورتين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المستفاد من الأخبار المختلفة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أضرّ بشيء من طريق المسلمين فهو له ضامن</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وغيره</w:t>
      </w:r>
      <w:r>
        <w:rPr>
          <w:rStyle w:val="FootnoteAnchor"/>
          <w:rtl w:val="true"/>
        </w:rPr>
        <w:footnoteReference w:id="479"/>
      </w:r>
      <w:r>
        <w:rPr>
          <w:rFonts w:ascii="Amiri" w:hAnsi="Amiri" w:eastAsia="Amiri" w:cs="Amiri"/>
          <w:color w:val="111111"/>
          <w:sz w:val="28"/>
          <w:sz w:val="28"/>
          <w:szCs w:val="28"/>
          <w:rtl w:val="true"/>
          <w:lang w:bidi="ar-SA"/>
        </w:rPr>
        <w:t xml:space="preserve">، أنّ الضمان لا يدور مدار صدق الإتلاف ، بل يترتّب على التسبيب والمباشرة ، والمراد من التسبيب ليس معناه المصطلح بل أعمّ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وللكلام محلّ آخر</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المثال الذي ذكره المستشكل للعلّة التامّة مورد مناقشة ، والأمر 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تعرّض لصورتين اُخري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Style w:val="FootnoteAnchor"/>
          <w:rtl w:val="true"/>
        </w:rPr>
        <w:footnoteReference w:id="481"/>
      </w:r>
      <w:r>
        <w:rPr>
          <w:rFonts w:ascii="Amiri" w:hAnsi="Amiri" w:eastAsia="Amiri" w:cs="Amiri"/>
          <w:color w:val="111111"/>
          <w:sz w:val="28"/>
          <w:sz w:val="28"/>
          <w:szCs w:val="28"/>
          <w:rtl w:val="true"/>
          <w:lang w:bidi="ar-SA"/>
        </w:rPr>
        <w:t xml:space="preserve">لا فائدة في التعرّض لهما </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1851530_2142443653"/>
      <w:bookmarkStart w:id="165" w:name="_Toc56"/>
      <w:bookmarkEnd w:id="164"/>
      <w:r>
        <w:rPr>
          <w:rtl w:val="true"/>
        </w:rPr>
        <w:t>حول كلام الشيخ فيما يدلّ على قاعدة التغرير</w:t>
      </w:r>
      <w:bookmarkEnd w:id="165"/>
    </w:p>
    <w:p>
      <w:pPr>
        <w:pStyle w:val="BookText"/>
        <w:rPr/>
      </w:pPr>
      <w:r>
        <w:rPr>
          <w:rFonts w:ascii="Amiri" w:hAnsi="Amiri" w:eastAsia="Amiri" w:cs="Amiri"/>
          <w:color w:val="111111"/>
          <w:sz w:val="28"/>
          <w:sz w:val="28"/>
          <w:szCs w:val="28"/>
          <w:rtl w:val="true"/>
          <w:lang w:bidi="ar-SA"/>
        </w:rPr>
        <w:t xml:space="preserve">لكن لا بأس بالتنبيه على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 نّه  قدّس سرّه  جعل المورد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مصاديق قاعدة التغرير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التسبيب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عدم المانع ، واختار الحرمة في العنوانين الأوّلين ، وفصّل في الثالث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حال العنوانين ، لكن نقول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المورد إن كان منطبق العناوين الثلاثة ، فإن دلّ دليل على حرمتها أو حرمة عنوانين منها نفسياً ، </w:t>
      </w:r>
    </w:p>
    <w:p>
      <w:pPr>
        <w:pStyle w:val="BookText"/>
        <w:rPr/>
      </w:pPr>
      <w:r>
        <w:rPr>
          <w:rFonts w:ascii="Amiri" w:hAnsi="Amiri" w:eastAsia="Amiri" w:cs="Amiri"/>
          <w:color w:val="111111"/>
          <w:sz w:val="28"/>
          <w:sz w:val="28"/>
          <w:szCs w:val="28"/>
          <w:rtl w:val="true"/>
          <w:lang w:bidi="ar-SA"/>
        </w:rPr>
        <w:t xml:space="preserve">فمقتضاه عدم التداخل وبقاء كلّ عنوان على حرمته وكون المصداق الخارجي منطبق المحرّمات بلا تداخل ، كسائر موارد انطباق العناوين الواجبة أو المحرّمة على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تدلّ الروايات التي في الباب ولا غيرها ممّا تمسّك بها ، على قاعدة تغرير الجاهل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فلعدم دلالتها إلاّ على وجوب الإعلام لئلاّ يقع المشتري في الحرام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وجوبه ذلك هل للزوم تركه للتغرير ، أو لكون تركه مستلزماً لتحقّق التسبيب بتسليط المشتري على شيء يتداول أكله وكان ذلك منفعته الشائعة فهو تسبيب ، أو نظيره ممّا هو زائد على عنوان التغرير ؟ فغير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احتمال أن يكون للتسبيب أو نحوه أقرب إلى مفادها ؛ إذ من المحتمل أن يكون وجوب الإعلام مختصّاً بمورد البيع والتسليط ، فيكون له دخالة فيه بنحو جزء السبب ، فكأ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بعته وسلّطته على المبيع الذي في مظنّة الأكل عادة ، يجب عليك إعلامه لئلاّ تصير سبباً لوقوعه في الحرام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عدم دلالتها على وجوب الإعلام بنحو الإطلاق ولو علم بابتلاء المكلّف بالحرام ؛ لقصورها عن الدلالة عليه كذلك ، ولا على قاعدة التغرير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نوقش في دلالتها على حرمة التسبيب فلا أقلّ من عدم دلالتها على شيء من العناوين المنطبقة على المورد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دلّت على حرمة الفتوى بغير علم ، كصحيحة أبي عبيدة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أفتى الناس بغير علم ولا هدىً من اللّه ، لعنته </w:t>
      </w:r>
    </w:p>
    <w:p>
      <w:pPr>
        <w:pStyle w:val="BookText"/>
        <w:rPr/>
      </w:pPr>
      <w:r>
        <w:rPr>
          <w:rFonts w:ascii="Amiri" w:hAnsi="Amiri" w:eastAsia="Amiri" w:cs="Amiri"/>
          <w:color w:val="111111"/>
          <w:sz w:val="28"/>
          <w:sz w:val="28"/>
          <w:szCs w:val="28"/>
          <w:rtl w:val="true"/>
          <w:lang w:bidi="ar-SA"/>
        </w:rPr>
        <w:t>ملائكة الرحمة ، وملائكة العذاب ، ولحقه وزر من عمل بفتياه</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 فلا تدلّ على قاعدة الغرور ؛ لاحتمال أن يكون المراد بها الطعن على من أفتى بالقياس والاستحسان ، وعمل الناس بفتياه مع علمهم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المقصود أنّ للعامل المرتكب للحرام وزراً ونظير وزره على المفتي بغير علم ولا هدى من اللّه تعالى ، نظير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فله أجر من عمل بها ، ومن سنّ سنّة سيّئة فله وزر من عمل بها</w:t>
      </w:r>
      <w:r>
        <w:rPr>
          <w:rFonts w:eastAsia="Amiri" w:cs="Amiri" w:ascii="Amiri" w:hAnsi="Amiri"/>
          <w:color w:val="111111"/>
          <w:sz w:val="28"/>
          <w:szCs w:val="28"/>
          <w:rtl w:val="true"/>
          <w:lang w:bidi="ar-SA"/>
        </w:rPr>
        <w:t>»</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من تحميل وزره عليه بقرينة مقابله ، أنّ وزره عليه من غير نقصان عن وزره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ربط لها بقاعدة التغرير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بعيداً أن يكون المراد التشديد على المفتي المذكور بأن لعنته ملائكة الرحمة والعذاب ، وعليه أوزار من عمل بفتياه ؛ كان الوزر من العمل بهذه الفتيا أو غيره ، نظير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كذا كان عليه وزر الأوّلين والآخرين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سلّمت دلالتها على أنّ من أفتى كذلك كان عليه وزر العامل بفتياه ، لا تدلّ على القاعدة ؛ لأنّ فتيا من التزم الناس بالعمل بقوله عقلاً وشرعاً سبب لوقوعهم في الحرام ، وليس ذلك من حيث التغرير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ليس المراد بالوزر على هذا الاحتمال وزر عمل الجاهل المعذور؛ ضرورة أ نّه لا وزر له بل يكون مثاباً؛ لانقياده بل ربّما يكون فعله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أن يحمل على الوزر التقديري ؛ أي وزر العمل على فرض عدم معذوريته ، أو حمله على نحو الضمانات ، وأمّا فعل الحرام الواقعي فلا قبح له ولا وزر على الفاعل المعذور في ارتكابه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يظهر النظر في دلالة روايات دلّت على أنّ تقصير صلاة المأمومين على الإمام</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مع ضعفها ومخالفتها لجملة اُخرى دالّة على عدم ضمان على الإمام</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أ نّه لصرف التغرير ؛ فإنّ إمام الجماعة الذي التزم قوم بالصلاة معه إذا صلّى بهم ، يكون حاله حال من قدّم إلى غيره محرّماً ، فيكون لفعله نحو تسبيب أو نظيره زائداً على التغرير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جعله مؤيّداً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ما فيه ، فإنّه لو فرض تحريم سقي المكلّف</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الجاهل الحرام ، لا يدلّ ذلك على القاعدة كما مرّ</w:t>
      </w:r>
      <w:r>
        <w:rPr>
          <w:rStyle w:val="FootnoteAnchor"/>
          <w:rtl w:val="true"/>
        </w:rPr>
        <w:footnoteReference w:id="487"/>
      </w:r>
      <w:r>
        <w:rPr>
          <w:rFonts w:ascii="Amiri" w:hAnsi="Amiri" w:eastAsia="Amiri" w:cs="Amiri"/>
          <w:color w:val="111111"/>
          <w:sz w:val="28"/>
          <w:sz w:val="28"/>
          <w:szCs w:val="28"/>
          <w:rtl w:val="true"/>
          <w:lang w:bidi="ar-SA"/>
        </w:rPr>
        <w:t>، فضلاً عمّا هو مفاد رواية أبي بصير</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منه تأييده الثاني </w:t>
      </w:r>
      <w:r>
        <w:rPr>
          <w:rFonts w:eastAsia="Amiri" w:cs="Amiri" w:ascii="Amiri" w:hAnsi="Amiri"/>
          <w:color w:val="111111"/>
          <w:sz w:val="28"/>
          <w:szCs w:val="28"/>
          <w:rtl w:val="true"/>
          <w:lang w:bidi="ar-SA"/>
        </w:rPr>
        <w:t xml:space="preserve">. </w:t>
      </w:r>
      <w:bookmarkStart w:id="166" w:name="pg15158_206935"/>
    </w:p>
    <w:p>
      <w:pPr>
        <w:pStyle w:val="BookText"/>
        <w:rPr/>
      </w:pPr>
      <w:bookmarkEnd w:id="166"/>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دليل معتمد على قاعدة التغرير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العقل حاكم بجواز التسبيب إلى ما كان مباحاً ظاهراً </w:t>
      </w:r>
      <w:r>
        <w:rPr>
          <w:rStyle w:val="FootnoteAnchor"/>
          <w:rtl w:val="true"/>
        </w:rPr>
        <w:footnoteReference w:id="489"/>
      </w:r>
      <w:r>
        <w:rPr>
          <w:rFonts w:ascii="Amiri" w:hAnsi="Amiri" w:eastAsia="Amiri" w:cs="Amiri"/>
          <w:color w:val="111111"/>
          <w:sz w:val="28"/>
          <w:sz w:val="28"/>
          <w:szCs w:val="28"/>
          <w:rtl w:val="true"/>
          <w:lang w:bidi="ar-SA"/>
        </w:rPr>
        <w:t xml:space="preserve">فضلاً عن تغرير الجاهل به إلاّ إذا اُحرزت مبغوضيته ولو في حال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 أنّ قاعدة التغرير في الباب غير ما في باب الضمان ؛ فإنّ لها فيه مدركاً معتمداً </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1851532_2142443653"/>
      <w:bookmarkStart w:id="168" w:name="_Toc57"/>
      <w:bookmarkEnd w:id="167"/>
      <w:r>
        <w:rPr>
          <w:rtl w:val="true"/>
        </w:rPr>
        <w:t>الموضع الثالث في وجوب كون الاستصباح تحت السماء</w:t>
      </w:r>
      <w:bookmarkEnd w:id="168"/>
    </w:p>
    <w:p>
      <w:pPr>
        <w:pStyle w:val="BookText"/>
        <w:rPr/>
      </w:pPr>
      <w:r>
        <w:rPr>
          <w:rFonts w:ascii="Amiri" w:hAnsi="Amiri" w:eastAsia="Amiri" w:cs="Amiri"/>
          <w:color w:val="111111"/>
          <w:sz w:val="28"/>
          <w:sz w:val="28"/>
          <w:szCs w:val="28"/>
          <w:rtl w:val="true"/>
          <w:lang w:bidi="ar-SA"/>
        </w:rPr>
        <w:t>حكى غير واحد الشهرة على وجوب كون الاستصباح تحت السماء</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عن عدم جوازه تحت الظلال</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روى أصحابنا أ نّه يستصبح به تحت السماء دون السقف</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الكلام في حال الشهرة ، لكن لو سلّم وجود شهرة جابرة للرواية أو فرضت صحّتها ، كان مقتضى الجمع العقلائي بينها وبين الروايات المتضافرة التي في مقام البيان</w:t>
      </w:r>
      <w:r>
        <w:rPr>
          <w:rStyle w:val="FootnoteAnchor"/>
          <w:rtl w:val="true"/>
        </w:rPr>
        <w:footnoteReference w:id="493"/>
      </w:r>
      <w:r>
        <w:rPr>
          <w:rFonts w:ascii="IRNazanin" w:hAnsi="IRNazanin" w:eastAsia="IRNazanin"/>
          <w:color w:val="111111"/>
          <w:sz w:val="28"/>
          <w:sz w:val="28"/>
          <w:szCs w:val="28"/>
          <w:rtl w:val="true"/>
          <w:lang w:bidi="fa-IR"/>
        </w:rPr>
        <w:t xml:space="preserve">، حملها على الاستحباب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بيانه يحتاج إلى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طهارة دخان المتنجّس التي أفتى بها الفقهاء ليست لدليل تعبّدي ، بل لقصور دليل نجاسة الدهن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شموله للدخان والبخار ، وعدم دليل على نجاستهما ، وعدم جريان استصحاب النجاسة ، فمقتضى الأصل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 في مورد علم بعدم الاستحالة وبقاء أجزاء الدهن اللطيفة وتصاعدها مع الدخان ، يحكم بكونه نجساً ؛ لفرض عدم تحقّق الاستحالة الرافعة للموضوع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كانت الأجزاء صغيرة جدّاً ؛ بحيث يحتاج في دركها إلى المكبّرات ، لا تكون موضوعة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اجتمعت وصارت مقداراً محسوساً ولو قليلاً وصغيراً ، تكون نجسة ؛ لعدم الاستحالة وعدم احتمال صيرورة الصغر موجباً للطهارة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علم عدم 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ذلك كان الدخان محكوماً بالطهارة ؛ لقصور الأدلّة الاجتهادية عن إثبات نجاستها ، وعدم جريان الاستصحاب ؛ لاختلاف القضيّة المتيقّنة مع المشكوك فيها ، أو الشكّ في وحدتهما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 ذلك كان الاحتياط حسناً ، سيّما إذا كانت الأدخنة كثيفة والدهن غليظاً وكثيفاً تصير معرضية الأجزاء الدهنية للتصاعد قويّة وربّما صار مظنوناً ومعه يحسن الاحتياط عنها لما يشترط فيه الطهارة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التدخين تحت الظلال والسقف إذا كان مدّة معتدّاً بها كالساعة والساعتين ، يوجب ذلك تراكم الأدخنة وورودها في منافذ البدن كالاُذن والأنف </w:t>
      </w:r>
    </w:p>
    <w:p>
      <w:pPr>
        <w:pStyle w:val="BookText"/>
        <w:rPr/>
      </w:pPr>
      <w:r>
        <w:rPr>
          <w:rFonts w:ascii="Amiri" w:hAnsi="Amiri" w:eastAsia="Amiri" w:cs="Amiri"/>
          <w:color w:val="111111"/>
          <w:sz w:val="28"/>
          <w:sz w:val="28"/>
          <w:szCs w:val="28"/>
          <w:rtl w:val="true"/>
          <w:lang w:bidi="ar-SA"/>
        </w:rPr>
        <w:t xml:space="preserve">والحلق ، وتراكمها فيها ربّما يكون مظنّة اجتماع الأجزاء اللطيفة الدهنية الغير المستحيلة ولا أقلّ من احتماله ، سيّما إذا كانت البيوت ضيّقة وسقوفها منخفضة ، كما كانت كذلك نوعاً في تلك الأعصار ، وسيّما مثل الأدهان التي مورد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ورد نهي عن الاستصباح بها تحت السقف ، والأمر بالاستصباح تحت السماء لا ينقدح في ذهن العقلاء منهما التعبّد المحض الغير المرتبط بالنجاسة ، بل المفهوم منهما بمناسبة الحكم والموضوع أنّ النجاسة صارت موجبة للحكم بذلك ، فيفهم أهل العرف نجاسته إن كان حكم الشارع بالتحرّز إلزامياً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يظهر من شيخ الطائفة  رحمه الله علیه  في عبارته الآتية</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أصحابنا قالوا بنجاسة دخان المتنجّس ، للرواية المرسلة المتقدّمة</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حقّ لو علمنا بلزوم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فيفهم من دليله تخطئة الشارع العرف في وقوع الاستحالة ، أو حكم بلزوم الاحتياط في هذه الشبهة؛ لمعرضية عدم الاستحالة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مع ورود روايات كثيرة مطلقة</w:t>
      </w:r>
      <w:r>
        <w:rPr>
          <w:rStyle w:val="FootnoteAnchor"/>
          <w:rtl w:val="true"/>
        </w:rPr>
        <w:footnoteReference w:id="496"/>
      </w:r>
      <w:r>
        <w:rPr>
          <w:rFonts w:ascii="Amiri" w:hAnsi="Amiri" w:eastAsia="Amiri" w:cs="Amiri"/>
          <w:color w:val="111111"/>
          <w:sz w:val="28"/>
          <w:sz w:val="28"/>
          <w:szCs w:val="28"/>
          <w:rtl w:val="true"/>
          <w:lang w:bidi="ar-SA"/>
        </w:rPr>
        <w:t xml:space="preserve">في مقام البيان لم يكن فيها أثر من هذا القيد في مقابل رواية واحدة ناهية عن الإسراج تحت السقف ، يكون الجمع العقلائي بينها حملها على الاحتياط الاستحبابي المطلوب في مثل المقام ، سيّما مع كونها مخالفة للاُصول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والحمل على التعبّد المحض الغير المربوط بالنجس الاحتمالي أو المظنون ، غير مساعد لفهم العرف والعقلاء ومناسبات الحكم والموضوع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الحمل على لزوم الاحتياط ورفع اليد عن الاُصول والقواعد والإطلاقات الكثيرة الواردة في الباب ، بعيد جدّاً ، ومخالف لارتكاز العقلاء في مقام جمع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تعلّق الحكم على العنوان وإطلاقه عدم جواز الاستصباح به ولو لحظة بل ولو كان السقف مرتفعاً إلى الثريّا ، ناشٍ من عدم التأمّل في الرواية وارتكاز العقلاء ، فإنّ العناوين مختلفة ؛ فربّما لا تكون لها نفسية حتّى يأتي فيها ما ذكر ، نظير قوله في روايات الباب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وأعلمهم إذا بعته</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فإنّ الإعلام بحسب حكم العرف ليس إلاّ للتحفّظ عن الابتلاء ، فمع العلم بعدمه لا يجب كما مرّ</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الإطلاق وجوبه ولو مع لغوية الإعلام ؛ ضرورة عدم الإطلاق لمثله ، والمقام من قبيله ، فإنّ أهل العرف لا يفهمون من النهي عن الاستصباح تحت السقف إلاّ للتنزّه عن النجس المحتمل أو المظنون ، فلا إطلاق له يشمل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بينها وبين المطلقات المتقدّمة بما ذكرناه وأشار إليه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شيخنا الأعظم</w:t>
      </w:r>
      <w:r>
        <w:rPr>
          <w:rStyle w:val="FootnoteAnchor"/>
          <w:rtl w:val="true"/>
        </w:rPr>
        <w:footnoteReference w:id="499"/>
      </w:r>
      <w:r>
        <w:rPr>
          <w:rFonts w:ascii="IRNazanin" w:hAnsi="IRNazanin" w:eastAsia="IRNazanin"/>
          <w:color w:val="111111"/>
          <w:sz w:val="28"/>
          <w:sz w:val="28"/>
          <w:szCs w:val="28"/>
          <w:rtl w:val="true"/>
          <w:lang w:bidi="fa-IR"/>
        </w:rPr>
        <w:t xml:space="preserve">، من أجمل الجموع وأوهن التصرّفات </w:t>
      </w:r>
      <w:r>
        <w:rPr>
          <w:rFonts w:eastAsia="IRNazanin" w:cs="IRNazanin"/>
          <w:color w:val="111111"/>
          <w:sz w:val="28"/>
          <w:szCs w:val="28"/>
          <w:rtl w:val="true"/>
          <w:lang w:bidi="fa-IR"/>
        </w:rPr>
        <w:t xml:space="preserve">. </w:t>
      </w:r>
      <w:bookmarkStart w:id="169" w:name="pg15158_206939"/>
    </w:p>
    <w:p>
      <w:pPr>
        <w:pStyle w:val="BookText"/>
        <w:rPr/>
      </w:pPr>
      <w:bookmarkEnd w:id="169"/>
      <w:r>
        <w:rPr>
          <w:rFonts w:ascii="Amiri" w:hAnsi="Amiri" w:eastAsia="Amiri" w:cs="Amiri"/>
          <w:color w:val="111111"/>
          <w:sz w:val="28"/>
          <w:sz w:val="28"/>
          <w:szCs w:val="28"/>
          <w:rtl w:val="true"/>
          <w:lang w:bidi="ar-SA"/>
        </w:rPr>
        <w:t xml:space="preserve">ثمّ إنّا لا نقول بأنّ النهي لمراعاة عدم تنجّس السقف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تنجّسه لا مانع منه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لمراعاة حال المكلّف المبتلى بالدخان تحت السقف ، لا لكون تنجّس بدنه ممنوعاً شرعاً ونفساً ، بل لما يشترط فيه الطهارة ، فالأجزاء الدخانية المجتمعة في الفم يحتمل فيها النجاسة ويحسن معه الاحتراز ؛ لمراعاة عدم الابتلاء بأكل النجس المحتمل ، وكذا ما اجتمع منه في منفذ الاُذن والأنف ، بل وما اجتمع منه في السقف ربّما يوجب التنجيس ، فيحسن التنزّه منه للصلاة وغيرها </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1851534_2142443653"/>
      <w:bookmarkStart w:id="171" w:name="_Toc58"/>
      <w:bookmarkEnd w:id="170"/>
      <w:r>
        <w:rPr>
          <w:rtl w:val="true"/>
        </w:rPr>
        <w:t>حال الشهرة والإجماع في المسألة</w:t>
      </w:r>
      <w:bookmarkEnd w:id="171"/>
    </w:p>
    <w:p>
      <w:pPr>
        <w:pStyle w:val="BookText"/>
        <w:rPr/>
      </w:pPr>
      <w:r>
        <w:rPr>
          <w:rFonts w:ascii="Amiri" w:hAnsi="Amiri" w:eastAsia="Amiri" w:cs="Amiri"/>
          <w:color w:val="111111"/>
          <w:sz w:val="28"/>
          <w:sz w:val="28"/>
          <w:szCs w:val="28"/>
          <w:rtl w:val="true"/>
          <w:lang w:bidi="ar-SA"/>
        </w:rPr>
        <w:t>هذا ، مع أ نّها رواية مرسلة</w:t>
      </w:r>
      <w:r>
        <w:rPr>
          <w:rStyle w:val="FootnoteAnchor"/>
          <w:rtl w:val="true"/>
        </w:rPr>
        <w:footnoteReference w:id="500"/>
      </w:r>
      <w:r>
        <w:rPr>
          <w:rFonts w:ascii="Amiri" w:hAnsi="Amiri" w:eastAsia="Amiri" w:cs="Amiri"/>
          <w:color w:val="111111"/>
          <w:sz w:val="28"/>
          <w:sz w:val="28"/>
          <w:szCs w:val="28"/>
          <w:rtl w:val="true"/>
          <w:lang w:bidi="ar-SA"/>
        </w:rPr>
        <w:t xml:space="preserve">غير مجبورة ؛ لعدم ثبوت الشهرة في المسألة عند قدماء أصحابنا ، فضلاً عن ثبوت الشهرة بالعمل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ثبتت الشهرة واحتمل استنادهم إليها ، تصير معلّلة لا يجوز الاتّكال عليها ؛ لاحتمال أن يكون نظرهم إلى جمع الروايات بتقييد المطلقات بها ، سيّما وهو جمع عقلائي معروف لولا التنبّه بما قدّمناه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 نّه لو ثبتت ولم يحتمل استنادهم إليها ، كانت حجّة بلا إشكال في مثل تلك المسألة التي وردت فيها روايات مطلقة في مقام البيان وترك الأصحاب العمل بإطلاقها ، فلا يجوز مع ذلك العمل بالإطلاق وترك الشهرة في المسألة المخالفة للقواعد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يقال باحتمال أن يكون مستندهم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عدم جواز الانتفاع بالنجاسات ، ولم يعملوا بتلك الروايات ؛ للخدشة في إطلاقها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فثبوت الشهرة محلّ إشكال بل منع لو لم نقل بثبوت الشهرة أو الإجماع على الجواز ، كما ربّما يظهر من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الأطعمة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ماتت الفأرة في سمن أو زيت أو شيرج أو بزر نجس كلّه ، وجاز الاستصباح به ، ولا يجوز أكله ولا الانتفاع به لغير الاستصباح ، وبه قال 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نقل أقوال القوم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 إجماع الفرقة وأخبارهم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أبو سعيد الخدري أنّ النبي صلی الله علیه و آله وسلم  سئل عن الفأرة تقع في السمن والزيت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استصبحوا به ولا تأكلوه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إجماع الصحابة ، وروي ذلك عن علي علیه السلام وابن عمر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جاز الاستصباح به فإنّ دخانه يكون طاهراً ولا يكون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تمسّك بالأصل وعدم الدليل على النجاسة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المسألة الاُولى يقتضي جواز الاستصباح تحت السقف ، سيّما مع التمسّك بأخبار الطائفة ، فإنّ الأخبار المشار إليها هي ما تقدّمت من المطلقات التي في مقام البيان الدالّة على الجواز مطلقاً ، وسيّما مع تمسّكه في مقابل من قال بعدم جواز الانتفاع برواية أبي سعيد المطلقة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وتؤكّد الإطلاق بل كون نظره إلى الاستصباح تحت السقف ، المسألة الاُخرى التي ذكرها بعد الاُولى ؛ فإنّ جواز الاستصباح به مع طهارة الدخان لا ربط بينهما </w:t>
      </w:r>
    </w:p>
    <w:p>
      <w:pPr>
        <w:pStyle w:val="BookText"/>
        <w:rPr/>
      </w:pPr>
      <w:r>
        <w:rPr>
          <w:rFonts w:ascii="Amiri" w:hAnsi="Amiri" w:eastAsia="Amiri" w:cs="Amiri"/>
          <w:color w:val="111111"/>
          <w:sz w:val="28"/>
          <w:sz w:val="28"/>
          <w:szCs w:val="28"/>
          <w:rtl w:val="true"/>
          <w:lang w:bidi="ar-SA"/>
        </w:rPr>
        <w:t>إلاّ من جهة أ نّه إذا لم يجز بحكم الشارع الاستصباح تحت السقف ، يدلّ ذلك على نجاسته ؛ لما قدّمنا ذكره من فهم أهل العرف والعقلاء</w:t>
      </w:r>
      <w:r>
        <w:rPr>
          <w:rStyle w:val="FootnoteAnchor"/>
          <w:rtl w:val="true"/>
        </w:rPr>
        <w:footnoteReference w:id="502"/>
      </w:r>
      <w:r>
        <w:rPr>
          <w:rFonts w:ascii="Amiri" w:hAnsi="Amiri" w:eastAsia="Amiri" w:cs="Amiri"/>
          <w:color w:val="111111"/>
          <w:sz w:val="28"/>
          <w:sz w:val="28"/>
          <w:szCs w:val="28"/>
          <w:rtl w:val="true"/>
          <w:lang w:bidi="ar-SA"/>
        </w:rPr>
        <w:t xml:space="preserve">فيدلّ ذلك على أنّ عمدة نظر الشيخ إلى الاستصباح تحت السقف في المسألة الاُولى وقد ادّعى الإجماع على جوازه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الأدهان إذا ماتت فيها فأرة ، 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عندنا وعند جماعة الاستصباح به في السراج ، ولا يؤكل ، ولا ينتفع به في غير الاستصباح ، وفيه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أصحابنا أ نّه يستصبح به تحت السماء دون السقف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 دخانه نجس ، غير أنّ عندي أنّ هذا مكروه ، وأمّا دخانه ودخان كلّ نجس عندنا ليس بنجس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قطع بنجاسته ،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دخانه نجس ، وهو الذي قدّمناه من رواية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بنجس</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العبارة أيضاً شاهدة بأنّ مراده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الاستصباح ، أعمّ ممّا تحت السماء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والخلاف الذي أشار إليه يحتمل أن يكون من العامّة ، ورواية الأصحاب تلك الرواية غير فتواهم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خلاف بين أصحابنا ، لكنّه غير معتدّ به عنده ، فأفتى بخلافه مع وجود رواية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الجواز مطلقاً إجماعية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قيل بظهور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المسألة خلافية عند أصحابنا ، فلا أقلّ من عدم الشهرة الجابرة أو المعتبرة في عصر شيخ الطائفة وقبله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العلاّمة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ابن إدريس المدّعي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أحد من أصحابنا إلى أنّ الاستصباح به تحت الظلال مكروه ، بل محظور بلا خلاف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الردّ على شيخنا جهل وسخف ؛ فإنّ الشيخ أعرف بأقوال علمائنا والمسائل الإجماعية والخلافية</w:t>
      </w:r>
      <w:r>
        <w:rPr>
          <w:rFonts w:eastAsia="Amiri" w:cs="Amiri" w:ascii="Amiri" w:hAnsi="Amiri"/>
          <w:color w:val="111111"/>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كذلك ، فالشيخ ادّعى الإجماع على الجواز أو أخبر بخلافية المسألة ، فلا يمكن تصديق الحلّي فيما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البيوع بأنّ الشيخ ادّعى الإجماع على لزوم كون الاستصباح تحت الظلال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خطأ ؛ لأ نّه ادّعى ذلك على جواز البيع لمن يستصبح تحت السماء ، لا على عدم جوازه تحت الظلال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بيع زيت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النجس لمن يستصبح به تحت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مالك 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بيعه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 وأيضاً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بيع وتجارة ، وأيضاً دلالة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يحتاج إلى دليل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تمسّك عليهم بما روي عن النبي صلی الله علیه و آله وسلم  أ نّه أذن في الاستصباح بالزيت النجس ، وهو دليل على جواز بيعه </w:t>
      </w:r>
      <w:bookmarkStart w:id="172" w:name="pg15158_206943"/>
    </w:p>
    <w:p>
      <w:pPr>
        <w:pStyle w:val="BookText"/>
        <w:rPr/>
      </w:pPr>
      <w:bookmarkEnd w:id="172"/>
      <w:r>
        <w:rPr>
          <w:rFonts w:ascii="Amiri" w:hAnsi="Amiri" w:eastAsia="Amiri" w:cs="Amiri"/>
          <w:color w:val="111111"/>
          <w:sz w:val="28"/>
          <w:sz w:val="28"/>
          <w:szCs w:val="28"/>
          <w:rtl w:val="true"/>
          <w:lang w:bidi="ar-SA"/>
        </w:rPr>
        <w:t>للاستصباح ، وأنّ لغيره لا يجوز إذا قلنا بدليل الخطاب</w:t>
      </w:r>
      <w:r>
        <w:rPr>
          <w:rStyle w:val="FootnoteAnchor"/>
          <w:rtl w:val="true"/>
        </w:rPr>
        <w:footnoteReference w:id="505"/>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الإجماع وورود الأخبار على جوازه للاستصباح تحت السماء مقابل مالك والشافعي ، ولهذا تمسّك بالآية والأصل والرواية من طريقهم ، وإنّما تمسّك بدليل الخطاب إذا قلنا به وعلى نحو التعليق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المسألة بشقّيها؛ أي الجواز للاستصباح تحت السماء وعدمه له تحت الظلّ إجماعية ، لتمسّك به فيهما ولا يدّعيه في خصوص الاُولى ، ولا يبعد دعوى ظهور عبارته في جوازه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تقدّم أنّ المسألة ليست مشهورة ولا إجماعية لو لم نقل بقيام الشهرة على الجواز ، فمقتضى إطلاق الأدلّة والقواعد الجواز </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1851536_2142443653"/>
      <w:bookmarkStart w:id="174" w:name="_Toc59"/>
      <w:bookmarkEnd w:id="173"/>
      <w:r>
        <w:rPr>
          <w:rtl w:val="true"/>
        </w:rPr>
        <w:t>الموضع الرابع الانتفاع بالدهن المتنجّس لغير الاستصباح</w:t>
      </w:r>
      <w:bookmarkEnd w:id="17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جواز الانتفاع بهذا الدهن لغير الاستصباح ، كعمل الصابون وطلي الأجرب والسفن ، وكذا يجوز بيعه لذلك ؛ للأصل وعموم أدلّة تنفيذ البيع ، وقد سبق الكلام في أنّ الأصل جوازهما بما لا مزيد عليه</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 الظاهر من أخبار الباب الجواز ، فإنّ قوله في صحيحة زرارة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w:t>
      </w:r>
    </w:p>
    <w:p>
      <w:pPr>
        <w:pStyle w:val="BookText"/>
        <w:rPr/>
      </w:pPr>
      <w:r>
        <w:rPr>
          <w:rFonts w:ascii="Amiri" w:hAnsi="Amiri" w:eastAsia="Amiri" w:cs="Amiri"/>
          <w:color w:val="111111"/>
          <w:sz w:val="28"/>
          <w:sz w:val="28"/>
          <w:szCs w:val="28"/>
          <w:rtl w:val="true"/>
          <w:lang w:bidi="ar-SA"/>
        </w:rPr>
        <w:t>كان ذائباً فلا تأكله واستصبح به، والزيت مثل ذلك</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 ظاهر في أنّ المقصود عدم الأكل وجواز الانتفاع بسائر الجهات ، وإنّما خصّ الاستصباح بالذكر لمجرّد المثال ، وأ نّه أوضح المنافع بعد الأكل ، بل المنافع الاُخر غير معتدّ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فاختصاصه بالذكر وإن وقع في روايات عديدة</w:t>
      </w:r>
      <w:r>
        <w:rPr>
          <w:rStyle w:val="FootnoteAnchor"/>
          <w:rtl w:val="true"/>
        </w:rPr>
        <w:footnoteReference w:id="508"/>
      </w:r>
      <w:r>
        <w:rPr>
          <w:rFonts w:ascii="Amiri" w:hAnsi="Amiri" w:eastAsia="Amiri" w:cs="Amiri"/>
          <w:color w:val="111111"/>
          <w:sz w:val="28"/>
          <w:sz w:val="28"/>
          <w:szCs w:val="28"/>
          <w:rtl w:val="true"/>
          <w:lang w:bidi="ar-SA"/>
        </w:rPr>
        <w:t xml:space="preserve">لكن ظاهر جعله مقابل الأكل في الصحيحة ورواية إسماعيل 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الزيت فلا تبعه إلاّ لمن تبيّن له فيبتاع للسراج ، وأمّا الأكل فلا</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xml:space="preserve">، أنّ سائر الانتفاعات غير الأكل جائز ، وإلاّ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المتفاهم من سائر الروايات أيضاً ذلك ؛ لمساعدة أهل العرف مع إلغاء الخصوصية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فرض إطلاق دليل على عدم جواز الانتفاع بالنجس لجاز تقييده بها ، فيقال بجواز الانتفاع في المتنجّسات دون النجاسات </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15158_206946"/>
      <w:bookmarkStart w:id="176" w:name="pg15158_206946"/>
      <w:bookmarkEnd w:id="176"/>
    </w:p>
    <w:p>
      <w:pPr>
        <w:pStyle w:val="Heading3"/>
        <w:numPr>
          <w:ilvl w:val="2"/>
          <w:numId w:val="1"/>
        </w:numPr>
        <w:rPr/>
      </w:pPr>
      <w:bookmarkStart w:id="177" w:name="pg15158_206946"/>
      <w:bookmarkStart w:id="178" w:name="__RefHeading___Toc1851538_2142443653"/>
      <w:bookmarkStart w:id="179" w:name="_Toc60"/>
      <w:bookmarkEnd w:id="177"/>
      <w:bookmarkEnd w:id="178"/>
      <w:r>
        <w:rPr>
          <w:rtl w:val="true"/>
        </w:rPr>
        <w:t>القسم الثاني في الاكتساب بما يكون المقصود منه حراماً ولو شأناً</w:t>
      </w:r>
      <w:bookmarkEnd w:id="179"/>
    </w:p>
    <w:p>
      <w:pPr>
        <w:pStyle w:val="Heading4"/>
        <w:numPr>
          <w:ilvl w:val="3"/>
          <w:numId w:val="1"/>
        </w:numPr>
        <w:rPr/>
      </w:pPr>
      <w:bookmarkStart w:id="180" w:name="__RefHeading___Toc1851540_2142443653"/>
      <w:bookmarkStart w:id="181" w:name="_Toc61"/>
      <w:bookmarkEnd w:id="180"/>
      <w:r>
        <w:rPr>
          <w:rtl w:val="true"/>
        </w:rPr>
        <w:t>اشارة</w:t>
      </w:r>
      <w:bookmarkEnd w:id="181"/>
    </w:p>
    <w:p>
      <w:pPr>
        <w:pStyle w:val="Heading4"/>
        <w:numPr>
          <w:ilvl w:val="3"/>
          <w:numId w:val="1"/>
        </w:numPr>
        <w:rPr/>
      </w:pPr>
      <w:bookmarkStart w:id="182" w:name="__RefHeading___Toc1851542_2142443653"/>
      <w:bookmarkStart w:id="183" w:name="_Toc62"/>
      <w:bookmarkEnd w:id="182"/>
      <w:r>
        <w:rPr>
          <w:rtl w:val="true"/>
        </w:rPr>
        <w:t xml:space="preserve">وهو على أنواع </w:t>
      </w:r>
      <w:r>
        <w:rPr>
          <w:rtl w:val="true"/>
        </w:rPr>
        <w:t>:</w:t>
      </w:r>
      <w:bookmarkEnd w:id="18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4" w:name="__RefHeading___Toc1851544_2142443653"/>
      <w:bookmarkStart w:id="185" w:name="_Toc63"/>
      <w:bookmarkEnd w:id="184"/>
      <w:r>
        <w:rPr>
          <w:rtl w:val="true"/>
        </w:rPr>
        <w:t>اشارة</w:t>
      </w:r>
      <w:bookmarkEnd w:id="18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15158_206948"/>
      <w:bookmarkStart w:id="187" w:name="pg15158_206948"/>
      <w:bookmarkEnd w:id="187"/>
    </w:p>
    <w:p>
      <w:pPr>
        <w:pStyle w:val="Heading5"/>
        <w:numPr>
          <w:ilvl w:val="4"/>
          <w:numId w:val="1"/>
        </w:numPr>
        <w:rPr/>
      </w:pPr>
      <w:bookmarkStart w:id="188" w:name="pg15158_206948"/>
      <w:bookmarkStart w:id="189" w:name="__RefHeading___Toc1851546_2142443653"/>
      <w:bookmarkStart w:id="190" w:name="_Toc64"/>
      <w:bookmarkEnd w:id="188"/>
      <w:bookmarkEnd w:id="189"/>
      <w:r>
        <w:rPr>
          <w:rtl w:val="true"/>
        </w:rPr>
        <w:t xml:space="preserve">النوع الأوّل </w:t>
      </w:r>
      <w:r>
        <w:rPr>
          <w:rtl w:val="true"/>
        </w:rPr>
        <w:t xml:space="preserve">: </w:t>
      </w:r>
      <w:r>
        <w:rPr>
          <w:rtl w:val="true"/>
        </w:rPr>
        <w:t>ما لا تكون له منفعة مقصودة إلاّ الحرام</w:t>
      </w:r>
      <w:bookmarkEnd w:id="190"/>
    </w:p>
    <w:p>
      <w:pPr>
        <w:pStyle w:val="BookText"/>
        <w:rPr/>
      </w:pPr>
      <w:r>
        <w:rPr>
          <w:rFonts w:ascii="IRNazanin" w:hAnsi="IRNazanin" w:eastAsia="IRNazanin"/>
          <w:color w:val="111111"/>
          <w:sz w:val="28"/>
          <w:sz w:val="28"/>
          <w:szCs w:val="28"/>
          <w:rtl w:val="true"/>
          <w:lang w:bidi="fa-IR"/>
        </w:rPr>
        <w:t xml:space="preserve">وهو اُمور ، منها </w:t>
      </w:r>
      <w:r>
        <w:rPr>
          <w:rFonts w:eastAsia="IRNazanin" w:cs="IRNazanin"/>
          <w:color w:val="111111"/>
          <w:sz w:val="28"/>
          <w:szCs w:val="28"/>
          <w:rtl w:val="true"/>
          <w:lang w:bidi="fa-IR"/>
        </w:rPr>
        <w:t>:</w:t>
      </w:r>
    </w:p>
    <w:p>
      <w:pPr>
        <w:pStyle w:val="Heading5"/>
        <w:numPr>
          <w:ilvl w:val="4"/>
          <w:numId w:val="1"/>
        </w:numPr>
        <w:rPr/>
      </w:pPr>
      <w:bookmarkStart w:id="191" w:name="__RefHeading___Toc1851548_2142443653"/>
      <w:bookmarkStart w:id="192" w:name="_Toc65"/>
      <w:bookmarkEnd w:id="191"/>
      <w:r>
        <w:rPr>
          <w:rtl w:val="true"/>
        </w:rPr>
        <w:t>هياكل العبادات المخترعة مثل الأصنام</w:t>
      </w:r>
      <w:bookmarkEnd w:id="192"/>
    </w:p>
    <w:p>
      <w:pPr>
        <w:pStyle w:val="BookText"/>
        <w:rPr/>
      </w:pPr>
      <w:r>
        <w:rPr>
          <w:rFonts w:ascii="Amiri" w:hAnsi="Amiri" w:eastAsia="Amiri" w:cs="Amiri"/>
          <w:color w:val="111111"/>
          <w:sz w:val="28"/>
          <w:sz w:val="28"/>
          <w:szCs w:val="28"/>
          <w:rtl w:val="true"/>
          <w:lang w:bidi="ar-SA"/>
        </w:rPr>
        <w:t>ويأتي فيها ما تقدّم في القسم الأوّل</w:t>
      </w:r>
      <w:r>
        <w:rPr>
          <w:rStyle w:val="FootnoteAnchor"/>
          <w:rtl w:val="true"/>
        </w:rPr>
        <w:footnoteReference w:id="510"/>
      </w:r>
      <w:r>
        <w:rPr>
          <w:rFonts w:ascii="Amiri" w:hAnsi="Amiri" w:eastAsia="Amiri" w:cs="Amiri"/>
          <w:color w:val="111111"/>
          <w:sz w:val="28"/>
          <w:sz w:val="28"/>
          <w:szCs w:val="28"/>
          <w:rtl w:val="true"/>
          <w:lang w:bidi="ar-SA"/>
        </w:rPr>
        <w:t xml:space="preserve">من البحث عن حرمة بيعها والمعاوضة عليها بعنوانهما ، وعن حرمة ثمنها بعنوانه ، وعن بطلان المعاملة بها المترتّب عليه كون ثمنها مقبوضاً بالمعاملة الفاسدة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المعاملة كالبيع مثلاً قد تقع بها للغاية المحرّمة ، كمن باع الصنم للعبادة بنحو التواطي عليها أو بنحو الاشتراط في ضمن العقد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يبيع ممّن يصدر منه الحرام كبيعها ممّن يعبدها ، أو ممّن يبيعها ممّن يعبدها كبيع الصنم من مسلم يبيعه من الوثني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تقع المعاملة مع العلم بعدم ترتّب الحرام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للعلم بأنّ المسلم المشتري لا يسلّمها إلى الوثني ، أو لانقراض الطائفة التي تعبدها ، كما لو اُخرج صنم من الحفريات عن الآثار القديمة البائدة الهالك أهلها وانقرضت الطائفة التي تعبدها ، وإنّما يشتريها قوم لحفظ الآثار العتيقة ، كما تعلّق به أغراض العقلاء أحياناً ، وإنّما تشتريها لهيئتها وصورتها الصنمية بما أ نّها من الآثار القديمة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تباع لغرض كسرها ، وهو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المشتري ، كمن أراد أن يشتهر بين الناس بأ نّه كاسر الأصنام ، أو أراد الثواب الاُخروي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البائع كمن عجز عن كسرها أو كان له مؤنة أراد تحميلها على المشتري ، إلى غيرها من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ينبغي الإشكال في حرمة بيعها وبطلانه في الصور التي يترتّب عليها الحرام ؛ لاستقلال العقل بقبح ما يترتّب عليه عبادة الأوثان ومبغوضيته ، بل قبح تنفيذ البيع وإيجاب الوفاء بالعقد المترتّب عليه عبادة غير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ادّعى</w:t>
      </w:r>
    </w:p>
    <w:p>
      <w:pPr>
        <w:pStyle w:val="BookText"/>
        <w:rPr/>
      </w:pPr>
      <w:r>
        <w:rPr>
          <w:rFonts w:ascii="Amiri" w:hAnsi="Amiri" w:eastAsia="Amiri" w:cs="Amiri"/>
          <w:color w:val="111111"/>
          <w:sz w:val="28"/>
          <w:sz w:val="28"/>
          <w:szCs w:val="28"/>
          <w:rtl w:val="true"/>
          <w:lang w:bidi="ar-SA"/>
        </w:rPr>
        <w:t xml:space="preserve">أحد القطع بأنّ الشارع الأقدس الذي لا يرضى ببيع الخمر وشرائها وعصرها ولعن بائعها ومشتريها وحرّم ثمنها وجعله سحتاً ، لا يرضى بذلك في الصنم ولا يرضى ببيعه وشرائه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يستفاد من الأدلّة أنّ تحريم ثمن الخمر وسائر المسكرات وتحريم بيعها وشرائها ، للفساد المترتّب عليها ، ومعلوم أنّ الفساد المترتّب على الأوثان وبيعها وشرائها ، اُمّ جميع المفاسد ، وليس وراء عبّادان قرية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يظهر من الروايات المنقولة عن رسول اللّه‌ صلی الله علیه و آله وسلم  وأبي جعفر علیه السلام </w:t>
      </w:r>
    </w:p>
    <w:p>
      <w:pPr>
        <w:pStyle w:val="BookText"/>
        <w:rPr/>
      </w:pPr>
      <w:r>
        <w:rPr>
          <w:rFonts w:ascii="IRNazanin" w:hAnsi="IRNazanin" w:eastAsia="IRNazanin"/>
          <w:color w:val="111111"/>
          <w:sz w:val="28"/>
          <w:sz w:val="28"/>
          <w:szCs w:val="28"/>
          <w:rtl w:val="true"/>
          <w:lang w:bidi="fa-IR"/>
        </w:rPr>
        <w:t>وأبي عبداللّه علیه السلام مستفيضة</w:t>
      </w:r>
      <w:r>
        <w:rPr>
          <w:rStyle w:val="FootnoteAnchor"/>
          <w:rtl w:val="true"/>
        </w:rPr>
        <w:footnoteReference w:id="511"/>
      </w:r>
      <w:r>
        <w:rPr>
          <w:rFonts w:ascii="Amiri" w:hAnsi="Amiri" w:eastAsia="Amiri" w:cs="Amiri"/>
          <w:color w:val="111111"/>
          <w:sz w:val="28"/>
          <w:sz w:val="28"/>
          <w:szCs w:val="28"/>
          <w:rtl w:val="true"/>
          <w:lang w:bidi="ar-SA"/>
        </w:rPr>
        <w:t>، أنّ مدمن الخمر كعابد وثن ، أنّ عبادته شرّ منه</w:t>
      </w:r>
    </w:p>
    <w:p>
      <w:pPr>
        <w:pStyle w:val="BookText"/>
        <w:rPr/>
      </w:pPr>
      <w:r>
        <w:rPr>
          <w:rFonts w:ascii="Amiri" w:hAnsi="Amiri" w:eastAsia="Amiri" w:cs="Amiri"/>
          <w:color w:val="111111"/>
          <w:sz w:val="28"/>
          <w:sz w:val="28"/>
          <w:szCs w:val="28"/>
          <w:rtl w:val="true"/>
          <w:lang w:bidi="ar-SA"/>
        </w:rPr>
        <w:t xml:space="preserve">يترتّب عليها فوق ما يترتّب عليه ، فكيف يمكن ذلك التشديد في الخمر لقلع الفساد دون الأوثان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دلالة الروايات العامّة المتقدّمة كرواية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Style w:val="FootnoteAnchor"/>
          <w:rtl w:val="true"/>
        </w:rPr>
        <w:footnoteReference w:id="512"/>
      </w:r>
      <w:r>
        <w:rPr>
          <w:rFonts w:ascii="IRNazanin" w:hAnsi="IRNazanin" w:eastAsia="IRNazanin"/>
          <w:color w:val="111111"/>
          <w:sz w:val="28"/>
          <w:sz w:val="28"/>
          <w:szCs w:val="28"/>
          <w:rtl w:val="true"/>
          <w:lang w:bidi="fa-IR"/>
        </w:rPr>
        <w:t xml:space="preserve">على بعض المقصود ، وإشعار بعض ما وردت في الخمر ،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حرّم شربها حرّم ثمنها</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xml:space="preserve">على بعض ، وخصوص صحيحة ابن اُذينة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عبداللّه علیه السلامأسأله عن رجل له خشب فباعه ممّن يتّخذه برابط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رجل له خشب فباعه ممّن يتّخذه صلباناً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 ورواية عمرو بن حريث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التوت أبيعه يصنع للصليب والصنم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515"/>
      </w:r>
      <w:r>
        <w:rPr>
          <w:rFonts w:ascii="Amiri" w:hAnsi="Amiri" w:eastAsia="Amiri" w:cs="Amiri"/>
          <w:color w:val="111111"/>
          <w:sz w:val="28"/>
          <w:sz w:val="28"/>
          <w:szCs w:val="28"/>
          <w:rtl w:val="true"/>
          <w:lang w:bidi="ar-SA"/>
        </w:rPr>
        <w:t xml:space="preserve">، يدلّ على بعضه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الظاهر أنّ دلالة الاُولى بالفحوى ؛ لأنّ الصلبان شعار التنصّر وليست كالصنم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وجوب كسرها وعدم الضمان ، شهادة على عدم ماليتها لدى الشارع ، فلا يصحّ بيعها وشراؤها ؛ لتقوّمهما بها ، فخرجت بذلك عن شمول أدلّة تنفيذ البيع تحكيماً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دعاوي عدم الخلاف والإجماع على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التكسّب بهياكل العبادة كالصنم</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حرمة التكسّب بها بالإجماع المستفيض النقل في كلام جماعة</w:t>
      </w:r>
      <w:r>
        <w:rPr>
          <w:rStyle w:val="FootnoteAnchor"/>
          <w:rtl w:val="true"/>
        </w:rPr>
        <w:footnoteReference w:id="517"/>
      </w:r>
      <w:r>
        <w:rPr>
          <w:rFonts w:ascii="Amiri" w:hAnsi="Amiri" w:eastAsia="Amiri" w:cs="Amiri"/>
          <w:color w:val="111111"/>
          <w:sz w:val="28"/>
          <w:sz w:val="28"/>
          <w:szCs w:val="28"/>
          <w:rtl w:val="true"/>
          <w:lang w:bidi="ar-SA"/>
        </w:rPr>
        <w:t xml:space="preserve">، وإن أنكر الاستفاضة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519"/>
      </w:r>
      <w:r>
        <w:rPr>
          <w:rFonts w:ascii="Amiri" w:hAnsi="Amiri" w:eastAsia="Amiri" w:cs="Amiri"/>
          <w:color w:val="111111"/>
          <w:sz w:val="28"/>
          <w:sz w:val="28"/>
          <w:szCs w:val="28"/>
          <w:rtl w:val="true"/>
          <w:lang w:bidi="ar-SA"/>
        </w:rPr>
        <w:t>حكاية عدم الخلاف على حرمة عملها المستلزمة لحرمة</w:t>
      </w:r>
    </w:p>
    <w:p>
      <w:pPr>
        <w:pStyle w:val="BookText"/>
        <w:rPr/>
      </w:pPr>
      <w:r>
        <w:rPr>
          <w:rFonts w:ascii="Amiri" w:hAnsi="Amiri" w:eastAsia="Amiri" w:cs="Amiri"/>
          <w:color w:val="111111"/>
          <w:sz w:val="28"/>
          <w:sz w:val="28"/>
          <w:szCs w:val="28"/>
          <w:rtl w:val="true"/>
          <w:lang w:bidi="ar-SA"/>
        </w:rPr>
        <w:t>التكسّب بها على ما قيل</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الإجماع وعدم الخلاف عن بعض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والأمر سهل؛ إذ الإجماع معلوم</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بلا خلاف أجده فيه بل الإجماع بقسميه عليه</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193" w:name="pg15158_206952"/>
    </w:p>
    <w:p>
      <w:pPr>
        <w:pStyle w:val="BookText"/>
        <w:rPr/>
      </w:pPr>
      <w:bookmarkEnd w:id="193"/>
      <w:r>
        <w:rPr>
          <w:rFonts w:ascii="Amiri" w:hAnsi="Amiri" w:eastAsia="Amiri" w:cs="Amiri"/>
          <w:color w:val="111111"/>
          <w:sz w:val="28"/>
          <w:sz w:val="28"/>
          <w:szCs w:val="28"/>
          <w:rtl w:val="true"/>
          <w:lang w:bidi="ar-SA"/>
        </w:rPr>
        <w:t xml:space="preserve">هذا حال ما علم ترتّب الحرام عليه ، ولا يبعد إلحاق ما يكون مظنّة لذلك به ، بل صورة احتمال ترتّبه أيضاً احتياطاً ؛ لأهمّية الموضوع وشدّة الاهتمام به ، فلا يقصر عن الأعراض والنفوس ، بل أولى منهما في إيجاب الاحتياط </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1851550_2142443653"/>
      <w:bookmarkStart w:id="195" w:name="_Toc66"/>
      <w:bookmarkEnd w:id="194"/>
      <w:r>
        <w:rPr>
          <w:rtl w:val="true"/>
        </w:rPr>
        <w:t>بعض الصور المستثناة من حرمة بيع الأصنام</w:t>
      </w:r>
      <w:bookmarkEnd w:id="195"/>
    </w:p>
    <w:p>
      <w:pPr>
        <w:pStyle w:val="BookText"/>
        <w:rPr/>
      </w:pPr>
      <w:r>
        <w:rPr>
          <w:rFonts w:ascii="Amiri" w:hAnsi="Amiri" w:eastAsia="Amiri" w:cs="Amiri"/>
          <w:color w:val="111111"/>
          <w:sz w:val="28"/>
          <w:sz w:val="28"/>
          <w:szCs w:val="28"/>
          <w:rtl w:val="true"/>
          <w:lang w:bidi="ar-SA"/>
        </w:rPr>
        <w:t xml:space="preserve">نعم ، الأدلّة قاصرة عن إثبات الحكم للصورة التي يعلم بعدم ترتّب الحرام عليها ، سيّما في صورة انقراض الطائفة الخبيثة العابدة لها وعدم احتمال عابد لها ولو في الاستقبال احتمالاً عقلائياً ؛ ضرورة عدم شمول الأدلّة اللفظية ولا معقد عدم الخلاف والإجماع لها وانصرافها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عدم شمولهما لما إذا بيع الصنم الذي مورد العبادة ممّن يخرجه عن تحت يد عابديه ويحفظه بعنوان الآثار العتيقة في المحالّ المعدّة لها ، فينقطع بذلك عن أيدي عبدته ، وإن لا يخلو عن إشكال في هذه الصورة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إجراء استصحاب وجوب الكسر وحرمة البيع ونفي المالية وبطلان المعاملة وسحتية الثمن فيها ، على إشكال ناشٍ من الإشكال في جريان الاستصحاب في الأحكام المستكشفة عن حكم العقل ، لا لما ذكره شيخنا الأعظم</w:t>
      </w:r>
      <w:r>
        <w:rPr>
          <w:rStyle w:val="FootnoteAnchor"/>
          <w:rtl w:val="true"/>
        </w:rPr>
        <w:footnoteReference w:id="524"/>
      </w:r>
      <w:r>
        <w:rPr>
          <w:rFonts w:ascii="Amiri" w:hAnsi="Amiri" w:eastAsia="Amiri" w:cs="Amiri"/>
          <w:color w:val="111111"/>
          <w:sz w:val="28"/>
          <w:sz w:val="28"/>
          <w:szCs w:val="28"/>
          <w:rtl w:val="true"/>
          <w:lang w:bidi="ar-SA"/>
        </w:rPr>
        <w:t xml:space="preserve">؛ فإنّا قد فرغنا عن تصوير جريانها ودفع إشكاله ، بل لما ذكرناه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جريان استصحاب الحكم الجزئي ؛ لأنّ الحكم المستكشف من مناط عقلي لا يمكن أوسعيته عن موضوعه ومناطه ، ولا استصحاب الكلّي ؛ لأنّ </w:t>
      </w:r>
    </w:p>
    <w:p>
      <w:pPr>
        <w:pStyle w:val="BookText"/>
        <w:rPr/>
      </w:pPr>
      <w:r>
        <w:rPr>
          <w:rFonts w:ascii="Amiri" w:hAnsi="Amiri" w:eastAsia="Amiri" w:cs="Amiri"/>
          <w:color w:val="111111"/>
          <w:sz w:val="28"/>
          <w:sz w:val="28"/>
          <w:szCs w:val="28"/>
          <w:rtl w:val="true"/>
          <w:lang w:bidi="ar-SA"/>
        </w:rPr>
        <w:t>الجامع بين الحكمين انتزاعي عقلي لا حكم شرعي ، ولا موضوع ذو حكم كذلك ، والتفصيل يطلب من مظانّه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يستشكل جريانه في بعض صور اُخر ، كما إذا وجد صنم يعلم بأ نّه كان معبوداً في عصر الإسلام ، ثمّ انقرض عبدته ولا يحتمل عودهم ، فإنّ الأدلّة كما مرّت قاصرة عن إثبات الأحكام لها لو بيعت لغرض حفظ العتيقة ، وقد عرفت حال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الأحكام سيّما وجوب الكسر وسلب المالية غير مستكشفة من حكم العقل محضاً حتّى يأتي فيها ما ذكر ، بل حكمه من مؤيّدات ثبوت أحكامها شرعاً ، والأدلّة الشرعية نحو الإجماع والأخبار المتفرّقة في الأبواب غير قاصرة عن إثباتها ، ومعه يمكن ثبوت تلك الأحكام بمناطات أعمّ ممّا أدركها العقل ، ومعه يجري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تحتاج إلى مزيد غور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الاستصحابات المشار إليها إنّما تجري لو اُحرز تعلّق الأحكام بصنم ولو من باب التطبيق وشكّ في بقائها ، وأمّا إذا احتمل عدم التعلّق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مثل صنم يحتمل صنعته بعد انقراض عابديه لأغراض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يجري فيما إذا علم كونه مصنوعاً في أعصار قبل الإسلام مع انقراض عبدته في تلك الأعصار ولو علم بعبادتهم له ؛ لعدم جريان استصحاب أحكام الشرائع السابقة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منع جريان الاستصحابات المتقدّمة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حرمة البيع غير </w:t>
      </w:r>
      <w:bookmarkStart w:id="196" w:name="pg15158_206954"/>
    </w:p>
    <w:p>
      <w:pPr>
        <w:pStyle w:val="BookText"/>
        <w:rPr/>
      </w:pPr>
      <w:bookmarkEnd w:id="196"/>
      <w:r>
        <w:rPr>
          <w:rFonts w:ascii="Amiri" w:hAnsi="Amiri" w:eastAsia="Amiri" w:cs="Amiri"/>
          <w:color w:val="111111"/>
          <w:sz w:val="28"/>
          <w:sz w:val="28"/>
          <w:szCs w:val="28"/>
          <w:rtl w:val="true"/>
          <w:lang w:bidi="ar-SA"/>
        </w:rPr>
        <w:t xml:space="preserve">ثابتة للصنم رأساً في صورة بيعه للإخراج عن يد عابديه ، وفيما لا يترتّب عليه الحرام ، فلا قضيّة متيقّنة حتّى تستصحب ، وكذا حال سائر العناوين المتقدّمة حتّى وجوب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الشكّ في بقاء الأحكام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الأشبه بالقواعد عدم المنع عن البيع في الصور الأخيرة سيّما مثل ما خرج من حفريات باد أهلها وانقرض عبدته ولم يرج عودهم </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1851552_2142443653"/>
      <w:bookmarkStart w:id="198" w:name="_Toc67"/>
      <w:bookmarkEnd w:id="197"/>
      <w:r>
        <w:rPr>
          <w:rtl w:val="true"/>
        </w:rPr>
        <w:t>حكم بيع الأصنام لأغراض صحيحة</w:t>
      </w:r>
      <w:bookmarkEnd w:id="198"/>
    </w:p>
    <w:p>
      <w:pPr>
        <w:pStyle w:val="BookText"/>
        <w:rPr/>
      </w:pPr>
      <w:r>
        <w:rPr>
          <w:rFonts w:ascii="Amiri" w:hAnsi="Amiri" w:eastAsia="Amiri" w:cs="Amiri"/>
          <w:color w:val="111111"/>
          <w:sz w:val="28"/>
          <w:sz w:val="28"/>
          <w:szCs w:val="28"/>
          <w:rtl w:val="true"/>
          <w:lang w:bidi="ar-SA"/>
        </w:rPr>
        <w:t xml:space="preserve">وممّا ذكرناه تظهر قوّة صحّة البيع لغرض إدراك ثواب الكسر ، أو غرض آخر في كسره موجب لماليته ومرغوبية اشترائه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باستلزام ذلك لبعض الإشكالات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الفساد المترتّب على هياكل العبادة ، علّة لإسقاط ماليتها وإيجاب كسرها ، وإيجاب الكسر سبب لترتّب الثواب عليه لإيجابه ، فلو صار ذلك علّة لماليتها ، يلزم أن يكون الشيء علّة لثبوت نقيض معلول علّة علّته ، وذلك مستلزم لنفي علّة علّته المستلزم لعدم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إيجاب الكسر مضادّ لماليته ، فلو ثبتت المالية به يلزم إيجاد الشيء مضادّه المستلزم لعدم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إيجاب الكسر لو صار سبباً للمالية يلزم منه عدم إيجابه ، بل عدم جوازه ؛ لأ نّه مال محترم ، فيلزم من إيجاب الكسر عدمه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الفساد لا يمكن أن يصير علّة لإسقاط المالية الآتية من قبل معلوله ؛ أي إيجاب الكسر ؛ للزوم كون الشيء علّة لعدم معلول معلوله ، وهو </w:t>
      </w:r>
    </w:p>
    <w:p>
      <w:pPr>
        <w:pStyle w:val="BookText"/>
        <w:rPr/>
      </w:pPr>
      <w:r>
        <w:rPr>
          <w:rFonts w:ascii="Amiri" w:hAnsi="Amiri" w:eastAsia="Amiri" w:cs="Amiri"/>
          <w:color w:val="111111"/>
          <w:sz w:val="28"/>
          <w:sz w:val="28"/>
          <w:szCs w:val="28"/>
          <w:rtl w:val="true"/>
          <w:lang w:bidi="ar-SA"/>
        </w:rPr>
        <w:t>مستلزم لعدم معلوله المستلزم لعدمه ، فهو علّة لسلب المالية الثابتة لها من</w:t>
      </w:r>
    </w:p>
    <w:p>
      <w:pPr>
        <w:pStyle w:val="BookText"/>
        <w:rPr/>
      </w:pPr>
      <w:r>
        <w:rPr>
          <w:rFonts w:ascii="Amiri" w:hAnsi="Amiri" w:eastAsia="Amiri" w:cs="Amiri"/>
          <w:color w:val="111111"/>
          <w:sz w:val="28"/>
          <w:sz w:val="28"/>
          <w:szCs w:val="28"/>
          <w:rtl w:val="true"/>
          <w:lang w:bidi="ar-SA"/>
        </w:rPr>
        <w:t xml:space="preserve">غير ناحية الكسر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أنّ إيجاب الكسر على فرض مضادّته للمالية لا يمكن أن يكون مضادّاً للمالية الآتية من قبله ؛ لاستلزام أن يكون الشيء ضدّ معلوله ، فيكون ضدّاً للمالية التي من غير ناحية الكسر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أنّ المالية الآتية من قبل وجوب الكسر لا يمكن أن تكون مانعة عن وجوبه ، فالمالية من غير تلك الناحية مانعة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صحّة البيع لغاية الكسر تتوقّف على إحراز أنّ المشتري يشتريه لتلك الغاية ؛ لأنّ ماليته تتوقّف على هذه الغاية ، ومع الشكّ في كونه لها ، يشكّ في ماليته ، فلا تصحّ المعاوضة عليه ، بل صحّة صلحه وهبته ونحوهما أيضاً تتوقّف على ذلك الإحراز ؛ لعدم جوازها إلاّ لتلك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الفرع غير ما تعرّض له العلاّمة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إذا كان لمكسورها قيمة وباعها صحيحة ليكسر وكان المشتري ممّن يوثق بديانته فإنّه يجوز بيعها على الأقوى</w:t>
      </w:r>
      <w:r>
        <w:rPr>
          <w:rFonts w:eastAsia="Amiri" w:cs="Amiri" w:ascii="Amiri" w:hAnsi="Amiri"/>
          <w:color w:val="111111"/>
          <w:sz w:val="28"/>
          <w:szCs w:val="28"/>
          <w:rtl w:val="true"/>
          <w:lang w:bidi="ar-SA"/>
        </w:rPr>
        <w:t>»</w:t>
      </w:r>
      <w:r>
        <w:rPr>
          <w:rStyle w:val="FootnoteAnchor"/>
          <w:rtl w:val="true"/>
        </w:rPr>
        <w:footnoteReference w:id="526"/>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من اعتبار القيمة للمكسور ، أنّ مصحّح البيع قيمة المادّة وماليتها ، فلو قلنا في الفرع الذي تعرّضه بعدم اعتبار الوثوق في صحّته لا نقول به في هذا الفرع المتوقّف ماليتها وصحّة المعاوضة عليها على كون الاشتراء للكسر ، كما لا يخفى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الثواب المترتّب على الكسر وكذا سائر فوائد الكسر ، نظير الفوائد المترتّبة على الأشياء ، الموجبة لماليتها وصحّة بيعها ، كان المشتري يشتريها لتلك الفائدة أم لا ؛ لأنّ تلك الفوائد موجبة للمالية مطلقاً من غيرتوقّف على قصد انتفاع المشتري ، وكذا صحّة المعاملة لا تتوقّف عليه ، بخلاف فائدة الكسر ، فإنّها ليست موجبة للمالية المطلقة بحيث يقال بصحّة البيع معها مطلقاً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فيه من البيع ممّن يطمئنّ ويوثق به ، أو قامت القرائن على أ نّه يبتاع لتلك الغاية ولو بالتسبيب إن لم يضرّ بالفورية ، لو قلنا بوجوب الكسر 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بيع الصنم وابتياعه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يكونان بداعي هيئته كابتياع الوثني مثلاً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بداعي مادّته كما كانت من الأحجار الكريمة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بداعيهما ؛ بأن تكون لهما مرغوبية صارت داعية إلى ابتياعه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الصور من صور بيع الأصنام يأتي فيها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المراد من بيع الصنم بيع هيئته ؛ فإنّها ليست بصنم ولا متعلّقة للمعاملة لدى العقلاء ، بل الصنم عبارة عن الموجود المتهيّئ بتلك الهيئة الخاصّة ، والهيئة ليست طرفاً لإضافة المعاملة في مورد من الموارد ، بل طرفها هو الموجود المتصوّر بحيثية تقييدية ، أو الموجود لأجل الصورة بالحيثية التعليلية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فبيع الصنم محرّم باطل في الصور المتقدّمة التي قلنا بهما ، سواء بيع بداعي الهيئة أو المادّة أو بداعيهما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أنّ الفرع المتقدّم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المفروض فيه بيع الصنم الخارجي لا بيع مادّته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تصحّ الشرائط التي اعتبرها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المادّة ذات قيمة ، وكون البيع للكسر ، وكون المشتري موثوقاً به ؛ فإنّ البيع إذا تعلّق </w:t>
      </w:r>
    </w:p>
    <w:p>
      <w:pPr>
        <w:pStyle w:val="BookText"/>
        <w:rPr/>
      </w:pPr>
      <w:r>
        <w:rPr>
          <w:rFonts w:ascii="Amiri" w:hAnsi="Amiri" w:eastAsia="Amiri" w:cs="Amiri"/>
          <w:color w:val="111111"/>
          <w:sz w:val="28"/>
          <w:sz w:val="28"/>
          <w:szCs w:val="28"/>
          <w:rtl w:val="true"/>
          <w:lang w:bidi="ar-SA"/>
        </w:rPr>
        <w:t>بالصنم الخارجي ولم تكن لمادّته قيمة ، يبطل ؛ لعدم اعتبار قيمة الهيئة ، والفرض</w:t>
      </w:r>
    </w:p>
    <w:p>
      <w:pPr>
        <w:pStyle w:val="BookText"/>
        <w:rPr/>
      </w:pPr>
      <w:r>
        <w:rPr>
          <w:rFonts w:ascii="Amiri" w:hAnsi="Amiri" w:eastAsia="Amiri" w:cs="Amiri"/>
          <w:color w:val="111111"/>
          <w:sz w:val="28"/>
          <w:sz w:val="28"/>
          <w:szCs w:val="28"/>
          <w:rtl w:val="true"/>
          <w:lang w:bidi="ar-SA"/>
        </w:rPr>
        <w:t xml:space="preserve">عدم قيمة للمادّة ، فلا يكون مالاً يبذل بإزائه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ومفروض العلاّمة ليس ما كان الكسر موجباً للمالية كما فرضناه سابقاً ؛ فإنّ ذلك الفرض مغفول عنه نادر الاتّفاق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اشتراط كونه للكسر ؛ لأ نّه مع عدمه يصير مشمولاً لأدلّة بطلان بيع الصنم ، وهو وإن كان بإطلاقه محلّ إشكال كما تقدّم ، لكنّ الظاهر أنّ المفروض في كلامه غير تلك الصور النادرة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اشتراط كون المشتري موثوقاً به فهو شرط ظاهري لإحراز شرط المعاملة ، وهو كون الابتياع للكسر ، ومع عدم الوثوق به لا يحرز غالباً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فالشرائط وقعت في محلّها ، على ما هو ظاهر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وقوع البيع على الهياكل الصحيحة للكسر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حملها الشيخ الأنصاري على خلاف ظاهرها ، ثمّ تنظّر فيها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ما أورده على العلاّمة وارد على المحقّق الثاني ، على ما في العبارة المنقولة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المفروض فيها وقوع البيع على المكسور ، لا على الصحيح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باع رضاضها الباقي بعد كسرها قبل أن يكسرها ، وكان المشتري موثوقاً به وأ نّه يكسرها ، أمكن القول بصحّة البيع</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قوّة صحّته ولو لم يكن المشتري موثوقاً به ، بل ولو مع العلم بعدم الكسر </w:t>
      </w:r>
      <w:r>
        <w:rPr>
          <w:rFonts w:eastAsia="Amiri" w:cs="Amiri" w:ascii="Amiri" w:hAnsi="Amiri"/>
          <w:color w:val="111111"/>
          <w:sz w:val="28"/>
          <w:szCs w:val="28"/>
          <w:rtl w:val="true"/>
          <w:lang w:bidi="ar-SA"/>
        </w:rPr>
        <w:t xml:space="preserve">. </w:t>
      </w:r>
      <w:bookmarkStart w:id="199" w:name="pg15158_206958"/>
    </w:p>
    <w:p>
      <w:pPr>
        <w:pStyle w:val="Heading5"/>
        <w:numPr>
          <w:ilvl w:val="4"/>
          <w:numId w:val="1"/>
        </w:numPr>
        <w:rPr/>
      </w:pPr>
      <w:bookmarkStart w:id="200" w:name="__RefHeading___Toc1851554_2142443653"/>
      <w:bookmarkStart w:id="201" w:name="_Toc68"/>
      <w:bookmarkEnd w:id="199"/>
      <w:bookmarkEnd w:id="200"/>
      <w:r>
        <w:rPr>
          <w:rtl w:val="true"/>
        </w:rPr>
        <w:t xml:space="preserve">فرع </w:t>
      </w:r>
      <w:r>
        <w:rPr>
          <w:rtl w:val="true"/>
        </w:rPr>
        <w:t xml:space="preserve">: </w:t>
      </w:r>
      <w:r>
        <w:rPr>
          <w:rtl w:val="true"/>
        </w:rPr>
        <w:t>حكم بيع مادّة الأصنام</w:t>
      </w:r>
      <w:bookmarkEnd w:id="201"/>
    </w:p>
    <w:p>
      <w:pPr>
        <w:pStyle w:val="BookText"/>
        <w:rPr/>
      </w:pPr>
      <w:r>
        <w:rPr>
          <w:rFonts w:ascii="Amiri" w:hAnsi="Amiri" w:eastAsia="Amiri" w:cs="Amiri"/>
          <w:color w:val="111111"/>
          <w:sz w:val="28"/>
          <w:sz w:val="28"/>
          <w:szCs w:val="28"/>
          <w:rtl w:val="true"/>
          <w:lang w:bidi="ar-SA"/>
        </w:rPr>
        <w:t xml:space="preserve">ما تقدّم هي صور بيع الأصنام ، وأمّا بيع مادّتها ، فالتحقيق عدم الصحّة لو لم تكن لها قيمة رأساً ، أو كانت لها قيمة بلحاظ الصورة ، كما قد يتّفق أن تصير مادّة بلحاظ تصوّرها بصورة ذات قيمة ، أو تصير قيمتها زائدة عن قيمتها الأصلية ، وهذا غير فرض كون قيمة الصنم الخارجي بلحاظ الهيئة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كانت لها قيمة لكن لا يمكن محو الصورة عنها إلاّ بإبطالها عن المالية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كانت لها قيمة لكن لا يمكن إبطال الصورة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جميع الصور بطل البيع على 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فظاهرة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فلأنّ المالية الآتية من قبل الصورة ساقطة لدى الشارع الأقدس ؛ إذ الحكم بإبطال الهيئة الموجب لإبطال مالية المادّة ، لا يجتمع مع اعتبار ماليتها ، فلا ضمان على كسرها الموجب لإبطال ماليتها ومالية مكسورها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الحال في الثالثة ، فإنّ إيجاب الكسر بلا ضمان ، ملازم لإسقاط مالية المادّة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الرابعة يجب غرقها أو دفنها حسماً لمادّة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مالية لها على جميع التقادير ، فلا يصحّ بيعها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يصحّ لو كانت لها قيمة مستهلكة في قيمة الصورة لو باعها بالقيمة المساوية لقيمة الصورة ؛ لأنّ البيع كذلك مع سقوط الصورة عن المالية ، وفي محيط التشريع ، سفهي غير عقلائي ، فلا تشمله أدلّة تنفيذ المعاملات ، ولا يمكن </w:t>
      </w:r>
    </w:p>
    <w:p>
      <w:pPr>
        <w:pStyle w:val="BookText"/>
        <w:rPr/>
      </w:pPr>
      <w:r>
        <w:rPr>
          <w:rFonts w:ascii="Amiri" w:hAnsi="Amiri" w:eastAsia="Amiri" w:cs="Amiri"/>
          <w:color w:val="111111"/>
          <w:sz w:val="28"/>
          <w:sz w:val="28"/>
          <w:szCs w:val="28"/>
          <w:rtl w:val="true"/>
          <w:lang w:bidi="ar-SA"/>
        </w:rPr>
        <w:t xml:space="preserve">كشف رضا الشارع فيها، ومعه تقع 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للمادّة قيمة مستهلكة فبلحاظ سقوط قيمة الصورة يكون بيع المادّة بلحاظ قيمتها عقلائياً مورداً لإمضاء الشارع وتنفيذه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باع المادّة بقيمتها يصحّ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كانت للمادّة قيمة ملحوظة غير مستهلكة فباعها بقيمتها أو أكثر ما لم يصل إلى حدّ السفه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تلك الصور يصحّ البيع ولو مع شرط إبقاء الصورة فضلاً عن عدم الاشتراط ، أو اشتراط الكسر ، كان المشتري موثوقاً بديانته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مقتضى القاعدة صحّته ولو باعه من وثني يبتاعه للعبادة وشرط على البائع عدم الكسر ، بناءً على عدم كون الشرط الفاسد مفسداً ؛ لأنّ ما وقعت عليه المعاملة هي المادّة ، ولا مانع من بيعها لكونها غير الصنم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الشرط فاسداً والتسليم إعانةً على الإثم ، لا يوجبان بطلان المعاملة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المذكور موجب لإشاعة الفساد ، بل يمكن بهذه الحيلة ترويج سوق بيع الأصنام وآلات الملاهي والقمار ، والمقطوع من مذاق الشارع عدم إمضاء تلك المعاملات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المقطوع به من مذاق الشارع عدم تصحيح الشرط الكذائي ، وتحريم تسليم المبيع مع الهيئة الموجبة للفساد ، لا بطلان المعاملة على المادّة ؛ أي الخشب والحجر ونحوهما ، أو حرمة بيعها وثمنها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ما ذكر وبين بيع شيء كالفرس والشرط على البائع بتسليم صنم إليه ، أو صنع آلة لهو له ، فإنّ الشرط فاسد ، والتسليم والصنع محرّمان ، دون المعاملة على الشيء المباح </w:t>
      </w:r>
      <w:r>
        <w:rPr>
          <w:rFonts w:eastAsia="Amiri" w:cs="Amiri" w:ascii="Amiri" w:hAnsi="Amiri"/>
          <w:color w:val="111111"/>
          <w:sz w:val="28"/>
          <w:szCs w:val="28"/>
          <w:rtl w:val="true"/>
          <w:lang w:bidi="ar-SA"/>
        </w:rPr>
        <w:t xml:space="preserve">. </w:t>
      </w:r>
      <w:bookmarkStart w:id="202" w:name="pg15158_206960"/>
    </w:p>
    <w:p>
      <w:pPr>
        <w:pStyle w:val="BookText"/>
        <w:rPr/>
      </w:pPr>
      <w:bookmarkEnd w:id="202"/>
      <w:r>
        <w:rPr>
          <w:rFonts w:ascii="Amiri" w:hAnsi="Amiri" w:eastAsia="Amiri" w:cs="Amiri"/>
          <w:color w:val="111111"/>
          <w:sz w:val="28"/>
          <w:sz w:val="28"/>
          <w:szCs w:val="28"/>
          <w:rtl w:val="true"/>
          <w:lang w:bidi="ar-SA"/>
        </w:rPr>
        <w:t>ولا يلزم منه تشي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 الفساد وترويج الباطل ،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المادّة في الفرض مطلقاً ، صحيح من غير توقّف على اشتراط الكسر وكون المشتري موثوقاً به ، كما قال به المحقّق الثاني في عبارته المحكيّة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1851556_2142443653"/>
      <w:bookmarkStart w:id="204" w:name="_Toc69"/>
      <w:bookmarkEnd w:id="203"/>
      <w:r>
        <w:rPr>
          <w:rtl w:val="true"/>
        </w:rPr>
        <w:t>آلات القمار واللهو ونحوها</w:t>
      </w:r>
      <w:bookmarkEnd w:id="204"/>
    </w:p>
    <w:p>
      <w:pPr>
        <w:pStyle w:val="BookText"/>
        <w:rPr/>
      </w:pPr>
      <w:r>
        <w:rPr>
          <w:rFonts w:ascii="Amiri" w:hAnsi="Amiri" w:eastAsia="Amiri" w:cs="Amiri"/>
          <w:color w:val="111111"/>
          <w:sz w:val="28"/>
          <w:sz w:val="28"/>
          <w:szCs w:val="28"/>
          <w:rtl w:val="true"/>
          <w:lang w:bidi="ar-SA"/>
        </w:rPr>
        <w:t xml:space="preserve">ثمّ إنّ البحث عن آلات القمار وآلات اللهو وأواني الذهب والفضّة والدراهم المغشوشة ، نظير البحث عن هياكل العبادات ، فلا داعي إلى التكرار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يأتي فيها ما قلناه في الهياكل من الوجه العقلي على البطلان ، ولا ما ذكرناه من فحوى أدلّة حرمة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أمكن دعوى الجزم بعدم تنفيذ الشارع المعاملات الواقعة على آلات القمار واللهو التي لا يقصد منها إلاّ الفساد والحرام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مع دعوى عدم الخلاف والإجماع عليه</w:t>
      </w:r>
      <w:r>
        <w:rPr>
          <w:rStyle w:val="FootnoteAnchor"/>
          <w:rtl w:val="true"/>
        </w:rPr>
        <w:footnoteReference w:id="530"/>
      </w:r>
      <w:r>
        <w:rPr>
          <w:rFonts w:ascii="Amiri" w:hAnsi="Amiri" w:eastAsia="Amiri" w:cs="Amiri"/>
          <w:color w:val="111111"/>
          <w:sz w:val="28"/>
          <w:sz w:val="28"/>
          <w:szCs w:val="28"/>
          <w:rtl w:val="true"/>
          <w:lang w:bidi="ar-SA"/>
        </w:rPr>
        <w:t xml:space="preserve">، بل ادّعى السيّد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المستفيض عليه</w:t>
      </w:r>
      <w:r>
        <w:rPr>
          <w:rStyle w:val="FootnoteAnchor"/>
          <w:rtl w:val="true"/>
        </w:rPr>
        <w:footnoteReference w:id="531"/>
      </w:r>
      <w:r>
        <w:rPr>
          <w:rFonts w:ascii="Amiri" w:hAnsi="Amiri" w:eastAsia="Amiri" w:cs="Amiri"/>
          <w:color w:val="111111"/>
          <w:sz w:val="28"/>
          <w:sz w:val="28"/>
          <w:szCs w:val="28"/>
          <w:rtl w:val="true"/>
          <w:lang w:bidi="ar-SA"/>
        </w:rPr>
        <w:t xml:space="preserve">، مضافاً إلى الأدلّة العامّة المؤيّدة ، وإن ضعفت أسنادها </w:t>
      </w:r>
      <w:r>
        <w:rPr>
          <w:rFonts w:eastAsia="Amiri" w:cs="Amiri" w:ascii="Amiri" w:hAnsi="Amiri"/>
          <w:color w:val="111111"/>
          <w:sz w:val="28"/>
          <w:szCs w:val="28"/>
          <w:rtl w:val="true"/>
          <w:lang w:bidi="ar-SA"/>
        </w:rPr>
        <w:t xml:space="preserve">. </w:t>
      </w:r>
      <w:bookmarkStart w:id="205" w:name="pg15158_206961"/>
    </w:p>
    <w:p>
      <w:pPr>
        <w:pStyle w:val="Heading5"/>
        <w:numPr>
          <w:ilvl w:val="4"/>
          <w:numId w:val="1"/>
        </w:numPr>
        <w:rPr/>
      </w:pPr>
      <w:bookmarkStart w:id="206" w:name="__RefHeading___Toc1851558_2142443653"/>
      <w:bookmarkStart w:id="207" w:name="_Toc70"/>
      <w:bookmarkEnd w:id="205"/>
      <w:bookmarkEnd w:id="206"/>
      <w:r>
        <w:rPr>
          <w:rtl w:val="true"/>
        </w:rPr>
        <w:t>الأخبار الواردة في خصوص آلات القمار</w:t>
      </w:r>
      <w:bookmarkEnd w:id="207"/>
    </w:p>
    <w:p>
      <w:pPr>
        <w:pStyle w:val="BookText"/>
        <w:rPr/>
      </w:pPr>
      <w:r>
        <w:rPr>
          <w:rFonts w:ascii="Amiri" w:hAnsi="Amiri" w:eastAsia="Amiri" w:cs="Amiri"/>
          <w:color w:val="111111"/>
          <w:sz w:val="28"/>
          <w:sz w:val="28"/>
          <w:szCs w:val="28"/>
          <w:rtl w:val="true"/>
          <w:lang w:bidi="ar-SA"/>
        </w:rPr>
        <w:t xml:space="preserve">وتدلّ في خصوص آلات القمار رواية أبي الجارود عن أبي جعفر علیه السلامفي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الْخَمْرُ وَالْمَيْسِرُ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فالنرد</w:t>
      </w:r>
    </w:p>
    <w:p>
      <w:pPr>
        <w:pStyle w:val="BookText"/>
        <w:rPr/>
      </w:pPr>
      <w:r>
        <w:rPr>
          <w:rFonts w:ascii="Amiri" w:hAnsi="Amiri" w:eastAsia="Amiri" w:cs="Amiri"/>
          <w:color w:val="111111"/>
          <w:sz w:val="28"/>
          <w:sz w:val="28"/>
          <w:szCs w:val="28"/>
          <w:rtl w:val="true"/>
          <w:lang w:bidi="ar-SA"/>
        </w:rPr>
        <w:t xml:space="preserve">والشطرنج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قمار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هذا بيعه وشراؤه والانتفاع بشيء من هذا حرام من اللّه محرّم</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أبي بصير 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بيع الشطرنج حرام ، وأكل ثمنه سحت </w:t>
      </w:r>
      <w:r>
        <w:rPr>
          <w:rFonts w:eastAsia="IRNazanin" w:cs="IRNazanin"/>
          <w:color w:val="111111"/>
          <w:sz w:val="28"/>
          <w:szCs w:val="28"/>
          <w:rtl w:val="true"/>
          <w:lang w:bidi="fa-IR"/>
        </w:rPr>
        <w:t>. .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يكتسب به ، الباب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المناهي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ونهى رسول اللّه‌ صلی الله علیه و آله وسلم  عن بيع النرد</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إسراء الحكم لسائر آلاته بإلغاء الخصوصية على إشكال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في صحيحة معمّر بن خلاّد عن أبي الحسن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النرد والشطرنج والأربعة عشر بمنزلة واحدة ، وكلّ ما قومر عليه فهو ميسر</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عموم التنزيل وعدم الفصل بين أربعة عشر وغيرها وإلغاء الخصوصية عنها ، كافٍ في المطلوب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تفسير أبي الفتوح عن رسول اللّه‌ صلی الله علیه و آله وسلم رواية ،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وأمرني أن أمحو المزامير والمعازف والأوتار واُمور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آلات المزامير شراؤها وبيعها وثمنها والتجارة بها حرام</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تدلّ على المطلوب في آلات اللهو ، ولا تخلو من إشعار أو دلالة بالنسبة إلى سائر آلات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الحكم إجمالاً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كانت لبعض الآلات منفعة محلّلة ، تنسلك في القسم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أواني الذهب والفضّة كذلك ؛ لعدم حرمة اقتنائها بل وتزيين الرفوف بها على الأقوى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قلنا بجواز الانتفاع بالسكّة المغشوشة كالتزيين وغيره ، تنسلك في القسم الآتي </w:t>
      </w:r>
      <w:r>
        <w:rPr>
          <w:rFonts w:eastAsia="Amiri" w:cs="Amiri" w:ascii="Amiri" w:hAnsi="Amiri"/>
          <w:color w:val="111111"/>
          <w:sz w:val="28"/>
          <w:szCs w:val="28"/>
          <w:rtl w:val="true"/>
          <w:lang w:bidi="ar-SA"/>
        </w:rPr>
        <w:t xml:space="preserve">. </w:t>
      </w:r>
      <w:bookmarkStart w:id="208" w:name="pg15158_206963"/>
    </w:p>
    <w:p>
      <w:pPr>
        <w:pStyle w:val="Heading5"/>
        <w:numPr>
          <w:ilvl w:val="4"/>
          <w:numId w:val="1"/>
        </w:numPr>
        <w:rPr/>
      </w:pPr>
      <w:bookmarkStart w:id="209" w:name="__RefHeading___Toc1851560_2142443653"/>
      <w:bookmarkStart w:id="210" w:name="_Toc71"/>
      <w:bookmarkEnd w:id="208"/>
      <w:bookmarkEnd w:id="209"/>
      <w:r>
        <w:rPr>
          <w:rtl w:val="true"/>
        </w:rPr>
        <w:t xml:space="preserve">النوع الثاني </w:t>
      </w:r>
      <w:r>
        <w:rPr>
          <w:rtl w:val="true"/>
        </w:rPr>
        <w:t xml:space="preserve">: </w:t>
      </w:r>
      <w:r>
        <w:rPr>
          <w:rtl w:val="true"/>
        </w:rPr>
        <w:t>ما يقصد منه المنفعة المحرّمة</w:t>
      </w:r>
      <w:bookmarkEnd w:id="210"/>
    </w:p>
    <w:p>
      <w:pPr>
        <w:pStyle w:val="BookText"/>
        <w:rPr/>
      </w:pPr>
      <w:r>
        <w:rPr>
          <w:rFonts w:ascii="Amiri" w:hAnsi="Amiri" w:eastAsia="Amiri" w:cs="Amiri"/>
          <w:color w:val="111111"/>
          <w:sz w:val="28"/>
          <w:sz w:val="28"/>
          <w:szCs w:val="28"/>
          <w:rtl w:val="true"/>
          <w:lang w:bidi="ar-SA"/>
        </w:rPr>
        <w:t xml:space="preserve">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يقصد منه المنفعة المحرّمة ، فيما إذا كان لشيء منفعة محرّمة ومحلّلة ، كأواني الذهب والفضّة </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851562_2142443653"/>
      <w:bookmarkStart w:id="212" w:name="_Toc72"/>
      <w:bookmarkEnd w:id="211"/>
      <w:r>
        <w:rPr>
          <w:rtl w:val="true"/>
        </w:rPr>
        <w:t xml:space="preserve">وهو على أقسام </w:t>
      </w:r>
      <w:r>
        <w:rPr>
          <w:rtl w:val="true"/>
        </w:rPr>
        <w:t>:</w:t>
      </w:r>
      <w:bookmarkEnd w:id="212"/>
    </w:p>
    <w:p>
      <w:pPr>
        <w:pStyle w:val="Heading5"/>
        <w:numPr>
          <w:ilvl w:val="4"/>
          <w:numId w:val="1"/>
        </w:numPr>
        <w:rPr/>
      </w:pPr>
      <w:bookmarkStart w:id="213" w:name="__RefHeading___Toc1851564_2142443653"/>
      <w:bookmarkStart w:id="214" w:name="_Toc73"/>
      <w:bookmarkEnd w:id="213"/>
      <w:r>
        <w:rPr>
          <w:rtl w:val="true"/>
        </w:rPr>
        <w:t xml:space="preserve">منها </w:t>
      </w:r>
      <w:r>
        <w:rPr>
          <w:rtl w:val="true"/>
        </w:rPr>
        <w:t xml:space="preserve">: </w:t>
      </w:r>
      <w:r>
        <w:rPr>
          <w:rtl w:val="true"/>
        </w:rPr>
        <w:t>أن يكون المبيع كلّياً مقيّداً</w:t>
      </w:r>
      <w:bookmarkEnd w:id="214"/>
    </w:p>
    <w:p>
      <w:pPr>
        <w:pStyle w:val="BookText"/>
        <w:rPr/>
      </w:pPr>
      <w:r>
        <w:rPr>
          <w:rFonts w:ascii="Amiri" w:hAnsi="Amiri" w:eastAsia="Amiri" w:cs="Amiri"/>
          <w:color w:val="111111"/>
          <w:sz w:val="28"/>
          <w:sz w:val="28"/>
          <w:szCs w:val="28"/>
          <w:rtl w:val="true"/>
          <w:lang w:bidi="ar-SA"/>
        </w:rPr>
        <w:t xml:space="preserve">بنحو لا ينطبق إلاّ على المحرّم ، كبيع العنب الذي ينتهي إلى التخمير ، فيكون المبيع حصّة من العنب كسائر الكلّيات المقيّدة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العنب الأحمر لا ينطبق إلاّ على مصاديق خاصّة ، فإذا تعلّق به البيع يكون المبيع حصّة من الكلّي لا تنطبق إلاّ على مصاديقها ، يصحّ تقييد الكلّي بأيّ قيد تراضى عليه المتعاقدان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باع العنب المنتهي إلى التخمير كان مصداق المبيع ، هو العنب المتعقّب به ، لا العنب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تسلّمه المشتري ولم يستعمله في التخمير ، يكشف عن عدم كونه مصداقاً للمبيع </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1851566_2142443653"/>
      <w:bookmarkStart w:id="216" w:name="_Toc74"/>
      <w:bookmarkEnd w:id="215"/>
      <w:r>
        <w:rPr>
          <w:rtl w:val="true"/>
        </w:rPr>
        <w:t xml:space="preserve">منها </w:t>
      </w:r>
      <w:r>
        <w:rPr>
          <w:rtl w:val="true"/>
        </w:rPr>
        <w:t xml:space="preserve">: </w:t>
      </w:r>
      <w:r>
        <w:rPr>
          <w:rtl w:val="true"/>
        </w:rPr>
        <w:t>أن يكون المبيع جزئياً خارجياً</w:t>
      </w:r>
      <w:bookmarkEnd w:id="216"/>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المبيع جزئياً خارجياً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توصيفه بالوصف المتقدّم ، فيكون المبيع ، الموجود المنتهي إلى التخمير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ينته إليه يكشف عن عدم كونه مبيعاً ، أو عن تخلّف الوصف </w:t>
      </w:r>
      <w:r>
        <w:rPr>
          <w:rFonts w:eastAsia="Amiri" w:cs="Amiri" w:ascii="Amiri" w:hAnsi="Amiri"/>
          <w:color w:val="111111"/>
          <w:sz w:val="28"/>
          <w:szCs w:val="28"/>
          <w:rtl w:val="true"/>
          <w:lang w:bidi="ar-SA"/>
        </w:rPr>
        <w:t xml:space="preserve">. </w:t>
      </w:r>
      <w:bookmarkStart w:id="217" w:name="pg15158_206964"/>
    </w:p>
    <w:p>
      <w:pPr>
        <w:pStyle w:val="Heading5"/>
        <w:numPr>
          <w:ilvl w:val="4"/>
          <w:numId w:val="1"/>
        </w:numPr>
        <w:rPr/>
      </w:pPr>
      <w:bookmarkStart w:id="218" w:name="__RefHeading___Toc1851568_2142443653"/>
      <w:bookmarkStart w:id="219" w:name="_Toc75"/>
      <w:bookmarkEnd w:id="217"/>
      <w:bookmarkEnd w:id="218"/>
      <w:r>
        <w:rPr>
          <w:rtl w:val="true"/>
        </w:rPr>
        <w:t xml:space="preserve">منها </w:t>
      </w:r>
      <w:r>
        <w:rPr>
          <w:rtl w:val="true"/>
        </w:rPr>
        <w:t xml:space="preserve">: </w:t>
      </w:r>
      <w:r>
        <w:rPr>
          <w:rtl w:val="true"/>
        </w:rPr>
        <w:t>أن يكون القيد على نحو الشرط المتأخّر</w:t>
      </w:r>
      <w:bookmarkEnd w:id="219"/>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القيد على نحو الشرط المتأخّر ، كان المبيع كلّياً أو جزئياً ، بحيث يكشف عدم الانتهاء عن عدم كونه مصداقاً للمبيع ، أو عدم كونه مبيعاً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بطلان البيع في هذه الصور ؛ لعدم عقلائية الملك الحيثي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القيد وقيد كون العنب أحمر أو أصفر ، أنّ مصداق الأحمر بعد تسليمه يكون ملكاً طلقاً للمشتري ، وأمّا العنب المنتهي إلى التخمير فليس ملكاً له إلاّ من حيث التخمير دون سائر الحيثيات ، ولم يعهد لدى العقلاء هذا النحو من الملكية ، وإلاّ لجاز بيع الرداء الذي تحت السقف مثلاً ، فلا يكون ملكه إلاّ حصّة من الرداء ، أو حيثية منه ، فإذا خرج عن تحت السقف خرج عن ملكيته ، وأنت خبير بأنّ هذا النحو من الملكية غير عقلائية ولا معهودة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فالعنب المنتهي إلى التخمير لو صار ملكاً ، لازمه عدم ملكية العنب بنحو الإطلاق وبجميع الحيثيات ، بل حصّة أو حيثية خاصّة منه ، فلا يكون بما أ نّه مأكول أو غير ذلك مبيعاً ، ولا ملكاً للمشتري ، وهو مخالف لاعتبار العقلاء ، وكذا الحال في التعليق والشرط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المناقشة في الإشكال في الصورة التي يكون المبيع شخصياً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المبيع هو الموجود الخارجي ، والقيد من قبيل الوصف الذي يكون تخلّفه غير مبطل ، لكن يأتي فيها الإشكال الآتي في الصورة الآتية ؛ أي اشتراط عدم الانتفاع إلاّ بالمحرّم </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1851570_2142443653"/>
      <w:bookmarkStart w:id="221" w:name="_Toc76"/>
      <w:bookmarkEnd w:id="220"/>
      <w:r>
        <w:rPr>
          <w:rtl w:val="true"/>
        </w:rPr>
        <w:t xml:space="preserve">منها </w:t>
      </w:r>
      <w:r>
        <w:rPr>
          <w:rtl w:val="true"/>
        </w:rPr>
        <w:t xml:space="preserve">: </w:t>
      </w:r>
      <w:r>
        <w:rPr>
          <w:rtl w:val="true"/>
        </w:rPr>
        <w:t>أن يبيع الشيء واشترط على المشتري بأن لا يتصرّف فيه إلاّ في المحرّم</w:t>
      </w:r>
      <w:r>
        <w:rPr>
          <w:rtl w:val="true"/>
        </w:rPr>
        <w:t>.</w:t>
      </w:r>
      <w:bookmarkEnd w:id="22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يبيع الشيء واشترط على المشتري بأن لا يتصرّف فيه إلاّ في المحرّم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قد يرجع إلى 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يتصرّف في المحلّل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يصرفه في المحرّم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يشترط عليه شرطاً واحداً ، وهو عدم التصرّف في المحلّل من دون شرط الصرف في المحرّم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ما إذا تواطئا عليه ؛ بحيث يقع العقد مبنيّاً عليه ، وأمّا مع التواطي عليه بحيث لا يرجع إلى بناء العقد عليه فهو خارج عن 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بطلان البيع في تلك الصور ؛ سواء رجع الاشتراط إلى شرطين أم لا ، وسواء كان الشرط في ضمن العقد أم بحكمه كما أشرنا إليه ؛ لأنّ مثل هذا الشرط مخالف لمقتضى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اعتبار الملكية موقوف على كون الشيء ذا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للمالك الانتفاع به ، فلو فرض كون شيء مسلوب الانتفاع مطلقاً لا يعتبره العقلاء مالاً ولا ملكاً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الملكية والمالية نفس الانتفاعات ، 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مناط اعتبارهما لدى العقلاء صحّة الانتفاع ولو في الجملة ، فمسلوب الانتفاع بقول مطلق ليس ملكاً ولا 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لو سلب مطلق الانتفاعات عن شيء بالنسبة إلى شخص لا يعتبره العقلاء ملكاً ومالاً له في بعض الأحيان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البائع على المشتري أن لا ينتفع بالمبيع مطلقاً ، فهو في قوّة بيع شيء بشرط عدم صيرورته ملكاً للمشتري ، فيكون مخالفاً لمقتضى العقد وموجباً لبطلانه ؛ سواء قلنا بأنّ الشرط الفاسد مفسد أم لا ؛ لأنّ الخلاف في الشرط الفاسد إنّما هو في الشروط التي لا يضرّ اشتراطها بقوام المعاملة ، وأمّا </w:t>
      </w:r>
    </w:p>
    <w:p>
      <w:pPr>
        <w:pStyle w:val="BookText"/>
        <w:rPr/>
      </w:pPr>
      <w:r>
        <w:rPr>
          <w:rFonts w:ascii="Amiri" w:hAnsi="Amiri" w:eastAsia="Amiri" w:cs="Amiri"/>
          <w:color w:val="111111"/>
          <w:sz w:val="28"/>
          <w:sz w:val="28"/>
          <w:szCs w:val="28"/>
          <w:rtl w:val="true"/>
          <w:lang w:bidi="ar-SA"/>
        </w:rPr>
        <w:t xml:space="preserve">الشروط المنافية لماهيتها وقوامها ، فلا ينبغي الكلام في مفسديتها ؛ لرجوعها إلى التناقض في الجعل والتنافي في الإنشاء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من قبيل ذلك ؛ فإنّ العنب مثلاً مسلوب المنفعة بحسب قانون الشرع من حيث التخمير ، فإذا كان مفاد الشرط تحريم الانتفاع بالمحلّل ، يرجع إلى انتقال شيء مسلوب المنفعة مطلقاً ، فلا تعتبر معه الملكية للمشتري ، فيكون الشرط في قوّة البيع بشرط عدم الملكية ، وإن لم يكن بعينه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الشرط لا ينافي مقتضى العقد في محيط العقلاء وبحسب نظرهم ، والبطلان الشرعي غير المنافاة لمقتضى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مخالفته لمقتضى العقد مخالفته له في محيط القانون اللازم الإجراء عقلاً ، ولهذا لا يصحّ بيع الخمر؛ لإسقاط الشارع ماليتها ، فلا تكون معاملتها مبادلة مال بمال بلحاظ القانون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الشارع مالية شيء تخطئة العقلاء في حكمهم ، ففي المقام إنّ شرط عدم الانتفاع بالمحلّل في حكم شرط سلب المنفعة مطلقاً ولو بلحاظ الشرع ، فيكون مخالفاً لمقتضاه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اشتراط عدم الانتفاع بالخمر إلاّ في المحرّم ، ينحلّ إلى شرطين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عدم الانتفاعات المحلّلة ، وهو من الشروط السائغة ؛ لعدم كونه مخالفاً للشرع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الانتفاع بالمحرّم ،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يكون المشتري محروماً عن الانتفاع بالمبيع مطلقاً شرعاً وشرطاً ، وهو المنظور من المخالفة لمقتضى العقد لدى العقلاء ، فإنّ الشيء المسلوب المنفعة مطلقاً لا يعدّ ملكاً ولا مالاً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الاستدلال على المطلوب بوجه آخر ، وهو أنّ مالية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بلحاظ المنافع المترتّبة عليها ، فما لا منفعة له مطلقاً ليس بمال ، فإذا اشترط على المشتري أن لا ينتفع من العنب مثلاً إلاّ الانتفاع بالمحرّم ، فلا محالة يكون البيع بلحاظ الانتفاع بالمحرّم والمالية الآتية من قبله ، مع أنّ هذه المالية ساقطة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فمالية العنب الآتية من قبل المنافع المحلّلة ساقطة فرضاً حسب اشتراط البائع ، فلا يمكن أن يكون البيع صحيحاً بلحاظ المالية الآتية من قبلها ، والمالية الساقطة شرعاً لا تصلح للمبادلة ، فيكون دليل إسقاطها حاكماً على أدلّة تنفيذ البيع بإخراج المعاملة عن موضوع أدلّته وإدخالها في أكل المال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تجعل هذا الأخير وجهاً ثالثاً للبطلان ، وهو الاستدلال بالآية الكريمة</w:t>
      </w:r>
      <w:r>
        <w:rPr>
          <w:rStyle w:val="FootnoteAnchor"/>
          <w:rtl w:val="true"/>
        </w:rPr>
        <w:footnoteReference w:id="537"/>
      </w:r>
      <w:r>
        <w:rPr>
          <w:rFonts w:ascii="Amiri" w:hAnsi="Amiri" w:eastAsia="Amiri" w:cs="Amiri"/>
          <w:color w:val="111111"/>
          <w:sz w:val="28"/>
          <w:sz w:val="28"/>
          <w:szCs w:val="28"/>
          <w:rtl w:val="true"/>
          <w:lang w:bidi="ar-SA"/>
        </w:rPr>
        <w:t xml:space="preserve">بعد تحكيم ما دلّت على سقوط المالية الآتية من قبل المنفعة المحرّمة على الآية صدراً وذيلاً ، كما أشرنا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يعتبر في الحكومة أن يؤخذ في الدليل الحاكم عين العنوان الذي اُخذ في المحكوم ، فكما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ليست بمال ، حاكم على الآية إخراجاً وإدخالاً ، كذلك ما دلّت على إهراقها وإتلافها بلا ضمان ، الظاهر منها إسقاط ماليتها ، حاكمة عليها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يبعد تحكيم الدليل اللبّي على الدليل اللفظي ، فإذا قام الإجماع على عدم مالية الخمر يكون منقّحاً لموضوع أكل المال بالباطل ، فإنّ أكل الثمن </w:t>
      </w:r>
    </w:p>
    <w:p>
      <w:pPr>
        <w:pStyle w:val="BookText"/>
        <w:rPr/>
      </w:pPr>
      <w:r>
        <w:rPr>
          <w:rFonts w:ascii="Amiri" w:hAnsi="Amiri" w:eastAsia="Amiri" w:cs="Amiri"/>
          <w:color w:val="111111"/>
          <w:sz w:val="28"/>
          <w:sz w:val="28"/>
          <w:szCs w:val="28"/>
          <w:rtl w:val="true"/>
          <w:lang w:bidi="ar-SA"/>
        </w:rPr>
        <w:t>في مقابل ما ليس بمال أكل له بالباطل ، ومخرجاً عن التجارة تعبّداً ولو لم يطلق على مثله الحكومة كما قوّيناه في الاُصول</w:t>
      </w:r>
      <w:r>
        <w:rPr>
          <w:rStyle w:val="FootnoteAnchor"/>
          <w:rtl w:val="true"/>
        </w:rPr>
        <w:footnoteReference w:id="538"/>
      </w:r>
      <w:r>
        <w:rPr>
          <w:rFonts w:ascii="Amiri" w:hAnsi="Amiri" w:eastAsia="Amiri" w:cs="Amiri"/>
          <w:color w:val="111111"/>
          <w:sz w:val="28"/>
          <w:sz w:val="28"/>
          <w:szCs w:val="28"/>
          <w:rtl w:val="true"/>
          <w:lang w:bidi="ar-SA"/>
        </w:rPr>
        <w:t xml:space="preserve">، فلا مشاحّة فيه بعد كون الإنتاج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تقريب رابع للبطلان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الثمن واقع في مقابل العنب بشرط الانتفاع الخاصّ ، وهذا الانتفاع لم يحصل للمشتري ، فيكون المال المأخوذ بلحاظه ، أو بلحاظ المالية الآتية من قبله ، مأخوذاً بلا حصول العوض ، ومثله ليس بمعاملة ؛ لأ نّها متقوّمة بتبادل الانتقالين ، ومع فقده لا تتحقّق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بالبطلان هاهنا غير مبنيّ على القول بمفسدية الشرط الفاسد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قلنا بالبطلان ولو مع شرط عدم الاستفادة بالمحلّل ، والسكوت عن الاستفادة بالمحرّم ، فإنّه شرط سائغ لكن يبطل البيع لا لفساد الشرط بل للوجوه المتقدّمة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وتؤيّده الروايتان الواردتان في النهي عن بيع الخشب ممّن يتّخذه صلباناً ، والتوت ممّن يصنع الصليب أو الصنم</w:t>
      </w:r>
      <w:r>
        <w:rPr>
          <w:rStyle w:val="FootnoteAnchor"/>
          <w:rtl w:val="true"/>
        </w:rPr>
        <w:footnoteReference w:id="539"/>
      </w:r>
      <w:r>
        <w:rPr>
          <w:rFonts w:ascii="IRNazanin" w:hAnsi="IRNazanin" w:eastAsia="IRNazanin"/>
          <w:color w:val="111111"/>
          <w:sz w:val="28"/>
          <w:sz w:val="28"/>
          <w:szCs w:val="28"/>
          <w:rtl w:val="true"/>
          <w:lang w:bidi="fa-IR"/>
        </w:rPr>
        <w:t xml:space="preserve">، بل وما وردت في لعن رسول اللّه‌ صلی الله علیه و آله وسلم  الخمر وغارسها وحارسها وبائعها </w:t>
      </w:r>
      <w:r>
        <w:rPr>
          <w:rFonts w:eastAsia="IRNazanin" w:cs="IRNazanin"/>
          <w:color w:val="111111"/>
          <w:sz w:val="28"/>
          <w:szCs w:val="28"/>
          <w:rtl w:val="true"/>
          <w:lang w:bidi="fa-IR"/>
        </w:rPr>
        <w:t>. . .</w:t>
      </w:r>
      <w:r>
        <w:rPr>
          <w:rStyle w:val="FootnoteAnchor"/>
          <w:rtl w:val="true"/>
        </w:rPr>
        <w:footnoteReference w:id="540"/>
      </w:r>
      <w:r>
        <w:rPr>
          <w:rFonts w:ascii="Amiri" w:hAnsi="Amiri" w:eastAsia="Amiri" w:cs="Amiri"/>
          <w:color w:val="111111"/>
          <w:sz w:val="28"/>
          <w:sz w:val="28"/>
          <w:szCs w:val="28"/>
          <w:rtl w:val="true"/>
          <w:lang w:bidi="ar-SA"/>
        </w:rPr>
        <w:t xml:space="preserve">، المستفاد منها أنّ بائع العنب للخمر أيضاً ملعون ، ومعلوم أنّ ملعونيته لأجل عمله ، فعمله مبغوض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مبغوضية البيع بعنوانه مع تنفيذه والإلزام بالعمل على وفقه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كانت المبغوضية بعنوان آخر كالإعانة على الإثم ، كما هو محتمل في المقام ، لا تدلّ على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نوقش في هذا ففي ما تقدّم غنىً وكفاية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المناقشة في أساس التقريبات المتقدّمة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بلا منفعة واقعاً وتكويناً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ذا منفعة ، لكن المالك أفرز جميع منافعه بصلح ونحوه ، وأراد بيعه بلا منفعة مطلقاً حتّى الانتفاع ببيع ونحوه ، أو أراد بيعه بلا منفعة بإفراز منافعه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ففيها تأتي التقريبات المتقدّمة ، حتّى تقريب المخالفة لمقتضى العقد ، أو كونه في قوّتها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باع وشرط على المشتري أن لا ينتفع به مطلقاً ، أو بغير المنفعة المحرّمة ، فلا يكون مخالفاً لمقتضاه ولا في قوّتها ؛ لأنّ البيع إنّما تعلّق بذات الشيء ، وموجب لانتقال منافعه إلى المشتري ، لكن دليل الشرط صار موجباً لحرمانه عن التصرّف في ماله ، ولا يكون مفاد الشرط عدم الانتقال حتّى يقال بمخالفته لمقتضاه ، بل الشرط في الرتبة المتأخّرة عن اعتبار ملكية المبيع بمنافعه وانتقاله كذلك إلى المشتري ، فلا يمكن أن يكون الشرط رافعاً لموضوعه ، أو دافعاً له ، فلا يعقل أن يكون مخالفاً لمقتضى العقد الذي هو موضوع الشرط وتأثيره ، غاية الأمر أن يكون غير سائغ ؛ للزوم تضييع مال محترم به ، ففساد العقد مبنيّ على مفسدية الشرط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الشرط نظير نذر عدم التصرّف في ماله لو قلنا </w:t>
      </w:r>
    </w:p>
    <w:p>
      <w:pPr>
        <w:pStyle w:val="BookText"/>
        <w:rPr/>
      </w:pPr>
      <w:r>
        <w:rPr>
          <w:rFonts w:ascii="Amiri" w:hAnsi="Amiri" w:eastAsia="Amiri" w:cs="Amiri"/>
          <w:color w:val="111111"/>
          <w:sz w:val="28"/>
          <w:sz w:val="28"/>
          <w:szCs w:val="28"/>
          <w:rtl w:val="true"/>
          <w:lang w:bidi="ar-SA"/>
        </w:rPr>
        <w:t xml:space="preserve">بصحّته ؛ فإنّه لا يوجب خروج الملك عن الاعتبار لصاحبه أو سلب ماليته عنه ؛ لأنّ الملكية مفروضة في موضوعه ولا يعقل رفعها بدليله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مالية الأشياء متقوّمة بوجود منفعة لها وإمكان الانتفاع بها ، فكما أنّ الشيء إذا كان مسلوب المنفعة مطلقاً تكويناً لا يعتبره العقلاء مالاً ولا ملكاً ، فكذلك إذا كان له منفعة غير ممكن الاستيفاء مطلقاً ولو عادةً ، كدرّة غرقت في البحر بحيث لا يرجى عودها إلى الأبد ، فإنّها لا تعتبر مالاً وملكاً لمالكه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التكوين ، ومحيط التشريع والتقنين كذلك عند الملتزمين به ، ولهذا تزيد وتنقص المالية بواسطة الشروط ، فلو شرط على المشتري عدم الانتفاع بالفرو في الشتاء ، وعدم انتقاله إلى الغير ، تحطّ قيمته من خمسين إلى 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الشروط لدى العقلاء أيضاً معتبرة لازم الوفاء عقلاً ووجداناً ، فشرط عدم الانتفاع بالشيء في محيط القانون والشرع ، بل عند العقلاء الملتزمين بأحكام العقل والوجدان والمجتنبين عن الخيانة والعدوان ، منافٍ لمبادلة المال بالمال ، وموجب لسقوط الشيء عن المالية من غير أن يلاحظ بطلان الشرط وصحّة المعاملة ، بل لولا بطلان الشرط ببطلان أصل المعاملة يمكن التأمّل في بطلانه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لا يعدّون تلك المعاملة معتبرة ، وكذلك الأمر في محيط التقنين ، وليس ذلك من دفع الشرط لموضوعه ، أو رفعه له ، بل مثله يعدّ منافياً لمقتضى العقود لدى العقلاء ، نظير بيع الشيء مسلوب المنفعة أو بشرط مسلوبيتها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يكون ذلك الشرط من الشروط الغير السائغة ، بل هو من المنافية لنفس المعاملة ولو بنحو من اللزوم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تخلّف الشروط لا يوجب شيئاً إلاّ العصيان والخيار ، فمع التخلّف يصحّ المعاوضة ، فحينئذٍ يكون مالاً لدى العقلاء والشرع ، فلا يكون الشرط الكذائي مخالفاً لمقتضى العقد ولا في قوّتها ، ولا مخالفته موجباً للعصيان بل ولا الخيار في بعض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المالية الآتية من قبل تخلّف الشرط والشرع أو المقارنة لذلك ، غير معتبرة لدى العقلاء ، وكذا لدى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المالية لا تأتي من قبل تخلّفه ، بل صحّة المعاملة شرعاً في صورة مخالفة الشرط ، دليل على اعتبار الشرع مالية المبيع ، ففي المقام لو شرط على المشتري عدم التصرّفات المحلّلة وخالف وباعه ، صحّ بيعه وهو كاشف عن اعتبار الشارع ماليته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بيع المشتري في الفرض متوقّفة على صحّة ابتياعه مع الشرط المتقدّم ، فلو كانت صحّة ابتياعه متوقّفة على صحّة بيعه ، لزم المحال ولا تفيد الصحّة في سائر الموارد لتصحيح ما نحن فيه ، فلو باع شيئاً وشرط على المشتري عدم بيعه من شخص ، فباعه منه صحّ ؛ لأنّ صحّة بيع الأوّل وشرطه معلومتان ، وتخلّف الشرط لا يوجب بطلان المعاملة فرضاً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المقام تكون صحّة المعاملة مع الشرط المذكور مشكوكاً فيها ، فكيف يمكن الحكم بصحّة بيع المشتري والكشف بها عن صحّة البيع الأوّل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فتوهّم أنّ صحّة البيع الثاني كاشفة عن صحّة الأوّل لا موجبة لها فلا دور ، في </w:t>
      </w:r>
      <w:bookmarkStart w:id="222" w:name="pg15158_206972"/>
    </w:p>
    <w:p>
      <w:pPr>
        <w:pStyle w:val="BookText"/>
        <w:rPr/>
      </w:pPr>
      <w:bookmarkEnd w:id="222"/>
      <w:r>
        <w:rPr>
          <w:rFonts w:ascii="Amiri" w:hAnsi="Amiri" w:eastAsia="Amiri" w:cs="Amiri"/>
          <w:color w:val="111111"/>
          <w:sz w:val="28"/>
          <w:sz w:val="28"/>
          <w:szCs w:val="28"/>
          <w:rtl w:val="true"/>
          <w:lang w:bidi="ar-SA"/>
        </w:rPr>
        <w:t xml:space="preserve">غير محلّه ؛ لعدم إمكان كشفها عنها أيضاً بعد توقّف صحّتها على صحّة العقد الأوّل مع الشرط ، فتدبّر </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1851572_2142443653"/>
      <w:bookmarkStart w:id="224" w:name="_Toc77"/>
      <w:bookmarkEnd w:id="223"/>
      <w:r>
        <w:rPr>
          <w:rtl w:val="true"/>
        </w:rPr>
        <w:t xml:space="preserve">منها </w:t>
      </w:r>
      <w:r>
        <w:rPr>
          <w:rtl w:val="true"/>
        </w:rPr>
        <w:t xml:space="preserve">: </w:t>
      </w:r>
      <w:r>
        <w:rPr>
          <w:rtl w:val="true"/>
        </w:rPr>
        <w:t>أن يشترط عليه الانتفاع بالمحرّم من غير الحصر فيه</w:t>
      </w:r>
      <w:bookmarkEnd w:id="224"/>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يشترط عليه الانتفاع بالمحرّم من غير الحصر فيه ، 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الشرط بحيث لا يعتبر بلحاظه شيء وفي مقابله ولو لبّاً ، فيكون من قبيل التزام في التزام محضاً ، فلا شبهة في أ نّه من صغريات أنّ الشرط الفاسد مفسد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يعتبر بلحاظه شيء ، كما لو باع ما قيمته مائة بخمسين وشرط عليه أن يستفيد منه المنفعة المحرّمة لغرض منه فيه ، كأن يكون بيته في جوار المشتري وأراد الاستفادة المحرّمة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مثله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أيضاً من صغريات كون الشرط الفاسد مفسداً ؛ لأنّ الميزان في باب المعاملات ملاحظة محطّ الإنشاءات لا اللبّيات ، والمفروض أنّ إنشاء المعاملة وقع بين العينين ، والشرط خارج عن محطّها ، ولهذا لا يقسّط عليه الثمن أو المثمن ، ومجرّد كون زيادة ونقيصة فيهما بلحاظه ، لا يوجب دخوله في ماهية المعاوضة ، ومع عدم الدخول تكون المبادلة بين العينين ، والشرط زائد وباطل فيأتي فيه ما يأتي في الشروط الفاسدة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المالية الملحوظة من قبل الشرط ، إذا لم تحصل للطرف مع خروج شيء بلحاظها من كيسه ، يكون أخذه بلا عوض لبّاً ومن قبيل أكل المال بالباطل حقيقة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باع ما قيمته مائة بخمسين وشرط عليه شيئاً يوازي خمسين ولم يحصل </w:t>
      </w:r>
    </w:p>
    <w:p>
      <w:pPr>
        <w:pStyle w:val="BookText"/>
        <w:rPr/>
      </w:pPr>
      <w:r>
        <w:rPr>
          <w:rFonts w:ascii="Amiri" w:hAnsi="Amiri" w:eastAsia="Amiri" w:cs="Amiri"/>
          <w:color w:val="111111"/>
          <w:sz w:val="28"/>
          <w:sz w:val="28"/>
          <w:szCs w:val="28"/>
          <w:rtl w:val="true"/>
          <w:lang w:bidi="ar-SA"/>
        </w:rPr>
        <w:t xml:space="preserve">له ذلك ، يكون مقدار المالية الواردة في كيس الطرف بلا حصول ما بلحاظه له من أكل المال بلا عوض وبباطل ، ولا شبهة في أنّ البائع في المعاملة المفروضة لم يسقط مالية ماله ولم يجعله للمشتري مجّاناً ، بل جعله بلحاظ الشرط الذي بنظره مال وذو 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لا ينظرون إلى ألفاظ المعاملات بل عمدة نظرهم إلى واقعها ، وفي اللبّ تكون المقابلة بين العين مع لحاظ الشرط ، ومع عدم حصول الشرط له يكون ما بلحاظه بلا عوض واقعاً ، وهذا من أكل المال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ما ذكر في الشروط الصحيحة أيضاً في صورة تخلّفها ، كما لو شرط عربية فرس خارجي فبان عدمها ، مع أنّ في تخلّفه الخيار بلا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دليل من إجماع أو غيره على الصحّة في موارد تخلّف الشرط والوصف ، نقول بمقتضاهما في موردهما على خلاف القواعد دون غيره ، فمورد النقض نظير 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في النظر العاجل هو الوجه الأوّل ، وإن لا يخلو من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الكلام فيهما في أبواب الشروط إن شاء اللّه وساعدنا التوفيق منه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الكلام في الإجارة نظيره في المقام ، مع أوضحية البطلان فيها في بعض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آجر بيتاً ليباع فيه الخمر أو آلات القمار ، فإنّ البطلان فيه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حال سائر الصور ممّا تقدّم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هنا روايات لا بأس بالتعرّض لها ، كرواية صابر ، أو جابر ، قال سألت </w:t>
      </w:r>
    </w:p>
    <w:p>
      <w:pPr>
        <w:pStyle w:val="BookText"/>
        <w:rPr/>
      </w:pPr>
      <w:r>
        <w:rPr>
          <w:rFonts w:ascii="IRNazanin" w:hAnsi="IRNazanin" w:eastAsia="IRNazanin"/>
          <w:color w:val="111111"/>
          <w:sz w:val="28"/>
          <w:sz w:val="28"/>
          <w:szCs w:val="28"/>
          <w:rtl w:val="true"/>
          <w:lang w:bidi="fa-IR"/>
        </w:rPr>
        <w:t xml:space="preserve">أبا عبداللّه علیه السلام عن الرجل يؤاجر بيته فيباع فيه الخمر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أجره</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بأ نّها مع ضعفها سنداً ولو كان الراوي صابراً </w:t>
      </w:r>
      <w:r>
        <w:rPr>
          <w:rStyle w:val="FootnoteAnchor"/>
          <w:rtl w:val="true"/>
        </w:rPr>
        <w:footnoteReference w:id="542"/>
      </w:r>
      <w:r>
        <w:rPr>
          <w:rFonts w:ascii="Amiri" w:hAnsi="Amiri" w:eastAsia="Amiri" w:cs="Amiri"/>
          <w:color w:val="111111"/>
          <w:sz w:val="28"/>
          <w:sz w:val="28"/>
          <w:szCs w:val="28"/>
          <w:rtl w:val="true"/>
          <w:lang w:bidi="ar-SA"/>
        </w:rPr>
        <w:t xml:space="preserve">، مخالفة للقواعد العقلائية والشرعية المحكّمة ؛ ضرورة أنّ إجارة البيت إذا لم تكن للانتفاع المحرّم لم تكن اُجرته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بيع المستأجر فيه الخمر لا يوجب حرمة الاُجرة ، وإلاّ لزم حرمة اُجرة الدكاكين والبيوت التي يقع فيها عمل محرّم ، أو بيع حرام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محيص عن حملها على ما إذا آجره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والمظنون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ليباع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وربّما تشهد له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اكترى دابّة أو سفينة ، فحمل عليها المكتري خمراً أو خنازير أو ما يحرم ، لم يكن على صاحب الدابّة شيء ، وإن تعاقدا على حمل ذلك فالعقد فاسد ، والكري على ذلك حرام</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يكتسب به ، 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ابن اُذينة ، قال كتبت إلى أبي عبداللّه علیه السلام أسأله عن الرجل </w:t>
      </w:r>
      <w:bookmarkStart w:id="225" w:name="pg15158_206975"/>
    </w:p>
    <w:p>
      <w:pPr>
        <w:pStyle w:val="BookText"/>
        <w:rPr/>
      </w:pPr>
      <w:bookmarkEnd w:id="225"/>
      <w:r>
        <w:rPr>
          <w:rFonts w:ascii="Amiri" w:hAnsi="Amiri" w:eastAsia="Amiri" w:cs="Amiri"/>
          <w:color w:val="111111"/>
          <w:sz w:val="28"/>
          <w:sz w:val="28"/>
          <w:szCs w:val="28"/>
          <w:rtl w:val="true"/>
          <w:lang w:bidi="ar-SA"/>
        </w:rPr>
        <w:t xml:space="preserve">يؤاجر سفينته ودابّته ممّن يحمل فيها أو عليها الخمر والخنازير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التفصيل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البأس في الصحيحة ، موافقان للقاعدة المحكّمة بناءً على عدم كون المراد بالصحيحة إجارتهما لذلك ، كما هو الظاهر منها أيضاً </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1851574_2142443653"/>
      <w:bookmarkStart w:id="227" w:name="_Toc78"/>
      <w:bookmarkEnd w:id="226"/>
      <w:r>
        <w:rPr>
          <w:rtl w:val="true"/>
        </w:rPr>
        <w:t xml:space="preserve">منها </w:t>
      </w:r>
      <w:r>
        <w:rPr>
          <w:rtl w:val="true"/>
        </w:rPr>
        <w:t xml:space="preserve">: </w:t>
      </w:r>
      <w:r>
        <w:rPr>
          <w:rtl w:val="true"/>
        </w:rPr>
        <w:t>المعاوضة على عين مشتملة على صفة يقصد منها الحرام</w:t>
      </w:r>
      <w:r>
        <w:rPr>
          <w:rtl w:val="true"/>
        </w:rPr>
        <w:t>.</w:t>
      </w:r>
      <w:bookmarkEnd w:id="227"/>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المعاوضة على عين مشتملة على صفة يقصد منها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ولها صور ؛ لأ 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تقصد المعاوضة بين العين الموصوفة مع لحاظ زيادة القيمة لأجل الصفة ، كمن باع الجارية المغنّية المعدّة للتغنّي ولاحظ لصفة تغنّيها زيادة 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تقصد المعاوضة على الموصوفة بلا لحاظ قيمة لأجلها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الصفة من جهة أ نّها صفة كمال فتزاد لأجلها القيمة من غير نظر إلى عملها الخارجي ، فإنّ زيادة القيم فيما هو موصوف بصفة كمال ، وإن كانت غالباً للانتفاع بها لا لنفسها بما هي كمال ، لكن قد تتعلّق الأغراض بها بما هي ، فتزاد القيمة لأجلها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بلا ازدياد القيمة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الصفة من حيث إنّها كمال قد يستفاد منها الحلال كالتغنّي </w:t>
      </w:r>
    </w:p>
    <w:p>
      <w:pPr>
        <w:pStyle w:val="BookText"/>
        <w:rPr/>
      </w:pPr>
      <w:r>
        <w:rPr>
          <w:rFonts w:ascii="Amiri" w:hAnsi="Amiri" w:eastAsia="Amiri" w:cs="Amiri"/>
          <w:color w:val="111111"/>
          <w:sz w:val="28"/>
          <w:sz w:val="28"/>
          <w:szCs w:val="28"/>
          <w:rtl w:val="true"/>
          <w:lang w:bidi="ar-SA"/>
        </w:rPr>
        <w:t xml:space="preserve">في الأعراس ، وفي هذه الصورة تارةً تكون المنفعة المحلّلة نادرة ، واُخرى شائعة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وجه الصحّة في الصور المذكورة هو الكلام في الشروط بما مرّ</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في وجه الفساد في الصور التي يبذل فيها المال بلحاظ الصفة ، سواء كان بلحاظ ظهور آثارها كما هو الشائع المتعارف في زيادة القيم أم بلحاظ نفسها من حيث هي صفة 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وجه البطلان في المقام لعلّه الأوضح منه في الشروط ؛ لأنّ الشروط من قبيل التزام في التزام ، وأمّا في المقام ، فالأوصاف من قيود المبيع ، فمقابلة المال لبّاً في مقابلها أوضح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الجارية المغنّية إذا لم تكن لها قيمة إلاّ بلحاظ وصف التغنّي فبيعت موصوفة بمائة دينار ، تكون المعاملة باطلة ؛ لأنّ ذاتها لا قيمة لها فرضاً وصفتها ساقطة القيمة شرعاً ، ففي محيط الشرع لا تكون لها قيمة ويكون أكل المال بهذا اللحاظ أكلاً بالباطل ؛ لتحكيم دليل إسقاط المالية عنها على الآية الكريمة بوجه أشرنا إليه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لو كانت لها قيمة في غاية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كدرهم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قطع النظر عن صفة التغنّي فبيعت موصوفة بمائة دينار ، يكون أخذ المال بإزائها بلحاظ وصفها أكلاً له بالباطل ، وتكون المعاملة في محيط الشرع سفهية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لو بيعت موصوفة مع لحاظ مقدار من المالية لصفتها ، وأخذه بلحاظها مع سقوطها عن المالية في لحاظ الشارع ، فإنّ أكل المال في مقابل شيء بلحاظ ما لا مالية له ، أكل له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 بالنظر بحسب القواعد وإن كان الصحّة ؛ لما تقدّم في الشروط</w:t>
      </w:r>
      <w:r>
        <w:rPr>
          <w:rStyle w:val="FootnoteAnchor"/>
          <w:rtl w:val="true"/>
        </w:rPr>
        <w:footnoteReference w:id="5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 غير خالٍ من المناقشة والتأمّل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ما يلاحظ بإزاء الصفة مال ، وأمّا مع عدم لحاظه فمقتضى القواعد صحّتها ؛ لإطلاق الأدلّة وعمومها وعدم وجه للفساد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توصيف المبيع بصفة يترتّب عليها الحرام لا يوجب بطلان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صدق الإعانة على الإثم عليها في بعض الأحيان لا يقتضي ذلك بطلانها ، كما يأتي الكلام فيه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ذكرناه يظهر التأمّل في كلام شيخنا الأعظم</w:t>
      </w:r>
      <w:r>
        <w:rPr>
          <w:rStyle w:val="FootnoteAnchor"/>
          <w:rtl w:val="true"/>
        </w:rPr>
        <w:footnoteReference w:id="549"/>
      </w:r>
      <w:r>
        <w:rPr>
          <w:rFonts w:ascii="Amiri" w:hAnsi="Amiri" w:eastAsia="Amiri" w:cs="Amiri"/>
          <w:color w:val="111111"/>
          <w:sz w:val="28"/>
          <w:sz w:val="28"/>
          <w:szCs w:val="28"/>
          <w:rtl w:val="true"/>
          <w:lang w:bidi="ar-SA"/>
        </w:rPr>
        <w:t xml:space="preserve">، حيث نفى الإشكال عمّا لو لوحظ من حيث إنّه صفة كمال قد تصرف إلى المحلّل ، فيزيد لأجلها الثمن ، وكانت المنفعة المحلّلة لتلك الصفة ممّا يعتدّ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الصحّة أيضاً فيما كانت المنفعة المحلّلة نادرة ، وزادت القيمة لأجل صفة الكمال التي قد تصرف إلى المحلّل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زيادة القيمة ليست لأجل صفة الكمال بما هي كذلك ، بل تفاوت القيم في الأشياء بلحاظ الانتفاع بها ، فصفة الكمال المنتفع بها توجب </w:t>
      </w:r>
    </w:p>
    <w:p>
      <w:pPr>
        <w:pStyle w:val="BookText"/>
        <w:rPr/>
      </w:pPr>
      <w:r>
        <w:rPr>
          <w:rFonts w:ascii="Amiri" w:hAnsi="Amiri" w:eastAsia="Amiri" w:cs="Amiri"/>
          <w:color w:val="111111"/>
          <w:sz w:val="28"/>
          <w:sz w:val="28"/>
          <w:szCs w:val="28"/>
          <w:rtl w:val="true"/>
          <w:lang w:bidi="ar-SA"/>
        </w:rPr>
        <w:t xml:space="preserve">زيادة القيمة بمقدار مرغوبية الانتفاع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بذل بعض الأشخاص أحياناً مالاً بلحاظ نفس صفة الكمال ، فهو لا محالة لأجل بعض أغراض اُخر ، لا بواسطة مالية الصفة بذاتها من غير جهة انتفاع وإبراز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 إنّ بذل المال إن كان للصفة بلحاظ إبرازها المحلّل ، وتتقدّر القيمة بلحاظها بتلك الحيثية ، فلا إشكال في صحّة المعاملة بحسب القواعد ، كانت المنفعة نادرة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بدّ في النادرة كونها ذات قيمة لدى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زاد القيمة بمقدار الصفة بتمام الحيثيات المحلّلة والمحرّمة ولوحظت للمحلّلة فقط جزافاً ، يأتي فيه الإشكال المتقدّم من احتمال صدق أكل المال بالباطل عليه ، سيّما إذا كانت المنفعة النادرة ممّا لا قيمة لها ، فإنّ لحاظ</w:t>
      </w:r>
    </w:p>
    <w:p>
      <w:pPr>
        <w:pStyle w:val="BookText"/>
        <w:rPr/>
      </w:pPr>
      <w:r>
        <w:rPr>
          <w:rFonts w:ascii="Amiri" w:hAnsi="Amiri" w:eastAsia="Amiri" w:cs="Amiri"/>
          <w:color w:val="111111"/>
          <w:sz w:val="28"/>
          <w:sz w:val="28"/>
          <w:szCs w:val="28"/>
          <w:rtl w:val="true"/>
          <w:lang w:bidi="ar-SA"/>
        </w:rPr>
        <w:t xml:space="preserve">القيمة لما لا قيمة لها لا يجعلها ذات قيمة ، كما أنّ لحاظ زيادتها لا يجعلها زائدة ، فبذل المال بلحاظ ما لا مالية لها ، والزيادة بلحاظ ما لا زيادة لها ، بذل بلا حصول مقابله لبّاً ، وهو نظير ما تقدّم من احتمال كونه من قبيل أكل المال بالباطل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بحسب القواعد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بحسب الأخبار ، فالظاهر شمول مثل قوله في التوقيع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وثمن المغنّية حرام</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 xml:space="preserve">، وقوله في صحيحة إبراهيم بن أبي البلاد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ثمن الكلب والمغنّية </w:t>
      </w:r>
    </w:p>
    <w:p>
      <w:pPr>
        <w:pStyle w:val="BookText"/>
        <w:rPr/>
      </w:pP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w:t>
      </w:r>
      <w:r>
        <w:rPr>
          <w:rStyle w:val="FootnoteAnchor"/>
          <w:rtl w:val="true"/>
        </w:rPr>
        <w:footnoteReference w:id="551"/>
      </w:r>
      <w:r>
        <w:rPr>
          <w:rFonts w:ascii="Amiri" w:hAnsi="Amiri" w:eastAsia="Amiri" w:cs="Amiri"/>
          <w:color w:val="111111"/>
          <w:sz w:val="28"/>
          <w:sz w:val="28"/>
          <w:szCs w:val="28"/>
          <w:rtl w:val="true"/>
          <w:lang w:bidi="ar-SA"/>
        </w:rPr>
        <w:t xml:space="preserve">، وقوله في رواية الطاطري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شراؤهنّ وبيعهنّ حرام</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xml:space="preserve">للجارية المغنّية التي شغلها التغنّي وكانت معدّة لذلك ، سواء كان الثمن المجعول في مقابلها بلحاظ كونها مغنّية ومنشأً لهذا الأثر كلاًّ أو بعضاً ، أم جعل بلحاظ نفس ملكة التغنّي مقطوع النظر عن العمل ، أو مع النظر إلى الأثر المحلّل كالقراءة بحسن صوتها أو التغنّي لزفّ الأعراس ، أو بلحاظ ذاتها ، أو صفتها الاُخرى كالخياطة ؛ لصدق كون ثمنها ثمن المغنّية ، فإنّها عبارة عن الذات الموصوفة بالصفة المعدّة لذلك ، والثمن يجعل في مقابل الموجودة في الخارج وهي الجارية المغنّية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عدم لحاظ كون الثمن لصفتها لم يخرجها عنها ولا يضرّ بصدق كون الثمن ثمن المغنّية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جعل الثمن بإزاء 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الخياطة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يصدق أ نّه ثمن المغنّية ، أو باع الكلّي الموصوف بالخياطة وسلّم الخيّاطة المغنّية ، فكذلك ، لكنّ الأوّل مجرّد فرض لا واقعية له ، بل هو باطل بجهة اُخرى ، والثاني خروج عن الفرض والمسألة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المبيع هو الجارية الموجودة في الخارج التي هي المغنّية ، والثمن الذي بإزائها ثمن هذه الموجودة المغنّية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نظير بيع المسكر الخارجي ويجعل الثمن بلحاظ كونه مادّة سيّالة لا بلحاظ مسكريته ؛ فإنّه من الواضح صدق كون الثمن بإزائه ثمن المسكر ، ومجرّد اللحاظ لا يوجب بطلان الصدق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نكتة تحريم ثمنها وجعله سحتاً ، هي سقوط مالية صفة التغنّي فيكون أكل المال بلحاظ الصفة الساقطة من قبيل أكل المال بالباطل ، فالحكم بالحرمة والسحتية دائر مدار لحاظ مالية لها ، كما تقدّم الكلام فيه</w:t>
      </w:r>
      <w:r>
        <w:rPr>
          <w:rStyle w:val="FootnoteAnchor"/>
          <w:rtl w:val="true"/>
        </w:rPr>
        <w:footnoteReference w:id="553"/>
      </w:r>
      <w:r>
        <w:rPr>
          <w:rFonts w:ascii="Amiri" w:hAnsi="Amiri" w:eastAsia="Amiri" w:cs="Amiri"/>
          <w:color w:val="111111"/>
          <w:sz w:val="28"/>
          <w:sz w:val="28"/>
          <w:szCs w:val="28"/>
          <w:rtl w:val="true"/>
          <w:lang w:bidi="ar-SA"/>
        </w:rPr>
        <w:t xml:space="preserve">، فإذا لم يجعل الثمن بلحاظها لم يكن أكلاً للمال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المتفاهم عرفاً من الروايات</w:t>
      </w:r>
      <w:r>
        <w:rPr>
          <w:rStyle w:val="FootnoteAnchor"/>
          <w:rtl w:val="true"/>
        </w:rPr>
        <w:footnoteReference w:id="554"/>
      </w:r>
      <w:r>
        <w:rPr>
          <w:rFonts w:ascii="Amiri" w:hAnsi="Amiri" w:eastAsia="Amiri" w:cs="Amiri"/>
          <w:color w:val="111111"/>
          <w:sz w:val="28"/>
          <w:sz w:val="28"/>
          <w:szCs w:val="28"/>
          <w:rtl w:val="true"/>
          <w:lang w:bidi="ar-SA"/>
        </w:rPr>
        <w:t>أنّ الحكم بحرمة ثمنها وبيعها وشرائها ، إنّما هو للفساد المترتّب عليها ، فأراد الشارع قلع الفساد ، أو تقليله ،</w:t>
      </w:r>
    </w:p>
    <w:p>
      <w:pPr>
        <w:pStyle w:val="BookText"/>
        <w:rPr/>
      </w:pPr>
      <w:r>
        <w:rPr>
          <w:rFonts w:ascii="Amiri" w:hAnsi="Amiri" w:eastAsia="Amiri" w:cs="Amiri"/>
          <w:color w:val="111111"/>
          <w:sz w:val="28"/>
          <w:sz w:val="28"/>
          <w:szCs w:val="28"/>
          <w:rtl w:val="true"/>
          <w:lang w:bidi="ar-SA"/>
        </w:rPr>
        <w:t xml:space="preserve">ولا ينقدح في الأذهان منها كون التحريم لأجل كونه أكلاً للمال بالباطل ، بل مع احتمال ذلك فالمرجع إطلاق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الجارية مغنّية ، وأراد المشتري منها التغنّي ، وتشبّث بحيلة لتصحيح المعاملة وتملّك الجارية ، وأراد البائع أيضاً تصحيحها وحلّية ثمنها بجعل الثمن بإزاء ذاتها مجرّدة عن الصفة ، أو بلحاظ سائر أوصافها دون صفة التغنّي ، أو بإزائها للأثر المحلّل؛ فراراً من الحرام إلى الحلال ، لا يمكن لهما ذلك ولا تصحّح تلك الحيلة البيع ؛ لصدق أنّ ثمنها ثمن المغنّية؛ لما عرفت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نظير أن ينهى المولى عن ضرب الجارية المغنّية فضربها لكونها خيّاطة ، أو لذاتها؛ حيلة لعدم مخالفته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محمولة على الغالب ، وهو مورد بيع المغنّيات وتزييد القيمة لصنعتها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أنّ الغلبة صارت موجبة للانصراف في موارد اُخر ، لا توجب ذلك في المقام ؛ لأنّ مناسبة الحكم والموضوع وفهم العرف من الروايات نكتة الجعل ، توجبان التعميم بل إلغاء الخصوصية لو كانت واردة في مورد خاصّ ، فالانصراف ممنوع والإطلاق محكّم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تابت المغنّية عن عملها وتركت الاشتغال به ، فالظاهر صحّة بيعها وإن قلنا بصدق المشتقّ ؛ لكون المبدأ هو الملكة العلمية لا الصنعة والعمل ؛ لانصراف الأخبار عن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يقوى احتمال عدم صدق المشتقّ ؛ لاحتمال أن يكون المبدأ التغنّي الذي من قبيل الحرفة ، فيكون الصدق لاتّخاذه حرفة كالمكاري والتاجر ، فإذا تركت الحرفة وأعرضت عنها بطل الصدق ، كما أنّ الظاهر انصرافها عمّا إذا كان غرض المتعاملين حفظها عن التغنّي وكان البائع غير قادر عليه ، ولو كانت صفة التغنّي دخيلة في زيادة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يأتي فيه الإشكال المتقدّم وهو احتمال صدق أكل المال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غرض المشتري ذلك دون البائع ، فالظاهر بطلانه ؛ لشمول الأخبار له ، سواء علم قصد المشتري ، أم لا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قلنا باستفادة البطلان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المغنّية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الأرجح بالنظر ، فهو ، وإلاّ صحّت المعاملة ، وإن حرّم ثمنها تكليفاً بعنوان كونه ثمنها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حال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المغنّية حرام وسحت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مورد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بالنظر إليه فلا بدّ من نقلها وبيان مفادها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إبراهيم بن أبي البلاد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الأوّل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جعلت فداك إنّ رجلاً من مواليك عنده جوارٍ مغنّيات قيمتهنّ أربعة عشر ألف دينار وقد جعل لك ثلثها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فيها ، إنّ ثمن الكلب والمغنّية سحت</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منها أنّ الجواري كانت موجودة عند بعض الموالي ، وجعل ثلث قيمتهنّ لأبي الحسن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فالقاعدة تقتضي صحّة الوصيّة لو قلنا بأنّ للجواري المغنّيات قيمة بلحاظ سائر أوصافهنّ ، أو بلحاظ ذواتهنّ ، وإن زعم الموصي بأنّ لهنّ قيمة بلحاظ التغنّي ، وهذا الزعم الباطل لا يوجب بطلانها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فرض أنّ لهنّ قيمة واقعية ملحوظة لدى الشارع ، كان ثلثها لأبي الحسن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فردّه الوصيّة دليل على أنّ بيعهنّ مطلقاً حرام ، وثمنهنّ سحت ، سواء تباع بلحاظ قيمة التغنّي ، أو بلحاظ غيره ، وإلاّ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بعهنّ بلحاظ سائر أوصافهنّ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أن يكون ردّها لمنافاة القبول لمقام شرافته وتنزّهه ، مخالف للظاهر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ثمنها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ظاهره أنّ ردّها لأجل حكم الشارع بأنّ ثمنهنّ </w:t>
      </w:r>
    </w:p>
    <w:p>
      <w:pPr>
        <w:pStyle w:val="BookText"/>
        <w:rPr/>
      </w:pPr>
      <w:r>
        <w:rPr>
          <w:rFonts w:ascii="IRNazanin" w:hAnsi="IRNazanin" w:eastAsia="IRNazanin"/>
          <w:color w:val="111111"/>
          <w:sz w:val="28"/>
          <w:sz w:val="28"/>
          <w:szCs w:val="28"/>
          <w:rtl w:val="true"/>
          <w:lang w:bidi="fa-IR"/>
        </w:rPr>
        <w:t xml:space="preserve">سحت ، مع أنّ القبول بالنحو المتقدّم لا ينافي مقامه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احتمال أن يكون الموصى به قيمتهنّ بلحاظ الصفة المحرّمة ، فجعل ثلث مالية تلك الجهة له علیه السلام ، فتكون الوصيّة باطلة ، بعيد عن ظاهر الرواية ، مع أنّ ترك الاستفصال دليل على الحرمة مطلقاً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احتمال أن لا تكون لهنّ قيمة إلاّ بلحاظ صفة التغنّي بعيد غايته ، بل مقطوع الخلاف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إبراهيم بن أبي البلاد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إسحاق بن عمر بجوارٍ له مغنّيات أن نبيعهنّ ونحمل ثمنهنّ إلى أبي الحسن علیه السلام ، قال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فبعت الجواري بثلاثمائة ألف درهم وحملت الثمن إليه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مولىً لك يقال له إسحاق بن عمر ، أوصى عند وفاته ببيع جوار له مغنّيات وحمل الثمن إليك وقد بعتهنّ وهذا الثمن ثلاثمائة ألف درهم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لي فيه ، إنّ هذا سحت ، وتعليمهنّ كفر ، والاستماع منهنّ نفاق ، وثمنهنّ سحت</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الاستدلال بها على البطلان مطلقاً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لبيع المغنّيات وجه صحّة ووجه فساد ، كان مقتضى القاعدة حمله على الصحّة لا الحكم بكون الثمن سحتاً ، فالحكم به وردّ الثمن دليل على أن لا وجه صحيح في بيعهنّ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بظهورها في أنّ البيع وقع بلحاظ كونها مغنّية ولوحظت زيادة القيمة لأجلها ، كما هو الغالب الشائع من بيع المغنّيات </w:t>
      </w:r>
      <w:r>
        <w:rPr>
          <w:rFonts w:eastAsia="Amiri" w:cs="Amiri" w:ascii="Amiri" w:hAnsi="Amiri"/>
          <w:color w:val="111111"/>
          <w:sz w:val="28"/>
          <w:szCs w:val="28"/>
          <w:rtl w:val="true"/>
          <w:lang w:bidi="ar-SA"/>
        </w:rPr>
        <w:t xml:space="preserve">. </w:t>
      </w:r>
      <w:bookmarkStart w:id="228" w:name="pg15158_206984"/>
    </w:p>
    <w:p>
      <w:pPr>
        <w:pStyle w:val="BookText"/>
        <w:rPr/>
      </w:pPr>
      <w:bookmarkEnd w:id="228"/>
      <w:r>
        <w:rPr>
          <w:rFonts w:ascii="Amiri" w:hAnsi="Amiri" w:eastAsia="Amiri" w:cs="Amiri"/>
          <w:color w:val="111111"/>
          <w:sz w:val="28"/>
          <w:sz w:val="28"/>
          <w:szCs w:val="28"/>
          <w:rtl w:val="true"/>
          <w:lang w:bidi="ar-SA"/>
        </w:rPr>
        <w:t xml:space="preserve">أو يقال بعدم جريان أصالة الصحّة فيما كان الغالب على خلافها كما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فترك الاستفصال لا يخلو من إشعار بالبطلان مطلقاً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معمّر بن خلاّد عن أبي الحسن الرضا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وأنا اُريد داود بن عيسى بن علي ، وكان ينزل بئر ميمون ، وعليّ ثوبان غليظان ، فلقيت امرأة عجوزاً ومعها جاريتان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عجوز ، أتباع هاتان الجاريتان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ولكن لا يشتريهما مثلك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إحداهما مغنّية والاُخرى زامرة </w:t>
      </w:r>
      <w:r>
        <w:rPr>
          <w:rFonts w:eastAsia="IRNazanin" w:cs="IRNazanin"/>
          <w:color w:val="111111"/>
          <w:sz w:val="28"/>
          <w:szCs w:val="28"/>
          <w:rtl w:val="true"/>
          <w:lang w:bidi="fa-IR"/>
        </w:rPr>
        <w:t>. .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الاستدلال بها للبطلان مطلقاً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الاشتراء بلحاظ سائر أوصافهنّ جائزاً ، لم يقرّرها عليه ، أو أشار إليه في نقله لمعمّر بن خلاّد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العجوز كانت لم تبعهما إلاّ بلحاظ قيمة وصفهما </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1851576_2142443653"/>
      <w:bookmarkStart w:id="230" w:name="_Toc79"/>
      <w:bookmarkEnd w:id="229"/>
      <w:r>
        <w:rPr>
          <w:rtl w:val="true"/>
        </w:rPr>
        <w:t xml:space="preserve">منها </w:t>
      </w:r>
      <w:r>
        <w:rPr>
          <w:rtl w:val="true"/>
        </w:rPr>
        <w:t xml:space="preserve">: </w:t>
      </w:r>
      <w:r>
        <w:rPr>
          <w:rtl w:val="true"/>
        </w:rPr>
        <w:t>حكم بيع شيء مباح ممّن يصرفه في الحرام</w:t>
      </w:r>
      <w:bookmarkEnd w:id="230"/>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شيء مباح ممّن يصرفه في الحرام ، كبيع الخشب ممّن يعمل صنماً أو بربطاً ونحوهما ، وبيع العنب ممّن يعمل خمراً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البائع أ نّه يصرفه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الحرام وأراد ذلك فعلاً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بعدم إرادته الحرام ، لكن يعلم بتجدّد إرادته لذلك ، وعليه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البيع أو تسليم المبيع له موجباً لإرادته ، كما لو </w:t>
      </w:r>
      <w:bookmarkStart w:id="231" w:name="pg15158_206985"/>
    </w:p>
    <w:p>
      <w:pPr>
        <w:pStyle w:val="BookText"/>
        <w:rPr/>
      </w:pPr>
      <w:bookmarkEnd w:id="231"/>
      <w:r>
        <w:rPr>
          <w:rFonts w:ascii="Amiri" w:hAnsi="Amiri" w:eastAsia="Amiri" w:cs="Amiri"/>
          <w:color w:val="111111"/>
          <w:sz w:val="28"/>
          <w:sz w:val="28"/>
          <w:szCs w:val="28"/>
          <w:rtl w:val="true"/>
          <w:lang w:bidi="ar-SA"/>
        </w:rPr>
        <w:t xml:space="preserve">كان العنب جيّداً صالحاً للتخمير ، فإذا باعه صار موجباً لإرادته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تجدّدها لا لذلك ، وعلى أيّ حال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البيع بداعي توصّله إلى الحرام أو برجاء ذلك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كذلك ، وعلى أيّ حال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الحرام مع تركه البيع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لوجود بائع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صرف الكلام أوّلاً إلى الحكم الكلّي ، ثمّ الكلام في الروايات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في مقامين </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1851578_2142443653"/>
      <w:bookmarkStart w:id="233" w:name="_Toc80"/>
      <w:bookmarkEnd w:id="232"/>
      <w:r>
        <w:rPr>
          <w:rtl w:val="true"/>
        </w:rPr>
        <w:t xml:space="preserve">يقع الكلام في مقامين </w:t>
      </w:r>
      <w:r>
        <w:rPr>
          <w:rtl w:val="true"/>
        </w:rPr>
        <w:t>:</w:t>
      </w:r>
      <w:bookmarkEnd w:id="233"/>
    </w:p>
    <w:p>
      <w:pPr>
        <w:pStyle w:val="Heading5"/>
        <w:numPr>
          <w:ilvl w:val="4"/>
          <w:numId w:val="1"/>
        </w:numPr>
        <w:rPr/>
      </w:pPr>
      <w:bookmarkStart w:id="234" w:name="__RefHeading___Toc1851580_2142443653"/>
      <w:bookmarkStart w:id="235" w:name="_Toc81"/>
      <w:bookmarkEnd w:id="234"/>
      <w:r>
        <w:rPr>
          <w:rtl w:val="true"/>
        </w:rPr>
        <w:t xml:space="preserve">المقام الأوّل </w:t>
      </w:r>
      <w:r>
        <w:rPr>
          <w:rtl w:val="true"/>
        </w:rPr>
        <w:t xml:space="preserve">: </w:t>
      </w:r>
      <w:r>
        <w:rPr>
          <w:rtl w:val="true"/>
        </w:rPr>
        <w:t>فيما يمكن أن يستدلّ به على الحكم</w:t>
      </w:r>
      <w:bookmarkEnd w:id="235"/>
    </w:p>
    <w:p>
      <w:pPr>
        <w:pStyle w:val="BookText"/>
        <w:rPr/>
      </w:pPr>
      <w:r>
        <w:rPr>
          <w:rFonts w:ascii="Amiri" w:hAnsi="Amiri" w:eastAsia="Amiri" w:cs="Amiri"/>
          <w:color w:val="111111"/>
          <w:sz w:val="28"/>
          <w:sz w:val="28"/>
          <w:szCs w:val="28"/>
          <w:rtl w:val="true"/>
          <w:lang w:bidi="ar-SA"/>
        </w:rPr>
        <w:t xml:space="preserve">وهو اُمور </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1851582_2142443653"/>
      <w:bookmarkStart w:id="237" w:name="_Toc82"/>
      <w:bookmarkEnd w:id="236"/>
      <w:r>
        <w:rPr/>
        <w:t>1</w:t>
      </w:r>
      <w:r>
        <w:rPr>
          <w:rtl w:val="true"/>
        </w:rPr>
        <w:t xml:space="preserve"> - </w:t>
      </w:r>
      <w:r>
        <w:rPr>
          <w:rtl w:val="true"/>
        </w:rPr>
        <w:t>الاستدلال بحكم العقل بقبح إعانة الغير على المعصية</w:t>
      </w:r>
      <w:bookmarkEnd w:id="237"/>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بقبح إعانة الغير على معصية المولى وإتيان مبغوضه ، فكما أنّ إتيان المنكر قبيح عقلاً ، وكذا الأمر به والإغراء نحوه قبيح ، كذلك تهيئة</w:t>
      </w:r>
    </w:p>
    <w:p>
      <w:pPr>
        <w:pStyle w:val="BookText"/>
        <w:rPr/>
      </w:pPr>
      <w:r>
        <w:rPr>
          <w:rFonts w:ascii="Amiri" w:hAnsi="Amiri" w:eastAsia="Amiri" w:cs="Amiri"/>
          <w:color w:val="111111"/>
          <w:sz w:val="28"/>
          <w:sz w:val="28"/>
          <w:szCs w:val="28"/>
          <w:rtl w:val="true"/>
          <w:lang w:bidi="ar-SA"/>
        </w:rPr>
        <w:t xml:space="preserve">أسبابه والإعانة على فاعله قبيح عقلاً موجب لاستحقاق العقوبة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كانت القوانين العرفية متكفّلة لجعل الجزاء على معين الجرم وإن لم يكن شريكاً في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أعان أحد السارق على سرقته وهيّأ أسبابه وساعده في مقدّماته ، يكون مجرماً في نظر العقل والعقلاء وفي القوانين الجزائية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نظيره في الشرع فيما لو أمسك أحد شخصاً وقتله الآخر وكان ثالث نظر لهما ، أنّ على القاتل القود ، وعلى الممسك الحبس حتّى يموت ، </w:t>
      </w:r>
    </w:p>
    <w:p>
      <w:pPr>
        <w:pStyle w:val="BookText"/>
        <w:rPr/>
      </w:pPr>
      <w:r>
        <w:rPr>
          <w:rFonts w:ascii="Amiri" w:hAnsi="Amiri" w:eastAsia="Amiri" w:cs="Amiri"/>
          <w:color w:val="111111"/>
          <w:sz w:val="28"/>
          <w:sz w:val="28"/>
          <w:szCs w:val="28"/>
          <w:rtl w:val="true"/>
          <w:lang w:bidi="ar-SA"/>
        </w:rPr>
        <w:t>وعلى الناظر أو الربيئة تسميل عينيه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منافاة بين ذلك وبين ما حرّرناه في الاُصول من عدم حرمة مقدّمات الحرام مطلقاً </w:t>
      </w:r>
      <w:r>
        <w:rPr>
          <w:rStyle w:val="FootnoteAnchor"/>
          <w:rtl w:val="true"/>
        </w:rPr>
        <w:footnoteReference w:id="559"/>
      </w:r>
      <w:r>
        <w:rPr>
          <w:rFonts w:ascii="Amiri" w:hAnsi="Amiri" w:eastAsia="Amiri" w:cs="Amiri"/>
          <w:color w:val="111111"/>
          <w:sz w:val="28"/>
          <w:sz w:val="28"/>
          <w:szCs w:val="28"/>
          <w:rtl w:val="true"/>
          <w:lang w:bidi="ar-SA"/>
        </w:rPr>
        <w:t xml:space="preserve">؛ لأنّ ما ذكرناه في ذلك المقام هو إنكار الملازمة بين حرمة الشيء وحرمة مقدّماته ، وما أثبتناه هاهنا إدراك العقل قبح العون على المعصية والإثم لا لحرمة المقدّمة ، بل لاستقلال العقل على قبح الإعانة على ذي المقدّمة الحرام وإن لم تكن مقدّماته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عنوان لا يصدق على إتيان الفاعل المقدّمات ، ولهذا لا يكون المجرم في إتيان مقدّماته مجرماً ، بل يكون مجرماً في إتيان نفس الجرم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أتى بالمقدّمات ولم يوفّق بإتيان الحرام كان متجرّياً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العقل فرقاً بين الآتي بالجرم بمقدّماته وبين المساعد له في الجرم ولو بتهيئة أسبابه ومقدّماته ، فلا يكون الأوّل مجرماً في إتيان المقدّمات زائداً عن إتيان الجرم ، وأمّا الثاني فيكون مجرماً في تهيئة المقدّمات ، فيكون في نظر العقل المساعد له كالشريك له في الجرم وإن تفاوتا في القبح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عدم الفرق في القبح بين ما إذا كان تهيئة المقدّمات بداعي توصّل الغير إلى الجرم وغيره ، فإذا علم بأنّ السارق يريد السرقة ويريد ابتياع السلَّم لذلك ، يكون تسليم السلّم إليه قبيحاً وإن لم يكن التسليم لذلك ، وإن كان الأوّل أقبح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لا فرق في نظر العقل بين الإرادة الفعلية والعلم بتجدّدها ، سيّما إذا كان التسليم موجباً لتجدّدها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فرق بين وجود بائع آخر وعدمه ، وإن تفاوتت الموارد في القبح لكنّها مشتركة في أصله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حكم العقل بالقبح في تلك الموارد ثابت ولو لم يصدق على بعضها عنوان الإعانة على الإثم والتعاون ونحوهما ، فإنّ العقل يدرك قبح تهيئة مقدّمات المعصية والجرم ، صدق عليها تلك العناوين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ورد في الكتاب</w:t>
      </w:r>
      <w:r>
        <w:rPr>
          <w:rStyle w:val="FootnoteAnchor"/>
          <w:rtl w:val="true"/>
        </w:rPr>
        <w:footnoteReference w:id="560"/>
      </w:r>
      <w:r>
        <w:rPr>
          <w:rFonts w:ascii="Amiri" w:hAnsi="Amiri" w:eastAsia="Amiri" w:cs="Amiri"/>
          <w:color w:val="111111"/>
          <w:sz w:val="28"/>
          <w:sz w:val="28"/>
          <w:szCs w:val="28"/>
          <w:rtl w:val="true"/>
          <w:lang w:bidi="ar-SA"/>
        </w:rPr>
        <w:t>والأخبار من النهي عن التعاون على الإثم والعدوان ، أو معونة الظالمين</w:t>
      </w:r>
      <w:r>
        <w:rPr>
          <w:rStyle w:val="FootnoteAnchor"/>
          <w:rtl w:val="true"/>
        </w:rPr>
        <w:footnoteReference w:id="561"/>
      </w:r>
      <w:r>
        <w:rPr>
          <w:rFonts w:ascii="IRNazanin" w:hAnsi="IRNazanin" w:eastAsia="IRNazanin"/>
          <w:color w:val="111111"/>
          <w:sz w:val="28"/>
          <w:sz w:val="28"/>
          <w:szCs w:val="28"/>
          <w:rtl w:val="true"/>
          <w:lang w:bidi="fa-IR"/>
        </w:rPr>
        <w:t xml:space="preserve">، أو لعن رسول اللّه‌ صلی الله علیه و آله وسلم  في الخمر غارسها وحارسها وبائعها ومشتريها وحاملها وساقيها </w:t>
      </w:r>
      <w:r>
        <w:rPr>
          <w:rStyle w:val="FootnoteAnchor"/>
          <w:rtl w:val="true"/>
        </w:rPr>
        <w:footnoteReference w:id="562"/>
      </w:r>
      <w:r>
        <w:rPr>
          <w:rFonts w:ascii="Amiri" w:hAnsi="Amiri" w:eastAsia="Amiri" w:cs="Amiri"/>
          <w:color w:val="111111"/>
          <w:sz w:val="28"/>
          <w:sz w:val="28"/>
          <w:szCs w:val="28"/>
          <w:rtl w:val="true"/>
          <w:lang w:bidi="ar-SA"/>
        </w:rPr>
        <w:t>، وكذا ما وردت من حرمة بيع المغنّيات</w:t>
      </w:r>
      <w:r>
        <w:rPr>
          <w:rStyle w:val="FootnoteAnchor"/>
          <w:rtl w:val="true"/>
        </w:rPr>
        <w:footnoteReference w:id="563"/>
      </w:r>
      <w:r>
        <w:rPr>
          <w:rFonts w:ascii="Amiri" w:hAnsi="Amiri" w:eastAsia="Amiri" w:cs="Amiri"/>
          <w:color w:val="111111"/>
          <w:sz w:val="28"/>
          <w:sz w:val="28"/>
          <w:szCs w:val="28"/>
          <w:rtl w:val="true"/>
          <w:lang w:bidi="ar-SA"/>
        </w:rPr>
        <w:t>، وإجارة المساكن لبيع بعض المحرّمات</w:t>
      </w:r>
      <w:r>
        <w:rPr>
          <w:rStyle w:val="FootnoteAnchor"/>
          <w:rtl w:val="true"/>
        </w:rPr>
        <w:footnoteReference w:id="564"/>
      </w:r>
      <w:r>
        <w:rPr>
          <w:rFonts w:ascii="Amiri" w:hAnsi="Amiri" w:eastAsia="Amiri" w:cs="Amiri"/>
          <w:color w:val="111111"/>
          <w:sz w:val="28"/>
          <w:sz w:val="28"/>
          <w:szCs w:val="28"/>
          <w:rtl w:val="true"/>
          <w:lang w:bidi="ar-SA"/>
        </w:rPr>
        <w:t xml:space="preserve">، كلّها لذلك أو لنكتته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بعد إدراك العقل قبح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الإعانة على الإثم وتهيئة أسباب المنكر والمعصية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تخصيص حكمه وتجويز الإعانة عليها في مورد ، كما لا يمكن تجويز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يشكل التخصيص أيضاً لو كان الدليل عليه مثل </w:t>
      </w:r>
      <w:bookmarkStart w:id="238" w:name="pg15158_206988"/>
    </w:p>
    <w:p>
      <w:pPr>
        <w:pStyle w:val="BookText"/>
        <w:rPr/>
      </w:pPr>
      <w:bookmarkEnd w:id="238"/>
      <w:r>
        <w:rPr>
          <w:rFonts w:ascii="IRNazanin" w:hAnsi="IRNazanin" w:eastAsia="IRNazanin"/>
          <w:color w:val="111111"/>
          <w:sz w:val="28"/>
          <w:sz w:val="28"/>
          <w:szCs w:val="28"/>
          <w:rtl w:val="true"/>
          <w:lang w:bidi="fa-IR"/>
        </w:rPr>
        <w:t xml:space="preserve">قوله حكاية عن رسول اللّه‌ صلی الله علیه و آله وسلم  أ نّه لعن الخمر وغارسها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بناءً على إلغاء الخصوصية عن الطوائف العشر إلى كلّ معين لشربها ، أو إلى كلّ معين لمعصية ، لكن الثاني ممنوع ؛ لأ نّه مخصوص بالخمر ولا يتعدّى إلى غيرها ، ولا يجوز إلغاء الخصوصية عنها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لو كان الدليل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تَعَاوَنُوا عَلَى الاْءِثْمِ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منع من تخصيصه </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1851584_2142443653"/>
      <w:bookmarkStart w:id="240" w:name="_Toc83"/>
      <w:bookmarkEnd w:id="239"/>
      <w:r>
        <w:rPr/>
        <w:t>2</w:t>
      </w:r>
      <w:r>
        <w:rPr>
          <w:rtl w:val="true"/>
        </w:rPr>
        <w:t xml:space="preserve"> - </w:t>
      </w:r>
      <w:r>
        <w:rPr>
          <w:rtl w:val="true"/>
        </w:rPr>
        <w:t>الاستدلال بآية حرمة التعاون على الإثم</w:t>
      </w:r>
      <w:bookmarkEnd w:id="240"/>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الاْءِثْمِ وَالعُدْوَانِ</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استشكل عليه الفاضل الإيرواني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مؤدّاها الحكم التنزيهي بقرينة مقابلته للأمر بالإعانة على البرّ والتقوى الذي ليس للإلزام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قضيّة باب التفاعل هو الاجتماع على إتيان المنكر ، كأن يجتمعوا على قتل النفوس ونهب الأموال ، لا إعانة الغير على إتيانه على أن يكون الغير مستقلاًّ وهذا معيناً له بإتيان بعض مقدّماته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سلِّمت في سائر الموارد قرينية بعض الفقرات على الاُخر بما ذكر ، لا يسلَّم في المقام ؛ لأنّ تناسب الحكم والموضوع وحكم العقل شاهدان على أنّ النهي للتحريم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أنّ مقارنة الإثم والعدوان الذي هو الظلم لم تبق مجالاً لحمل النهي على التنزيه ؛ ضرورة حرمة الإعانة على العدوان والظلم كما دلّت عليها الأخبار المستفيضة ، وحمل العدوان على غير الظلم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مادّة العون عرفاً وبنصّ اللغويين ، المساعدة على أمر ، والمعين هو الظهير والمساعد</w:t>
      </w:r>
      <w:r>
        <w:rPr>
          <w:rStyle w:val="FootnoteAnchor"/>
          <w:rtl w:val="true"/>
        </w:rPr>
        <w:footnoteReference w:id="567"/>
      </w:r>
      <w:r>
        <w:rPr>
          <w:rFonts w:ascii="Amiri" w:hAnsi="Amiri" w:eastAsia="Amiri" w:cs="Amiri"/>
          <w:color w:val="111111"/>
          <w:sz w:val="28"/>
          <w:sz w:val="28"/>
          <w:szCs w:val="28"/>
          <w:rtl w:val="true"/>
          <w:lang w:bidi="ar-SA"/>
        </w:rPr>
        <w:t xml:space="preserve">، وإنّما يصدق ذلك فيما إذا كان أحد أصيلاً في أمر وأعانه غيره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تَعَاوَنُوا عَلَى الاْءِثْمِ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يكن بعضكم لبعض ظهيراً ومساعداً ومعاوناً فيهما ، ومعنى تعاضد المسلمين وتعاونهم أنّ كلاًّ منهم يكون عضداً ومعيناً لغيره ، لا أ نّهم مجتمعون على 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تعاونوا واعتونوا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بعضهم بعضاً</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الآية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عباده بأن يعين بعضهم بعضاً</w:t>
      </w:r>
    </w:p>
    <w:p>
      <w:pPr>
        <w:pStyle w:val="BookText"/>
        <w:rPr/>
      </w:pPr>
      <w:r>
        <w:rPr>
          <w:rFonts w:ascii="Amiri" w:hAnsi="Amiri" w:eastAsia="Amiri" w:cs="Amiri"/>
          <w:color w:val="111111"/>
          <w:sz w:val="28"/>
          <w:sz w:val="28"/>
          <w:szCs w:val="28"/>
          <w:rtl w:val="true"/>
          <w:lang w:bidi="ar-SA"/>
        </w:rPr>
        <w:t>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ونهاهم أن يعين بعضهم بعضاً على الإثم </w:t>
      </w:r>
      <w:r>
        <w:rPr>
          <w:rFonts w:eastAsia="Amiri" w:cs="Amiri" w:ascii="Amiri" w:hAnsi="Amiri"/>
          <w:color w:val="111111"/>
          <w:sz w:val="28"/>
          <w:szCs w:val="28"/>
          <w:rtl w:val="true"/>
          <w:lang w:bidi="ar-SA"/>
        </w:rPr>
        <w:t>. .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التعاون فعل الاثنين لا يوجب خروج مادّته عن معناها ، فمعنى تعاون زيد وعمرو ، أنّ كلاًّ منهما معين للآخر وظهير له ، فإذا هيّأ كلّ منهما مقدّمات عمل الآخر يصدق أ نّهما تعاونا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التفاعل بين الاثنين لا يلازم كونهما شريكاً في إيجاد فعل شخصي ، فالتعاون كالتكاذب والتراحم والتضامن ممّا هي فعل الاثنين من غير اشتراكهما في فعل شخصي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المراد من حرمة التعاون على الإثم هو الشركة فيه ، يكون مقتضى الجمود على ظاهر الآية هو حرمة شركة جميع المكلّفين في إتيان محرّم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تَعَاوَنُوا عَلَى الإِثْمِ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إعانة بعضهم بعضاً في إثمه وعدوانه وهو مقتضى ظاهر المادّة والهيئة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بصدق التعاون والتعاضد على الاشتراك في عمل فلا شبهة في عدم اختصاصه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المحكيّ عن المحقّق الثاني الإيراد على التمسّك بآية حرمة التعاون على الإثم لتحريم بيع شيء ممّا يعلم عادةً التوصّل به إلى محرّم ، بأ نّه لو تمّ هذا</w:t>
      </w:r>
    </w:p>
    <w:p>
      <w:pPr>
        <w:pStyle w:val="BookText"/>
        <w:rPr/>
      </w:pPr>
      <w:r>
        <w:rPr>
          <w:rFonts w:ascii="Amiri" w:hAnsi="Amiri" w:eastAsia="Amiri" w:cs="Amiri"/>
          <w:color w:val="111111"/>
          <w:sz w:val="28"/>
          <w:sz w:val="28"/>
          <w:szCs w:val="28"/>
          <w:rtl w:val="true"/>
          <w:lang w:bidi="ar-SA"/>
        </w:rPr>
        <w:t xml:space="preserve">الاستدلال فيمنع معاملة أكثر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الآية المنع من كون محلّ النزاع معاونة ، مع أنّ الأصل الإباحة وإنّما المعاونة مع بيعه لذلك</w:t>
      </w:r>
      <w:r>
        <w:rPr>
          <w:rStyle w:val="FootnoteAnchor"/>
          <w:rtl w:val="true"/>
        </w:rPr>
        <w:footnoteReference w:id="571"/>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هذا الإجمال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قامت السيرة على معاملة الملوك والاُمراء فيما يعلمون صرفه في تقوية الجند والعساكر المساعدين لهم على الظلم والباطل ، وإجارة الدور والمساكن والمراكب لهم لذلك ، وبيع المطاعم والمشارب للكفّار في نهار شهر رمضان مع علمهم بأكلهم فيه ، وبيعهم بساتين العنب منهم مع العلم العادي بجعل بعضه خمراً ، وبيع </w:t>
      </w:r>
    </w:p>
    <w:p>
      <w:pPr>
        <w:pStyle w:val="BookText"/>
        <w:rPr/>
      </w:pPr>
      <w:r>
        <w:rPr>
          <w:rFonts w:ascii="Amiri" w:hAnsi="Amiri" w:eastAsia="Amiri" w:cs="Amiri"/>
          <w:color w:val="111111"/>
          <w:sz w:val="28"/>
          <w:sz w:val="28"/>
          <w:szCs w:val="28"/>
          <w:rtl w:val="true"/>
          <w:lang w:bidi="ar-SA"/>
        </w:rPr>
        <w:t>القرطاس منهم مع العلم بأنّ منه ما يتّخذ كتب ضلال</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إليها ما ورد من جواز بيع المختلط بالمذكّى من المستحلّ ، وجواز بيع العجين النجس منه</w:t>
      </w:r>
      <w:r>
        <w:rPr>
          <w:rStyle w:val="FootnoteAnchor"/>
          <w:rtl w:val="true"/>
        </w:rPr>
        <w:footnoteReference w:id="573"/>
      </w:r>
      <w:r>
        <w:rPr>
          <w:rFonts w:ascii="Amiri" w:hAnsi="Amiri" w:eastAsia="Amiri" w:cs="Amiri"/>
          <w:color w:val="111111"/>
          <w:sz w:val="28"/>
          <w:sz w:val="28"/>
          <w:szCs w:val="28"/>
          <w:rtl w:val="true"/>
          <w:lang w:bidi="ar-SA"/>
        </w:rPr>
        <w:t>، وجواز إطعام المرق النجس لأهل الذمّة</w:t>
      </w:r>
      <w:r>
        <w:rPr>
          <w:rStyle w:val="FootnoteAnchor"/>
          <w:rtl w:val="true"/>
        </w:rPr>
        <w:footnoteReference w:id="574"/>
      </w:r>
      <w:r>
        <w:rPr>
          <w:rFonts w:ascii="Amiri" w:hAnsi="Amiri" w:eastAsia="Amiri" w:cs="Amiri"/>
          <w:color w:val="111111"/>
          <w:sz w:val="28"/>
          <w:sz w:val="28"/>
          <w:szCs w:val="28"/>
          <w:rtl w:val="true"/>
          <w:lang w:bidi="ar-SA"/>
        </w:rPr>
        <w:t>، وجواز سقيهم مع تنجّس الماء بملاقاتهم</w:t>
      </w:r>
      <w:r>
        <w:rPr>
          <w:rStyle w:val="FootnoteAnchor"/>
          <w:rtl w:val="true"/>
        </w:rPr>
        <w:footnoteReference w:id="575"/>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صدق الإعانة فيما نحن فيه فسيأتي الكلام فيه</w:t>
      </w:r>
      <w:r>
        <w:rPr>
          <w:rStyle w:val="FootnoteAnchor"/>
          <w:rtl w:val="true"/>
        </w:rPr>
        <w:footnoteReference w:id="576"/>
      </w:r>
      <w:r>
        <w:rPr>
          <w:rFonts w:ascii="Amiri" w:hAnsi="Amiri" w:eastAsia="Amiri" w:cs="Amiri"/>
          <w:color w:val="111111"/>
          <w:sz w:val="28"/>
          <w:sz w:val="28"/>
          <w:szCs w:val="28"/>
          <w:rtl w:val="true"/>
          <w:lang w:bidi="ar-SA"/>
        </w:rPr>
        <w:t>، وقد عرفت أنّ حكم العقل بالقبح لا يتوقّف على صدق عنوان الإعانة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الموارد التي ذكروها وادّعوا فيها السيرة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أمّا عن السيرة ببيع المطاعم من الكفّار وما هو نظير ذلك كبيع العنب لهم مع العلم بجعل بعضه خمراً ، فحكم العقل بالقبح وصدق الإعانة على الإثم فرع كون الإتيان بما ذكر إثماً وعصياناً ، وهو ممنوع ، لا لكون الكفّار غير مكلّفين بالفروع أو غير معاقبين عليها ، فإنّ الحقّ أ نّهم مكلّفون ومعاقبون عليها ، بل لأنّ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قلّ وندر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جهّال قاصرون لا مقصّرون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عوامّهم فظاهر ؛ لعدم انقداح خلاف ما هم عليه من المذاهب في أذهانهم ، بل هم قاطعون بصحّة مذهبهم وبطلان سائر المذاهب ، نظير عوامّ المسلمين ؛ </w:t>
      </w:r>
    </w:p>
    <w:p>
      <w:pPr>
        <w:pStyle w:val="BookText"/>
        <w:rPr/>
      </w:pPr>
      <w:r>
        <w:rPr>
          <w:rFonts w:ascii="Amiri" w:hAnsi="Amiri" w:eastAsia="Amiri" w:cs="Amiri"/>
          <w:color w:val="111111"/>
          <w:sz w:val="28"/>
          <w:sz w:val="28"/>
          <w:szCs w:val="28"/>
          <w:rtl w:val="true"/>
          <w:lang w:bidi="ar-SA"/>
        </w:rPr>
        <w:t xml:space="preserve">فكما أنّ عوامّنا عالمون بصحّة مذهبهم وبطلان سائر المذاهب ، من غير انقداح خلاف في أذهانهم لأجل التلقين والنشو في محيط الإسلام ، كذلك عوامّهم من غير فرق بينهما من هذه الجهة ، والقاطع معذور في متابعة قطعه ولا يكون عاصياً وآثماً ولا تصحّ عقوبته في متابعته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 عوامّهم فالغالب فيهم أ نّه بواسطة التلقينات من أوّل الطفولية والنشوء في محيط الكفر صاروا جازمين ومعتقدين بمذاهبهم الباطلة ، بحيث كلّ ما ورد على خلافها ردّوها بعقولهم المجبولة على خلاف الحقّ من بدو نشوئهم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فالعالم اليهودي والنصراني كالعالم المسلم لا يرى حجّة الغير صحيحة وصار بطلانها كالضروري له ؛ لكون صحّة مذهبه ضرورية لديه لا يحتمل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فيهم من يكون مقصّراً لو احتمل خلاف مذهبه وترك النظر إلى حجّته عناداً أو تعصّباً ، كما كان في بدو الإسلام في علماء اليهود والنصارى من كان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الكفّار كجهّال المسلمين منهم قاصر ، وهم الغالب ، ومنهم 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والتكاليف اُصولاً وفروعاً مشتركة بين جميع المكلّفين عالمهم وجاهلهم ، قاصرهم ومقصّرهم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والكفّار معاقبون على الاُصول والفروع لكن مع قيام الحجّة عليهم لا مطلقاً ، فكما أنّ كون المسلمين معاقبين على الفروع ليس معناه أ نّهم معاقبون عليها سواء كانوا قاصرين أم مقصّرين ، كذلك الكفّار طابق النعل بالنعل بحكم العقل واُصول العدلية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 أنّ ما ادّعي من السيرة على بيع الطعام في نهار شهر رمضان من الكفّار وسائر ما هو نظيره ، خارج عن عنوان الإعانة على الإثم أو تهيئة </w:t>
      </w:r>
    </w:p>
    <w:p>
      <w:pPr>
        <w:pStyle w:val="BookText"/>
        <w:rPr/>
      </w:pPr>
      <w:r>
        <w:rPr>
          <w:rFonts w:ascii="Amiri" w:hAnsi="Amiri" w:eastAsia="Amiri" w:cs="Amiri"/>
          <w:color w:val="111111"/>
          <w:sz w:val="28"/>
          <w:sz w:val="28"/>
          <w:szCs w:val="28"/>
          <w:rtl w:val="true"/>
          <w:lang w:bidi="ar-SA"/>
        </w:rPr>
        <w:t xml:space="preserve">أسباب المعصية ؛ لعدم الإثم والعصيان غالباً ، وعدم العلم ولو إجمالاً بوجود مقصّر فيمن يشتري الطعام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غفلة جلّ أهل السوق لولا كلّهم عن هذا العلم الإجمالي وعدم انقداح ما ذكر في أذهانهم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وجود السيرة مع العلم التفصيلي أو الإجمالي والتوجّه والتذكّر لذلك ، غير وجيهة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بيع القرطاس مع العلم باتّخاذ كتب الضلال من بعضه فمضافاً إلى ما تقدّم وعدم العلم الإجمالي رأساً ، إنّ دفع إضلال الناس من الاُمور التي يهتمّ به الشارع الأقدس ، فكيف يمكن القول بجواز بيع القرطاس ممّن يعلم أ نّه يكتب فيه ضدّ الإسلام وردّ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عليه عنوان الإعانة على الإثم</w:t>
      </w:r>
    </w:p>
    <w:p>
      <w:pPr>
        <w:pStyle w:val="BookText"/>
        <w:rPr/>
      </w:pPr>
      <w:r>
        <w:rPr>
          <w:rFonts w:ascii="IRNazanin" w:hAnsi="IRNazanin" w:eastAsia="IRNazanin"/>
          <w:color w:val="111111"/>
          <w:sz w:val="28"/>
          <w:sz w:val="28"/>
          <w:szCs w:val="28"/>
          <w:rtl w:val="true"/>
          <w:lang w:bidi="fa-IR"/>
        </w:rPr>
        <w:t>أم لا ؟</w:t>
      </w:r>
    </w:p>
    <w:p>
      <w:pPr>
        <w:pStyle w:val="BookText"/>
        <w:rPr/>
      </w:pPr>
      <w:r>
        <w:rPr>
          <w:rFonts w:ascii="Amiri" w:hAnsi="Amiri" w:eastAsia="Amiri" w:cs="Amiri"/>
          <w:color w:val="111111"/>
          <w:sz w:val="28"/>
          <w:sz w:val="28"/>
          <w:szCs w:val="28"/>
          <w:rtl w:val="true"/>
          <w:lang w:bidi="ar-SA"/>
        </w:rPr>
        <w:t xml:space="preserve">وأمّا ما ذكر من السيرة على معاملة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حصول العلم الإجمالي المذكور ؛ أي حصول العلم بصرفه في الظلم والعدوان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تكشف تلك السيرة عن رضا الشارع بعد ما وردت تلك الروايات الكثيرة في باب معونة الظالم</w:t>
      </w:r>
      <w:r>
        <w:rPr>
          <w:rStyle w:val="FootnoteAnchor"/>
          <w:rtl w:val="true"/>
        </w:rPr>
        <w:footnoteReference w:id="578"/>
      </w:r>
      <w:r>
        <w:rPr>
          <w:rFonts w:ascii="Amiri" w:hAnsi="Amiri" w:eastAsia="Amiri" w:cs="Amiri"/>
          <w:color w:val="111111"/>
          <w:sz w:val="28"/>
          <w:sz w:val="28"/>
          <w:szCs w:val="28"/>
          <w:rtl w:val="true"/>
          <w:lang w:bidi="ar-SA"/>
        </w:rPr>
        <w:t xml:space="preserve">؛ حيث يظهر منها حرمة إيجاد بعض مقدّمات الظلم ولو لم يقصد البائع ذلك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السيرة ليست من المسلمين المبالين بالديانة ، وليست المعاملة معهم مع العلم بالصرف في الظلم إلاّ كبيع الخمر وآلات الطرب الذي هو رواج في سوق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عدّه من سيرتهم الكاشفة ولا من سيرتهم بما هم مسلمون </w:t>
      </w:r>
      <w:r>
        <w:rPr>
          <w:rFonts w:eastAsia="Amiri" w:cs="Amiri" w:ascii="Amiri" w:hAnsi="Amiri"/>
          <w:color w:val="111111"/>
          <w:sz w:val="28"/>
          <w:szCs w:val="28"/>
          <w:rtl w:val="true"/>
          <w:lang w:bidi="ar-SA"/>
        </w:rPr>
        <w:t xml:space="preserve">. </w:t>
      </w:r>
      <w:bookmarkStart w:id="241" w:name="pg15158_206994"/>
    </w:p>
    <w:p>
      <w:pPr>
        <w:pStyle w:val="BookText"/>
        <w:rPr/>
      </w:pPr>
      <w:bookmarkEnd w:id="241"/>
      <w:r>
        <w:rPr>
          <w:rFonts w:ascii="Amiri" w:hAnsi="Amiri" w:eastAsia="Amiri" w:cs="Amiri"/>
          <w:color w:val="111111"/>
          <w:sz w:val="28"/>
          <w:sz w:val="28"/>
          <w:szCs w:val="28"/>
          <w:rtl w:val="true"/>
          <w:lang w:bidi="ar-SA"/>
        </w:rPr>
        <w:t xml:space="preserve">أو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السيرة مردوعة بالروايات المستفيضة ، وإنّما الاتّكال عليها لكشفها عن رضا الشارع ، ومع تلك الروايات الصالحة للردع لا يمكن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 مع أنّ ترك المعاملة مع عمّال الاُمراء والسلاطين كان مظنّة للضرر ومخالفاً للتقيّة ، سيّما في أعصار الأئمّة علیهم السلام ، ومعه لا يمكن الكشف</w:t>
      </w:r>
    </w:p>
    <w:p>
      <w:pPr>
        <w:pStyle w:val="BookText"/>
        <w:rPr/>
      </w:pPr>
      <w:r>
        <w:rPr>
          <w:rFonts w:ascii="Amiri" w:hAnsi="Amiri" w:eastAsia="Amiri" w:cs="Amiri"/>
          <w:color w:val="111111"/>
          <w:sz w:val="28"/>
          <w:sz w:val="28"/>
          <w:szCs w:val="28"/>
          <w:rtl w:val="true"/>
          <w:lang w:bidi="ar-SA"/>
        </w:rPr>
        <w:t xml:space="preserve">عن الحكم الواقعي </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1851586_2142443653"/>
      <w:bookmarkStart w:id="243" w:name="_Toc84"/>
      <w:bookmarkEnd w:id="242"/>
      <w:r>
        <w:rPr/>
        <w:t>3</w:t>
      </w:r>
      <w:r>
        <w:rPr>
          <w:rtl w:val="true"/>
        </w:rPr>
        <w:t xml:space="preserve"> - </w:t>
      </w:r>
      <w:r>
        <w:rPr>
          <w:rtl w:val="true"/>
        </w:rPr>
        <w:t>الاستدلال بأدلّة وجوب النهي عن المنكر</w:t>
      </w:r>
      <w:bookmarkEnd w:id="243"/>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وجوب النهي عن المنكر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المنكر كرفعه واجب ، ولا يتمّ إلاّ بترك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نسب هذا الوجه إلى المحقّق الأردبيلي</w:t>
      </w:r>
      <w:r>
        <w:rPr>
          <w:rStyle w:val="FootnoteAnchor"/>
          <w:rtl w:val="true"/>
        </w:rPr>
        <w:footnoteReference w:id="579"/>
      </w:r>
      <w:r>
        <w:rPr>
          <w:rFonts w:ascii="Amiri" w:hAnsi="Amiri" w:eastAsia="Amiri" w:cs="Amiri"/>
          <w:color w:val="111111"/>
          <w:sz w:val="28"/>
          <w:sz w:val="28"/>
          <w:szCs w:val="28"/>
          <w:rtl w:val="true"/>
          <w:lang w:bidi="ar-SA"/>
        </w:rPr>
        <w:t xml:space="preserve">، لكن لا يظهر منه ذلك ، بل الظاهر منه استبعاد جواز بيع العنب ممّن يعلم أ نّه يصنع خمراً أو يظنّ ذلك ، مع وجوب النهي عن المنكر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يستبعد الجواز وعدم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الباعث على تأويل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يجوز للمسلم أن يحمل خمراً لأن يشرب والخنزير لأن يأكله من لا يجوز له أكله ، وباع الخشب وغيره ليصنع صنماً والدفوف والمزامير ، مع وجوب النهي عن المنكر ، وإيجاب كسر الهياكل وعدم جواز الحفظ ، وكسر آلات اللهو ، ومنع الشرب ، والحديث الدالّ على لعن حامل الخمر وعاصرها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 وكذا ما تقدّم في منع بيع السلاح لأعداء الدين فإنّه </w:t>
      </w:r>
    </w:p>
    <w:p>
      <w:pPr>
        <w:pStyle w:val="BookText"/>
        <w:rPr/>
      </w:pPr>
      <w:r>
        <w:rPr>
          <w:rFonts w:ascii="Amiri" w:hAnsi="Amiri" w:eastAsia="Amiri" w:cs="Amiri"/>
          <w:color w:val="111111"/>
          <w:sz w:val="28"/>
          <w:sz w:val="28"/>
          <w:szCs w:val="28"/>
          <w:rtl w:val="true"/>
          <w:lang w:bidi="ar-SA"/>
        </w:rPr>
        <w:t>يحرم للإعانة على الإثم وهو ظاهر</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في كمال الإتقان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منافاة أدلّة 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منها أنّ سبب تشريعه لو كان شرعياً، قلع مادّة الفساد والعصيان ، سيّما</w:t>
      </w:r>
    </w:p>
    <w:p>
      <w:pPr>
        <w:pStyle w:val="BookText"/>
        <w:rPr/>
      </w:pPr>
      <w:r>
        <w:rPr>
          <w:rFonts w:ascii="Amiri" w:hAnsi="Amiri" w:eastAsia="Amiri" w:cs="Amiri"/>
          <w:color w:val="111111"/>
          <w:sz w:val="28"/>
          <w:sz w:val="28"/>
          <w:szCs w:val="28"/>
          <w:rtl w:val="true"/>
          <w:lang w:bidi="ar-SA"/>
        </w:rPr>
        <w:t>مع تلك التأكيدات فيه والاهتمام به من وجوبه بالقلب واليد واللسان ، ودلالة بعض الأحاديث على إيعاد العذاب لطائفة من الأخيار؛ لمداهنتهم أهل المعاصي ، وعدم الغضب لغضب اللّه تعالى</w:t>
      </w:r>
      <w:r>
        <w:rPr>
          <w:rStyle w:val="FootnoteAnchor"/>
          <w:rtl w:val="true"/>
        </w:rPr>
        <w:footnoteReference w:id="581"/>
      </w:r>
      <w:r>
        <w:rPr>
          <w:rFonts w:ascii="Amiri" w:hAnsi="Amiri" w:eastAsia="Amiri" w:cs="Amiri"/>
          <w:color w:val="111111"/>
          <w:sz w:val="28"/>
          <w:sz w:val="28"/>
          <w:szCs w:val="28"/>
          <w:rtl w:val="true"/>
          <w:lang w:bidi="ar-SA"/>
        </w:rPr>
        <w:t>، والنهي عن الرضا بفعل المعاصي</w:t>
      </w:r>
      <w:r>
        <w:rPr>
          <w:rStyle w:val="FootnoteAnchor"/>
          <w:rtl w:val="true"/>
        </w:rPr>
        <w:footnoteReference w:id="582"/>
      </w:r>
      <w:r>
        <w:rPr>
          <w:rFonts w:ascii="Amiri" w:hAnsi="Amiri" w:eastAsia="Amiri" w:cs="Amiri"/>
          <w:color w:val="111111"/>
          <w:sz w:val="28"/>
          <w:sz w:val="28"/>
          <w:szCs w:val="28"/>
          <w:rtl w:val="true"/>
          <w:lang w:bidi="ar-SA"/>
        </w:rPr>
        <w:t>، والأمر بملاقاة أهلها بالوجوه المكفهرّة</w:t>
      </w:r>
      <w:r>
        <w:rPr>
          <w:rStyle w:val="FootnoteAnchor"/>
          <w:rtl w:val="true"/>
        </w:rPr>
        <w:footnoteReference w:id="583"/>
      </w:r>
      <w:r>
        <w:rPr>
          <w:rFonts w:ascii="Amiri" w:hAnsi="Amiri" w:eastAsia="Amiri" w:cs="Amiri"/>
          <w:color w:val="111111"/>
          <w:sz w:val="28"/>
          <w:sz w:val="28"/>
          <w:szCs w:val="28"/>
          <w:rtl w:val="true"/>
          <w:lang w:bidi="ar-SA"/>
        </w:rPr>
        <w:t xml:space="preserve">، وغيرها ، وكذا سائر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تجويز بيع العنب ممّن يعلم أ نّه يجعله خمراً ، والخشب ممّن يجعله صنماً وصليباً أو آلة لهو وطرب ، مع أنّ فيه إشاعة الفحشاء والمعاصي وترويج الإثم والعصيان وملازم للرضا بفعل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مراد الأردبيلي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يشرب الخمر ، ولأن يأكل لحم الخنزير ، وليصنع صنماً ، كون البيع لغاية ذلك ، كما هو موهم كلامه ، فراجع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يتّضح مرامه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بصرف الكلام في الاستدلال بأدلّة النهي عن المنكر بنحو ما قرّره شيخنا الأعظم  قدّس سرّه  ؛ توجيهاً لكلام المحقّق الأردبيلي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دفع المنكر كرفعه واجب بناءً على أنّ وجوب النهي عن المنكر </w:t>
      </w:r>
    </w:p>
    <w:p>
      <w:pPr>
        <w:pStyle w:val="BookText"/>
        <w:rPr/>
      </w:pPr>
      <w:r>
        <w:rPr>
          <w:rFonts w:ascii="Amiri" w:hAnsi="Amiri" w:eastAsia="Amiri" w:cs="Amiri"/>
          <w:color w:val="111111"/>
          <w:sz w:val="28"/>
          <w:sz w:val="28"/>
          <w:szCs w:val="28"/>
          <w:rtl w:val="true"/>
          <w:lang w:bidi="ar-SA"/>
        </w:rPr>
        <w:t>عقلي ، كما صرّح به شيخنا الأعظم</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شيخ الطائفة وبعض كتب العلاّمة وعن الشهيدين والفاضل المقداد أ نّه عقلي</w:t>
      </w:r>
      <w:r>
        <w:rPr>
          <w:rStyle w:val="FootnoteAnchor"/>
          <w:rtl w:val="true"/>
        </w:rPr>
        <w:footnoteReference w:id="58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الدروس الشرعية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الروضة البهيّة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نضد القواعد الفقهية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جمهور المتكلّمين منهم المحقّق الطوسي عدم وجوبه عقلاً بل يجب شرعاً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هو الأوّل ؛ لاستقلال العقل بوجوب منع تحقّق معصية المولى ومبغوضه وقبح التواني عنه ، سواء في ذلك التوصّل إلى النهي أو الاُمور الاُخر الممكنة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تسالموا ظاهراً على وجوب المنع من تحقّق ما هو مبغوض الوجود في الخارج ، سواء صدر من مكلّف أم لا؛ لمناط مبغوضية وجوده ، كذلك يجب المنع من تحقّق ما هو مبغوض صدوره من مكلّف ويرى العبد صدوره منه ، فإنّ المناط في كليهما واحد ، وهو تحقّق المبغوض وإن اختلفا في أنّ الأوّل نفس وجوده مبغوض ، والثاني صدوره من مكلّف مبغوض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همّ حيوان بإراقة شيء يكون إراقته مبغوضة للمولى ويرى العبد ذلك وتقاعد عن منعه ، يكون ذلك قبيحاً منه ويستحقّ للعقوبة ، لا لأهمّيته بل لنفس مبغوضيته ، كذلك لو رأى مكلّفاً يأتي بما هو مبغوض مولاه ؛ لاشتراكهما في المناط ، والحاكم به العقل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لا يمكن تجويز الشارع ترك النهي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لو كان المبغوض فعلياً ولم يكن للنهي مفسدة غالبة ، فلو ورد منه تجويز الترك يكشف عن مفسدة في النهي أو مصلحة في تركه لو كان ذلك متصوّراً في التروك والأعدام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الطباطبائي في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قبح ترك النهي عن المنكر</w:t>
      </w:r>
      <w:r>
        <w:rPr>
          <w:rStyle w:val="FootnoteAnchor"/>
          <w:rtl w:val="true"/>
        </w:rPr>
        <w:footnoteReference w:id="587"/>
      </w:r>
      <w:r>
        <w:rPr>
          <w:rFonts w:ascii="Amiri" w:hAnsi="Amiri" w:eastAsia="Amiri" w:cs="Amiri"/>
          <w:color w:val="111111"/>
          <w:sz w:val="28"/>
          <w:sz w:val="28"/>
          <w:szCs w:val="28"/>
          <w:rtl w:val="true"/>
          <w:lang w:bidi="ar-SA"/>
        </w:rPr>
        <w:t xml:space="preserve">، في غير محلّها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ما أشار إليه الشيخ الأنصاري من الاستدلال عليه بوجوب اللطف</w:t>
      </w:r>
      <w:r>
        <w:rPr>
          <w:rStyle w:val="FootnoteAnchor"/>
          <w:rtl w:val="true"/>
        </w:rPr>
        <w:footnoteReference w:id="588"/>
      </w:r>
      <w:r>
        <w:rPr>
          <w:rFonts w:ascii="Amiri" w:hAnsi="Amiri" w:eastAsia="Amiri" w:cs="Amiri"/>
          <w:color w:val="111111"/>
          <w:sz w:val="28"/>
          <w:sz w:val="28"/>
          <w:szCs w:val="28"/>
          <w:rtl w:val="true"/>
          <w:lang w:bidi="ar-SA"/>
        </w:rPr>
        <w:t>غير وجيه ؛ لما أشار إليه المحشّي المحقّق بكفاية ترهيب اللّه تعالى ونهيه في اللطف</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العقل لا يفرّق بين الرفع والدفع بل لا معنى لوجوب الرفع في نظر العقل ؛ فإنّ ما وقع لا ينقلب عمّا هو عليه ، فالواجب عقلاً هو المنع عن وقوع المبغوض ، سواء اشتغل به الفاعل ، أو همّ بالاشتغال به وعلم بكونه بصدده وكان في معرض التحقّق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يدركه العقل قبحه هو هذا المقدار الذي ادّعاه شيخنا الأنصاري ، لا التعجيز بنحو مطلق حتّى يشمل مثل ترك التجارة والزراعة والنكاح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الظاهر عدم الفرق بين إرادته الفعلية وما علم بتجدّدها بعد البيع، </w:t>
      </w:r>
    </w:p>
    <w:p>
      <w:pPr>
        <w:pStyle w:val="BookText"/>
        <w:rPr/>
      </w:pPr>
      <w:r>
        <w:rPr>
          <w:rFonts w:ascii="Amiri" w:hAnsi="Amiri" w:eastAsia="Amiri" w:cs="Amiri"/>
          <w:color w:val="111111"/>
          <w:sz w:val="28"/>
          <w:sz w:val="28"/>
          <w:szCs w:val="28"/>
          <w:rtl w:val="true"/>
          <w:lang w:bidi="ar-SA"/>
        </w:rPr>
        <w:t>سيّما إذا كان البيع سبباً له ، كما مرّ</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بنينا على أنّ وجوب النهي عن المنكر شرعي فلا ينبغي الإشكال في شمول الأدلّة للدفع أيضاً لو لم نقل بأنّ الواجب هو الدفع ، بل يرجع الرفع إليه حقيقةً ؛ فإنّ النهي عبارة عن الزجر عن إتيان المنكر ، وهو لا يتعلّق بالموجود إلاّ</w:t>
      </w:r>
    </w:p>
    <w:p>
      <w:pPr>
        <w:pStyle w:val="BookText"/>
        <w:rPr/>
      </w:pPr>
      <w:r>
        <w:rPr>
          <w:rFonts w:ascii="Amiri" w:hAnsi="Amiri" w:eastAsia="Amiri" w:cs="Amiri"/>
          <w:color w:val="111111"/>
          <w:sz w:val="28"/>
          <w:sz w:val="28"/>
          <w:szCs w:val="28"/>
          <w:rtl w:val="true"/>
          <w:lang w:bidi="ar-SA"/>
        </w:rPr>
        <w:t xml:space="preserve">باعتبار ما لم يوجد ، فإنّ الزجر عن إيجاد الموجود محال عقلاً وعرفاً ، فإطلاق أدلّة النهي عن المنكر شامل للزجر عن أصل التحقّق واستمراره ، فلو علم من أحد إرادة إيجاد الحرام وهمّ به واشتغل بمقدّماته مثلاً ، وجب نهيه عنه ، فإنّ المراد بالمنكر الذي يجب النهي عنه طبيعته لا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فرض عدم إطلاق فيها من هذه الجهة وكان مصبّها النهي عن المنكر بعد اشتغال الفاعل به ، لا شبهة في إلغاء العرف خصوصية التحقّق بمناسبات الحكم والموضوع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ترى من نفسك أ نّه لو أخذ أحد كأس الخمر ليشربها بمرئى ومنظر من المسلم يجوز له التماسك عن النهي حتّى يشرب جرعة منها ثمّ وجب عليه النهي ؟</w:t>
      </w:r>
    </w:p>
    <w:p>
      <w:pPr>
        <w:pStyle w:val="BookText"/>
        <w:rPr/>
      </w:pPr>
      <w:r>
        <w:rPr>
          <w:rFonts w:ascii="Amiri" w:hAnsi="Amiri" w:eastAsia="Amiri" w:cs="Amiri"/>
          <w:color w:val="111111"/>
          <w:sz w:val="28"/>
          <w:sz w:val="28"/>
          <w:szCs w:val="28"/>
          <w:rtl w:val="true"/>
          <w:lang w:bidi="ar-SA"/>
        </w:rPr>
        <w:t xml:space="preserve">وهل ترى عدم وجوب النهي عن المنكر في الدفعيات والوجودات الصرفة الدفعية ؟ ولعمري إنّ التشكيك فيه كالتشكيك في الواضحات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قلنا بوجوب دفع المنكر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بوجوده الساري منكراً كشرب الخمر وتخميرها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 وجوده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الأوّل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المشتري مريداً لتخمير كلّ عنب يشتريه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إلاّ تخمير مصداق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ينبغي الإشكال في الحرمة على الأوّل من الأوّل ؛ لأنّ دفع كلّ مصداق من المنكر واجب فرضاً ، والمفروض أنّ كلّ عنب يشتري الخمّار يجعله خمراً ، فترك كلّ بيع دفع عن منكر مستقلاًّ، فهو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أنّ المنكر صرف وجود التخمير مثلاً أو لا يخمّر المشتري إلاّ</w:t>
      </w:r>
    </w:p>
    <w:p>
      <w:pPr>
        <w:pStyle w:val="BookText"/>
        <w:rPr/>
      </w:pPr>
      <w:r>
        <w:rPr>
          <w:rFonts w:ascii="Amiri" w:hAnsi="Amiri" w:eastAsia="Amiri" w:cs="Amiri"/>
          <w:color w:val="111111"/>
          <w:sz w:val="28"/>
          <w:sz w:val="28"/>
          <w:szCs w:val="28"/>
          <w:rtl w:val="true"/>
          <w:lang w:bidi="ar-SA"/>
        </w:rPr>
        <w:t xml:space="preserve">مصداقاً واحداً من المبيع ، فهل يجوز بيعه إلاّ فيما إذا تركه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بناء غيره على البيع يجوز له ذلك ؛ لأنّ دفع المنكر غير مقدور عليه؛ لفرض وجود بائع آخر ، فهو كثقيل يجب على جمع رفعه ولا يمكن ذلك إلاّ باجتماع جميعهم ، فلو علم بعضهم عدم إقدام بعض على الرفع لا يجب عليه إعمال القوّة ، فإنّه 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يجوز ؟ لأنّ دفع المنكر واجب مطلق على كلّ مكلّف ، ولهذا يجب على كلّ منهم دفعه ولو بمنع الغير عن المخالفة ، ولو اجتمع الكلّ على بيع أعنابهم دفعة واحدة ممّن يعلم أ نّه يجعلها خمراً ، يكون الكلّ عاصياً ؛ لانتقاض الدفع الواجب بفعلهم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اجتمع القوم عدا واحد منهم كان ما عداه عاصياً ولو فرض تحقّق البيع منه لو كان الغير تاركاً ، وذلك لأنّ انتقاض الدفع الواجب غير جائز شرعاً أو قبيح عقلاً ؛ لكونه مخالفة للأمرعقلاً وعرفاً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ومجرّد بناء الغير على الانتقاض لا يكون عذراً ، فالبائع الواحد وإن لا يقدر على الدفع لكنّه قادر على انتقاضه وعلى المخالفة ، وهذا كافٍ في تحقّق المعصية مع تحقّقه بفعله وانتقاض الدفع ببيعه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أمر المولى عبيده بدفع السارق عن سرقة ماله وكان متوقّفاً على بقاء الباب مسدوداً ، يجب على كلّ منهم دفعه بحفظ سدّ الباب ، فلو علم بعضهم أنّ بعض العبيد يريد فتح الباب وتمكين السارق ، لا يوجب ذلك البناء والعلم بفتحه على أيّ حال أن يكون معذوراً في فتح الباب وتمكين السارق ، فلو فتحه كان الفاتح عاصياً لا الباني على الفتح ، وهذا بوجه نظير أن يتعذّر قاتل مظلوم محقون الدم بأ نّه صار مقتولاً على أيّ تقدير ، فلو لم أقتله قتله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وتنظير المقام بحمل الثقيل غير وجيه ، فإنّ الواجب هناك هو الحمل وهو أمر بسيط لا يتحقّق إلاّ بالاجتماع ، ومع العلم بعدم اجتماعهم عليه ، لا يجب على العالم أن يعمل القوّة الغير المؤثّرة ؛ فإنّه لغو ، وأمّا في المقام فإنّ الواجب هو الدفع عن التخمير لأجل مبغوضية تحقّقه ، وكلّ واحد منهم مستقلّ في القدرة على نقضه ، فمن نقضه فهو عاصٍ ، لا من بنى على نقضه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الدفع إنّما هو بعصيان الشركاء وعدم إمكان دفعهم عنه ، فكيف يمكن أن يكون ذلك موجباً لجواز نقضه وعصيانه قبل عصيانهم بمجرّد بنائهم عليه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 الغير وتسليم العنب موجب لتعجيزه عن دفع المنكر ، لا بنائه عليه ، فما لم يتحقّق التسليم من الغير تكون القدرة على الدفع باقية له ؛ فإنّه قادر على إبقاء الدفع ونقضه ما دام الدفع لم ينتقض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فالانتقاض الموجب لتعجيز غيره محرّم وهو حاصل بفعل البائع فعلاً لا تقديراً وبناءً ، وهذا هو الأقوى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السيّد في تعليقته على المكاسب من أ نّه إذا أمر الشارع على </w:t>
      </w:r>
    </w:p>
    <w:p>
      <w:pPr>
        <w:pStyle w:val="BookText"/>
        <w:rPr/>
      </w:pPr>
      <w:r>
        <w:rPr>
          <w:rFonts w:ascii="Amiri" w:hAnsi="Amiri" w:eastAsia="Amiri" w:cs="Amiri"/>
          <w:color w:val="111111"/>
          <w:sz w:val="28"/>
          <w:sz w:val="28"/>
          <w:szCs w:val="28"/>
          <w:rtl w:val="true"/>
          <w:lang w:bidi="ar-SA"/>
        </w:rPr>
        <w:t xml:space="preserve">أمر بسيط غير مقدور على آحاد المكلّفين بل يتوقّف على اجتماع جماعة ، فلا محالة يكون الإيجاب راجعاً إلى المقدّمات بالنسبة إلى الآحاد، فتكون المقدّمات واجباً نفسياً وذلك العنوان البسيط الغير المقدور بالنسبة إلى الآحاد غرضاً في المطلوب لا مطلوباً أوّلياً ، ففي المقام يكون الواجب على كلّ مكلّف ترك بيع العنب لا عنوان دفع المنكر ؛ لعدم القدرة عليه ، ولا ترك بيع العنب الموصل إلى الدفع ؛ لأ نّه أيضاً غير مقدور عليه ، فترك بيعه واجب على كلّ منهم إلى أن وقع العصيان من أحدهم ، وأنّ البناء على العصيان لا يكون عصياناً </w:t>
      </w:r>
      <w:r>
        <w:rPr>
          <w:rStyle w:val="FootnoteAnchor"/>
          <w:rtl w:val="true"/>
        </w:rPr>
        <w:footnoteReference w:id="591"/>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أوامر الأمر بالمعروف والنهي عن المنكر لا تفي بما ذكره بعد ما كان وجوبهما شرعياً لا عقلياً كما هو مذهبه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تلك الأوامر كغيرها في سائر الأبواب ، متوجّهة إلى آحاد المكلّفين</w:t>
      </w:r>
    </w:p>
    <w:p>
      <w:pPr>
        <w:pStyle w:val="BookText"/>
        <w:rPr/>
      </w:pPr>
      <w:r>
        <w:rPr>
          <w:rFonts w:ascii="Amiri" w:hAnsi="Amiri" w:eastAsia="Amiri" w:cs="Amiri"/>
          <w:color w:val="111111"/>
          <w:sz w:val="28"/>
          <w:sz w:val="28"/>
          <w:szCs w:val="28"/>
          <w:rtl w:val="true"/>
          <w:lang w:bidi="ar-SA"/>
        </w:rPr>
        <w:t xml:space="preserve">ولو انحلالاً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نَفَرَ مِنْ كُلِّ فِرْقَةٍ مِنْهُمْ طَائِفَةٌ </w:t>
      </w:r>
      <w:r>
        <w:rPr>
          <w:rFonts w:eastAsia="Amiri" w:cs="Amiri" w:ascii="Amiri" w:hAnsi="Amiri"/>
          <w:color w:val="111111"/>
          <w:sz w:val="28"/>
          <w:szCs w:val="28"/>
          <w:rtl w:val="true"/>
          <w:lang w:bidi="ar-SA"/>
        </w:rPr>
        <w:t>. . .(</w:t>
      </w:r>
      <w:r>
        <w:rPr>
          <w:rStyle w:val="FootnoteAnchor"/>
          <w:rtl w:val="true"/>
        </w:rPr>
        <w:footnoteReference w:id="593"/>
      </w:r>
      <w:r>
        <w:rPr>
          <w:rFonts w:ascii="Amiri" w:hAnsi="Amiri" w:eastAsia="Amiri" w:cs="Amiri"/>
          <w:color w:val="111111"/>
          <w:sz w:val="28"/>
          <w:sz w:val="28"/>
          <w:szCs w:val="28"/>
          <w:rtl w:val="true"/>
          <w:lang w:bidi="ar-SA"/>
        </w:rPr>
        <w:t xml:space="preserve">منحلّ إلى أوامر متوجّهة إلى آحاد المكلّفين لا مجموعهم ، ولا يعقل أن تكون متوجّهة إلى الآحاد مستقلاًّ وإلى المجموع بلفظ واحد ، ولو فرض إمكانه ثبوتاً لا يستفاد منه إثباتاً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إيجاب الدفع على طبق الرفع أيضاً متوجّهاً إلى الآحاد ، </w:t>
      </w:r>
      <w:bookmarkStart w:id="244" w:name="pg15158_207002"/>
    </w:p>
    <w:p>
      <w:pPr>
        <w:pStyle w:val="BookText"/>
        <w:rPr/>
      </w:pPr>
      <w:bookmarkEnd w:id="244"/>
      <w:r>
        <w:rPr>
          <w:rFonts w:ascii="Amiri" w:hAnsi="Amiri" w:eastAsia="Amiri" w:cs="Amiri"/>
          <w:color w:val="111111"/>
          <w:sz w:val="28"/>
          <w:sz w:val="28"/>
          <w:szCs w:val="28"/>
          <w:rtl w:val="true"/>
          <w:lang w:bidi="ar-SA"/>
        </w:rPr>
        <w:t xml:space="preserve">فلم يكن أمر متوجّهاً إلى المجموع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إرجاعه إلى 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الأوامر هو الرفع المفهوم منها الدفع أو الدفع أيضاً ، ولا يكون الدفع غير مقدور مطلقاً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بالمسبّب الغير المقدور راجع إلى سببه ، وكونه في بعض الأحيان غير مقدور ، لا يوجب إرجاع الأمر إلى السبب بالنسبة إليه حتّى يكون مفاد الأمر الواحد في المقدور شيء وفي غيره 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فهم ذاك وذلك من الأوامر بإلغاء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فيه في كلا المقامين سيّما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منه الإرجاع إلى السبب ؛ فإنّ الأمر كما يمكن أن يتعلّق بآحاد المكلّفين ، يمكن أن يتعلّق بمجموع منهم ، فيكون الأمر واحداً والمأمور واحداً هو المجموع ، ويشترط فيه عقلاً قدرة المجموع لا الآحاد ، فتكون الطاعة بإيجاد المجموع والعصيان بتركهم أو ترك بعضهم ، وعليه أيضاً يفترق المقام عن حمل الثقيل بما تقدّم بيانه </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1851588_2142443653"/>
      <w:bookmarkStart w:id="246" w:name="_Toc85"/>
      <w:bookmarkEnd w:id="245"/>
      <w:r>
        <w:rPr>
          <w:rtl w:val="true"/>
        </w:rPr>
        <w:t>مفهوم الإعانة على الإثم عرفاً</w:t>
      </w:r>
      <w:bookmarkEnd w:id="246"/>
    </w:p>
    <w:p>
      <w:pPr>
        <w:pStyle w:val="BookText"/>
        <w:rPr/>
      </w:pPr>
      <w:r>
        <w:rPr>
          <w:rFonts w:ascii="Amiri" w:hAnsi="Amiri" w:eastAsia="Amiri" w:cs="Amiri"/>
          <w:color w:val="111111"/>
          <w:sz w:val="28"/>
          <w:sz w:val="28"/>
          <w:szCs w:val="28"/>
          <w:rtl w:val="true"/>
          <w:lang w:bidi="ar-SA"/>
        </w:rPr>
        <w:t>ثمّ إنّه قد تقدّم</w:t>
      </w:r>
      <w:r>
        <w:rPr>
          <w:rStyle w:val="FootnoteAnchor"/>
          <w:rtl w:val="true"/>
        </w:rPr>
        <w:footnoteReference w:id="594"/>
      </w:r>
      <w:r>
        <w:rPr>
          <w:rFonts w:ascii="Amiri" w:hAnsi="Amiri" w:eastAsia="Amiri" w:cs="Amiri"/>
          <w:color w:val="111111"/>
          <w:sz w:val="28"/>
          <w:sz w:val="28"/>
          <w:szCs w:val="28"/>
          <w:rtl w:val="true"/>
          <w:lang w:bidi="ar-SA"/>
        </w:rPr>
        <w:t xml:space="preserve">أنّ المبنى للحرمة إن كان قبح تهيئة أسباب المعصية والإثم عقلاً ، فلا ينظر إلى صدق مفهوم الإعانة عرفاً ، فإنّ موضوع حكم العقل ليس عنوانها ، بل مطلق تهيئة أسباب المعصية قبيح عقلاً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يتجاوز الحكم من تحصيل الشرائط والأسباب إلى مطلق ما له دخل في تحقّق المعصية ، كتجارة التاجر العالم بأخذ العشر منه إذا لم تكن تجارته </w:t>
      </w:r>
    </w:p>
    <w:p>
      <w:pPr>
        <w:pStyle w:val="BookText"/>
        <w:rPr/>
      </w:pPr>
      <w:r>
        <w:rPr>
          <w:rFonts w:ascii="Amiri" w:hAnsi="Amiri" w:eastAsia="Amiri" w:cs="Amiri"/>
          <w:color w:val="111111"/>
          <w:sz w:val="28"/>
          <w:sz w:val="28"/>
          <w:szCs w:val="28"/>
          <w:rtl w:val="true"/>
          <w:lang w:bidi="ar-SA"/>
        </w:rPr>
        <w:t xml:space="preserve">لتقوية الظالم ؛ فإنّها ليست قبيحة عقلاً بلا ريب وليست من قبيل تهيئة الأسباب ، ولا فرق في نظر العقل بين الأقسام المتقدّمة في صدر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المستند حكم العقل بدفع المنكر ؛ فإنّ العقل لا يفرّق بين وجود إرادة المعصية فعلاً وبين تجدّدها ، ولا بين كون الداعي توصّل الغير إلى الحرام وغيره ، ولا وجود فاعل آخر وعدمه كما مرّ</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إن كان المستند هو الآية الكريمة الناهية عن التعاون على الإثم والعدوان ، فيقع البحث في مفهوم الإعانة على الإثم عرفاً ؛ أي في هذا العنوان التركيبي المتعلّق للنهي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 نّه هل يعتبر في صدق الإعانة على الإثم وقوع الإثم في الخارج ؟</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 نّه هل يعتبر في صدقها قصد المعين لتوصّل الفاعل إلى الحرام ؟</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 نّه هل يعتبر قصد المعان عليه الحرام ، أو يكفي تخيّل المعين أ نّه قصده ؟</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 نّه هل يعتبر علم المعين أو ظنّه بترتّب الإثم على ما يوجده ؟</w:t>
      </w:r>
    </w:p>
    <w:p>
      <w:pPr>
        <w:pStyle w:val="BookText"/>
        <w:rPr/>
      </w:pP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 نّه هل يعتبر العلم بتوقّف الإثم على خصوص هذه المقدّمة أو لا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باعتباره</w:t>
      </w:r>
      <w:r>
        <w:rPr>
          <w:rStyle w:val="FootnoteAnchor"/>
          <w:rtl w:val="true"/>
        </w:rPr>
        <w:footnoteReference w:id="596"/>
      </w:r>
      <w:r>
        <w:rPr>
          <w:rFonts w:ascii="Amiri" w:hAnsi="Amiri" w:eastAsia="Amiri" w:cs="Amiri"/>
          <w:color w:val="111111"/>
          <w:sz w:val="28"/>
          <w:sz w:val="28"/>
          <w:szCs w:val="28"/>
          <w:rtl w:val="true"/>
          <w:lang w:bidi="ar-SA"/>
        </w:rPr>
        <w:t xml:space="preserve">؛ لأنّ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تَعَاوَنُوا عَلَى الاْءِثْمِ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تحقّقه وهو لا يصدق إلاّ معه ، فإذا لم يتحقّق خارجاً وأوجد شخص بعض مقدّمات عمله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أعانه على إثمه ؛ لعدم صدوره منه ، وما </w:t>
      </w:r>
    </w:p>
    <w:p>
      <w:pPr>
        <w:pStyle w:val="BookText"/>
        <w:rPr/>
      </w:pPr>
      <w:r>
        <w:rPr>
          <w:rFonts w:ascii="Amiri" w:hAnsi="Amiri" w:eastAsia="Amiri" w:cs="Amiri"/>
          <w:color w:val="111111"/>
          <w:sz w:val="28"/>
          <w:sz w:val="28"/>
          <w:szCs w:val="28"/>
          <w:rtl w:val="true"/>
          <w:lang w:bidi="ar-SA"/>
        </w:rPr>
        <w:t>لا يصدر منه كيف يكون ذلك إعانة على إثمه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الإعانة على تحقّق الإثم موقوفة على تحقّقه وإلاّ يكون مِن توهّم الإعانة عليه لا نفسها ويكون تجرّياً لا إثماً ، ولهذا لو علم بعدم تحقّقه منه لا يكون إيجاد المقدّمة إعانة على الإثم بلا 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المفهوم العرفي من الإعانة على الإثم هو إيجاد مقدّمة إيجاد الإثم وإن لم يوجد ، فمن أعطى سلّماً لسارق بقصد توصّله إلى السرقة فقد أعانه على إيجادها ، فلو حيل بين السارق وسرقته شيء ولم تقع منه يصدق أنّ المعطي للسلّم أعانه على إيجاد سرقته وإن عجز السارق عن العمل ، فلو كان تحقّق السرقة دخيلاً في الصدق فلا بدّ وأن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المعتبر في صدق الإعانة إيجاد المقدّمة الموصلة ، أو الالتزام بأنّ وجود السرقة من قبيل الشرط المتأخّر لصدق الإعانة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خلاف المتفاهم العرفي منها بل هما أمران عقليان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عرفاً الإعانة على الإثم حتّى وجدت السرقة ، فالفعل المأتيّ به لتوصّل الغير إلى الحرام مراعىً حتّى يوجد ذو المقدّمة ، وبعده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أعانه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خلاف الواقع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 الإعانة عليها فعلاً باعتبار قيام الطريق العقلائي على وجود الإثم ، وبعد التخلّف يكشف عن كونها تجرّياً لا إعانة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غير صحيح ؛ لأنّ الطريق العقلائي عليه لا يتّفق إلاّ أحياناً ، ومع عدم القيام أيضاً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أعانه على إيجاده ، فمن أعطى جصّاً لتعمير مسجد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أعان على تعميره قبل تحقّقه بل مع عروض مانع عنه ، ولهذا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أعنت فلاناً على </w:t>
      </w:r>
    </w:p>
    <w:p>
      <w:pPr>
        <w:pStyle w:val="BookText"/>
        <w:rPr/>
      </w:pPr>
      <w:r>
        <w:rPr>
          <w:rFonts w:ascii="Amiri" w:hAnsi="Amiri" w:eastAsia="Amiri" w:cs="Amiri"/>
          <w:color w:val="111111"/>
          <w:sz w:val="28"/>
          <w:sz w:val="28"/>
          <w:szCs w:val="28"/>
          <w:rtl w:val="true"/>
          <w:lang w:bidi="ar-SA"/>
        </w:rPr>
        <w:t xml:space="preserve">تعمير المسجد ولم يقع منه ذلك بلا شائبة تجوّز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كون الإثم بمعنى اسم المصدر وكونه بمعنى المصدر في صدق الإعانة ، فلو كان بمعنى اسمه يعتبر في صدقها الوجود ، بخلاف ما إذا كان بمعنى المصدر ، والمقام من قبيل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مورد النقض ؛ أي عدم الصدق مع العلم بعدم تحقّقه منه ، فعدم الصدق باعتبار فقد قيد آخر معتبر فيه كما يأتي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 ذلك كلّه لا يخلو الصدق من خفاء والمسألة من غموض وإن كان الصدق أظهر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فالأقرب اعتباره ؛ فإنّ الظاهر أنّ إعانة شخص على شيء عبارة عن مساعدته عليه وكونه ظهيراً للفاعل ، وهو إنّما يصدق إذا ساعده في توصّله إلى ذلك الشيء ، وهو يتوقّف على قصده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أراد بناء مسجد فكلّ من أوجد مقدّمة لأجل توصّله إلى ذلك المقصد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ساعده عليه وأعانه على بناء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البائع للجصّ والآجر وسائر ما يتوقّف عليه البناء إذا كان بيعهم لمقاصدهم وبدواعي أنفسهم ، فليس واحد منهم معيناً ومساعداً على البناء ولو علموا أنّ الشراء لبنائه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اختار أحدهم من بين سائر المبتاعين الباني للمسجد لتوصّله إليه ، كان مساعداً بوجه ، دون ما إذا يفرق بينه وبين غيره؛ لعدم قصده إلاّ الوصول بمقصده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فالبزّاز البائع لمقاصده ما يجعل ستراً للكعبة ليس معيناً على البرّ والتقوى ، </w:t>
      </w:r>
    </w:p>
    <w:p>
      <w:pPr>
        <w:pStyle w:val="BookText"/>
        <w:rPr/>
      </w:pPr>
      <w:r>
        <w:rPr>
          <w:rFonts w:ascii="Amiri" w:hAnsi="Amiri" w:eastAsia="Amiri" w:cs="Amiri"/>
          <w:color w:val="111111"/>
          <w:sz w:val="28"/>
          <w:sz w:val="28"/>
          <w:szCs w:val="28"/>
          <w:rtl w:val="true"/>
          <w:lang w:bidi="ar-SA"/>
        </w:rPr>
        <w:t xml:space="preserve">ولا البائع للعنب بمقصد نفسه ممّن يجعله خمراً معين على الإثم ومساعد له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أوجد ما يتوقّف عليه مجّاناً لغرض آخر غير توصّله إلى الموقوف لا يصدق أ نّه أعانه وساعده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والتشبّث ببعض الروايات والآيات لنفي اعتباره</w:t>
      </w:r>
      <w:r>
        <w:rPr>
          <w:rStyle w:val="FootnoteAnchor"/>
          <w:rtl w:val="true"/>
        </w:rPr>
        <w:footnoteReference w:id="597"/>
      </w:r>
      <w:r>
        <w:rPr>
          <w:rFonts w:ascii="Amiri" w:hAnsi="Amiri" w:eastAsia="Amiri" w:cs="Amiri"/>
          <w:color w:val="111111"/>
          <w:sz w:val="28"/>
          <w:sz w:val="28"/>
          <w:szCs w:val="28"/>
          <w:rtl w:val="true"/>
          <w:lang w:bidi="ar-SA"/>
        </w:rPr>
        <w:t xml:space="preserve">مع أنّ الاستعمال فيها من قبيل الاستعارة ونحوها ، في غير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الصدق على إعطاء العصا والسكّين على مريد الظلم والقتل حينهما ، فلعلّه لعدم التفكيك في نظر العرف بين إعطائه في هذا الحال وقصد توصّله إلى مقصده ، ولهذا لو جهل بالواقعة لا يعدّ من المعاون على الظلم ، فلو أعطاه العصا لقتل حيّة واستعملها في قتل إنسان ، لا يكون معيناً على قتل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 العرفي في المثال المتقدّم لعدم التفكيك عرفاً ، ولهذا لو اعتذر المعطي بعدم إعطائه للتوصّل إلى الظلم مع علمه بأ نّه أراده ، لا يقبل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اعتبار ثالث القيود ، فمع عدم قصد المعان عليه الإثم ، لا يكون الإعانة على فعله إلاّ إعانة على ما يتوهّم أ نّه إثم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اعتبار رابعها وخامسها ، فمن أعصر خمراً برجاء أن يشرب منها شارب أو أعطى سكّيناً لظالم ليعمل به القتل لو احتاج إليه ، يعدّ عملهما الإعانة على الإثم سيّما إذا تحقّق في الخارج ، بل لا يبعد اعتبار التحقّق في الصدق فيهما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على القول باعتبار القصد وتحقّق الإثم في مفهومها ، لقائل أن يقول </w:t>
      </w:r>
    </w:p>
    <w:p>
      <w:pPr>
        <w:pStyle w:val="BookText"/>
        <w:rPr/>
      </w:pPr>
      <w:r>
        <w:rPr>
          <w:rFonts w:ascii="Amiri" w:hAnsi="Amiri" w:eastAsia="Amiri" w:cs="Amiri"/>
          <w:color w:val="111111"/>
          <w:sz w:val="28"/>
          <w:sz w:val="28"/>
          <w:szCs w:val="28"/>
          <w:rtl w:val="true"/>
          <w:lang w:bidi="ar-SA"/>
        </w:rPr>
        <w:t xml:space="preserve">بإلغاء القيدين حسب نظر العرف والعقلاء بالمناسبات المغروسة في الأذهان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الأقدس أراد بالنهي عن الإعانة على الإثم والعدوان قلع مادّة الفساد ، والمنع عن إشاعة الإثم والعدوان ، وعليه لا فرق بين قصده إلى توصّل الظالم بعمله وعدمه مع علمه بصرفه في الإثم والعدوان ، فالنهي عن الإعانة إنّما هو لحفظ غرضه الأقصى ، وهو القلع المذكور ، فيلغي العرف خصوصية قصد التوصّل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الإعانة على الإثم والعدوان لما تصير عادة موجبة لتشويق العصاة على عملهم وجرأتهم على الإثم والعدوان ، نهى الشارع عن إعانة من همّ بمعصية ؛ سياسةً لأن يرى العامل بالمنكر نفسه وحيدةً في العمل لا معين له فيه ، والوحدة قد توجب الوحشة المؤدّية إلى الترك ، كما أنّ رؤية المعين على عمل موجبة للجرأة ، فالشارع نهى المسلمين عن تهيئة أسباب المعصية لمن أرادها ؛ لقلع مادّة الفساد وانصراف الناس عن الإثم والعدوان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وإلى بعض ما ذكرناه أشارت رواية علي بن أبي حمزة عن أبي عبداللّه علیه السلام ،</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بني اُميّة وجدوا لهم من يكتب ويجبي لهم الفيء ويقاتل عنهم ويشهد جماعتهم لما سلبونا حقّنا</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ذلك أ نّه بعد إلغاء الخصوصية عرفاً تستفاد من الآية حرمة تهيئة أسباب المعصية لمن همّ بها ، سواء كانت التهيئة لأجل توصّله إليها أم لا ، وسواء تحقّق الإثم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حكم العقل أيضاً بقبحها ، ولكن مع ذلك لا يخلو إلغاء </w:t>
      </w:r>
      <w:bookmarkStart w:id="247" w:name="pg15158_207008"/>
    </w:p>
    <w:p>
      <w:pPr>
        <w:pStyle w:val="BookText"/>
        <w:rPr/>
      </w:pPr>
      <w:bookmarkEnd w:id="247"/>
      <w:r>
        <w:rPr>
          <w:rFonts w:ascii="Amiri" w:hAnsi="Amiri" w:eastAsia="Amiri" w:cs="Amiri"/>
          <w:color w:val="111111"/>
          <w:sz w:val="28"/>
          <w:sz w:val="28"/>
          <w:szCs w:val="28"/>
          <w:rtl w:val="true"/>
          <w:lang w:bidi="ar-SA"/>
        </w:rPr>
        <w:t xml:space="preserve">الخصوصية وفهم العرف من الآية ما ذكرناه من تأمّل وإن لا يخلو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كلّه في كلّي المسألة </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1851590_2142443653"/>
      <w:bookmarkStart w:id="249" w:name="_Toc86"/>
      <w:bookmarkEnd w:id="248"/>
      <w:r>
        <w:rPr>
          <w:rtl w:val="true"/>
        </w:rPr>
        <w:t>حرمة بيع العنب ممّن يعلم أنّه يجعله خمراً</w:t>
      </w:r>
      <w:bookmarkEnd w:id="249"/>
    </w:p>
    <w:p>
      <w:pPr>
        <w:pStyle w:val="BookText"/>
        <w:rPr/>
      </w:pPr>
      <w:r>
        <w:rPr>
          <w:rFonts w:ascii="Amiri" w:hAnsi="Amiri" w:eastAsia="Amiri" w:cs="Amiri"/>
          <w:color w:val="111111"/>
          <w:sz w:val="28"/>
          <w:sz w:val="28"/>
          <w:szCs w:val="28"/>
          <w:rtl w:val="true"/>
          <w:lang w:bidi="ar-SA"/>
        </w:rPr>
        <w:t xml:space="preserve">وأمّا في خصوص الخمر فالظاهر المتفاهم من المستفيضة الحاكية عن لعن الخمر وغارسها وحارسها وبائعها ومشتريها </w:t>
      </w:r>
      <w:r>
        <w:rPr>
          <w:rFonts w:eastAsia="Amiri" w:cs="Amiri" w:ascii="Amiri" w:hAnsi="Amiri"/>
          <w:color w:val="111111"/>
          <w:sz w:val="28"/>
          <w:szCs w:val="28"/>
          <w:rtl w:val="true"/>
          <w:lang w:bidi="ar-SA"/>
        </w:rPr>
        <w:t>. . .</w:t>
      </w:r>
      <w:r>
        <w:rPr>
          <w:rStyle w:val="FootnoteAnchor"/>
          <w:rtl w:val="true"/>
        </w:rPr>
        <w:footnoteReference w:id="599"/>
      </w:r>
      <w:r>
        <w:rPr>
          <w:rFonts w:ascii="Amiri" w:hAnsi="Amiri" w:eastAsia="Amiri" w:cs="Amiri"/>
          <w:color w:val="111111"/>
          <w:sz w:val="28"/>
          <w:sz w:val="28"/>
          <w:szCs w:val="28"/>
          <w:rtl w:val="true"/>
          <w:lang w:bidi="ar-SA"/>
        </w:rPr>
        <w:t xml:space="preserve">أنّ اشتراء العنب للتخمير حرام ، بل كلّ عمل يوصله إليه حرام ، لا لحرمة المقدّمة ، فإنّ التحقيق عدم حرمتها ، ولا لمبغوضية تلك الاُمور بعناوينها ، بل الظاهر أنّ التحريم نفسي سياسي لغاية قلع مادّة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الاشتراء للتخمير حراماً ؛ سواء وصل المشتري إلى مقصوده أم لا ، تكون الإعانة عليه حراماً ؛ لكونها إعانة على الإثم بلا إشكال ؛ لأنّ قصد البائع وصول المشتري إلى اشترائه الحرام والفرض تحقّق الاشتراء أيضاً ، فبيع العنب ممّن يعلم أ نّه يجعله خمراً حرام وإعانة على الإثم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قلنا بعدم استفادة حرمة إيجاد مقدّمات تحصيل الخمر من الروايات مطلقاً ؛ سواء كان بقصده أم لا ، فمن غرس العنب وعلم أ نّه سيجعل خمراً ، لا يحرم عليه إذا لم يكن غرسه لذلك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قلنا باستفادة الحرمة مطلقاً من تلك التشديدات والتضي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يقات الواردة فيها ، فيكون البيع كالاشتراء حراماً لا لمحض الإعانة على التخمير </w:t>
      </w:r>
      <w:r>
        <w:rPr>
          <w:rFonts w:eastAsia="Amiri" w:cs="Amiri" w:ascii="Amiri" w:hAnsi="Amiri"/>
          <w:color w:val="111111"/>
          <w:sz w:val="28"/>
          <w:szCs w:val="28"/>
          <w:rtl w:val="true"/>
          <w:lang w:bidi="ar-SA"/>
        </w:rPr>
        <w:t xml:space="preserve">. </w:t>
      </w:r>
      <w:bookmarkStart w:id="250" w:name="pg15158_207009"/>
    </w:p>
    <w:p>
      <w:pPr>
        <w:pStyle w:val="Heading5"/>
        <w:numPr>
          <w:ilvl w:val="4"/>
          <w:numId w:val="1"/>
        </w:numPr>
        <w:rPr/>
      </w:pPr>
      <w:bookmarkStart w:id="251" w:name="__RefHeading___Toc1851592_2142443653"/>
      <w:bookmarkStart w:id="252" w:name="_Toc87"/>
      <w:bookmarkEnd w:id="250"/>
      <w:bookmarkEnd w:id="251"/>
      <w:r>
        <w:rPr>
          <w:rtl w:val="true"/>
        </w:rPr>
        <w:t xml:space="preserve">المقام الثاني </w:t>
      </w:r>
      <w:r>
        <w:rPr>
          <w:rtl w:val="true"/>
        </w:rPr>
        <w:t xml:space="preserve">: </w:t>
      </w:r>
      <w:r>
        <w:rPr>
          <w:rtl w:val="true"/>
        </w:rPr>
        <w:t>في حال الروايات الواردة في المقام</w:t>
      </w:r>
      <w:bookmarkEnd w:id="252"/>
    </w:p>
    <w:p>
      <w:pPr>
        <w:pStyle w:val="BookText"/>
        <w:rPr/>
      </w:pPr>
      <w:r>
        <w:rPr>
          <w:rFonts w:ascii="Amiri" w:hAnsi="Amiri" w:eastAsia="Amiri" w:cs="Amiri"/>
          <w:color w:val="111111"/>
          <w:sz w:val="28"/>
          <w:sz w:val="28"/>
          <w:szCs w:val="28"/>
          <w:rtl w:val="true"/>
          <w:lang w:bidi="ar-SA"/>
        </w:rPr>
        <w:t xml:space="preserve">وهي على 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توجيهها بوجه لا تنافي ما تقدّم من حكم العقل والنقل</w:t>
      </w:r>
      <w:r>
        <w:rPr>
          <w:rStyle w:val="FootnoteAnchor"/>
          <w:rtl w:val="true"/>
        </w:rPr>
        <w:footnoteReference w:id="600"/>
      </w:r>
      <w:r>
        <w:rPr>
          <w:rFonts w:ascii="IRNazanin" w:hAnsi="IRNazanin" w:eastAsia="IRNazanin"/>
          <w:color w:val="111111"/>
          <w:sz w:val="28"/>
          <w:sz w:val="28"/>
          <w:szCs w:val="28"/>
          <w:rtl w:val="true"/>
          <w:lang w:bidi="fa-IR"/>
        </w:rPr>
        <w:t xml:space="preserve">، كصحيحة البزنطي ، قال سألت أبا الحسن علیه السلام عن بيع العصير فيصير خمراً قبل أن يقبض الثمن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باع ثمرته ممّن يعلم أ نّه يجعله حراماً لم يكن بذلك بأس ، فأمّا إذا كان عصيراً فلا يباع إلاّ بالنقد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السؤال عن ثمن العصير ، والجواب أيضاً عن ثمن ما يعلم أ نّه يجعل حراماً وكذا عن ثمن العصير ، فلا تنافي بين نفي البأس عن ثمن العصير وبين حرمة الإعانة على الإثم المنطبق عنوانها على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إذا كان عصيراً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 أو ظهور في الجملة في جواز بيع العصير ممّن يعلم أ نّه يجعله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السؤال لمّا لم يكن في العصير عن ذلك ينزّل الجواب عليه ، وهو إثبات البأس ولو بنحو الكراهة بالنسبة إلى بيع العصير نسية ؛ لكونه في معرض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ظهور معتدّ به في المنافاة لما تقدّم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يجعله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العصير لا إلى ثمرته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نفى البأس عن بيع ثمرته ممّن يعلم أ نّه يجعل العصير حراماً </w:t>
      </w:r>
    </w:p>
    <w:p>
      <w:pPr>
        <w:pStyle w:val="BookText"/>
        <w:rPr/>
      </w:pPr>
      <w:r>
        <w:rPr>
          <w:rFonts w:ascii="Amiri" w:hAnsi="Amiri" w:eastAsia="Amiri" w:cs="Amiri"/>
          <w:color w:val="111111"/>
          <w:sz w:val="28"/>
          <w:sz w:val="28"/>
          <w:szCs w:val="28"/>
          <w:rtl w:val="true"/>
          <w:lang w:bidi="ar-SA"/>
        </w:rPr>
        <w:t xml:space="preserve">ولا يعلم بأ نّه يجعل هذه الثمرة حراماً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وكرواية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ثمن العصير قبل أن يغلي لمن يبتاعه ليطبخه أو يجعله حراماً </w:t>
      </w:r>
      <w:r>
        <w:rPr>
          <w:rStyle w:val="FootnoteAnchor"/>
          <w:rtl w:val="true"/>
        </w:rPr>
        <w:footnoteReference w:id="60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بعته قبل أن يكون خمراً وهو حلال فلا بأس</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بأن يقال 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السؤال إنّما هو عن ثمن العصير وكذا الجواب ، فلا ربط لهما بأصل المعاملة وحرمتها ، 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للترديد ،</w:t>
      </w:r>
    </w:p>
    <w:p>
      <w:pPr>
        <w:pStyle w:val="BookText"/>
        <w:rPr/>
      </w:pPr>
      <w:r>
        <w:rPr>
          <w:rFonts w:ascii="Amiri" w:hAnsi="Amiri" w:eastAsia="Amiri" w:cs="Amiri"/>
          <w:color w:val="111111"/>
          <w:sz w:val="28"/>
          <w:sz w:val="28"/>
          <w:szCs w:val="28"/>
          <w:rtl w:val="true"/>
          <w:lang w:bidi="ar-SA"/>
        </w:rPr>
        <w:t xml:space="preserve">فيكون الابتياع مردّداً بين كونه للحلال أو الحرام ومعه لا بأس ببيعه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يمكن توجيهها أو يكون بعيداً مخالفاً للظاهر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كصحيحة رفاعة بن موسى ، قال سئل أبو عبداللّه علیه السلام وأنا حاضر عن بيع العصير ممّن يخمّره،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نبيع تمرنا ممّن يجعله شراباً خبيثاً ؟</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ومكاتبة ابن اُذينة ، قال كتبت إلى أبي عبداللّه علیه السلام أسأله عن رجل له كرم أيبيع العنب والتمر ممّن يعلم أ نّه يجعله خمراً أو سكراً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باعه حلالاً في الإبّان الذي يحلّ شربه أو أكله فلا بأس ببيعه</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أبي كهمس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ذا ، نحن نبيع تمرنا ممّن نعلم أ نّه يصنعه خمراً</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الحلبي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بيع عصير العنب ممّن</w:t>
      </w:r>
    </w:p>
    <w:p>
      <w:pPr>
        <w:pStyle w:val="BookText"/>
        <w:rPr/>
      </w:pPr>
      <w:r>
        <w:rPr>
          <w:rFonts w:ascii="Amiri" w:hAnsi="Amiri" w:eastAsia="Amiri" w:cs="Amiri"/>
          <w:color w:val="111111"/>
          <w:sz w:val="28"/>
          <w:sz w:val="28"/>
          <w:szCs w:val="28"/>
          <w:rtl w:val="true"/>
          <w:lang w:bidi="ar-SA"/>
        </w:rPr>
        <w:t xml:space="preserve">يجعله حراماً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 تبيعه حلالاً فيجعله حراماً ، فأبعده اللّه وأسحقه</w:t>
      </w:r>
      <w:r>
        <w:rPr>
          <w:rFonts w:eastAsia="Amiri" w:cs="Amiri" w:ascii="Amiri" w:hAnsi="Amiri"/>
          <w:color w:val="111111"/>
          <w:sz w:val="28"/>
          <w:szCs w:val="28"/>
          <w:rtl w:val="true"/>
          <w:lang w:bidi="ar-SA"/>
        </w:rPr>
        <w:t>»</w:t>
      </w:r>
      <w:r>
        <w:rPr>
          <w:rStyle w:val="FootnoteAnchor"/>
          <w:rtl w:val="true"/>
        </w:rPr>
        <w:footnoteReference w:id="607"/>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حملها على وهم البائع أنّ المشتري يعمل هذا المبيع خمراً ، أو احتمال أن يكون الضمير راجعاً إلى مطلق العصير كما احتمله الأردبيلي ، بعيد جدّاً ، كما يظهر منه أيضاً أنّ الحمل على خلاف الظاهر ؛ لعدم إمكان الالتزام بها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كذلك ؛ فإنّها مخالفة للكتاب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آية النهي عن التعاون على الإثم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والسنّة المستفيضة وهي الحاكية للعن رسول اللّه‌ صلی الله علیه و آله وسلم  الخمر وغارسها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بالتقريب المتقدّم</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يصحّ القول بتقييد الآية والسنّة ؛ لإباء العقول عن ذلك، فإنّ الالتزام بحرمة التعاون على كلّ إثم إلاّ بيع التمر والعنب الذي يشترى للتخمير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الإعانة على غرسها وحرسها وحملها وغير ذلك كلّها محرّمة سوى خصوص </w:t>
      </w:r>
    </w:p>
    <w:p>
      <w:pPr>
        <w:pStyle w:val="BookText"/>
        <w:rPr/>
      </w:pPr>
      <w:r>
        <w:rPr>
          <w:rFonts w:ascii="Amiri" w:hAnsi="Amiri" w:eastAsia="Amiri" w:cs="Amiri"/>
          <w:color w:val="111111"/>
          <w:sz w:val="28"/>
          <w:sz w:val="28"/>
          <w:szCs w:val="28"/>
          <w:rtl w:val="true"/>
          <w:lang w:bidi="ar-SA"/>
        </w:rPr>
        <w:t xml:space="preserve">الاشتراء له ، أو الالتزام بأنّ الإعانة على كلّ إثم حرام إلاّ على شرب الخمر الذي هو من أعظم المحرّمات ،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الإعانة على الاشتراء الحرام وهو ليس من المحرّمات المهتمّ بها ، مدفوع بأنّ المفهوم من الآية ولو بمؤونة حكم العقل أنّ مطلق تهيئة أسباب الإثم منهيّ عنه ، والبيع ممّن يعلم أ نّه يبتاع للتخمير من مقدّمات التخمير بل الشرب المهتمّ به ، مضافاً إلى أ نّه يظهر من بعض الروايات أنّ الإعانة على الإثم كنفس الإثم</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الالتزام بعدم حرمة الإعانة على الإثم مطلقاً فراراً عن التفصيل المستبعد بل الغير الممكن ، غير ممكن ؛ إذ مقتضاه مخالفة الروايات للكتاب على نحو التباين ؛ لما تقدّم</w:t>
      </w:r>
      <w:r>
        <w:rPr>
          <w:rStyle w:val="FootnoteAnchor"/>
          <w:rtl w:val="true"/>
        </w:rPr>
        <w:footnoteReference w:id="611"/>
      </w:r>
      <w:r>
        <w:rPr>
          <w:rFonts w:ascii="Amiri" w:hAnsi="Amiri" w:eastAsia="Amiri" w:cs="Amiri"/>
          <w:color w:val="111111"/>
          <w:sz w:val="28"/>
          <w:sz w:val="28"/>
          <w:szCs w:val="28"/>
          <w:rtl w:val="true"/>
          <w:lang w:bidi="ar-SA"/>
        </w:rPr>
        <w:t>من عدم إمكان حمل النهي في الآية على التنزيه ، وكذا</w:t>
      </w:r>
    </w:p>
    <w:p>
      <w:pPr>
        <w:pStyle w:val="BookText"/>
        <w:rPr/>
      </w:pPr>
      <w:r>
        <w:rPr>
          <w:rFonts w:ascii="Amiri" w:hAnsi="Amiri" w:eastAsia="Amiri" w:cs="Amiri"/>
          <w:color w:val="111111"/>
          <w:sz w:val="28"/>
          <w:sz w:val="28"/>
          <w:szCs w:val="28"/>
          <w:rtl w:val="true"/>
          <w:lang w:bidi="ar-SA"/>
        </w:rPr>
        <w:t xml:space="preserve">لا يصحّ تخصيص السنّة ؛ فإنّ لسانها آبية عنه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فتلك الروايات بما أ نّها مخالفة للكتاب والسنّة المستفيضة ، وبما أ نّها مخالفة لحكم العقل كما تقدّم ، وبما أ نّها مخالفة لروايات النهي عن المنكر ، بل بما أ نّها مخالفة لاُصول المذهب ومخالفة لقداسة ساحة المعصوم علیه السلام ؛ حيث إنّ الظاهر منها أنّ الأئمّة علیهم السلام كانوا يبيعون تمرهم ممّن يجعله خمراً وشراباً خبيثاً ولم يبيعوه من غيره ، وهو ممّا لا يرضى به الشيعة الإمامية ،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صدر هذا العمل من أواسط الناس كان يعاب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فالمسلم بما هو مسلم والشيعي </w:t>
      </w:r>
    </w:p>
    <w:p>
      <w:pPr>
        <w:pStyle w:val="BookText"/>
        <w:rPr/>
      </w:pPr>
      <w:r>
        <w:rPr>
          <w:rFonts w:ascii="Amiri" w:hAnsi="Amiri" w:eastAsia="Amiri" w:cs="Amiri"/>
          <w:color w:val="111111"/>
          <w:sz w:val="28"/>
          <w:sz w:val="28"/>
          <w:szCs w:val="28"/>
          <w:rtl w:val="true"/>
          <w:lang w:bidi="ar-SA"/>
        </w:rPr>
        <w:t>بما هو كذلك ، يرى هذا العمل قبيحاً مخالفاً لرضا الشارع ، فكيف يمكن صدوره</w:t>
      </w:r>
    </w:p>
    <w:p>
      <w:pPr>
        <w:pStyle w:val="BookText"/>
        <w:rPr/>
      </w:pPr>
      <w:r>
        <w:rPr>
          <w:rFonts w:ascii="IRNazanin" w:hAnsi="IRNazanin" w:eastAsia="IRNazanin"/>
          <w:color w:val="111111"/>
          <w:sz w:val="28"/>
          <w:sz w:val="28"/>
          <w:szCs w:val="28"/>
          <w:rtl w:val="true"/>
          <w:lang w:bidi="fa-IR"/>
        </w:rPr>
        <w:t>من المعصوم علیه السلام ؟</w:t>
      </w:r>
    </w:p>
    <w:p>
      <w:pPr>
        <w:pStyle w:val="BookText"/>
        <w:rPr/>
      </w:pPr>
      <w:r>
        <w:rPr>
          <w:rFonts w:ascii="Amiri" w:hAnsi="Amiri" w:eastAsia="Amiri" w:cs="Amiri"/>
          <w:color w:val="111111"/>
          <w:sz w:val="28"/>
          <w:sz w:val="28"/>
          <w:szCs w:val="28"/>
          <w:rtl w:val="true"/>
          <w:lang w:bidi="ar-SA"/>
        </w:rPr>
        <w:t xml:space="preserve">واحتمال أن يكون البيع مشتملاً على مصلحة غالبة أو تركه على مفسدة كذلك توجب الجبران ومعه لا قبح فيه بل لعلّ القبح في تركه ، فاسد ؛ فإنّه مع كمال بعده في نفسه بل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مثل تلك العناوين الاعتبارية ليست مصلحة ذاتية لا تصل إليها العقول ، نعم ، قد تكون في بعض الأحيان مصلحة التسهيل أو مفسدة التضييق موجبة لمثل ذلك ، لكنّهما في المقام غير محقّقة ؛ لأنّ في ترك البيع لخصوص الخمّار ليس تضييقاً ولا في تسهيله مصلحة جابرة لمثل مفسدة ترويج الخمر وتشييع تلك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لظاهر الأخبار ؛ فإنّ مفادها أنّ الجواز لأجل كون البيع في إبّان حلّيته ، وأ نّه إذا حلّ شربه وأكله</w:t>
      </w:r>
    </w:p>
    <w:p>
      <w:pPr>
        <w:pStyle w:val="BookText"/>
        <w:rPr/>
      </w:pPr>
      <w:r>
        <w:rPr>
          <w:rFonts w:ascii="Amiri" w:hAnsi="Amiri" w:eastAsia="Amiri" w:cs="Amiri"/>
          <w:color w:val="111111"/>
          <w:sz w:val="28"/>
          <w:sz w:val="28"/>
          <w:szCs w:val="28"/>
          <w:rtl w:val="true"/>
          <w:lang w:bidi="ar-SA"/>
        </w:rPr>
        <w:t xml:space="preserve">حلّ بيعه وأنّ الوزر على صانعه ، وهو مخالف لجميع ما تقدّم من العقل والنقل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فنعم ما 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مقاومة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كثرت واشتهرت وظهرت دلالتها بل وربّما كان في المطلب صريحاً بعضها ؛ لما مرّ من الاُصول والنصوص المعتضدة بالعقول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 والمسألة لذلك محلّ إعضال ، فالاحتياط فيها لا يترك على حال</w:t>
      </w:r>
      <w:r>
        <w:rPr>
          <w:rFonts w:eastAsia="Amiri" w:cs="Amiri" w:ascii="Amiri" w:hAnsi="Amiri"/>
          <w:color w:val="111111"/>
          <w:sz w:val="28"/>
          <w:szCs w:val="28"/>
          <w:rtl w:val="true"/>
          <w:lang w:bidi="ar-SA"/>
        </w:rPr>
        <w:t>»</w:t>
      </w:r>
      <w:r>
        <w:rPr>
          <w:rStyle w:val="FootnoteAnchor"/>
          <w:rtl w:val="true"/>
        </w:rPr>
        <w:footnoteReference w:id="612"/>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وليته جزم بذلك وردّ تلك النصوص إلى أهلها ، فإنّا مأمورون بذلك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أن تقول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النصوص معارضة مع الرواية الواردة في المنع عن بيع الخشب للصنم والصليب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كصحيحة عمر بن اُذينة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عبداللّه علیه السلام أسأله عن رجل له خشب فباعه ممّن يتّخذه برابط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رجل له خشب فباعه ممّن يتّخذه صلباناً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عمرو بن حريث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التوت أبيعه يصنع للصليب والصنم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يكتسب به ، 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ولرواية صابر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يؤاجر بيته فيباع فيه الخمر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أجره</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عدم الفصل بين تلك الموارد وعدم الفرق بين الإجارة وغيرها ، وأنّ المراد من الأخيرة إجارة البيت ممّن يعلم أ نّه يبيع فيه الخمر ، والترجيح لتلك الروايات بالوجوه المتقدّمة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تقدّم يظهر حال صحيحة ابن اُذينة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عبداللّه علیه السلام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أسأله عن الرجل يؤاجر سفينته ودابّته ممّن يحمل فيها أو عليها الخمر والخنازير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 احتمال أن تكون الإجارة لا لذلك وجهل المؤجر بالواقعة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ظهر ممّا ذكرناه النظر فيما أفاد الشيخ الأعظم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القول الفصل ، التفصيل بين الصليب والصنم وبين الخمر والبرابط ، والعمل بمضمون الروايات في مواردها لو لم يكن قولاً بالفصل</w:t>
      </w:r>
      <w:r>
        <w:rPr>
          <w:rFonts w:eastAsia="Amiri" w:cs="Amiri" w:ascii="Amiri" w:hAnsi="Amiri"/>
          <w:color w:val="111111"/>
          <w:sz w:val="28"/>
          <w:szCs w:val="28"/>
          <w:rtl w:val="true"/>
          <w:lang w:bidi="ar-SA"/>
        </w:rPr>
        <w:t>»</w:t>
      </w:r>
      <w:r>
        <w:rPr>
          <w:rStyle w:val="FootnoteAnchor"/>
          <w:rtl w:val="true"/>
        </w:rPr>
        <w:footnoteReference w:id="61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التفصيل بين الصليب والخمر بعيد ، بعد كون الصليب ظاهراً هو ما يصنع شبيه ما صلب به المسيح علیه السلام على زعمهم ، وإنّما يكرمونه لذلك</w:t>
      </w:r>
    </w:p>
    <w:p>
      <w:pPr>
        <w:pStyle w:val="BookText"/>
        <w:rPr/>
      </w:pPr>
      <w:r>
        <w:rPr>
          <w:rFonts w:ascii="Amiri" w:hAnsi="Amiri" w:eastAsia="Amiri" w:cs="Amiri"/>
          <w:color w:val="111111"/>
          <w:sz w:val="28"/>
          <w:sz w:val="28"/>
          <w:szCs w:val="28"/>
          <w:rtl w:val="true"/>
          <w:lang w:bidi="ar-SA"/>
        </w:rPr>
        <w:t xml:space="preserve">ولا يعبدونه كما يعبد الصنم ، كما زعم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مصنّفه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الصليب العود المكرّم الذي صلب عليه السيّد المسيح</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 أ نّه عين ذلك العود ، وهو بعيد ، ولعلّ مراده ذكر الأصل والمنشأ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شيء مثلّث كالتمثال تعبده النصارى</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xml:space="preserve">كأ نّه وهم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فالحكم بجواز بيع العنب والخشب ممّن يصنع الخمر والبرابط ، وعدم جواز بيع الخشب ممّن يعمل الصلبان ، لا يخلو من بعد ؛ فإنّ الظاهر أنّ الخمر أشدّ حرمة من تكريم عود يتخيّل كونه تكريماً للسيّد المسيح علیه السلام ، بل لو كان حراماً لا يبعد أن يكون لوجه التشريع ، أو لكونه شعار النصارى ، وإن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صيرورته شعاراً لهم ، أوجبت الاهتمام به وتحريم التسبيب إليه زائداً على غيره </w:t>
      </w:r>
      <w:r>
        <w:rPr>
          <w:rFonts w:eastAsia="IRNazanin" w:cs="IRNazanin"/>
          <w:color w:val="111111"/>
          <w:sz w:val="28"/>
          <w:szCs w:val="28"/>
          <w:rtl w:val="true"/>
          <w:lang w:bidi="fa-IR"/>
        </w:rPr>
        <w:t xml:space="preserve">. </w:t>
      </w:r>
      <w:bookmarkStart w:id="253" w:name="pg15158_207016"/>
    </w:p>
    <w:p>
      <w:pPr>
        <w:pStyle w:val="Heading5"/>
        <w:numPr>
          <w:ilvl w:val="4"/>
          <w:numId w:val="1"/>
        </w:numPr>
        <w:rPr/>
      </w:pPr>
      <w:bookmarkStart w:id="254" w:name="__RefHeading___Toc1851594_2142443653"/>
      <w:bookmarkStart w:id="255" w:name="_Toc88"/>
      <w:bookmarkEnd w:id="253"/>
      <w:bookmarkEnd w:id="254"/>
      <w:r>
        <w:rPr>
          <w:rtl w:val="true"/>
        </w:rPr>
        <w:t>بيان الحكم الوضعي للبيع المحرّم في المقام</w:t>
      </w:r>
      <w:bookmarkEnd w:id="255"/>
    </w:p>
    <w:p>
      <w:pPr>
        <w:pStyle w:val="BookText"/>
        <w:rPr/>
      </w:pPr>
      <w:r>
        <w:rPr>
          <w:rFonts w:ascii="Amiri" w:hAnsi="Amiri" w:eastAsia="Amiri" w:cs="Amiri"/>
          <w:color w:val="111111"/>
          <w:sz w:val="28"/>
          <w:sz w:val="28"/>
          <w:szCs w:val="28"/>
          <w:rtl w:val="true"/>
          <w:lang w:bidi="ar-SA"/>
        </w:rPr>
        <w:t>ثمّ لو قلنا بحرمة البيع فهل يقع صحيحاً أو لا ؟</w:t>
      </w:r>
    </w:p>
    <w:p>
      <w:pPr>
        <w:pStyle w:val="BookText"/>
        <w:rPr/>
      </w:pPr>
      <w:r>
        <w:rPr>
          <w:rFonts w:ascii="Amiri" w:hAnsi="Amiri" w:eastAsia="Amiri" w:cs="Amiri"/>
          <w:color w:val="111111"/>
          <w:sz w:val="28"/>
          <w:sz w:val="28"/>
          <w:szCs w:val="28"/>
          <w:rtl w:val="true"/>
          <w:lang w:bidi="ar-SA"/>
        </w:rPr>
        <w:t xml:space="preserve">والتفصيل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المعاملة قد تقع معاطاة وقد تقع بالصيغة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صحّتها على الأوّل ؛ لأنّ المحرّم عنوان آخر منطبق على المعاملة الخارجية ، سواء كان المستند حكم العقل بقبح تهيئة أسباب المحرّم أو وجوب دفع المنكر أو حكم الشرع بوجوب دفعه أو حرمة التعاون عليه ؛ لأنّ موضوعات تلك الأحكام عناوين غير نفس المعاملة وبينهما عموم من وجه ، والموضوعات الخارجية مجمع لهما ، ولكلّ منهما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يدفع استبعاد تنفيذ الشارع سبباً يؤدّي إلى مبغوضه ؛ لأنّ التنفيذ لم يقع إلاّ على عنوان البيع ونحوه وهو ليس بمبغوض ، وكون عنوان آخر منطبق على ما ينطبق عليه عنوان المعاملة مبغوضاً ، لا يوجب تنفيذ المبغوض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تقع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وقوع المعاوضة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دليل حرمة التعاون على الإثم ودليل وجوب تسليم المثمن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قلنا بترجيح الثاني يجب عليه التسليم ويعاقب على الإعانة على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ما رجّحناه في محلّه</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بقاء الحكم في المتزاحمين على ما هو عليه من الفعلية ، فواضح ؛ لأ نّه خالف الحكم المحرّم الفعلي بلا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بسقوط النهي فلارتكابه المبغوض بلا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 ،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نظير المتوسّط في </w:t>
      </w:r>
    </w:p>
    <w:p>
      <w:pPr>
        <w:pStyle w:val="BookText"/>
        <w:rPr/>
      </w:pPr>
      <w:r>
        <w:rPr>
          <w:rFonts w:ascii="Amiri" w:hAnsi="Amiri" w:eastAsia="Amiri" w:cs="Amiri"/>
          <w:color w:val="111111"/>
          <w:sz w:val="28"/>
          <w:sz w:val="28"/>
          <w:szCs w:val="28"/>
          <w:rtl w:val="true"/>
          <w:lang w:bidi="ar-SA"/>
        </w:rPr>
        <w:t xml:space="preserve">أرض مغصوبة أو نظير إيقاع النفس في مهلكة العطش اختياراً ؛ فيجب عليه حفظ نفسه بشرب الخمر ويعاقب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بترجيح الأوّل فلا يجوز له التسليم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المعاوضة لدى العقلاء متقوّمة بإمكان التسليم والتسلّم ، ومع تعذّره شرعاً أو عقلاً لا تقع المعاوضة صحيحة ، ففي المقام يكون تسليم المبيع متعذّراً شرعاً ؛ لعدم جوازه فرضاً وعدم جواز إلزامه عليه لا من قبل المشتري ولا الوالي ، ومع عدم تسليمه يجوز للمشتري عدم تسليم الثمن ، والمعاوضة التي هو حالها ليست عقلائية ولا شرعية فتقع 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يضرّ بصحّة المعاوضة هو العجز عن التسليم تكويناً ، أو نهي الشارع عن تسليم المبيع بعنوانه حيث يستفاد منه ردع المعاوضة ، والمقام ليس من قبيلهما ؛ لعدم العجز تكويناً ، وعدم تعلّق النهي عن تسليم المبيع بعنوانه ، بل النهي عن الإعانة على الإثم صار موجباً لعدم التسليم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المانع العقلي أو الشرعي عن مقتضى المعاملة عرفاً الذي منه التسليم لو صار موجباً لبطلانها ، لا يوجب أن يكون مطلق المانع ولو بجهات خارجية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ما لو كان أحد المتبايعين مديوناً للآخر ، ناكلاً عن أدائه ، فحبس الدائن متاعه المبتاع لاستيفاء دينه ، فإنّ جواز ذلك لا يوجب مضادّته لمقتضى المعاوضة ، بل هي صحيحة ووجب على المديون تسليم العوض وعدم النكول في مقابل نكول الآخر لاستيفاء دينه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المقام لا يكون ترك التسليم ولا حكم الشرع به ، منافياً لمقتضى المعاوضة بعد ما كان ذلك لغرض آخر خارج عن المعاملة ومقتضاها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البائع قادر على التسليم وغير ممتنع عنه بشرط رجوع المشتري عن قصد التخمير ، فنكول البائع إنّما هو بتقصير من المشتري وتسبيب منه ، وفي مثله لا يكون النكول منافياً لمقتضى المبادلة ، بل يجب عليه تسليم الثمن ولا يجوز له النكول في مقابل نكوله المسبّب عن تقصيره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يبعد الاستناد إلى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البطلان لولا ضعفها ، لا إلى الفقرة التي ذكرها شيخنا الأعظم في أوّل مكاسبه وفي المقام</w:t>
      </w:r>
      <w:r>
        <w:rPr>
          <w:rStyle w:val="FootnoteAnchor"/>
          <w:rtl w:val="true"/>
        </w:rPr>
        <w:footnoteReference w:id="621"/>
      </w:r>
      <w:r>
        <w:rPr>
          <w:rFonts w:ascii="Amiri" w:hAnsi="Amiri" w:eastAsia="Amiri" w:cs="Amiri"/>
          <w:color w:val="111111"/>
          <w:sz w:val="28"/>
          <w:sz w:val="28"/>
          <w:szCs w:val="28"/>
          <w:rtl w:val="true"/>
          <w:lang w:bidi="ar-SA"/>
        </w:rPr>
        <w:t xml:space="preserve">، بل إلى فقرة اُخرى ساقطة عن قلمه الشريف أو النسخة التي كانت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كلّ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ملهوّ به ، وكلّ منهيّ عنه ممّا يتقرّب به لغير اللّه أو يقوى به الكفر والشرك من جميع وجوه المعاصي أو باب من أبواب الضلالة ، أو باب من أبواب الباطل ، أو باب يوهن به الحقّ ، فهو حرام محرّم، حرام بيعه وشراؤه وإمساكه وملكه </w:t>
      </w:r>
      <w:r>
        <w:rPr>
          <w:rFonts w:eastAsia="Amiri" w:cs="Amiri" w:ascii="Amiri" w:hAnsi="Amiri"/>
          <w:color w:val="111111"/>
          <w:sz w:val="28"/>
          <w:szCs w:val="28"/>
          <w:rtl w:val="true"/>
          <w:lang w:bidi="ar-SA"/>
        </w:rPr>
        <w:t>. .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أبواب الباطل تشمل مطلق المعاصي ، سيّما مع وقوعها في مقابل أبواب الضلالة ، وباب يوهن به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متعرّض لما يوجب الضلالة ، ككتب الضلال وبيع القرطاس لذلك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يوجب الوهن في الإسلام ، كبيع السلاح لأعداء الدين ، ومنه بيع العنب مثلاً ممّن يجعله خمراً ويبيعه علناً في شوارع المسلمين ، أو جنب المشاهد </w:t>
      </w:r>
    </w:p>
    <w:p>
      <w:pPr>
        <w:pStyle w:val="BookText"/>
        <w:rPr/>
      </w:pPr>
      <w:r>
        <w:rPr>
          <w:rFonts w:ascii="Amiri" w:hAnsi="Amiri" w:eastAsia="Amiri" w:cs="Amiri"/>
          <w:color w:val="111111"/>
          <w:sz w:val="28"/>
          <w:sz w:val="28"/>
          <w:szCs w:val="28"/>
          <w:rtl w:val="true"/>
          <w:lang w:bidi="ar-SA"/>
        </w:rPr>
        <w:t xml:space="preserve">المعظّمة ، ممّا يوجب الوهن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يكون باباً من أبواب الباطل وهو سائر المعاصي ، ولهذا اُطلق الباطل على كثير منها في الأخبار كالقمار والشطرنج والسماع ونحوها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رواية الفضيل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هذه الأشياء التي يلعب بها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النرد والشطرنج حتّى انتهيت إلى السِدر</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راجع مجمع البحرين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ميّز اللّه الحقّ من الباطل مع أيّهما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الباطل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 وللباطل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فسّر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بالسرقة والقمار ونحوهما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الدلالة على البطلان أنّ الظاهر كما قالوا أ نّها سيقت لإفادته ، مضافاً إلى أنّ العرف يرى التنافي بين تحريم المعاملة ومبغوضيتها ، وبين تنفيذها وإيجاب الوفاء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غير بيع الخمر والتمر ممّن يشتري للتخمير ، وأمّا فيه فالظاهر من الروايات المستفيضة الحاكية للعن رسول اللّه‌ صلی الله علیه و آله وسلم  الطوائف الدخيلة في شرب الخمر ، مبغوضية اشتراء العنب للتخميرولو بإلغاء الخصوصية عرفاً لو لم نقل بفهم العرف منها مبغوضية البيع ممّن يعلم أ نّه يجعله خمراً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مبغوضية الاشتراء ، أو هو مع البيع بعنوانهما ، يستبعد تنفيذ المبايعة ، </w:t>
      </w:r>
    </w:p>
    <w:p>
      <w:pPr>
        <w:pStyle w:val="BookText"/>
        <w:rPr/>
      </w:pPr>
      <w:r>
        <w:rPr>
          <w:rFonts w:ascii="Amiri" w:hAnsi="Amiri" w:eastAsia="Amiri" w:cs="Amiri"/>
          <w:color w:val="111111"/>
          <w:sz w:val="28"/>
          <w:sz w:val="28"/>
          <w:szCs w:val="28"/>
          <w:rtl w:val="true"/>
          <w:lang w:bidi="ar-SA"/>
        </w:rPr>
        <w:t>بل يكون الجمع بينهما من قبيل الجمع بين المتنافيين عرفاً ، وقد عرفت أنّ</w:t>
      </w:r>
    </w:p>
    <w:p>
      <w:pPr>
        <w:pStyle w:val="BookText"/>
        <w:rPr/>
      </w:pPr>
      <w:r>
        <w:rPr>
          <w:rFonts w:ascii="Amiri" w:hAnsi="Amiri" w:eastAsia="Amiri" w:cs="Amiri"/>
          <w:color w:val="111111"/>
          <w:sz w:val="28"/>
          <w:sz w:val="28"/>
          <w:szCs w:val="28"/>
          <w:rtl w:val="true"/>
          <w:lang w:bidi="ar-SA"/>
        </w:rPr>
        <w:t>الحرمة فيها ليست مقدّمية</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والفرق بينه وبين ما تقدّم من تصحيح البيع المنطبق عليه عنوان محرّم ، واضح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التحريم دليل على الصحّة ، في غير محلّها ؛ فإنّ المبغوض هو المعاملة العقلائية الرائجة بينهم من بيع الخمر والعنب للتخمير وأمثالهما ، ومع مبغوضيته لا محالة يتصدّى الشارع لدفعه في عالم التشريع وهو ملازم لردعه ، سيّما أنّ الردع موجب لتقليل مادّة الفساد ، والتنفيذ موجب لتكثيرها ؛ لأنّ كثيراً من الناس يرتكبون بعض المعاصي ويتنزّهون عن أكل مال الغير بغير حقّ واشتغال ذمّتهم به </w:t>
      </w:r>
      <w:r>
        <w:rPr>
          <w:rFonts w:eastAsia="Amiri" w:cs="Amiri" w:ascii="Amiri" w:hAnsi="Amiri"/>
          <w:color w:val="111111"/>
          <w:sz w:val="28"/>
          <w:szCs w:val="28"/>
          <w:rtl w:val="true"/>
          <w:lang w:bidi="ar-SA"/>
        </w:rPr>
        <w:t xml:space="preserve">. </w:t>
      </w:r>
      <w:bookmarkStart w:id="256" w:name="pg15158_207021"/>
    </w:p>
    <w:p>
      <w:pPr>
        <w:pStyle w:val="Heading5"/>
        <w:numPr>
          <w:ilvl w:val="4"/>
          <w:numId w:val="1"/>
        </w:numPr>
        <w:rPr/>
      </w:pPr>
      <w:bookmarkStart w:id="257" w:name="__RefHeading___Toc1851596_2142443653"/>
      <w:bookmarkStart w:id="258" w:name="_Toc89"/>
      <w:bookmarkEnd w:id="256"/>
      <w:bookmarkEnd w:id="257"/>
      <w:r>
        <w:rPr>
          <w:rtl w:val="true"/>
        </w:rPr>
        <w:t xml:space="preserve">النوع الثالث </w:t>
      </w:r>
      <w:r>
        <w:rPr>
          <w:rtl w:val="true"/>
        </w:rPr>
        <w:t xml:space="preserve">: </w:t>
      </w:r>
      <w:r>
        <w:rPr>
          <w:rtl w:val="true"/>
        </w:rPr>
        <w:t>ما يمكن أن يقصد به الحرام</w:t>
      </w:r>
      <w:bookmarkEnd w:id="258"/>
    </w:p>
    <w:p>
      <w:pPr>
        <w:pStyle w:val="BookText"/>
        <w:rPr/>
      </w:pPr>
      <w:r>
        <w:rPr>
          <w:rFonts w:ascii="Amiri" w:hAnsi="Amiri" w:eastAsia="Amiri" w:cs="Amiri"/>
          <w:color w:val="111111"/>
          <w:sz w:val="28"/>
          <w:sz w:val="28"/>
          <w:szCs w:val="28"/>
          <w:rtl w:val="true"/>
          <w:lang w:bidi="ar-SA"/>
        </w:rPr>
        <w:t xml:space="preserve">النوع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أن يقصد به الحرام ؛ أي ما له شأنية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بحسب القواعد عدم حرمته بهذا العنوان وصحّة المعاملة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وبيع السلاح لأعداء الدين ليس من مستثنيات هذا العنوان ، بل له عنوان خاصّ ينبغي البحث عنه مستقلاًّ </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1851598_2142443653"/>
      <w:bookmarkStart w:id="260" w:name="_Toc90"/>
      <w:bookmarkEnd w:id="259"/>
      <w:r>
        <w:rPr>
          <w:rtl w:val="true"/>
        </w:rPr>
        <w:t>بيع السلاح من أعداء الدين</w:t>
      </w:r>
      <w:bookmarkEnd w:id="26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تقديم أمر قبل النظر إلى الأخبار ، وهو أنّ موضوع البحث ليس مطلق ما ينطبق عليه عنوان السلاح كائناً ما كان ، بل الموضوع ما كان سلاح الحرب فعلاً ، وهو يختلف بحسب الأزمان ، فربّما كان شيء في زمان ومكان سلاح الحرب دون آخر ، ففي الأزمنة القديمة كانت الأحجار الخاصّة والفلاخن والأخشاب آلة له ، ثمّ انقرض زمانها وخرجت تلك الآلات عن صلاحية السلاح فقامت مقامها أسلحة اُخرى كالسيف والرمح والعمود والنيزك والترس والدرع </w:t>
      </w:r>
    </w:p>
    <w:p>
      <w:pPr>
        <w:pStyle w:val="BookText"/>
        <w:rPr/>
      </w:pPr>
      <w:r>
        <w:rPr>
          <w:rFonts w:ascii="Amiri" w:hAnsi="Amiri" w:eastAsia="Amiri" w:cs="Amiri"/>
          <w:color w:val="111111"/>
          <w:sz w:val="28"/>
          <w:sz w:val="28"/>
          <w:szCs w:val="28"/>
          <w:rtl w:val="true"/>
          <w:lang w:bidi="ar-SA"/>
        </w:rPr>
        <w:t xml:space="preserve">ونحوها ، ثمّ انقرضت هي وقامت مقامها غيرها إلى هذه الأعصار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السلاح في موضوع البحث سلاح اليوم ؛ أي الذي يستعمل في الحروب لا ما انقرضت أيّامه وخرجت عن الاستعمال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 بعض أعداء الدين وأهل الحرب حفظ الأسلحة القديمة لقدمتها وكونها عتيقة ، لا مانع من بيعها وخارج عن موضوع بحث بيع السلاح من أهل الحرب بلا ريب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ليس المراد مطلق أعداء الدين ، فإنّ كلّ مخالف لنا في ديننا فهو عدوّنا في الدين ، لكن موضوع البحث أخصّ منه وهو الدولة المخالفة للإسلام أو الطائفة الكذائية ، فلا ينبغي الكلام في جواز بيعه من يهودي في بلد المسلمين تابع لهم لولا جهات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بيع السلاح من أعداء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السياسية التابعة لمصالح اليوم ، فربّما تقتضي مصالح المسلمين بيع السلاح بل إعطاءه مجّاناً لطائفة من 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مثل ما إذا هجم على حوزة الإسلام عدوّ قويّ لا يمكن دفعه إلاّ بتسليح هذه الطائفة ، وكان المسلمون في أمن منهم ، فيجب دفع الأسلحة إليهم للدفاع عن حوزة الإسلام ، وعلى والي المسلمين أن يؤيّد هذه الطائفة المشركة المدافعة عن حوزة الإسلام بأيّة وسيلة ممكنة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كان المهاجم على دولة الشيعة دولة المخالفين مريدين قتلهم وأسرهم وهدم مذهبهم ، يجب عليهم دفعهم ولو بوسيلة تلك الطائفة المأمونة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كانت الكفّار من تبعة حكومة الإسلام ومن مستملكاتها وأراد الوالي </w:t>
      </w:r>
    </w:p>
    <w:p>
      <w:pPr>
        <w:pStyle w:val="BookText"/>
        <w:rPr/>
      </w:pPr>
      <w:r>
        <w:rPr>
          <w:rFonts w:ascii="Amiri" w:hAnsi="Amiri" w:eastAsia="Amiri" w:cs="Amiri"/>
          <w:color w:val="111111"/>
          <w:sz w:val="28"/>
          <w:sz w:val="28"/>
          <w:szCs w:val="28"/>
          <w:rtl w:val="true"/>
          <w:lang w:bidi="ar-SA"/>
        </w:rPr>
        <w:t xml:space="preserve">دفع أعدائه بهم ، إلى غير ذلك ممّا تقتضي المصالح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تقتضي المصالح ترك بيع السلاح وغيره ممّا يتقوّى به الكفّار مطلقاً ، سواء كان موقع قيام الحرب أو التهيّؤ له أم زمان الهدنة والصلح والمعاقدة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الأوّلين فواضح ، وأمّا في الأخيرة فحيث خيف على حوزة الإسلام ولو آجلاً ، بأن احتمل أنّ تقويتهم موجبة للهجمة على بلاد المسلمين والسلطة على نفوسهم وأعراضهم ، فنفس هذا الاحتمال منجّزة في هذا الأمر الخطير ، لا يجوز التخطّي عنه ، فضلاً عن كون تقويتهم مظنّة له أو في معرضه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ذلك بين الخوف على حوزة الإسلام من غير المسلمين ، أو على حوزة حكومة الشيعة من غيرها ، كانت المخافة عليها من الكفّار أم المخالفين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للشيعة الإمامية حكومة مستقلّة ومملكة كذلك ، كما في هذه الأعصار بحمد اللّه تعالى ، وكانت للمخالف أيضاً حكومة مستقلّة ، وكان زمان هدنة ومعاقدة بين الدولتين ، لكن خيف على المذهب ودولته منهم ولو آجلاً ، لا يجوز تقويتهم ببيع السلاح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من شؤون الحكومة والدولة ، وليس أمراً مضبوطاً ، بل تابع لمصلحة اليوم ومقتضيات الوقت ، فلا الهدنة مطلقاً موضوع حكم لدى العقل ولا المشرك والكافر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والتمسّك بالاُصول والقواعد الظاهرية في مثل المقام في غير محلّه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عدم استفادة شيء زائد ممّا ذكرناه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 إطلاق لبعضها يقتضي خلاف ذلك ؛ أي يقتضي جواز البيع فيما خيف الفساد وهدم أركان الإسلام أو التشيّع أو نحو ذلك ، لا مناص عن تقييده أو طرحه ، أو دلّ </w:t>
      </w:r>
    </w:p>
    <w:p>
      <w:pPr>
        <w:pStyle w:val="BookText"/>
        <w:rPr/>
      </w:pPr>
      <w:r>
        <w:rPr>
          <w:rFonts w:ascii="Amiri" w:hAnsi="Amiri" w:eastAsia="Amiri" w:cs="Amiri"/>
          <w:color w:val="111111"/>
          <w:sz w:val="28"/>
          <w:sz w:val="28"/>
          <w:szCs w:val="28"/>
          <w:rtl w:val="true"/>
          <w:lang w:bidi="ar-SA"/>
        </w:rPr>
        <w:t xml:space="preserve">على عدم الجواز فيما يخاف في تركه عليهما كذلك ، لا بدّ من تقييده وذلك واضح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أبي بكر الحضرمي ، أو صحيحته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عبداللّه علیه السلام فقال له حكم السرّاج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فيمن يحمل إلى الشام السروج وأداتها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 أنتم اليوم بمنزلة أصحاب رسول اللّه‌ صلی الله علیه و آله وسلم  ، إنّكم في هدنة ، فإذا كانت المباينة حرم عليكم أن تحملوا إليهم السروج والسلاح</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هند السرّاج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 إنّي كنت أحمل السلاح إلى أهل الشام فأبيعه منهم ، فلمّا عرّفني اللّه هذا الأمر ضقت بذلك ،</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أحمل إلى أعداء اللّه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احمل إليهم ، فإنّ اللّه يدفع بهم عدوّنا وعدوّكم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الحرب بيننا فلا تحملوا ، فمن حمل إلى عدوّنا سلاحاً يستعينون به علينا فهو مشرك</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الروايتان صارتا منشأً للقول بالتفصيل</w:t>
      </w:r>
      <w:r>
        <w:rPr>
          <w:rStyle w:val="FootnoteAnchor"/>
          <w:rtl w:val="true"/>
        </w:rPr>
        <w:footnoteReference w:id="629"/>
      </w:r>
      <w:r>
        <w:rPr>
          <w:rFonts w:ascii="Amiri" w:hAnsi="Amiri" w:eastAsia="Amiri" w:cs="Amiri"/>
          <w:color w:val="111111"/>
          <w:sz w:val="28"/>
          <w:sz w:val="28"/>
          <w:szCs w:val="28"/>
          <w:rtl w:val="true"/>
          <w:lang w:bidi="ar-SA"/>
        </w:rPr>
        <w:t xml:space="preserve">،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زمان الهدنة وغيره مطلقاً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كذلك في خصوص البيع من المخالفين والأخذ بإطلاق ما تأتي للمنع عن البيع من الكفّار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الروايتين قاصرتان عن إثبات هذا التفصيل في المقامين ؛ لأنّ </w:t>
      </w:r>
    </w:p>
    <w:p>
      <w:pPr>
        <w:pStyle w:val="BookText"/>
        <w:rPr/>
      </w:pPr>
      <w:r>
        <w:rPr>
          <w:rFonts w:ascii="IRNazanin" w:hAnsi="IRNazanin" w:eastAsia="IRNazanin"/>
          <w:color w:val="111111"/>
          <w:sz w:val="28"/>
          <w:sz w:val="28"/>
          <w:szCs w:val="28"/>
          <w:rtl w:val="true"/>
          <w:lang w:bidi="fa-IR"/>
        </w:rPr>
        <w:t xml:space="preserve">السؤال فيهما عن حمل السلاح إلى الشام في عصر الصادقين علیهما السلام ، وهو عصر لم تكن للشيعة الإمامية مملكة مستقلّة وحكومة على حدة ، بل كان المسلمون كافّة تحت حكومة واحدة هي سلطنة خلفاء 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في حمل السلاح إلى الشام خوف على حوزة الشيعة وبلادهم ؛ لعدم الموضوع لهما ، ولهذا نزّلهم منزلة أصحاب رسول اللّه‌ صلی الله علیه و آله وسلم  ؛ حيث إنّ كلّهم جمعيّة واحدة تديرهم حكومة واحدة لم تكن في تقويتها تقوية على خلاف حوزة الشيعة الإمامية وحكومتها ؛ لعدم تشكيلهما ، بل كانت تقوية للمسلمين مقابل الكفّار ، كما أشار إليه في الرواية الثانية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يجوز التعدّي عن مثل تلك الهدنة التي كانت كهدنة في عصر أصحاب الرسول صلی الله علیه و آله وسلم  إلى مطلق الهدنة والسكون، كما إذا كانت لنا سلطنة مستقلّة ودولة على حدة ، ولهم كذلك ، وكانت بيننا هدنة وتعاقد ومع ذلك يكون في تقويتهم فساد أو مظنّته بل احتماله ؛ بحيث خيف على دولة التشيّع وحكومته من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ويستفاد من تعليل الثانية أنّ كلّ مورد يدفع عدوّ قويّ بعدوّ مأمون منه ، يجوز بيع السلاح منه لدفعه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القول بجواز بيع السلاح ونحوه من الكفّار أو المسلمين المخالفين بمجرّد عدم الحرب والهدنة ، بل لا بدّ من النظر إلى مقتضيات اليوم وصلاح المسلمين والملّة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في عصر الصادقين علیهما السلام كان من مقتضيات الزمان جواز دفع السلاح إلى حكومة الإسلام وجنودها ؛ لمدافعة المشركين من غير ترقّب فساد عليه ، وكلّما كان كذلك يجوز بل قد يجب ، فلا يستفاد منهما أمر زائد عمّا هو مقتضى حكم العقل كما تقدّم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علي بن جعفر عن أخيه موسى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حمل المسلمين إلى المشركين التجارة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يحملوا سلاحاً فلا بأس</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الصدوق في وصيّة النبي صلی الله علیه و آله وسلم  لعلي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 كفر باللّه</w:t>
      </w:r>
    </w:p>
    <w:p>
      <w:pPr>
        <w:pStyle w:val="BookText"/>
        <w:rPr/>
      </w:pPr>
      <w:r>
        <w:rPr>
          <w:rFonts w:ascii="Amiri" w:hAnsi="Amiri" w:eastAsia="Amiri" w:cs="Amiri"/>
          <w:color w:val="111111"/>
          <w:sz w:val="28"/>
          <w:sz w:val="28"/>
          <w:szCs w:val="28"/>
          <w:rtl w:val="true"/>
          <w:lang w:bidi="ar-SA"/>
        </w:rPr>
        <w:t>العظيم من هذه الاُمّة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وبائع السلاح من أهل الحرب</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وهما صارتا منشأً لقول جمع بعدم جواز البيع منهم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إطلاقهما لما تقدّم ، ولا لعدم الجواز فيما إذا لم يكن خوف منهم ولا في تقويتهم احتمال ضرر على المسلمين كما لو كانوا تحت سلطة الإسلام بحيث لا يخاف منهم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الحكم فيها معلّق على أهل الحرب ، والظاهر المتفاهم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المستعدّون للحرب ولم تكونوا منقادين للمسلمين وتكون مباينة بينهم وبين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ومعلوم أنّ أهل الحرب ؛ أي الطغاة على المسلمين ، يخاف منهم على حوزة الإسلام أو على نفوس المسلمين أو طائفة منهم ، سيّما مع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 باللّه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يقال ، إلاّ إذا كانت المعصية عظيمة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أن يكون المراد بأهل الحرب مطلق الخارج عن الذمّة كيهودي خرج عنها في بلد المسلمين ، مقطوع الفساد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إمكان المناقشة في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بصدد بيان جواز حمل مال التجارة غير السلاح ، لا بيان عدم جواز بيع السلاح حتّى يؤخذ بإطلاقها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موردها حمل السلاح إلى ممالك المشركين المباينين للمسلمين في الحكومة والسلطنة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والمشركون المجاورون للمسلمين في ذلك العصر ، وهم مورد السؤال بحسب الطبع ، من ألدّ أعداء المسلمين ، وكانت بينهما المخالفة والمباينة ، وفي مثله لا يجوز ؛ سواء كان الحمل إلى الكفّار أو إلى المخالفين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من المباينة التي ذكرت في رواية الحضرمي هي المقابلة للهدنة التي كانت بين أصحاب رسول اللّه‌ صلی الله علیه و آله وسلم  ؛ أي عدم الاجتماع تحت راية واحدة وتمايز الفريقين في الحكومة والسياسة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مثله لا يجوز حمل السلاح لا إلى الكفّار ولا إلى المخالفين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 نّه إذا كانت الهدنة بالمعنى المتقدّم المشار إليه في الرواية ؛ أي نحو هدنة أصحاب رسول اللّه‌ صلی الله علیه و آله وسلم  ، وكان بلاد المشركين تحت راية سلطان الإسلام وحكومة المسلمين ، وكانت في تقويتهم تقوية جنود الإسلام وحدوده ، يجوز البيع منهم ؛ لعدم دليل على المنع ، بل قيام الدليل على الجواز وهو قضيّة اقتضاء صلاح حوزة الإسلام والمسلمين ، بل لا تبعد استفادته من رواية الحضرمي وهند السرّاج</w:t>
      </w:r>
      <w:r>
        <w:rPr>
          <w:rStyle w:val="FootnoteAnchor"/>
          <w:rtl w:val="true"/>
        </w:rPr>
        <w:footnoteReference w:id="632"/>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جواز حمل السلاح هو الهدنة وكون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المسلمين والكفّار بمنزلة أصحاب رسول اللّه‌ صلی الله علیه و آله وسلم  المخلوطين من المنافقين والمؤمنين ، فالميزان هو الهدنة بهذا المعنى من غير خصوصية للمخالفين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فالمتحصّل من الروايات عدم الفرق بين المخالفين وغيرهم في الحكم ، وعدم التفصيل بين الهدنة والمحاربة ، كما نسب إلى المشهور</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زمان الهدنة بالمعنى المتقدّم يجوز البيع مطلقاً من مخالف ومشرك ، كما يجوز فيما إذا كان الطرف مدافعاً عن حوزة الإسلام أو التشيّع مع الأمن منه ، كما هو مفاد رواية السرّاج وموافق لحكم العقل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يجوز في زمان عدم الهدنة بالمعنى المتقدّم وهو زمان البينونة وامتياز الحكومات بعضها من بعض ؛ سواء كانت بينها تصالح وتعاقد أم لا ، من غير فرق بين أن تكون الهدنة كذلك بين أمير المؤمنين علیه السلام ومعاوية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بينه وبين الكفّار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عدم إطلاق لرواية علي بن جعفر والرواية الحاكية عن وصيّة النبي صلی الله علیه و آله وسلم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مقتضى إطلاق رواية السرّاد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أبيع السلاح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تبعه في فتنة</w:t>
      </w:r>
      <w:r>
        <w:rPr>
          <w:rFonts w:eastAsia="IRNazanin" w:cs="IRNazanin"/>
          <w:color w:val="111111"/>
          <w:sz w:val="28"/>
          <w:szCs w:val="28"/>
          <w:rtl w:val="true"/>
          <w:lang w:bidi="fa-IR"/>
        </w:rPr>
        <w:t>»</w:t>
      </w:r>
      <w:r>
        <w:rPr>
          <w:rStyle w:val="FootnoteAnchor"/>
          <w:rtl w:val="true"/>
        </w:rPr>
        <w:footnoteReference w:id="634"/>
      </w:r>
      <w:r>
        <w:rPr>
          <w:rFonts w:ascii="Amiri" w:hAnsi="Amiri" w:eastAsia="Amiri" w:cs="Amiri"/>
          <w:color w:val="111111"/>
          <w:sz w:val="28"/>
          <w:sz w:val="28"/>
          <w:szCs w:val="28"/>
          <w:rtl w:val="true"/>
          <w:lang w:bidi="ar-SA"/>
        </w:rPr>
        <w:t xml:space="preserve">، ورواية الصيقل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صيقل أشتري السيوف وأبيعها من السلطان ، أجائز لي بيعها ؟ 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xml:space="preserve">، جواز البيع في غير مورد الفتنة ، وجوازه من السلطان مطلقاً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لكنّهما إن سلّم إطلاقهما مقيّدتان بحكم العقل القطعي بما إذا لم يخف على حوزة الإسلام أو الشيعة ، وبرواية أبي بكر الحضرمي المفصّلة بين عصر الهدنة، والمباينة بالمعنى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المناقشة في إطلاق الثانية بأنّ الظاهر منها أنّ المراد بالسلطان هو السلطان المخالف ، فموردها مورد الهدنة التي ذكرها في رواية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الاُولى بأنّ الظاهر منها السؤال عن تكليفه الشخصي في ذلك العصر ، ولم يكن البيع من الكفّار المستقلّين في الحكومة مورد ابتلائه ، بل كان بائعاً للسلاح في داخلة مملكة الإسلام ، والمراد بالفتنة هي الفتنة الحاصلة بين طائفتين من المسلمين لا بين المسلمين وغيرهم ، فإنّه لا معنى لعدم الجواز من المسلمين في الصورة ، مع أ نّه في رواية السرّاج صرّح بالجواز في صورة مدافعة المسلمين عن 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إطلاق فيها يشمل جوازه من المشركين المستقلّين في الحكومة أو المخالفين المستقلّين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أ نّه لا يستفاد من الروايات شيء وراء 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الكلام في بطلان المعاملة كالكلام في بطلان معاملة بيع العنب للتخمير أو ممّن يعلم أ نّه يجعله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فالأرجح البطلان كما تقدّم</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قلنا في المقام بالصحّة فلوالي المسلمين نقض البيع حسب ما تناسب المصالح العامّة </w:t>
      </w:r>
      <w:r>
        <w:rPr>
          <w:rFonts w:eastAsia="Amiri" w:cs="Amiri" w:ascii="Amiri" w:hAnsi="Amiri"/>
          <w:color w:val="111111"/>
          <w:sz w:val="28"/>
          <w:szCs w:val="28"/>
          <w:rtl w:val="true"/>
          <w:lang w:bidi="ar-SA"/>
        </w:rPr>
        <w:t xml:space="preserve">. </w:t>
      </w:r>
      <w:bookmarkStart w:id="261" w:name="pg15158_207030"/>
    </w:p>
    <w:p>
      <w:pPr>
        <w:pStyle w:val="Heading3"/>
        <w:numPr>
          <w:ilvl w:val="2"/>
          <w:numId w:val="1"/>
        </w:numPr>
        <w:rPr/>
      </w:pPr>
      <w:bookmarkStart w:id="262" w:name="__RefHeading___Toc1851600_2142443653"/>
      <w:bookmarkStart w:id="263" w:name="_Toc91"/>
      <w:bookmarkEnd w:id="261"/>
      <w:bookmarkEnd w:id="262"/>
      <w:r>
        <w:rPr>
          <w:rtl w:val="true"/>
        </w:rPr>
        <w:t>القسم الثالث في الاكتساب بما لا منفعة فيه معتدّاً بها عند العقلاء</w:t>
      </w:r>
      <w:bookmarkEnd w:id="26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4" w:name="__RefHeading___Toc1851602_2142443653"/>
      <w:bookmarkStart w:id="265" w:name="_Toc92"/>
      <w:bookmarkEnd w:id="264"/>
      <w:r>
        <w:rPr>
          <w:rtl w:val="true"/>
        </w:rPr>
        <w:t>اشارة</w:t>
      </w:r>
      <w:bookmarkEnd w:id="26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15158_207032"/>
      <w:bookmarkStart w:id="267" w:name="pg15158_207032"/>
      <w:bookmarkEnd w:id="267"/>
    </w:p>
    <w:p>
      <w:pPr>
        <w:pStyle w:val="Heading4"/>
        <w:numPr>
          <w:ilvl w:val="3"/>
          <w:numId w:val="1"/>
        </w:numPr>
        <w:rPr/>
      </w:pPr>
      <w:bookmarkStart w:id="268" w:name="pg15158_207032"/>
      <w:bookmarkStart w:id="269" w:name="__RefHeading___Toc1851604_2142443653"/>
      <w:bookmarkStart w:id="270" w:name="_Toc93"/>
      <w:bookmarkEnd w:id="268"/>
      <w:bookmarkEnd w:id="269"/>
      <w:r>
        <w:rPr>
          <w:rtl w:val="true"/>
        </w:rPr>
        <w:t>حرمة الاكتساب بما لا منفعة فيه معتدّاً بها عند العقلاء</w:t>
      </w:r>
      <w:bookmarkEnd w:id="270"/>
    </w:p>
    <w:p>
      <w:pPr>
        <w:pStyle w:val="BookText"/>
        <w:rPr/>
      </w:pPr>
      <w:r>
        <w:rPr>
          <w:rFonts w:ascii="Amiri" w:hAnsi="Amiri" w:eastAsia="Amiri" w:cs="Amiri"/>
          <w:color w:val="111111"/>
          <w:sz w:val="28"/>
          <w:sz w:val="28"/>
          <w:szCs w:val="28"/>
          <w:rtl w:val="true"/>
          <w:lang w:bidi="ar-SA"/>
        </w:rPr>
        <w:t>وجه عدّ هذا القسم في عداد الأنواع المحرّمة</w:t>
      </w:r>
    </w:p>
    <w:p>
      <w:pPr>
        <w:pStyle w:val="BookText"/>
        <w:rPr/>
      </w:pPr>
      <w:r>
        <w:rPr>
          <w:rFonts w:ascii="Amiri" w:hAnsi="Amiri" w:eastAsia="Amiri" w:cs="Amiri"/>
          <w:color w:val="111111"/>
          <w:sz w:val="28"/>
          <w:sz w:val="28"/>
          <w:szCs w:val="28"/>
          <w:rtl w:val="true"/>
          <w:lang w:bidi="ar-SA"/>
        </w:rPr>
        <w:t xml:space="preserve">ولعلّ عدّ هذا القسم في عداد الأنواع المحرّمة ؛ لإمكان التمسّك لحرمة نفس المعاملة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xml:space="preserve">بدعوى شمول الأكل بالباطل لتملّك مال الغير بلا مال في قباله ، فيصدق على بيع البائع ونقله ما لا مالية له إلى غيره بعوض له 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تضمّنه لنقل المال ؛ أي العوض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أكل مال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بالباطل ، فيكون حراماً بمقتضى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وإمكان التمسّك بها لحرمة الثمن لا بعنوان التصرّف في مال الغير بل بعنوان أكل المال بالباطل ، بدعوى ظهورها في أ نّه محرّم بهذا العنوان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المناقشة 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الأكل بالباطل وإن كان كناية ولا يراد به </w:t>
      </w:r>
    </w:p>
    <w:p>
      <w:pPr>
        <w:pStyle w:val="BookText"/>
        <w:rPr/>
      </w:pPr>
      <w:r>
        <w:rPr>
          <w:rFonts w:ascii="Amiri" w:hAnsi="Amiri" w:eastAsia="Amiri" w:cs="Amiri"/>
          <w:color w:val="111111"/>
          <w:sz w:val="28"/>
          <w:sz w:val="28"/>
          <w:szCs w:val="28"/>
          <w:rtl w:val="true"/>
          <w:lang w:bidi="ar-SA"/>
        </w:rPr>
        <w:t xml:space="preserve">الأكل مقابل الشرب ، لكن لا يستفاد منه إلاّ سائر التصرّفات الخارجية نظير الشرب واللبس ، لا مثل إنشاء البيع والصلح ونحوهما ممّا لا يعدّ تصرّفاً عرفاً ، ولا أظنّ أن يلتزم أحد بحرمة إنشاء المعاملة على مال الغير مع عدم رضا صاحبه ، مع وضوح حرمة التصرّف في مال الغير بلا رضاه ، فشمول الآية لمثل التملّك الإنشائي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أنّ الباطل عنوان انتزاعي من العناوين المقابلة للتجارة التي هي حقّ ، مثل القمار والسرقة والخيانة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فأكل المال بالقمار حرام ؛ لكونه أكل مال الغير بلا سببية التجارة التي جعلها الشارع ولو بإمضاء ما لدى العقلاء سبباً للنقل ، فلا يكون حراماً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كونه مال الغير الذي لم ينتقل إليه بسبب شرعي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كونه باطلاً ، بل الباطل عنوان مشير إلى العناوين الاُخر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نفس عنوان القمار حرام مستقلّ ، وأخذ الثمن في مقابل ما لا منفعة له حرام من جهة كونه تصرّفاً فيه بلا سبب ناقل ، لا لانطباق عنوان آخر عليه حتّى يكون محرّماً بعنوانين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يتمسّك للتحريم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إنّ ظاهر صدرها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تفسير التجارات في جميع البيوع ووجوه الحلال من وجه التجارات التي يجوز للبائع أن يبيع ممّا لا يجوز له ، وكذا المشتري الذي يجوز له شراؤه ممّا لا يجوز ، فكلّ مأمور به </w:t>
      </w:r>
      <w:r>
        <w:rPr>
          <w:rFonts w:eastAsia="Amiri" w:cs="Amiri" w:ascii="Amiri" w:hAnsi="Amiri"/>
          <w:color w:val="111111"/>
          <w:sz w:val="28"/>
          <w:szCs w:val="28"/>
          <w:rtl w:val="true"/>
          <w:lang w:bidi="ar-SA"/>
        </w:rPr>
        <w:t>. .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حصر جميع الأقسام المحلّلة في الضابط الذي يذكره بعد ذلك للمحلّلات ، وما لا منفعة فيه خارج عنه؛ لعدم صلاح الناس فيه ، فإذا خرج منه دخل في المحرّم بمقتضى ما مرّ من ظهور صدرها في عدم خروج شيء من أقسام المحلّل عن الضابط</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متعرّضة لوجوه التجارات العقلائية المتعارفة بين الناس كالأمثلة المذكورة فيها في شقّي الصحّة والفساد ، وليست متعرّضة لما لا صلاح ولا فساد فيها ، كما هو مفروض المقام ؛ لعدم إقدام العقلاء على مثلها ، فلم تكن للتعرّض لها فائدة معتدّ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قوله في صدرها سأله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جهات معايش العباد التي فيها الاكتساب والتعامل بينهم ووجوه النفقات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جميع المعايش كلّها من وجوه المعاملات فيما بينهم ممّا يكون لهم فيه المكاسب أربع جهات </w:t>
      </w:r>
      <w:r>
        <w:rPr>
          <w:rFonts w:eastAsia="Amiri" w:cs="Amiri" w:ascii="Amiri" w:hAnsi="Amiri"/>
          <w:color w:val="111111"/>
          <w:sz w:val="28"/>
          <w:szCs w:val="28"/>
          <w:rtl w:val="true"/>
          <w:lang w:bidi="ar-SA"/>
        </w:rPr>
        <w:t>. .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فهي متعرّضة لما فيه الصلاح أو فيه الفساد محضاً أو من جهة من الجهات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إعطاء الضابط ذكر جميع المعاملات ، وإنّما ذكر ضابط المحلّل ، وما كان في مقابله هو محرّم ، والضابط المذكور في المحرّم مفهوم الضابط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 مصداق المتعارف للمفهوم وترك ما لا يتعارف من المعاملات وما لا منفعة فيه عرفاً أصلاً ؛ إذ عدم المنفعة يكفي في ردعهم عنها وعدم إقدامهم عليها ، فلم يكن كثير اهتمام في ذكرها والردع عنها ، بخلاف ما له </w:t>
      </w:r>
      <w:bookmarkStart w:id="271" w:name="pg15158_207035"/>
    </w:p>
    <w:p>
      <w:pPr>
        <w:pStyle w:val="BookText"/>
        <w:rPr/>
      </w:pPr>
      <w:bookmarkEnd w:id="271"/>
      <w:r>
        <w:rPr>
          <w:rFonts w:ascii="Amiri" w:hAnsi="Amiri" w:eastAsia="Amiri" w:cs="Amiri"/>
          <w:color w:val="111111"/>
          <w:sz w:val="28"/>
          <w:sz w:val="28"/>
          <w:szCs w:val="28"/>
          <w:rtl w:val="true"/>
          <w:lang w:bidi="ar-SA"/>
        </w:rPr>
        <w:t xml:space="preserve">منفعة عرفية ولو محرّمة ؛ لإقدام الناس عليها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الرواية شيء يمكن أن يدّعى أنّ له مفهوماً ، بل ذكر فيها أوّلاً بنحو الإجمال أنّ المكاسب منها حرام ومنها حلال ، ثمّ ذكر تفسير التجارات بنحو الإجمال أيضاً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وتفسير التجارات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مقدّمة لبيان التفصيل ، وأشار إلى المحلّل والمحرّم بحيث فهم منه أ نّه بصدد بيان كلا الضابطين ، وفي مثله لم يكد أن يكون الكلام دالاًّ على المفهوم لو فرضت دلالته عليه في سائر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النكتة التي صارت سبباً لترك ذكر ما لا منفعة له في قسم المحرّمات ، وهي كفاية عدم الداعي للناس في إيقاع هذا النحو من المعاملة في ردعهم عنها ، يمكن أن تكون نكتة لعدم التعرّض لها في الضابطين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تعرّضنا لما ذكر مع عدم صلوح الرواية لإثبات حكم ؛ لتعرّض بعض أعيان المدقّقين لها بما لا مزيد عليه</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كلامه الشريف موارد نقض وإبرام تركناها مخافة التطويل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أنّ عدّ هذا النوع في المقام لا يخلو من وجه ، وإن كان الأقوى ما عرفت </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851606_2142443653"/>
      <w:bookmarkStart w:id="273" w:name="_Toc94"/>
      <w:bookmarkEnd w:id="272"/>
      <w:r>
        <w:rPr>
          <w:rtl w:val="true"/>
        </w:rPr>
        <w:t>صور ما لا منفعة فيه</w:t>
      </w:r>
      <w:bookmarkEnd w:id="273"/>
    </w:p>
    <w:p>
      <w:pPr>
        <w:pStyle w:val="BookText"/>
        <w:rPr/>
      </w:pPr>
      <w:r>
        <w:rPr>
          <w:rFonts w:ascii="Amiri" w:hAnsi="Amiri" w:eastAsia="Amiri" w:cs="Amiri"/>
          <w:color w:val="111111"/>
          <w:sz w:val="28"/>
          <w:sz w:val="28"/>
          <w:szCs w:val="28"/>
          <w:rtl w:val="true"/>
          <w:lang w:bidi="ar-SA"/>
        </w:rPr>
        <w:t xml:space="preserve">ثمّ إنّ ما لا منفعة معتدّ بها لدى العقلاء على أنحاء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منفعة له مطلقاً لا عاجلاً ولا آجلاً ، ولا يرجى منه المنفعة كذلك ، </w:t>
      </w:r>
      <w:bookmarkStart w:id="274" w:name="pg15158_207036"/>
    </w:p>
    <w:p>
      <w:pPr>
        <w:pStyle w:val="BookText"/>
        <w:rPr/>
      </w:pPr>
      <w:bookmarkEnd w:id="274"/>
      <w:r>
        <w:rPr>
          <w:rFonts w:ascii="Amiri" w:hAnsi="Amiri" w:eastAsia="Amiri" w:cs="Amiri"/>
          <w:color w:val="111111"/>
          <w:sz w:val="28"/>
          <w:sz w:val="28"/>
          <w:szCs w:val="28"/>
          <w:rtl w:val="true"/>
          <w:lang w:bidi="ar-SA"/>
        </w:rPr>
        <w:t xml:space="preserve">ولا يكون في نفس المعاملة به منفعة عقلائية ، أو غرض عقلائي نوعي أو شخصي ، كما لو توهّم المتعاملان منفعة فيما لا نفع له فأوقعا المعاملة ثمّ انكشف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منفعة فيه مطلقاً ، لكن كان للمشتري غرض عقلائي نوعي أو شخصي في اشترائه ، كما لو هجمت الهوامّ المؤذية بالزراعات على مملكة فتعلّق غرض الوالي بدفعها من ناحية اشترائها بثمن غالٍ تشويقاً إلى جمعها ، أو على مزرعة شخصية فأراد صاحبها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منفعة لا يعتدّ بها العقلاء ، فحينئذٍ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بحيث يعدّ بلا منفعة لديهم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له منفعة لكنّها نادرة قلّما يتّفق الانتفاع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يكون عدم النفع لخسّته كالخنفساء مثلاً ، أو لقلّته كحبّة من الحنطة؛ فإنّ لها منفعة بمقدارها لكن لا تعدّ منفعة عقلائية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له منفعة عقلائية لكن ابتذاله وكثرته جعله كما لا منفعة له ولا يقابل لذلك بالمال ، كماء الشطوط لسكّان سواحلها </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851608_2142443653"/>
      <w:bookmarkStart w:id="276" w:name="_Toc95"/>
      <w:bookmarkEnd w:id="275"/>
      <w:r>
        <w:rPr>
          <w:rtl w:val="true"/>
        </w:rPr>
        <w:t>حكم الصورة الاُولى ممّا لا منفعة فيه</w:t>
      </w:r>
      <w:bookmarkEnd w:id="276"/>
    </w:p>
    <w:p>
      <w:pPr>
        <w:pStyle w:val="BookText"/>
        <w:rPr/>
      </w:pPr>
      <w:r>
        <w:rPr>
          <w:rFonts w:ascii="Amiri" w:hAnsi="Amiri" w:eastAsia="Amiri" w:cs="Amiri"/>
          <w:color w:val="111111"/>
          <w:sz w:val="28"/>
          <w:sz w:val="28"/>
          <w:szCs w:val="28"/>
          <w:rtl w:val="true"/>
          <w:lang w:bidi="ar-SA"/>
        </w:rPr>
        <w:t xml:space="preserve">فعلى أوّل الفروض فإن كان عدم المنفعة لخسّته فلا ينبغي الإشكال في بطلانها ، وهو المتيقّن من معقد الإجماع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مضافاً إلى ذلك ، عدم صدق واحد من عناوين المعاملات عليها ؛ لأنّ حقيقة المعاوضة ونحوها كالهبة مجّاناً متقوّمة بتبديل الإضافات الخاصّة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فالبيع عبارة عن مبادلة مال بمال ، أو عين بعين لا مطلقاً؛ فإنّ المبادلة المطلقة</w:t>
      </w:r>
    </w:p>
    <w:p>
      <w:pPr>
        <w:pStyle w:val="BookText"/>
        <w:rPr/>
      </w:pPr>
      <w:r>
        <w:rPr>
          <w:rFonts w:ascii="Amiri" w:hAnsi="Amiri" w:eastAsia="Amiri" w:cs="Amiri"/>
          <w:color w:val="111111"/>
          <w:sz w:val="28"/>
          <w:sz w:val="28"/>
          <w:szCs w:val="28"/>
          <w:rtl w:val="true"/>
          <w:lang w:bidi="ar-SA"/>
        </w:rPr>
        <w:t xml:space="preserve">لا معنى لها، ولا في ذاتهما أو أوصافهما الحقيقية ولا في مطلق الإضافات ، بل في إضافة خاصّة هي إضافة الملكية أو الأعمّ منها ومن إضافة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والهبة عبارة عن تمليك عين مجّاناً أو مقابل تمليك عين مثلاً ، وحقيقتها أيضاً نقل الإضافة الخاصّة أو تبديلها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التفصيل في مظانّه إن شاء اللّه تعالى</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أيضاً بيان الحال في بيع الكلّي في الذمّة ممّا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قبيل التبادل في إضافة الملكية</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قلنا بأنّ البيع تمليك عين بعوض وأمثال ذلك ، لا يوجب فرقاً فيما نحن بصدده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عدم اعتبار العقلاء الملكية أو الاختصاص لشيء بالنسبة إلى شخص ، لا يمكن تحقّق العناوين المتقوّمة بهما وهو واضح ، ولا ريب في أنّ اعتبار الملكية وكذا الاختصاص لدى العقلاء ليس جزافاً وعبثاً بل للاعتبارات العقلائية كلّها مناشئ ومصالح نظامية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فاعتبار الملكية والاختصاص فيما لا ينتفع به ولا يرجى هي منه رأساً ولا يكون مورداً لغرض عقلائي نوعي أو شخصي ، لغو صرف وعبث محض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 البرغوث والقمّل ليس ملكاً لأحد ، ولا لأحد حقّ اختصاص متعلّق به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للإنسان حقّ اختصاص بالنسبة إلى فضلاته ، ليس وجيهاً على إطلاقه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فالنخامة الملقاة على الأرض ليست ملكاً لصاحبها ، ولا له حقّ اختصاص بها ، أعرض عنها أم لم يعرض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الملكية وحقّ الاختصاص تابع لجهة من جهات المصالح ، وما لا نفع فيه مطلقاً ولا غرض لأحد في اقتنائه لا يعتبر ملكاً ولا مختصّاً بأحد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فأساس المعاملات المتقوّمة بالإضافتين منهدم رأساً ، بل الظاهر عدم صدق شيء من عناوين المعاوضات والمعاملات مع فقد المالية مطلقاً ، فإعطاء قمّل وأخذ برغوث ليس بيعاً ولا معاقدة ولا تجارة لدى العرف والعقلاء ؛ لما عرفت من عدم مناط الاعتبار فيما لا نفع ولا مالية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البيع عبارة عن تبديل عين بعين ، من غير اعتبار المالية فيهما </w:t>
      </w:r>
      <w:r>
        <w:rPr>
          <w:rStyle w:val="FootnoteAnchor"/>
          <w:rtl w:val="true"/>
        </w:rPr>
        <w:footnoteReference w:id="646"/>
      </w:r>
      <w:r>
        <w:rPr>
          <w:rFonts w:ascii="Amiri" w:hAnsi="Amiri" w:eastAsia="Amiri" w:cs="Amiri"/>
          <w:color w:val="111111"/>
          <w:sz w:val="28"/>
          <w:sz w:val="28"/>
          <w:szCs w:val="28"/>
          <w:rtl w:val="true"/>
          <w:lang w:bidi="ar-SA"/>
        </w:rPr>
        <w:t xml:space="preserve">، ساقط لا ينبغي أن يصغى إليه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توهّم الافتراق بين البيع وبين العقد والتجارة 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لو لم يصدق مع عدم المالية لكن صدق التجارة ، والعقد لا يتوقّف عليها فيكفي في تصحيح المعاملة التمسّك بدليل نفوذهما </w:t>
      </w:r>
      <w:r>
        <w:rPr>
          <w:rStyle w:val="FootnoteAnchor"/>
          <w:rtl w:val="true"/>
        </w:rPr>
        <w:footnoteReference w:id="647"/>
      </w:r>
      <w:r>
        <w:rPr>
          <w:rFonts w:ascii="Amiri" w:hAnsi="Amiri" w:eastAsia="Amiri" w:cs="Amiri"/>
          <w:color w:val="111111"/>
          <w:sz w:val="28"/>
          <w:sz w:val="28"/>
          <w:szCs w:val="28"/>
          <w:rtl w:val="true"/>
          <w:lang w:bidi="ar-SA"/>
        </w:rPr>
        <w:t xml:space="preserve">، غير وجيه ؛ لاشتراك الجميع في عدم الصدق وفي عدم المناط لاعتبار العقلاء ؛ ولأنّ المعاوضة بين العينين لو صدقت عليها عناوين البيع والصلح والإجارة ونحوها ، صدقت عليها التجارة والعقد ، ومع عدم صدق شيء من العناوين الخاصّة كيف تصدقان عليها ، بل عدم صدق التجارة ليس بأخفى من عدم صدق البيع ، بل لو فرض الشكّ في الصدق </w:t>
      </w:r>
    </w:p>
    <w:p>
      <w:pPr>
        <w:pStyle w:val="BookText"/>
        <w:rPr/>
      </w:pPr>
      <w:r>
        <w:rPr>
          <w:rFonts w:ascii="Amiri" w:hAnsi="Amiri" w:eastAsia="Amiri" w:cs="Amiri"/>
          <w:color w:val="111111"/>
          <w:sz w:val="28"/>
          <w:sz w:val="28"/>
          <w:szCs w:val="28"/>
          <w:rtl w:val="true"/>
          <w:lang w:bidi="ar-SA"/>
        </w:rPr>
        <w:t xml:space="preserve">كفى في عدم جواز التمسّك بالأدلّة أو ببناء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جواز التمسّك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تَأْكُلُوا أَمْوَالَكُمْ بَيْنَكُمْ بِالْبَاطِلِ </w:t>
      </w:r>
      <w:r>
        <w:rPr>
          <w:rFonts w:eastAsia="Amiri" w:cs="Amiri" w:ascii="Amiri" w:hAnsi="Amiri"/>
          <w:color w:val="111111"/>
          <w:sz w:val="28"/>
          <w:szCs w:val="28"/>
          <w:rtl w:val="true"/>
          <w:lang w:bidi="ar-SA"/>
        </w:rPr>
        <w:t>. . .(</w:t>
      </w:r>
      <w:r>
        <w:rPr>
          <w:rStyle w:val="FootnoteAnchor"/>
          <w:rtl w:val="true"/>
        </w:rPr>
        <w:footnoteReference w:id="648"/>
      </w:r>
      <w:r>
        <w:rPr>
          <w:rFonts w:ascii="Amiri" w:hAnsi="Amiri" w:eastAsia="Amiri" w:cs="Amiri"/>
          <w:color w:val="111111"/>
          <w:sz w:val="28"/>
          <w:sz w:val="28"/>
          <w:szCs w:val="28"/>
          <w:rtl w:val="true"/>
          <w:lang w:bidi="ar-SA"/>
        </w:rPr>
        <w:t xml:space="preserve">فإنّ الظاهر منه أنّ الأكل بغير التجارة مطلقاً منهيّ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فالأمر دائر بين الأمرين لا ثالث لهما ، فإذا لم تصدق على موردٍ التجارة عن تراضٍ يدخل في مقابله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شكّ في صدق أكل المال بالباطل في مورد لكن علم عدم صدق تجارة عن تراض فيه ، يرفع الشكّ عنه وينسلك في الأكل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لو فرض الشكّ في صدق التجارة وعلم أ نّه أكل المال بالباطل يرفع الشكّ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فالعلم بكلّ طرف إثباتاً ونفياً رافع للشكّ عن الآخر كذلك ، كما هو الشأن في المنفصلتين الحقيقيتين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فرض صدق الأكل بالباطل وصدق التجارة عن تراضٍ في مورد ، يقع التعارض بين صدر الآية وذيلها بناءً على دلالتهما على الحكم الوضعي ؛ أي بطلان المعاملة وصحّتها ، ولا ترجيح لأحدهما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على البطلان بسفهية المعاملة</w:t>
      </w:r>
      <w:r>
        <w:rPr>
          <w:rStyle w:val="FootnoteAnchor"/>
          <w:rtl w:val="true"/>
        </w:rPr>
        <w:footnoteReference w:id="649"/>
      </w:r>
      <w:r>
        <w:rPr>
          <w:rFonts w:ascii="Amiri" w:hAnsi="Amiri" w:eastAsia="Amiri" w:cs="Amiri"/>
          <w:color w:val="111111"/>
          <w:sz w:val="28"/>
          <w:sz w:val="28"/>
          <w:szCs w:val="28"/>
          <w:rtl w:val="true"/>
          <w:lang w:bidi="ar-SA"/>
        </w:rPr>
        <w:t xml:space="preserve">فغير وجيه ؛ لأنّ البطلان من ناحيتها على فرض القول به ، إنّما هو بعد فرض صدق المعاملة ، وأمّا مع عدم الصدق كما في المقام فلا موضوع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الكلام في ذلك في بعض الأقسام الآتية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ويلحق بما تقدّم في البطلان ما لا منفعة عقلائية له ولم يتعلّق به غرض </w:t>
      </w:r>
    </w:p>
    <w:p>
      <w:pPr>
        <w:pStyle w:val="BookText"/>
        <w:rPr/>
      </w:pPr>
      <w:r>
        <w:rPr>
          <w:rFonts w:ascii="Amiri" w:hAnsi="Amiri" w:eastAsia="Amiri" w:cs="Amiri"/>
          <w:color w:val="111111"/>
          <w:sz w:val="28"/>
          <w:sz w:val="28"/>
          <w:szCs w:val="28"/>
          <w:rtl w:val="true"/>
          <w:lang w:bidi="ar-SA"/>
        </w:rPr>
        <w:t xml:space="preserve">عقلائي ، كما لو اشترى الزيز لاستماع صوته والجُعَل لرؤية تلاعبه مع العذرة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المعاملة سفهية غير عقلائية، والأدلّة العامّة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w:t>
      </w:r>
    </w:p>
    <w:p>
      <w:pPr>
        <w:pStyle w:val="BookText"/>
        <w:rPr/>
      </w:pPr>
      <w:r>
        <w:rPr>
          <w:rFonts w:ascii="Amiri" w:hAnsi="Amiri" w:eastAsia="Amiri" w:cs="Amiri"/>
          <w:color w:val="111111"/>
          <w:sz w:val="28"/>
          <w:sz w:val="28"/>
          <w:szCs w:val="28"/>
          <w:rtl w:val="true"/>
          <w:lang w:bidi="ar-SA"/>
        </w:rPr>
        <w:t>بِالْعُقُودِ</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xml:space="preserve">غير شاملة لها ؛ إمّا لعدم صدق تلك العناوين عليها كما لا يبعد ومع الشكّ فالمرجع أصل الفساد ، أو لانصرافها عنها فإنّها أدلّة إمضائية لما لدى العقلاء وليست بصدد تأسيس أمر زائد على ذلك ، سيّما مثل الأعمال السفهية التي هي اُضحوكة العقلاء وتتنفّر عنها الطباع السليمة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فتوهّم شمولها لها </w:t>
      </w:r>
      <w:r>
        <w:rPr>
          <w:rStyle w:val="FootnoteAnchor"/>
          <w:rtl w:val="true"/>
        </w:rPr>
        <w:footnoteReference w:id="653"/>
      </w:r>
      <w:r>
        <w:rPr>
          <w:rFonts w:ascii="Amiri" w:hAnsi="Amiri" w:eastAsia="Amiri" w:cs="Amiri"/>
          <w:color w:val="111111"/>
          <w:sz w:val="28"/>
          <w:sz w:val="28"/>
          <w:szCs w:val="28"/>
          <w:rtl w:val="true"/>
          <w:lang w:bidi="ar-SA"/>
        </w:rPr>
        <w:t xml:space="preserve">فاسد جدّاً ، كتوهّم عدم الاحتياج إلى الدليل اللفظي في الإمضاء ، بل يكفي عدم الردع في الكشف عنه ، وذلك لأنّ المفروض أ نّها ليست عقلائية ، فلا تكون متعارفة ، ولم تكن كذلك بمرأى ومنظر من الشارع حتّى يستكشف الإمضاء من عدم الردع ، بل لو فرض تعارف أمر سفهي بين أراذل الناس لا يمكن كشف رضا الشارع عنه لو لم يصل إلينا الردع ؛ لغاية بُعد رضاه بما هو سفهي تنبو عنه الطباع والعقول السليمة وتتنفّرعنه العقلاء مع كونه مربّي العقول ومتمّم المكارم ، بل لا يبعد صدق الأكل بالباطل على مثلها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ويلحق به أيضاً بيع ما لا مالية له لقلّته كحبّة من خردل ، أو لكثرته وشيوعه كالثلج في الشتاء مع عدم تعلّق غرض عقلائي بالمعاملة ، وذلك أيضاً لسفهيتها </w:t>
      </w:r>
      <w:r>
        <w:rPr>
          <w:rFonts w:eastAsia="Amiri" w:cs="Amiri" w:ascii="Amiri" w:hAnsi="Amiri"/>
          <w:color w:val="111111"/>
          <w:sz w:val="28"/>
          <w:szCs w:val="28"/>
          <w:rtl w:val="true"/>
          <w:lang w:bidi="ar-SA"/>
        </w:rPr>
        <w:t xml:space="preserve">. </w:t>
      </w:r>
      <w:bookmarkStart w:id="277" w:name="pg15158_207041"/>
    </w:p>
    <w:p>
      <w:pPr>
        <w:pStyle w:val="BookText"/>
        <w:rPr/>
      </w:pPr>
      <w:bookmarkEnd w:id="277"/>
      <w:r>
        <w:rPr>
          <w:rFonts w:ascii="Amiri" w:hAnsi="Amiri" w:eastAsia="Amiri" w:cs="Amiri"/>
          <w:color w:val="111111"/>
          <w:sz w:val="28"/>
          <w:sz w:val="28"/>
          <w:szCs w:val="28"/>
          <w:rtl w:val="true"/>
          <w:lang w:bidi="ar-SA"/>
        </w:rPr>
        <w:t>فلو عاوض منّاً من ثلج بمنّ منه في الشتاء ، أو منّاً من ماء بمنّ من تراب في</w:t>
      </w:r>
    </w:p>
    <w:p>
      <w:pPr>
        <w:pStyle w:val="BookText"/>
        <w:rPr/>
      </w:pPr>
      <w:r>
        <w:rPr>
          <w:rFonts w:ascii="Amiri" w:hAnsi="Amiri" w:eastAsia="Amiri" w:cs="Amiri"/>
          <w:color w:val="111111"/>
          <w:sz w:val="28"/>
          <w:sz w:val="28"/>
          <w:szCs w:val="28"/>
          <w:rtl w:val="true"/>
          <w:lang w:bidi="ar-SA"/>
        </w:rPr>
        <w:t xml:space="preserve">ساحل البحر مع عدم غرض عقلائي خارجي ، يعدّ سفهاً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عدم صدق عنوان المعاملة عليها ولا أقلّ من الشكّ فيه ، ولو نوقش فيه فلا ريب في انصراف الأدلّة عنها بما تقدّم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به أيضاً ما له منفعة نادرة جدّاً بحيث تعدّ لدى العقلاء كلا منفعة لندوره ، كما لو سمع أحد أنّ في أقصى البلاد الإفريقية حيّة كان علاج لذعه لذع العقرب فاشترى عقرباً وحفظه لذلك مع عدم احتمال ابتلائه به ، فإنّ المعاملة سفهية 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فالميزان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عقلائية المعاملة والخروج عن السفهية ، سواء كانت متعلّقة لغرض شخص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ابتلي بمرض لا يبتلى به غيره وكان دواؤه شيئاً لا يرغب فيه أحد ، فإنّ اشتراءه لغرضه عقلائي، والمعاملة من أوضح مصاديق المعاملات العقلائية وتشملها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لأغراض عقلائية نادرة لا بمثل الأمثلة المتقدّمة </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851610_2142443653"/>
      <w:bookmarkStart w:id="279" w:name="_Toc96"/>
      <w:bookmarkEnd w:id="278"/>
      <w:r>
        <w:rPr>
          <w:rtl w:val="true"/>
        </w:rPr>
        <w:t>حكم الصورة الثانية وبيان الضابط الكلّي</w:t>
      </w:r>
      <w:bookmarkEnd w:id="279"/>
    </w:p>
    <w:p>
      <w:pPr>
        <w:pStyle w:val="BookText"/>
        <w:rPr/>
      </w:pPr>
      <w:r>
        <w:rPr>
          <w:rFonts w:ascii="Amiri" w:hAnsi="Amiri" w:eastAsia="Amiri" w:cs="Amiri"/>
          <w:color w:val="111111"/>
          <w:sz w:val="28"/>
          <w:sz w:val="28"/>
          <w:szCs w:val="28"/>
          <w:rtl w:val="true"/>
          <w:lang w:bidi="ar-SA"/>
        </w:rPr>
        <w:t xml:space="preserve">وأمّا الثانية من الصور المتقدّمة ؛ أي ما لا تكون له منفعة مطلقاً أو عقلائية لكن كان في المعاملة غرض عقلائي موجب لاشترائه كالمثال المتقدّم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صحّتها وعقلائيتها ؛ وذلك لأنّ مالية الشيء تابعة وجوداً ومرتبة للعرضة والتقاضا ، فما لا منفعة له مطلقاً لو تعلّق باشترائه وحفظه أو اشترائه وإعدامه غرض سياسي أو غيره من الأغراض العقلائية فصار ذلك منشأً للرغبة </w:t>
      </w:r>
    </w:p>
    <w:p>
      <w:pPr>
        <w:pStyle w:val="BookText"/>
        <w:rPr/>
      </w:pPr>
      <w:r>
        <w:rPr>
          <w:rFonts w:ascii="Amiri" w:hAnsi="Amiri" w:eastAsia="Amiri" w:cs="Amiri"/>
          <w:color w:val="111111"/>
          <w:sz w:val="28"/>
          <w:sz w:val="28"/>
          <w:szCs w:val="28"/>
          <w:rtl w:val="true"/>
          <w:lang w:bidi="ar-SA"/>
        </w:rPr>
        <w:t xml:space="preserve">إلى اشترائه ، أوجبت تلك الرغبة وذلك التقاضا حدوث المالية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تعلّق</w:t>
      </w:r>
    </w:p>
    <w:p>
      <w:pPr>
        <w:pStyle w:val="BookText"/>
        <w:rPr/>
      </w:pPr>
      <w:r>
        <w:rPr>
          <w:rFonts w:ascii="Amiri" w:hAnsi="Amiri" w:eastAsia="Amiri" w:cs="Amiri"/>
          <w:color w:val="111111"/>
          <w:sz w:val="28"/>
          <w:sz w:val="28"/>
          <w:szCs w:val="28"/>
          <w:rtl w:val="true"/>
          <w:lang w:bidi="ar-SA"/>
        </w:rPr>
        <w:t xml:space="preserve">غرض دولة باشتراء ما لا منفعة له من ناحية من النواحي لأغراض سياسية فأوجدت بقدرتها السوق لذلك المتاع ، صار ذا قيمة لدى العقلاء من غير لحاظ أنّ اشتراءه بأيّ غرض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صار متموّلاً بمجرّد حدوث التقاضا ، ويخرج المتموّل عن كونه كذلك بمعدوميته مطلقاً ، كما أنّ مراتب التموّل أيضاً تابعة لكثرة العرضة أو التقاضا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ينبغي الإشكال في صحّة تلك المعاملات ، وصدق البيع والتجارة والعقد عليها ، وكذا صدق مبادلة مال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بالبطلان يحتاج إلى دليل هو مفقود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إدراجها ولو بإلغاء الخصوصية في صدر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وإن تعرّضت للأشياء التي فيها صلاح العباد أو وجه من وجوه صلاحهم في معاشهم وحياتهم ، 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الاشتراء لدفع المضارّ أو جلب منافع مشروعة غير كامنة في نفس المتعلّقات داخل فيها بإلغاء الخصوصية أو فهم العرف علّة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نوقش فيه فالرواية ساكتة عنه ، ولا شبهة في عدم شمول ذيلها لمثل تلك المعاملة المترتّب عليها دفع مضارّ عن العباد أو جلب منافع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تقدّم ضابط الصحّة والفساد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w:t>
      </w:r>
      <w:r>
        <w:rPr>
          <w:rStyle w:val="FootnoteAnchor"/>
          <w:rtl w:val="true"/>
        </w:rPr>
        <w:footnoteReference w:id="654"/>
      </w:r>
      <w:r>
        <w:rPr>
          <w:rFonts w:ascii="Amiri" w:hAnsi="Amiri" w:eastAsia="Amiri" w:cs="Amiri"/>
          <w:color w:val="111111"/>
          <w:sz w:val="28"/>
          <w:sz w:val="28"/>
          <w:szCs w:val="28"/>
          <w:rtl w:val="true"/>
          <w:lang w:bidi="ar-SA"/>
        </w:rPr>
        <w:t xml:space="preserve">باعتبار كون المنفعة غير نادرة ، ولو مع كون الندرة بحيث </w:t>
      </w:r>
    </w:p>
    <w:p>
      <w:pPr>
        <w:pStyle w:val="BookText"/>
        <w:rPr/>
      </w:pPr>
      <w:r>
        <w:rPr>
          <w:rFonts w:ascii="Amiri" w:hAnsi="Amiri" w:eastAsia="Amiri" w:cs="Amiri"/>
          <w:color w:val="111111"/>
          <w:sz w:val="28"/>
          <w:sz w:val="28"/>
          <w:szCs w:val="28"/>
          <w:rtl w:val="true"/>
          <w:lang w:bidi="ar-SA"/>
        </w:rPr>
        <w:t>لم تخرج بها المعاملة عن العقلائية ، بدعوى اعتباره شرعاً ، إمّا لقيام الإجماع</w:t>
      </w:r>
    </w:p>
    <w:p>
      <w:pPr>
        <w:pStyle w:val="BookText"/>
        <w:rPr/>
      </w:pPr>
      <w:r>
        <w:rPr>
          <w:rFonts w:ascii="IRNazanin" w:hAnsi="IRNazanin" w:eastAsia="IRNazanin"/>
          <w:color w:val="111111"/>
          <w:sz w:val="28"/>
          <w:sz w:val="28"/>
          <w:szCs w:val="28"/>
          <w:rtl w:val="true"/>
          <w:lang w:bidi="fa-IR"/>
        </w:rPr>
        <w:t xml:space="preserve">عليه ، أو لدلالة بعض الروايات ، كما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عوالي اللآلي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اليهود حرّمت عليهم الشحوم فباعوها ، وأكلوا ثمنها ، وإنّ اللّه تعالى إذا حرّم على قوم أكل شيء ، حرّم عليهم ثمنه</w:t>
      </w:r>
      <w:r>
        <w:rPr>
          <w:rFonts w:eastAsia="IRNazanin" w:cs="IRNazanin"/>
          <w:color w:val="111111"/>
          <w:sz w:val="28"/>
          <w:szCs w:val="28"/>
          <w:rtl w:val="true"/>
          <w:lang w:bidi="fa-IR"/>
        </w:rPr>
        <w:t>»</w:t>
      </w:r>
      <w:r>
        <w:rPr>
          <w:rStyle w:val="FootnoteAnchor"/>
          <w:rtl w:val="true"/>
        </w:rPr>
        <w:footnoteReference w:id="655"/>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منها </w:t>
      </w:r>
      <w:r>
        <w:rPr>
          <w:rStyle w:val="FootnoteAnchor"/>
          <w:rtl w:val="true"/>
        </w:rPr>
        <w:footnoteReference w:id="656"/>
      </w:r>
      <w:r>
        <w:rPr>
          <w:rFonts w:ascii="IRNazanin" w:hAnsi="IRNazanin" w:eastAsia="IRNazanin"/>
          <w:color w:val="111111"/>
          <w:sz w:val="28"/>
          <w:sz w:val="28"/>
          <w:szCs w:val="28"/>
          <w:rtl w:val="true"/>
          <w:lang w:bidi="fa-IR"/>
        </w:rPr>
        <w:t xml:space="preserve">، وعنه صلی الله علیه و آله وسلم أيضاً في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 اللّه اليهود ، إنّ اللّه لمّا حرّم عليهم شحومها جملوه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أذابوه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باعوه وأكلوا ثمنه</w:t>
      </w:r>
      <w:r>
        <w:rPr>
          <w:rFonts w:eastAsia="IRNazanin" w:cs="IRNazanin"/>
          <w:color w:val="111111"/>
          <w:sz w:val="28"/>
          <w:szCs w:val="28"/>
          <w:rtl w:val="true"/>
          <w:lang w:bidi="fa-IR"/>
        </w:rPr>
        <w:t>»</w:t>
      </w:r>
      <w:r>
        <w:rPr>
          <w:rStyle w:val="FootnoteAnchor"/>
          <w:rtl w:val="true"/>
        </w:rPr>
        <w:footnoteReference w:id="657"/>
      </w:r>
      <w:r>
        <w:rPr>
          <w:rFonts w:ascii="Amiri" w:hAnsi="Amiri" w:eastAsia="Amiri" w:cs="Amiri"/>
          <w:color w:val="111111"/>
          <w:sz w:val="28"/>
          <w:sz w:val="28"/>
          <w:szCs w:val="28"/>
          <w:rtl w:val="true"/>
          <w:lang w:bidi="ar-SA"/>
        </w:rPr>
        <w:t xml:space="preserve">، بناءً على أنّ للشحوم منفعة نادرة محلّلة على اليهود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المنفعة النادرة كالمعدومة في نظر الشارع ، لما منعهم عن بيعه لأجلها ، ومثل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الإجماع فلأنّ العمدة هو الإجماع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ما ينفصل من الآدمي من شعر ومخاط ولعاب وظفر وغيره ، لا يجوز بيعه إجماعاً ؛ لأ نّه لا ثمن له ولا منفعة فيه</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موضع آخر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ممّا لا ينتفع به فلا يجوز بيعه بلا خلاف مثل الأسد والذئب وسائر الحشرات</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وعدم الخلاف على ما لا منفعة فيه </w:t>
      </w:r>
    </w:p>
    <w:p>
      <w:pPr>
        <w:pStyle w:val="BookText"/>
        <w:rPr/>
      </w:pPr>
      <w:r>
        <w:rPr>
          <w:rFonts w:ascii="Amiri" w:hAnsi="Amiri" w:eastAsia="Amiri" w:cs="Amiri"/>
          <w:color w:val="111111"/>
          <w:sz w:val="28"/>
          <w:sz w:val="28"/>
          <w:szCs w:val="28"/>
          <w:rtl w:val="true"/>
          <w:lang w:bidi="ar-SA"/>
        </w:rPr>
        <w:t>ولا ينتفع به حتّى الثانية ؛ لأنّ المذكورات من قبيل الأمثلة بنظره وتشخيصه</w:t>
      </w:r>
    </w:p>
    <w:p>
      <w:pPr>
        <w:pStyle w:val="BookText"/>
        <w:rPr/>
      </w:pPr>
      <w:r>
        <w:rPr>
          <w:rFonts w:ascii="Amiri" w:hAnsi="Amiri" w:eastAsia="Amiri" w:cs="Amiri"/>
          <w:color w:val="111111"/>
          <w:sz w:val="28"/>
          <w:sz w:val="28"/>
          <w:szCs w:val="28"/>
          <w:rtl w:val="true"/>
          <w:lang w:bidi="ar-SA"/>
        </w:rPr>
        <w:t xml:space="preserve">لا من معقد الإجماع ؛ ضرورة أ نّه لم يدّع الإجماع ولم يقم ذلك على عنوان الأسد والذئب وغيرهما ، والظاهر من معقدهما ما لا ينتفع به مطلقاً وما لا منفعة له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حملا على عدم الانتفاع العقلائي كما تقدّم</w:t>
      </w:r>
      <w:r>
        <w:rPr>
          <w:rStyle w:val="FootnoteAnchor"/>
          <w:rtl w:val="true"/>
        </w:rPr>
        <w:footnoteReference w:id="660"/>
      </w:r>
      <w:r>
        <w:rPr>
          <w:rFonts w:ascii="Amiri" w:hAnsi="Amiri" w:eastAsia="Amiri" w:cs="Amiri"/>
          <w:color w:val="111111"/>
          <w:sz w:val="28"/>
          <w:sz w:val="28"/>
          <w:szCs w:val="28"/>
          <w:rtl w:val="true"/>
          <w:lang w:bidi="ar-SA"/>
        </w:rPr>
        <w:t xml:space="preserve">لا بأس به ، لكن التعدّي إلى ما يكون له المنفعة العقلائية النادرة ممّا لا وجه له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منه التمسّك بالروايات ؛ فإنّها مع الغضّ عن سندها ظاهرة في أنّ اليهود باعوها للمنفعة المحرّمة كما يشعر به التعليل الوارد فيها ، مع عدم معلومية حلّية بعض المنافع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متعرّضة للمعاملات المتعارفة ، بل يمكن التمسّك بها لصحّة المعاملة في بعض الصور المتقدّمة ، فالأقوى هو ما تقدّم</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15158_207046"/>
      <w:bookmarkStart w:id="281" w:name="pg15158_207046"/>
      <w:bookmarkEnd w:id="281"/>
    </w:p>
    <w:p>
      <w:pPr>
        <w:pStyle w:val="Heading3"/>
        <w:numPr>
          <w:ilvl w:val="2"/>
          <w:numId w:val="1"/>
        </w:numPr>
        <w:rPr/>
      </w:pPr>
      <w:bookmarkStart w:id="282" w:name="pg15158_207046"/>
      <w:bookmarkStart w:id="283" w:name="__RefHeading___Toc1851612_2142443653"/>
      <w:bookmarkStart w:id="284" w:name="_Toc97"/>
      <w:bookmarkEnd w:id="282"/>
      <w:bookmarkEnd w:id="283"/>
      <w:r>
        <w:rPr>
          <w:rtl w:val="true"/>
        </w:rPr>
        <w:t>القسم الرابع في الاكتساب بما هو حرام في نفسه</w:t>
      </w:r>
      <w:bookmarkEnd w:id="28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5" w:name="__RefHeading___Toc1851614_2142443653"/>
      <w:bookmarkStart w:id="286" w:name="_Toc98"/>
      <w:bookmarkEnd w:id="285"/>
      <w:r>
        <w:rPr>
          <w:rtl w:val="true"/>
        </w:rPr>
        <w:t>اشارة</w:t>
      </w:r>
      <w:bookmarkEnd w:id="28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15158_207048"/>
      <w:bookmarkStart w:id="288" w:name="pg15158_207048"/>
      <w:bookmarkEnd w:id="288"/>
    </w:p>
    <w:p>
      <w:pPr>
        <w:pStyle w:val="Heading4"/>
        <w:numPr>
          <w:ilvl w:val="3"/>
          <w:numId w:val="1"/>
        </w:numPr>
        <w:rPr/>
      </w:pPr>
      <w:bookmarkStart w:id="289" w:name="pg15158_207048"/>
      <w:bookmarkStart w:id="290" w:name="__RefHeading___Toc1851616_2142443653"/>
      <w:bookmarkStart w:id="291" w:name="_Toc99"/>
      <w:bookmarkEnd w:id="289"/>
      <w:bookmarkEnd w:id="290"/>
      <w:r>
        <w:rPr>
          <w:rtl w:val="true"/>
        </w:rPr>
        <w:t>حكم الاكتساب بما هو حرام في نفسه</w:t>
      </w:r>
      <w:bookmarkEnd w:id="291"/>
    </w:p>
    <w:p>
      <w:pPr>
        <w:pStyle w:val="BookText"/>
        <w:rPr/>
      </w:pPr>
      <w:r>
        <w:rPr>
          <w:rFonts w:ascii="Amiri" w:hAnsi="Amiri" w:eastAsia="Amiri" w:cs="Amiri"/>
          <w:color w:val="111111"/>
          <w:sz w:val="28"/>
          <w:sz w:val="28"/>
          <w:szCs w:val="28"/>
          <w:rtl w:val="true"/>
          <w:lang w:bidi="ar-SA"/>
        </w:rPr>
        <w:t xml:space="preserve">والبحث فيه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حرمة عنوان الكسب وأنّ الإجارة على المحرّم محرّمة أو لا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حرمة الثمن بعنوان كونه ثمن الحرام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حكمه الوضعي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المقصود الأصلي بالبحث هاهنا هو العنوانان الأوّلان</w:t>
      </w:r>
      <w:r>
        <w:rPr>
          <w:rStyle w:val="FootnoteAnchor"/>
          <w:rtl w:val="true"/>
        </w:rPr>
        <w:footnoteReference w:id="662"/>
      </w:r>
      <w:r>
        <w:rPr>
          <w:rFonts w:ascii="Amiri" w:hAnsi="Amiri" w:eastAsia="Amiri" w:cs="Amiri"/>
          <w:color w:val="111111"/>
          <w:sz w:val="28"/>
          <w:sz w:val="28"/>
          <w:szCs w:val="28"/>
          <w:rtl w:val="true"/>
          <w:lang w:bidi="ar-SA"/>
        </w:rPr>
        <w:t xml:space="preserve">، وأنّ الثالث استطرادي يناسب البحث عنه في شرائط العوضين في الإجارة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على حرمة نفس الإجارة بقبح الاستئجار والإيجار على 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نفس الاستئجار والإيجار للقبائح العقلية ، قبيحة بحكم العقل والعقلاء كإيجار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أو من يتعلّق به من نواميسه لارتكاب الفاحشة ، كذلك هما قبيحتان لمعصية اللّه التي هي أيضاً من القبائح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فالمدّعى إدراك العقل قبح عنوان المعاملة على القبائح ، وأ نّها واسطة لثبوت القبح لنفس المعاملة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أنّ القبح فاعلي لا فعلي نظير التجرّي ، غير وجيهة ؛ ضرورة أنّ </w:t>
      </w:r>
    </w:p>
    <w:p>
      <w:pPr>
        <w:pStyle w:val="BookText"/>
        <w:rPr/>
      </w:pPr>
      <w:r>
        <w:rPr>
          <w:rFonts w:ascii="Amiri" w:hAnsi="Amiri" w:eastAsia="Amiri" w:cs="Amiri"/>
          <w:color w:val="111111"/>
          <w:sz w:val="28"/>
          <w:sz w:val="28"/>
          <w:szCs w:val="28"/>
          <w:rtl w:val="true"/>
          <w:lang w:bidi="ar-SA"/>
        </w:rPr>
        <w:t xml:space="preserve">عنوان إجارة النواميس قبيح عقلاً ، ولا ينافي ذلك كشفها عن دناءة الفاعل وسوء سريرته وفقدان الشرف والعزّ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على حرمة الاستئجار عليها بفحوى أدلّة وجوب الأمر بالمعروف والنهي عن المنكر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عرفاً من تلك الأدلّة أو من فحواها ، أنّ الأمر بالمنكر والنهي عن المعروف محرّمان ، بل مطلق ما يوجب الإغراء على المحرّم والترغيب إليه والتشويق إليه محرّم ، سواء ارتكب الطرف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استئجار المغنّية للتغنّي والمصوّر للتصوير المحرّم ، دعوة لهما إلى إتيان الحرام وتشويق إليه وإغراء عليه ، بل قبول الإجارة أيضاً نحو ترغيب للمستأجر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إمكان الاستفادة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وَالْمُنَافِقَاتُ بَعْضُهُمْ مِنْ بَعْضٍ يَأْمُرُونَ بِالْمُنْكَرِ وَيَنْهَوْنَ عَنِ الْمَعْرُوفِ </w:t>
      </w:r>
      <w:r>
        <w:rPr>
          <w:rFonts w:eastAsia="Amiri" w:cs="Amiri" w:ascii="Amiri" w:hAnsi="Amiri"/>
          <w:color w:val="111111"/>
          <w:sz w:val="28"/>
          <w:szCs w:val="28"/>
          <w:rtl w:val="true"/>
          <w:lang w:bidi="ar-SA"/>
        </w:rPr>
        <w:t>. .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أنّ العنوانين ليس لصرف معرّفيتهم ، بل الآية الكريمة في مقام تعييرهم وتقريعهم وذكر ما هو قبيح عقلاً ومحرّم شرعاً من 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وبدعوى أن لا خصوصية لعنوان الأمر بالمنكر ، بل المراد أعمّ ممّا يفيد فائدته من الترغيب والتشويق إليه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وبدعوى أ نّه ليس المراد من الأمر بالمنكر ما يرجع إلى ردّ قول رسول اللّه‌ صلی الله علیه و آله وسلم  وإلى مخالفته في قوانينه ، بل الظاهر أنّ الأمر بالمنكر بالحمل الشائع والنهي عن المعروف كذلك ، من صفات المنافقين ويكون محرّماً ، سواء كان الغرض ردّ قول رسول اللّه‌ صلی الله علیه و آله وسلم  أم لا ،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وتؤيّده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نعم ، بناءً على أنّ المستند فحوى أدلّة الأمر بالمعروف والآية الكريمة ، لا يستفاد منهما حرمة الاستئجار والإجارة بعنوانهما ، بل المحرّم ما ينطبق عليهما في الخارج ، بخلاف ما لو كان المستند الوجه الأوّل 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وببعض ما تقدّم يمكن الاستئناس بحرمة الثمن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أن لا خصوصية لعنوان الثمن في نظر العرف بل الظاهر منه أنّ تحريم الشيء لا يلائم مع تحليل ما يقابله ، سواء صدق عليه عنوان الثمن أم كان عنوانه أجراً واُجرة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الرواية وإن كانت ضعيفة لكن لا يبعد استنقاذ مضمونها من سائر</w:t>
      </w:r>
    </w:p>
    <w:p>
      <w:pPr>
        <w:pStyle w:val="BookText"/>
        <w:rPr/>
      </w:pPr>
      <w:r>
        <w:rPr>
          <w:rFonts w:ascii="Amiri" w:hAnsi="Amiri" w:eastAsia="Amiri" w:cs="Amiri"/>
          <w:color w:val="111111"/>
          <w:sz w:val="28"/>
          <w:sz w:val="28"/>
          <w:szCs w:val="28"/>
          <w:rtl w:val="true"/>
          <w:lang w:bidi="ar-SA"/>
        </w:rPr>
        <w:t>الروايات في الأبواب المتفرّقة</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الاستدلال على بطلانها ببعض ما تقدّم في بعض المسائل المتقدّمة</w:t>
      </w:r>
      <w:r>
        <w:rPr>
          <w:rStyle w:val="FootnoteAnchor"/>
          <w:rtl w:val="true"/>
        </w:rPr>
        <w:footnoteReference w:id="666"/>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المحرّم ليس مالاً في نظر الشارع ، ولهذا لو منع شخص عن تغنّي جارية مغنّية أو العبد المغنّي ، لا يكون ضامناً بالنسبة إلى تلك المنفعة المحرّمة بلا إشكال وإن كانا أجيرين لذلك ، وما لا يكون مالاً في محيط التشريع لا تكون المعاملة عليه 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سلب المالية عن شيء وإسقاطها ، دليل على ردع المعاملة به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الاستدلال عليه بوجه آخر ، وهو أنّ مقتضى ذات المعاملة لدى العقلاء </w:t>
      </w:r>
      <w:bookmarkStart w:id="292" w:name="pg15158_207051"/>
    </w:p>
    <w:p>
      <w:pPr>
        <w:pStyle w:val="BookText"/>
        <w:rPr/>
      </w:pPr>
      <w:bookmarkEnd w:id="292"/>
      <w:r>
        <w:rPr>
          <w:rFonts w:ascii="Amiri" w:hAnsi="Amiri" w:eastAsia="Amiri" w:cs="Amiri"/>
          <w:color w:val="111111"/>
          <w:sz w:val="28"/>
          <w:sz w:val="28"/>
          <w:szCs w:val="28"/>
          <w:rtl w:val="true"/>
          <w:lang w:bidi="ar-SA"/>
        </w:rPr>
        <w:t xml:space="preserve">إمكان التسليم والتسلّم ، ومع منع الشارع عن تسليم المنفعة المحرّمة وتسلّمها ، لا يعقل أن تكون المعاملة نافذة عنده ، فمنع التسليم والتسلّم دليل على ردع المعاملة ، فتقع 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المتقدّم</w:t>
      </w:r>
      <w:r>
        <w:rPr>
          <w:rStyle w:val="FootnoteAnchor"/>
          <w:rtl w:val="true"/>
        </w:rPr>
        <w:footnoteReference w:id="667"/>
      </w:r>
      <w:r>
        <w:rPr>
          <w:rFonts w:ascii="Amiri" w:hAnsi="Amiri" w:eastAsia="Amiri" w:cs="Amiri"/>
          <w:color w:val="111111"/>
          <w:sz w:val="28"/>
          <w:sz w:val="28"/>
          <w:szCs w:val="28"/>
          <w:rtl w:val="true"/>
          <w:lang w:bidi="ar-SA"/>
        </w:rPr>
        <w:t xml:space="preserve">في بيع العنب ممّن يعلم أ نّه يجعله خمراً ، غير وارد في المقام بما قرّرناه ؛ لأ نّه هناك لم يكن تسليم طرف المعاوضة بذاته محرّماً بل المحرّم عناوين اُخر منطبقة عليه ، وكان للبائع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أمتنع عن التسليم</w:t>
      </w:r>
    </w:p>
    <w:p>
      <w:pPr>
        <w:pStyle w:val="BookText"/>
        <w:rPr/>
      </w:pPr>
      <w:r>
        <w:rPr>
          <w:rFonts w:ascii="Amiri" w:hAnsi="Amiri" w:eastAsia="Amiri" w:cs="Amiri"/>
          <w:color w:val="111111"/>
          <w:sz w:val="28"/>
          <w:sz w:val="28"/>
          <w:szCs w:val="28"/>
          <w:rtl w:val="true"/>
          <w:lang w:bidi="ar-SA"/>
        </w:rPr>
        <w:t xml:space="preserve">بشرط عدم جعله خمراً ، فالتقصير متوجّه إلى المشتري ، ولم يحرّم الشارع تسليم العنب المقابل في المعاوضة ، بخلاف المقام؛ فإنّ تسليم المنفعة التي مقابلة الثمن ومورد الإجارة ممنوع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وبوجه آخر ، وهو أنّ الآية الكريمة أعني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وإن كان الموضوع فيها البطلان العرفي والعقلائي لا الشرعي ، لكن بتحكيم ما دلّ على نفي المالية أو نفي تسليم المنفعة ينسلك في مفاد الآية ؛ فإنّ أخذ مال الغير بلا انتقال منفعة إليه أكل المال بالباطل، ويؤيّده النبوي</w:t>
      </w:r>
    </w:p>
    <w:p>
      <w:pPr>
        <w:pStyle w:val="BookText"/>
        <w:rPr/>
      </w:pP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w:t>
      </w:r>
    </w:p>
    <w:p>
      <w:pPr>
        <w:pStyle w:val="Heading4"/>
        <w:numPr>
          <w:ilvl w:val="3"/>
          <w:numId w:val="1"/>
        </w:numPr>
        <w:rPr/>
      </w:pPr>
      <w:bookmarkStart w:id="293" w:name="__RefHeading___Toc1851618_2142443653"/>
      <w:bookmarkStart w:id="294" w:name="_Toc100"/>
      <w:bookmarkEnd w:id="293"/>
      <w:r>
        <w:rPr>
          <w:rtl w:val="true"/>
        </w:rPr>
        <w:t>فائدة استطرادية في ذکر بعض المحرّمات ممّا من شأنها الاكتساب بها في ضمن مسائل</w:t>
      </w:r>
      <w:r>
        <w:rPr>
          <w:rtl w:val="true"/>
        </w:rPr>
        <w:t>:</w:t>
      </w:r>
      <w:bookmarkEnd w:id="29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جرت عادة القوم بذكر كثير من المحرّمات ممّا من شأنها الاكتساب بها ولو لم يتعارف ذلك ، ونحن نذكر منها ما هو المهمّ بنظر البحث إن شاء اللّه تعالى في ضمن مسائل </w:t>
      </w:r>
      <w:r>
        <w:rPr>
          <w:rFonts w:eastAsia="Amiri" w:cs="Amiri" w:ascii="Amiri" w:hAnsi="Amiri"/>
          <w:color w:val="111111"/>
          <w:sz w:val="28"/>
          <w:szCs w:val="28"/>
          <w:rtl w:val="true"/>
          <w:lang w:bidi="ar-SA"/>
        </w:rPr>
        <w:t xml:space="preserve">: </w:t>
      </w:r>
      <w:bookmarkStart w:id="295" w:name="pg15158_207052"/>
    </w:p>
    <w:p>
      <w:pPr>
        <w:pStyle w:val="Heading3"/>
        <w:numPr>
          <w:ilvl w:val="2"/>
          <w:numId w:val="1"/>
        </w:numPr>
        <w:rPr/>
      </w:pPr>
      <w:bookmarkStart w:id="296" w:name="__RefHeading___Toc1851620_2142443653"/>
      <w:bookmarkStart w:id="297" w:name="_Toc101"/>
      <w:bookmarkEnd w:id="295"/>
      <w:bookmarkEnd w:id="296"/>
      <w:r>
        <w:rPr>
          <w:rtl w:val="true"/>
        </w:rPr>
        <w:t xml:space="preserve">المسألة الاُولى </w:t>
      </w:r>
      <w:r>
        <w:rPr>
          <w:rtl w:val="true"/>
        </w:rPr>
        <w:t xml:space="preserve">: </w:t>
      </w:r>
      <w:r>
        <w:rPr>
          <w:rtl w:val="true"/>
        </w:rPr>
        <w:t>في حرمة التصوير</w:t>
      </w:r>
      <w:bookmarkEnd w:id="297"/>
    </w:p>
    <w:p>
      <w:pPr>
        <w:pStyle w:val="Heading4"/>
        <w:numPr>
          <w:ilvl w:val="3"/>
          <w:numId w:val="1"/>
        </w:numPr>
        <w:rPr/>
      </w:pPr>
      <w:bookmarkStart w:id="298" w:name="__RefHeading___Toc1851622_2142443653"/>
      <w:bookmarkStart w:id="299" w:name="_Toc102"/>
      <w:bookmarkEnd w:id="298"/>
      <w:r>
        <w:rPr>
          <w:rtl w:val="true"/>
        </w:rPr>
        <w:t>في حرمة عمل ذوات الأرواح المجسّمات فقط</w:t>
      </w:r>
      <w:bookmarkEnd w:id="299"/>
    </w:p>
    <w:p>
      <w:pPr>
        <w:pStyle w:val="BookText"/>
        <w:rPr/>
      </w:pPr>
      <w:r>
        <w:rPr>
          <w:rFonts w:ascii="Amiri" w:hAnsi="Amiri" w:eastAsia="Amiri" w:cs="Amiri"/>
          <w:color w:val="111111"/>
          <w:sz w:val="28"/>
          <w:sz w:val="28"/>
          <w:szCs w:val="28"/>
          <w:rtl w:val="true"/>
          <w:lang w:bidi="ar-SA"/>
        </w:rPr>
        <w:t xml:space="preserve">الظاهر عدم الخلاف والإشكال في حرمة التصوير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أنّ في المسألة أقوالاً أربعة</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التصوير مطلقاً من جهة التجسيم وغيره، وذوات الأرواح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والتخصيص بالمجسّمة، والتعميم من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والتخصيص بذوات الأرواح، والتعميم من 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والتخصيص من الجهتين فيكون المحرّم عمل ذوات الأرواح المجسّمات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هو الأخير ، وهو المتيقّن من معقد الإجماع المحكيّ</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مضافاً إليه الأخبار الآتية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سائر الصور فلا دليل على حرمتها ؛ فإنّ الأخبار على كثرتها تدور مدار</w:t>
      </w:r>
    </w:p>
    <w:p>
      <w:pPr>
        <w:pStyle w:val="BookText"/>
        <w:rPr/>
      </w:pPr>
      <w:r>
        <w:rPr>
          <w:rFonts w:ascii="Amiri" w:hAnsi="Amiri" w:eastAsia="Amiri" w:cs="Amiri"/>
          <w:color w:val="111111"/>
          <w:sz w:val="28"/>
          <w:sz w:val="28"/>
          <w:szCs w:val="28"/>
          <w:rtl w:val="true"/>
          <w:lang w:bidi="ar-SA"/>
        </w:rPr>
        <w:t>عنوانين هما التصوير والتمثيل باختلاف التعابير إلاّ رواية النواهي المذكور فيها النقش</w:t>
      </w:r>
      <w:r>
        <w:rPr>
          <w:rStyle w:val="FootnoteAnchor"/>
          <w:rtl w:val="true"/>
        </w:rPr>
        <w:footnoteReference w:id="671"/>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أن يكون الظاهر من تمثال الشيء وصورته بقول مطلق هو المشابه له في الهيئة مطلقاً ؛ أي من جميع الجوانب لا من جانب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وتمثال الوجه أو مقاديم البدن تمثاله بوجه لا مطلقاً ، كما أنّ تمثال خلفه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التمثال على تمثال الوجه أو المقاديم بنحو من المسامحة كإطلاقه على تمثال الخلف ، وإن صار في الأوّلين شائعاً حتّى على خصوص الوجه مع عدم كونه حقيقياً بلا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فهي بمعنى الشكل الذي هو الهيئة ، وهيئة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شبهه في جميع الجوانب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وإطلاقه على النقوش والتصاوير بنحو من المسامحة ، ولذا يطلق على تمثال الوجه فقط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والإطلاق الشائع على النقش والرسم في الروايات</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وعدم دعوى أنّ الوسائد وغيرها ممّا وردت فيها الروايات لعلّها كانت الصور والتماثيل فيها بنحو التجسيم كهيئة غزال مثلاً نائم أو قائم بحيث كان صدق عليه </w:t>
      </w:r>
      <w:bookmarkStart w:id="300" w:name="pg15158_207054"/>
    </w:p>
    <w:p>
      <w:pPr>
        <w:pStyle w:val="BookText"/>
        <w:rPr/>
      </w:pPr>
      <w:bookmarkEnd w:id="300"/>
      <w:r>
        <w:rPr>
          <w:rFonts w:ascii="Amiri" w:hAnsi="Amiri" w:eastAsia="Amiri" w:cs="Amiri"/>
          <w:color w:val="111111"/>
          <w:sz w:val="28"/>
          <w:sz w:val="28"/>
          <w:szCs w:val="28"/>
          <w:rtl w:val="true"/>
          <w:lang w:bidi="ar-SA"/>
        </w:rPr>
        <w:t xml:space="preserve">الغزال المجسّم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لأجل القرائن ، ولهذا لو سئل عن العرف أنّ هذه الصورة أو المثال صورته من جميع الوجوه لأجاب بالنفي ، ولا أقلّ من كون الصدق الحقيقي محلاًّ للشكّ ، سيّما مع الشواهد المذكورة في الجواهر وغيره</w:t>
      </w:r>
      <w:r>
        <w:rPr>
          <w:rStyle w:val="FootnoteAnchor"/>
          <w:rtl w:val="true"/>
        </w:rPr>
        <w:footnoteReference w:id="673"/>
      </w:r>
      <w:r>
        <w:rPr>
          <w:rFonts w:ascii="Amiri" w:hAnsi="Amiri" w:eastAsia="Amiri" w:cs="Amiri"/>
          <w:color w:val="111111"/>
          <w:sz w:val="28"/>
          <w:sz w:val="28"/>
          <w:szCs w:val="28"/>
          <w:rtl w:val="true"/>
          <w:lang w:bidi="ar-SA"/>
        </w:rPr>
        <w:t xml:space="preserve">، وشواهد اُخر تأتي الإشارة إلى بعضها </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851624_2142443653"/>
      <w:bookmarkStart w:id="302" w:name="_Toc103"/>
      <w:bookmarkEnd w:id="301"/>
      <w:r>
        <w:rPr>
          <w:rtl w:val="true"/>
        </w:rPr>
        <w:t>الروايات الواردة في المقام</w:t>
      </w:r>
      <w:bookmarkEnd w:id="302"/>
    </w:p>
    <w:p>
      <w:pPr>
        <w:pStyle w:val="BookText"/>
        <w:rPr/>
      </w:pPr>
      <w:r>
        <w:rPr>
          <w:rFonts w:ascii="Amiri" w:hAnsi="Amiri" w:eastAsia="Amiri" w:cs="Amiri"/>
          <w:color w:val="111111"/>
          <w:sz w:val="28"/>
          <w:sz w:val="28"/>
          <w:szCs w:val="28"/>
          <w:rtl w:val="true"/>
          <w:lang w:bidi="ar-SA"/>
        </w:rPr>
        <w:t xml:space="preserve">ولو نوقش فيما ذكر وادّعي الصدق العرفي في المجسّم وغيره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ظاهر طائفة من الأخبار بمناسبة الحكم والموضوع ، أنّ المراد بالتماثيل والصور فيها هي تماثيل الأصنام التي كانت مورد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جدّد قبراً أو مثّل مثالاً فقد خرج عن الإسلام</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التماثيل فقد ضادّ اللّه</w:t>
      </w:r>
      <w:r>
        <w:rPr>
          <w:rFonts w:eastAsia="Amiri" w:cs="Amiri" w:ascii="Amiri" w:hAnsi="Amiri"/>
          <w:color w:val="111111"/>
          <w:sz w:val="28"/>
          <w:szCs w:val="28"/>
          <w:rtl w:val="true"/>
          <w:lang w:bidi="ar-SA"/>
        </w:rPr>
        <w:t>»</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احتمال آخر ينسلك به في الطائفة الثانية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الناس عذاباً يوم القيامة رجل قتل نبياً ، أو قتله نبي ، ورجل يضلّ الناس بغير علم أو مصوّر يصوّر التماثيل</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أشدّ الناس عذاباً عند اللّه يوم القيامة المصوّرون</w:t>
      </w:r>
      <w:r>
        <w:rPr>
          <w:rFonts w:eastAsia="Amiri" w:cs="Amiri" w:ascii="Amiri" w:hAnsi="Amiri"/>
          <w:color w:val="111111"/>
          <w:sz w:val="28"/>
          <w:szCs w:val="28"/>
          <w:rtl w:val="true"/>
          <w:lang w:bidi="ar-SA"/>
        </w:rPr>
        <w:t>»</w:t>
      </w:r>
      <w:r>
        <w:rPr>
          <w:rStyle w:val="FootnoteAnchor"/>
          <w:rtl w:val="true"/>
        </w:rPr>
        <w:footnoteReference w:id="677"/>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وأمثالها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تلك التوعيدات والتشديدات لا تناسب مطلق عمل المجسّمة أو تنقيش الصور ؛ ضرورة أنّ عملها لا يكون أعظم من قتل النفس المحترمة أو الزنا أو اللواطة أو شرب الخمر وغيرها 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منها تصوير التماثيل التي هم لها عاكفون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آخر في الأخيرة وهو أنّ المراد بالمصوّرون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بالصورة والتخطيط في اللّه تعالى ، كما هو مذهب معروف في ذلك العصر</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والمظنون الموافق للاعتبار وطباع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جمعاً من الأعراب بعد هدم أساس كفرهم وكسر أصنامهم بيد رسول اللّه‌ صلی الله علیه و آله وسلم  وأمره ، كانت علقتهم بتلك الصور والتماثيل باقية في سرّ قلوبهم ، فصنعوا أمثالها حفظاً لآثار أسلافهم وحبّاً لبقائها ، كما نرى حتّى اليوم علاقة جمع بحفظ آثار المجوسية وعبدة النيران في هذه البلاد حفظاً لآثار أجدادهم ، فنهى النبي صلی الله علیه و آله وسلم  عنه بتلك التشديدات والتوعيدات التي لا تناسب إلاّ للكفّار ومن يتلو تلوهم ؛ قمعاً لأساس الكفر ومادّة الزندقة ودفعاً عن حوزة التوحيد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تكون تلك الروايات ظاهرة أو منصرفة إلى ما ذكر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تحمل رواية ابن القدّاح 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اللّه‌ صلی الله علیه و آله وسلم  في هدم القبور وكسر الصور</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السكوني عنه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علیه و آله وسلم إلى المدينة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صورة إلاّ محوتها ، ولا قبراً إلاّ سوّيته ، ولا كلباً إلاّ قتلته</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بعث رسول اللّه‌ صلی الله علیه و آله وسلم  أمير المؤمنين علیه السلام لذلك دليل على اهتمامه به ، والظاهر أنّ الصور كانت صور الهياكل والأصنام ومن بقايا آثار الكفر والجاهلية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يبعد أن يكون الكلب في الرواية الثانية بكسر اللام ، وهو الكلب الذي عرضه داء الكلب وهو داء شبه الجنون يعرضه فإذا عقر إنساناً عرضه ذلك الداء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في بعض الروايات من نكتة نجاسة الكلب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وسلم أمر بقتله</w:t>
      </w:r>
      <w:r>
        <w:rPr>
          <w:rStyle w:val="FootnoteAnchor"/>
          <w:rtl w:val="true"/>
        </w:rPr>
        <w:footnoteReference w:id="681"/>
      </w:r>
      <w:r>
        <w:rPr>
          <w:rFonts w:ascii="IRNazanin" w:hAnsi="IRNazanin" w:eastAsia="IRNazanin"/>
          <w:color w:val="111111"/>
          <w:sz w:val="28"/>
          <w:sz w:val="28"/>
          <w:szCs w:val="28"/>
          <w:rtl w:val="true"/>
          <w:lang w:bidi="fa-IR"/>
        </w:rPr>
        <w:t xml:space="preserve">، فهو سرّ التشريع على فرض ثبوت الرواية ، وإلاّ فلم يأمر النبي صلی الله علیه و آله وسلم بقتل مطلق الكلاب حتّى كلاب الصيد والماشية ، بل جعل لها دية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ما في رواية السكوني 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الكلب الأسود البهيم لا تأكل صيده ؛ لأنّ رسول اللّه‌ صلی الله علیه و آله وسلم  أمر بقتله</w:t>
      </w:r>
      <w:r>
        <w:rPr>
          <w:rFonts w:eastAsia="IRNazanin" w:cs="IRNazanin"/>
          <w:color w:val="111111"/>
          <w:sz w:val="28"/>
          <w:szCs w:val="28"/>
          <w:rtl w:val="true"/>
          <w:lang w:bidi="fa-IR"/>
        </w:rPr>
        <w:t>»</w:t>
      </w:r>
      <w:r>
        <w:rPr>
          <w:rStyle w:val="FootnoteAnchor"/>
          <w:rtl w:val="true"/>
        </w:rPr>
        <w:footnoteReference w:id="682"/>
      </w:r>
      <w:r>
        <w:rPr>
          <w:rFonts w:ascii="Amiri" w:hAnsi="Amiri" w:eastAsia="Amiri" w:cs="Amiri"/>
          <w:color w:val="111111"/>
          <w:sz w:val="28"/>
          <w:sz w:val="28"/>
          <w:szCs w:val="28"/>
          <w:rtl w:val="true"/>
          <w:lang w:bidi="ar-SA"/>
        </w:rPr>
        <w:t xml:space="preserve">من سرّ التشريع ، فإنّ أمر </w:t>
      </w:r>
    </w:p>
    <w:p>
      <w:pPr>
        <w:pStyle w:val="BookText"/>
        <w:rPr/>
      </w:pPr>
      <w:r>
        <w:rPr>
          <w:rFonts w:ascii="IRNazanin" w:hAnsi="IRNazanin" w:eastAsia="IRNazanin"/>
          <w:color w:val="111111"/>
          <w:sz w:val="28"/>
          <w:sz w:val="28"/>
          <w:szCs w:val="28"/>
          <w:rtl w:val="true"/>
          <w:lang w:bidi="fa-IR"/>
        </w:rPr>
        <w:t xml:space="preserve">النبي صلی الله علیه و آله وسلم  بقتل الكلاب الغير المؤذية بعيد جدّاً لا يمكن تصديقه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احتمال أن تكون الكلاب أو بعضها مورد تعظيم اُناس وعبوديتهم فبعيد ولم ينقل إلينا ، وإن لا يبعد شيء من جهّال الناس ، كما اتّخذوا البقر والشيطان معبوداً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أمره بهدم القبور ، لأجل تعظيم الناس إيّاها بنحو العبادة للأصنام وكانوا يسجدون عليها ، كما يشعر به بعض الروايات الناهية عن اتّخاذ قبر النبي صلی الله علیه و آله وسلم  قبلة ومسجداً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الصدوق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قبري قبلة ولا مسجداً ، فإنّ اللّه عزّ وجلّ لعن اليهود ؛ حيث اتّخذوا قبور أنبيائهم مساجد</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ويشهد له بُعد بعث رسول اللّه‌ صلی الله علیه و آله وسلم  أمير المؤمنين علیه السلام لهدم القبور وكسر الصور لكراهة بقائهما، وسيأتي جواز اقتناء الصور المجسّمات</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على ما ذكرناه يكون الحكم على وجه الإلزام كما يساعده الاعتبار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وتؤيّد ما ذكرناه صحيحة عبداللّه بن المغيرة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قائل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يجلس الرجل على بساط فيه تماثيل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الأعاجم تعظّمه وإنّا لنمتهنه</w:t>
      </w:r>
      <w:r>
        <w:rPr>
          <w:rFonts w:eastAsia="IRNazanin" w:cs="IRNazanin"/>
          <w:color w:val="111111"/>
          <w:sz w:val="28"/>
          <w:szCs w:val="28"/>
          <w:rtl w:val="true"/>
          <w:lang w:bidi="fa-IR"/>
        </w:rPr>
        <w:t>»</w:t>
      </w:r>
      <w:r>
        <w:rPr>
          <w:rStyle w:val="FootnoteAnchor"/>
          <w:rtl w:val="true"/>
        </w:rPr>
        <w:footnoteReference w:id="685"/>
      </w:r>
      <w:r>
        <w:rPr>
          <w:rFonts w:ascii="Amiri" w:hAnsi="Amiri" w:eastAsia="Amiri" w:cs="Amiri"/>
          <w:color w:val="111111"/>
          <w:sz w:val="28"/>
          <w:sz w:val="28"/>
          <w:szCs w:val="28"/>
          <w:rtl w:val="true"/>
          <w:lang w:bidi="ar-SA"/>
        </w:rPr>
        <w:t xml:space="preserve">؛ أي نحتقره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وما عن أبي الحسن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قوم على أبي جعفر علیه السلام وهو على بساط فيه تماثيل ، فسألوه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أهينه</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المساكن ،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ندخل بيتاً فيه تمثال لا يوطأ</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أنّ التحقير والإهانة بالصور في مقابل تعظيم الأعاجم ؛ لأ نّهم كانوا يعبدون أصناماً وتماثيل وكانوا يعتقدون أ نّها مثال أرباب الأنواع التي يعتقدون أ نّها وسائل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تستفاد من تلك الروايات حرمة مطلق المجسّمات فضلاً عن غيرها، بل هي مربوطة ظاهراً بعمل الأصنام وحفظ آثار الجاهلية وحفظ عظمتها الموهومة ، ولا يبعد القول بحرمتها مطلقاً وحرمة اقتنائها لذلك ووجوب محوها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الطائفة الاُخرى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منها حرمة عمل المجسّمات ، وهي ما دلّت على تكليف المصوِّر بالنفخ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كمرسلة ابن أبي عمير 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 تمثالاً كلّف يوم القيامة أن ينفخ فيه الروح</w:t>
      </w:r>
      <w:r>
        <w:rPr>
          <w:rFonts w:eastAsia="IRNazanin" w:cs="IRNazanin"/>
          <w:color w:val="111111"/>
          <w:sz w:val="28"/>
          <w:szCs w:val="28"/>
          <w:rtl w:val="true"/>
          <w:lang w:bidi="fa-IR"/>
        </w:rPr>
        <w:t>»</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منها روايات اُخر مستفيضة</w:t>
      </w:r>
      <w:r>
        <w:rPr>
          <w:rStyle w:val="FootnoteAnchor"/>
          <w:rtl w:val="true"/>
        </w:rPr>
        <w:footnoteReference w:id="689"/>
      </w:r>
      <w:r>
        <w:rPr>
          <w:rFonts w:ascii="Amiri" w:hAnsi="Amiri" w:eastAsia="Amiri" w:cs="Amiri"/>
          <w:color w:val="111111"/>
          <w:sz w:val="28"/>
          <w:sz w:val="28"/>
          <w:szCs w:val="28"/>
          <w:rtl w:val="true"/>
          <w:lang w:bidi="ar-SA"/>
        </w:rPr>
        <w:t xml:space="preserve">؛ لأنّ الظاهر منها أنّ الأمر بالنفخ ليس لمطلق التعجيز </w:t>
      </w:r>
    </w:p>
    <w:p>
      <w:pPr>
        <w:pStyle w:val="BookText"/>
        <w:rPr/>
      </w:pPr>
      <w:r>
        <w:rPr>
          <w:rFonts w:ascii="Amiri" w:hAnsi="Amiri" w:eastAsia="Amiri" w:cs="Amiri"/>
          <w:color w:val="111111"/>
          <w:sz w:val="28"/>
          <w:sz w:val="28"/>
          <w:szCs w:val="28"/>
          <w:rtl w:val="true"/>
          <w:lang w:bidi="ar-SA"/>
        </w:rPr>
        <w:t>بلا تناسب ، بل كأ نّه لم يبق من صورة الحيوان شيء سوى النفخ ، فإذا نفخ فيه</w:t>
      </w:r>
    </w:p>
    <w:p>
      <w:pPr>
        <w:pStyle w:val="BookText"/>
        <w:rPr/>
      </w:pPr>
      <w:r>
        <w:rPr>
          <w:rFonts w:ascii="Amiri" w:hAnsi="Amiri" w:eastAsia="Amiri" w:cs="Amiri"/>
          <w:color w:val="111111"/>
          <w:sz w:val="28"/>
          <w:sz w:val="28"/>
          <w:szCs w:val="28"/>
          <w:rtl w:val="true"/>
          <w:lang w:bidi="ar-SA"/>
        </w:rPr>
        <w:t xml:space="preserve">صار حيواناً ، وهو ظاهر في المجسّمة ذات الروح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مراد من يدّعي</w:t>
      </w:r>
      <w:r>
        <w:rPr>
          <w:rStyle w:val="FootnoteAnchor"/>
          <w:rtl w:val="true"/>
        </w:rPr>
        <w:footnoteReference w:id="690"/>
      </w:r>
      <w:r>
        <w:rPr>
          <w:rFonts w:ascii="IRNazanin" w:hAnsi="IRNazanin" w:eastAsia="IRNazanin"/>
          <w:color w:val="111111"/>
          <w:sz w:val="28"/>
          <w:sz w:val="28"/>
          <w:szCs w:val="28"/>
          <w:rtl w:val="true"/>
          <w:lang w:bidi="fa-IR"/>
        </w:rPr>
        <w:t xml:space="preserve">أ نّها ظاهرة فيها ، أنّ نفخ غير المجسّمة ؛ أي الأعراض محال ، حتّى يقال في جوابه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 نّه للتعجيز وهو مع الاستحالة أوقع ، واُخرى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بإمكان النفخ في الجواهر الموجودة في الصبغ ، 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بإرادة تجسيم النقش مقدّمة للنفخ ، ورابعةً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بإمكان ذلك بملاحظة محلّه بل بدونها كأمر الإمام علیه السلام بالأسد المنقوش على ما حكي</w:t>
      </w:r>
      <w:r>
        <w:rPr>
          <w:rStyle w:val="FootnoteAnchor"/>
          <w:rtl w:val="true"/>
        </w:rPr>
        <w:footnoteReference w:id="691"/>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أجنبيّة عن المدّعى ؛ لأنّ المراد أنّ الظاهر المتفاهم منها أنّ ما صنعه إذا نفخ فيه صار حيواناً معهوداً ، وهو لا يكون إلاّ في المجسّمات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المظنون بل الظاهر من بعض الروايات أنّ سرّ التحريم إنّما هو اختصاص المصوّرية باللّه تعالى ، وهو الذي يصوّر ما في الأرحام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الْبَارِئُ الْمُصَوِّرُ</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صوّر إنسان صورة ذي روح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انفخ فيها كما نفخ اللّه فيما صوّر ؛ إرغاماً لأنفه وتعجيزاً ، وهو أيضاً يناسب المجسّمة ، كما تشعر به أو تدلّ عليه الرواية المرسلة المحكيّة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للراوندي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صوّر </w:t>
      </w:r>
    </w:p>
    <w:p>
      <w:pPr>
        <w:pStyle w:val="BookText"/>
        <w:rPr/>
      </w:pPr>
      <w:r>
        <w:rPr>
          <w:rFonts w:ascii="Amiri" w:hAnsi="Amiri" w:eastAsia="Amiri" w:cs="Amiri"/>
          <w:color w:val="111111"/>
          <w:sz w:val="28"/>
          <w:sz w:val="28"/>
          <w:szCs w:val="28"/>
          <w:rtl w:val="true"/>
          <w:lang w:bidi="ar-SA"/>
        </w:rPr>
        <w:t>التماثيل ، فقد ضادّ اللّه</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 بناءً على كون المضادّة في مصوّريته ، فلا يكون في غيرها مضادّة له ؛ لأ نّه تعالى لم ينفخ روحاً في غير المجسّمات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تلك الطائفة هو حرمة عمل المجسّمة من ذي الروح ، لا غيره من سائر الصور المتقدّمة ؛ لقصور الأدلّة عن إثبات حرمتها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تقدّمت فلما عرفت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صحيحة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تماثيل الشجر والشمس والقمر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ما لم يكن شيئاً من الحيوان</w:t>
      </w:r>
      <w:r>
        <w:rPr>
          <w:rFonts w:eastAsia="IRNazanin" w:cs="IRNazanin"/>
          <w:color w:val="111111"/>
          <w:sz w:val="28"/>
          <w:szCs w:val="28"/>
          <w:rtl w:val="true"/>
          <w:lang w:bidi="fa-IR"/>
        </w:rPr>
        <w:t>»</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ادّعى الشيخ الأنصاري أ نّها أظهر من الكلّ</w:t>
      </w:r>
      <w:r>
        <w:rPr>
          <w:rStyle w:val="FootnoteAnchor"/>
          <w:rtl w:val="true"/>
        </w:rPr>
        <w:footnoteReference w:id="696"/>
      </w:r>
      <w:r>
        <w:rPr>
          <w:rFonts w:ascii="Amiri" w:hAnsi="Amiri" w:eastAsia="Amiri" w:cs="Amiri"/>
          <w:color w:val="111111"/>
          <w:sz w:val="28"/>
          <w:sz w:val="28"/>
          <w:szCs w:val="28"/>
          <w:rtl w:val="true"/>
          <w:lang w:bidi="ar-SA"/>
        </w:rPr>
        <w:t xml:space="preserve">، فلا ظهور فيها رأساً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لعدم معلومية وجه السؤال أوّلاً ؛ لاحتمال أن يكون السؤال عن اللعب بها ، كما في رواية علي بن جعفر عن أخيه موسى علیه السلام أ نّه سأل أباه عن التماثيل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أن يلعب بها</w:t>
      </w:r>
      <w:r>
        <w:rPr>
          <w:rFonts w:eastAsia="IRNazanin" w:cs="IRNazanin"/>
          <w:color w:val="111111"/>
          <w:sz w:val="28"/>
          <w:szCs w:val="28"/>
          <w:rtl w:val="true"/>
          <w:lang w:bidi="fa-IR"/>
        </w:rPr>
        <w:t>»</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ما ترى من حمل السؤال المطلق على الاستفتاء من اللعب بها ، أو عن اقتنائها ، أو عن تزويق البيوت بها ، أو عن </w:t>
      </w:r>
    </w:p>
    <w:p>
      <w:pPr>
        <w:pStyle w:val="BookText"/>
        <w:rPr/>
      </w:pPr>
      <w:r>
        <w:rPr>
          <w:rFonts w:ascii="Amiri" w:hAnsi="Amiri" w:eastAsia="Amiri" w:cs="Amiri"/>
          <w:color w:val="111111"/>
          <w:sz w:val="28"/>
          <w:sz w:val="28"/>
          <w:szCs w:val="28"/>
          <w:rtl w:val="true"/>
          <w:lang w:bidi="ar-SA"/>
        </w:rPr>
        <w:t>جعلها في البيت ، أو مقابل المصلّي كما في جملة من الروايات</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ودعوى الانصراف إلى تصويرها </w:t>
      </w:r>
      <w:r>
        <w:rPr>
          <w:rStyle w:val="FootnoteAnchor"/>
          <w:rtl w:val="true"/>
        </w:rPr>
        <w:footnoteReference w:id="699"/>
      </w:r>
      <w:r>
        <w:rPr>
          <w:rFonts w:ascii="Amiri" w:hAnsi="Amiri" w:eastAsia="Amiri" w:cs="Amiri"/>
          <w:color w:val="111111"/>
          <w:sz w:val="28"/>
          <w:sz w:val="28"/>
          <w:szCs w:val="28"/>
          <w:rtl w:val="true"/>
          <w:lang w:bidi="ar-SA"/>
        </w:rPr>
        <w:t xml:space="preserve">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السؤال عن التماثيل إنّما هو بعد الفراغ عن وجودها ، فيكون ظاهراً أو منصرفاً إلى سائر التصرّفات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ظهورها في الحرمة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البأس هو الشدّة والعذاب المناسبان للحرمة</w:t>
      </w:r>
      <w:r>
        <w:rPr>
          <w:rStyle w:val="FootnoteAnchor"/>
          <w:rtl w:val="true"/>
        </w:rPr>
        <w:footnoteReference w:id="700"/>
      </w:r>
      <w:r>
        <w:rPr>
          <w:rFonts w:ascii="Amiri" w:hAnsi="Amiri" w:eastAsia="Amiri" w:cs="Amiri"/>
          <w:color w:val="111111"/>
          <w:sz w:val="28"/>
          <w:sz w:val="28"/>
          <w:szCs w:val="28"/>
          <w:rtl w:val="true"/>
          <w:lang w:bidi="ar-SA"/>
        </w:rPr>
        <w:t xml:space="preserve">كما ترى ، فإنّ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المرجوحية</w:t>
      </w:r>
    </w:p>
    <w:p>
      <w:pPr>
        <w:pStyle w:val="BookText"/>
        <w:rPr/>
      </w:pPr>
      <w:r>
        <w:rPr>
          <w:rFonts w:ascii="Amiri" w:hAnsi="Amiri" w:eastAsia="Amiri" w:cs="Amiri"/>
          <w:color w:val="111111"/>
          <w:sz w:val="28"/>
          <w:sz w:val="28"/>
          <w:szCs w:val="28"/>
          <w:rtl w:val="true"/>
          <w:lang w:bidi="ar-SA"/>
        </w:rPr>
        <w:t xml:space="preserve">والكراهة شائع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الإطلاق في ذيلها ثالثاً ؛ لأنّ تماثيل الشجر لو اختصّت بالمجسّمات فإثبات البأس في الحيوان أيضاً كذلك ، ولو شملت بالإطلاق النقوش والرسوم فلا يكون في عقد المستثنى إطلاق ؛ لكون الكلام مسوقاً لبيان الصدر وعقد المستثنى منه ، لا الذيل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اختصاص السؤال بالنقوش بمناسبة عدم تعارف تجسيم الشجر وتالييه</w:t>
      </w:r>
      <w:r>
        <w:rPr>
          <w:rStyle w:val="FootnoteAnchor"/>
          <w:rtl w:val="true"/>
        </w:rPr>
        <w:footnoteReference w:id="701"/>
      </w:r>
      <w:r>
        <w:rPr>
          <w:rFonts w:ascii="Amiri" w:hAnsi="Amiri" w:eastAsia="Amiri" w:cs="Amiri"/>
          <w:color w:val="111111"/>
          <w:sz w:val="28"/>
          <w:sz w:val="28"/>
          <w:szCs w:val="28"/>
          <w:rtl w:val="true"/>
          <w:lang w:bidi="ar-SA"/>
        </w:rPr>
        <w:t xml:space="preserve">، غير وجيهة ؛ لإمكان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المتعارف في تلك الأزمنة هو عمل الحجّاري وتصوير الأشياء بالحجر والجصّ بنحو التجسيم ، وأمّا النقش والرسم </w:t>
      </w:r>
    </w:p>
    <w:p>
      <w:pPr>
        <w:pStyle w:val="BookText"/>
        <w:rPr/>
      </w:pPr>
      <w:r>
        <w:rPr>
          <w:rFonts w:ascii="Amiri" w:hAnsi="Amiri" w:eastAsia="Amiri" w:cs="Amiri"/>
          <w:color w:val="111111"/>
          <w:sz w:val="28"/>
          <w:sz w:val="28"/>
          <w:szCs w:val="28"/>
          <w:rtl w:val="true"/>
          <w:lang w:bidi="ar-SA"/>
        </w:rPr>
        <w:t xml:space="preserve">فتعارفهما غير معلوم ، ولا أقلّ من عدم إحراز تعارف ترسيم المذكورات دون تجسّمها بنحو يوجب الانصراف ، فإنكار الإطلاق ضعيف 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بعض ما تقدّم يظهر الكلام في رواية أبي بصير عن أبي عبداللّه علیه السلام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جبرئيل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إنّ ربّك ينهى عن التماثيل</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لعدم معلومية متعلّق النهي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ما تقدّم أيضاً الكلام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في الصناعات المحلّلة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وصنعة صنوف التصاوير ما لم تكن مثل الروحاني</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الصنوف المحلّلة لا المحرّمة ، فلا إطلاق في عقد المستثنى يشمل المجسّمات وغيرها ، وسيأتي بيان معنى المثل واحتمال أن يكون المراد بها الأصنام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أظهر ما في الباب هو رواية الحسين بن زيد ، عن الصادق علیه السلام ، عن آبائه ، في حديث المناهي ،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ونهى أن ينقش شيء من الحيوان على الخاتم</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مضافاً إلى ضعف السند ، وعدم ذكر ألفاظ رسول اللّه‌ صلی الله علیه و آله وسلم في تلك</w:t>
      </w:r>
    </w:p>
    <w:p>
      <w:pPr>
        <w:pStyle w:val="BookText"/>
        <w:rPr/>
      </w:pPr>
      <w:r>
        <w:rPr>
          <w:rFonts w:ascii="IRNazanin" w:hAnsi="IRNazanin" w:eastAsia="IRNazanin"/>
          <w:color w:val="111111"/>
          <w:sz w:val="28"/>
          <w:sz w:val="28"/>
          <w:szCs w:val="28"/>
          <w:rtl w:val="true"/>
          <w:lang w:bidi="fa-IR"/>
        </w:rPr>
        <w:t xml:space="preserve">النواهي بل نقلت نواهيه بنحو الإجمال ، وهي مشتملة على المكروهات وغيرها ، فلا تدلّ على التحريم ، لا لأنّ السياق مانع عن استفادته حتّى يقال مضافاً إلى منع مانعيته إنّ نواهيه صلی الله علیه و آله وسلم  كانت متفرّقة وإنّما جمعها أبو عبداللّه علیه السلام في رواية واحدة ، بل لأنّ أبا عبداللّه علیه السلام لم ينقل ألفاظ رسول اللّه‌ صلی الله علیه و آله وسلم  ، وليس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عن كذا وكذا إلاّ إخباراً على سبيل الإجمال ، ومن الواضح أنّ رسول اللّه‌ صلی الله علیه و آله وسلم لم يقل في تلك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أنهاكم</w:t>
      </w:r>
    </w:p>
    <w:p>
      <w:pPr>
        <w:pStyle w:val="BookText"/>
        <w:rPr/>
      </w:pPr>
      <w:r>
        <w:rPr>
          <w:rFonts w:ascii="IRNazanin" w:hAnsi="IRNazanin" w:eastAsia="IRNazanin"/>
          <w:color w:val="111111"/>
          <w:sz w:val="28"/>
          <w:sz w:val="28"/>
          <w:szCs w:val="28"/>
          <w:rtl w:val="true"/>
          <w:lang w:bidi="fa-IR"/>
        </w:rPr>
        <w:t xml:space="preserve">عن كذا وأنهاكم عن كذا إلى آخرها ، بل كان له صلی الله علیه و آله وسلم نواهي مختلفة بألفاظ مختلفة ، بعضها على سبيل التحريم وبعضها على سبيل التنزيه ، حكاها أبو عبداللّه علیه السلام من غير ذكر ألفاظه ، فلا دلالة فيها على التحريم إلاّ في بعض فقراتها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المنهيّ عنه هو النقش على الخاتم ، وهو أمر آخر غير التصوير الذي نحن بصدده ؛ لإمكان أن يكون النقش عليه محرّماً أو مكروهاً لا لحرمة التصوير بل لمبغوضية انتقاشه ، نظير النهي عن زخرفة المساجد مثلاً أو إنشاد الشعر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يظهر الكلام في رواية أبي بصير 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جبرئيل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إنّ ربّك يقرئك السلام ، وينهى عن تزويق 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تزويق البيوت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تصاوير التماثيل</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جرّاح المدائني عنه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تبنوا على القبور ، ولا تصوّروا </w:t>
      </w:r>
    </w:p>
    <w:p>
      <w:pPr>
        <w:pStyle w:val="BookText"/>
        <w:rPr/>
      </w:pPr>
      <w:r>
        <w:rPr>
          <w:rFonts w:ascii="IRNazanin" w:hAnsi="IRNazanin" w:eastAsia="IRNazanin"/>
          <w:color w:val="111111"/>
          <w:sz w:val="28"/>
          <w:sz w:val="28"/>
          <w:szCs w:val="28"/>
          <w:rtl w:val="true"/>
          <w:lang w:bidi="fa-IR"/>
        </w:rPr>
        <w:t>سقوف البيوت ، فإنّ رسول اللّه‌ صلی الله علیه و آله وسلم  كره ذلك</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النهي عن تزويق البيوت وتصوير السقوف لا يدلّ على حرمة التصوير ، كما أنّ النهي عن البناء على القبور لا يدلّ على حرمة البناء أو كراهته ، وهذا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w:t>
      </w:r>
      <w:r>
        <w:rPr>
          <w:rStyle w:val="FootnoteAnchor"/>
          <w:rtl w:val="true"/>
        </w:rPr>
        <w:footnoteReference w:id="708"/>
      </w:r>
      <w:r>
        <w:rPr>
          <w:rFonts w:ascii="IRNazanin" w:hAnsi="IRNazanin" w:eastAsia="IRNazanin"/>
          <w:color w:val="111111"/>
          <w:sz w:val="28"/>
          <w:sz w:val="28"/>
          <w:szCs w:val="28"/>
          <w:rtl w:val="true"/>
          <w:lang w:bidi="fa-IR"/>
        </w:rPr>
        <w:t>على الإطلاق بموثّقة أبي العبّاس ، عن أبي عبداللّه علیه السلام في</w:t>
      </w:r>
    </w:p>
    <w:p>
      <w:pPr>
        <w:pStyle w:val="BookText"/>
        <w:rPr/>
      </w:pP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لَهُ مَا يَشَاءُ مِنْ مَحَارِيبَ وَتَمَاثِيلَ</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هي تماثيل الرجال والنساء ولكنّها الشجر وشبهه</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نقل قضيّة خارجية لم يتّضح أنّ التماثيل التي يعملون له هي المجسّمات أو غيرها ، ولا معنى لإطلاق قضيّة شخصية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التماثيل المذكورة على 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المجسّمات المعمولة من نحاس وشبه ورخام ونحوها </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إنكار أبي عبداللّه علیه السلام لا يدلّ على كونها محرّمة على سليمان النبي علیه السلام، بل لعلّها كانت مكروهة عليه كراهة شديدة لا يليق ارتكابها بمثل النبي ، فالتمسّك بها لإثبات المطلوب ضعيف جدّاً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رواية عبداللّه بن طلحة عن أبي عبداللّه علیه السلام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السحت</w:t>
      </w:r>
    </w:p>
    <w:p>
      <w:pPr>
        <w:pStyle w:val="BookText"/>
        <w:rPr/>
      </w:pP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يصوّرون التماثيل</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فمضافاً إلى ضعفها ، لا إطلاق فيها ؛ لأ نّها في مقام العدّ ولا إطلاق فيها في المعدود كما مرّ نظيره</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كون السحت راجعاً إلى بيعها أو عملها غير</w:t>
      </w:r>
    </w:p>
    <w:p>
      <w:pPr>
        <w:pStyle w:val="BookText"/>
        <w:rPr/>
      </w:pPr>
      <w:r>
        <w:rPr>
          <w:rFonts w:ascii="Amiri" w:hAnsi="Amiri" w:eastAsia="Amiri" w:cs="Amiri"/>
          <w:color w:val="111111"/>
          <w:sz w:val="28"/>
          <w:sz w:val="28"/>
          <w:szCs w:val="28"/>
          <w:rtl w:val="true"/>
          <w:lang w:bidi="ar-SA"/>
        </w:rPr>
        <w:t xml:space="preserve">متّضح ، كما أنّ سحتية أجر العمل لا تلازم حرمته ؛ لإمكان أن يكون عدم التقابل بالمال لجهة اُخرى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الرواية عندي حتّى أرى تتمّتها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مثلها لإثبات حكم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لا تصلح لذلك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وعمل الصور ، فإنّكم تسألون عنها يوم القيامة</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لضعف سندها ، بل لا يبعد ظهور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 المجسّمة وانصرافه عن ترسيمها ونقشها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ذلك عدم قيام دليل صالح لإثبات حرمة غير المجسّمات من ذوات الأرواح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على فرض إطلاقها وعمومها وشمول مثل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 مثالاً فكذا ، ومن صوّر صورة فكذا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تماثيل جميع الموجودات ، وأنّ ذكر النفخ فيها لمجرّد التعجيز لا للتناسب ، يوجب ذلك وهناً على المطلقات والعمومات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عدم ذكر المتعلّق فيها يدلّ على العموم ، وهذه العناوين ؛ أي التصوير والصورة والتمثال ، تصحّ إضافتها إلى كلّ موجود جسماني بل وروحاني وكذا إلى أجزاء وأعضاء كلّ موجود بل بعض أعضائه فيصدق تمثال الرأس وصورة الرجل واليد والشجر وساقه وورقه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يكون إخراج جميع الموجودات كلاًّ وبعضاً عن العمومات والإطلاقات وإبقاء الصور التامّة للحيوان فقط تحتها من التخصيص الكثير المستهجن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فيكشف ذلك عن قرائن حافّة بها حين الصدور خرجت بها عن الاستهجان ، والمتيقّن هو حرمة المجسّمات المدّعى عليها الإجماع</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ودعوى الانصراف إلى خصوص الصور التامّة أو خصوص صور الحيوانات ، كما ترى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رواية محمّد بن مروان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صورة من الحيوان يعذَّب حتّى ينفخ فيها وليس بنافخ فيها</w:t>
      </w:r>
      <w:r>
        <w:rPr>
          <w:rFonts w:eastAsia="Amiri" w:cs="Amiri" w:ascii="Amiri" w:hAnsi="Amiri"/>
          <w:color w:val="111111"/>
          <w:sz w:val="28"/>
          <w:szCs w:val="28"/>
          <w:rtl w:val="true"/>
          <w:lang w:bidi="ar-SA"/>
        </w:rPr>
        <w:t>»</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ضعيفة ؛ لاشتراك ابن مروان </w:t>
      </w:r>
      <w:bookmarkStart w:id="303" w:name="pg15158_207067"/>
    </w:p>
    <w:p>
      <w:pPr>
        <w:pStyle w:val="BookText"/>
        <w:rPr/>
      </w:pPr>
      <w:bookmarkEnd w:id="303"/>
      <w:r>
        <w:rPr>
          <w:rFonts w:ascii="IRNazanin" w:hAnsi="IRNazanin" w:eastAsia="IRNazanin"/>
          <w:color w:val="111111"/>
          <w:sz w:val="28"/>
          <w:sz w:val="28"/>
          <w:szCs w:val="28"/>
          <w:rtl w:val="true"/>
          <w:lang w:bidi="fa-IR"/>
        </w:rPr>
        <w:t>وعدم ثبوت وثاقته</w:t>
      </w:r>
      <w:r>
        <w:rPr>
          <w:rStyle w:val="FootnoteAnchor"/>
          <w:rtl w:val="true"/>
        </w:rPr>
        <w:footnoteReference w:id="717"/>
      </w:r>
      <w:r>
        <w:rPr>
          <w:rFonts w:ascii="Amiri" w:hAnsi="Amiri" w:eastAsia="Amiri" w:cs="Amiri"/>
          <w:color w:val="111111"/>
          <w:sz w:val="28"/>
          <w:sz w:val="28"/>
          <w:szCs w:val="28"/>
          <w:rtl w:val="true"/>
          <w:lang w:bidi="ar-SA"/>
        </w:rPr>
        <w:t xml:space="preserve">فلا يمكن إثبات الحكم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أنّ هذا الوجه قابل للمناقشة ، واللّه العالم </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851626_2142443653"/>
      <w:bookmarkStart w:id="305" w:name="_Toc104"/>
      <w:bookmarkEnd w:id="304"/>
      <w:r>
        <w:rPr>
          <w:rtl w:val="true"/>
        </w:rPr>
        <w:t xml:space="preserve">فروع </w:t>
      </w:r>
      <w:r>
        <w:rPr>
          <w:rtl w:val="true"/>
        </w:rPr>
        <w:t>:</w:t>
      </w:r>
      <w:bookmarkEnd w:id="305"/>
    </w:p>
    <w:p>
      <w:pPr>
        <w:pStyle w:val="Heading5"/>
        <w:numPr>
          <w:ilvl w:val="4"/>
          <w:numId w:val="1"/>
        </w:numPr>
        <w:rPr/>
      </w:pPr>
      <w:bookmarkStart w:id="306" w:name="__RefHeading___Toc1851628_2142443653"/>
      <w:bookmarkStart w:id="307" w:name="_Toc105"/>
      <w:bookmarkEnd w:id="306"/>
      <w:r>
        <w:rPr>
          <w:rtl w:val="true"/>
        </w:rPr>
        <w:t xml:space="preserve">الأوّل </w:t>
      </w:r>
      <w:r>
        <w:rPr>
          <w:rtl w:val="true"/>
        </w:rPr>
        <w:t xml:space="preserve">: </w:t>
      </w:r>
      <w:r>
        <w:rPr>
          <w:rtl w:val="true"/>
        </w:rPr>
        <w:t>حرمة تصوير الأصنام</w:t>
      </w:r>
      <w:bookmarkEnd w:id="307"/>
    </w:p>
    <w:p>
      <w:pPr>
        <w:pStyle w:val="BookText"/>
        <w:rPr/>
      </w:pPr>
      <w:r>
        <w:rPr>
          <w:rFonts w:ascii="Amiri" w:hAnsi="Amiri" w:eastAsia="Amiri" w:cs="Amiri"/>
          <w:color w:val="111111"/>
          <w:sz w:val="28"/>
          <w:sz w:val="28"/>
          <w:szCs w:val="28"/>
          <w:rtl w:val="true"/>
          <w:lang w:bidi="ar-SA"/>
        </w:rPr>
        <w:t xml:space="preserve">لا شبهة في حرمة تصوير الأصنام للعبادة بها أو لإبقاء آثار السلف الفاجر ، من غير فرق بين المجسّمة وغيرها ، ولا بين الإيجاد التسبيبي والمباشري ، ولا بين صور الروحانيين وغيرها ، ولا الحيوان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عمل صورة بعض أرباب الأنواع المتوهّمة التي كانت مورد تعبّدهم أو صورة شجرة كذائية كان حراماً مطلقاً ولا يجوز إبقاؤها واقتناؤها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لما نعلم من مذاق الشارع الأقدس أ نّه لا يرضى ببقاء آثار الكفر والشرك للتعظيم أو لحبّ بقاء آثارهما والفخر بها ، كما ترى من بعض أولاد الفرس من الحرص على إبقاء الآثار القديمة المربوطة بالمجوس وعبدة النيران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 جملة من الأخبار راجعة إلى هذه الناحية</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فالفروع الآتية إنّما هي في غير تلك الصور الخبيثة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 ذلك لما قدّمناه سابقاً من تجويز بيع الصنم الذي انقرض عصر عابديه وإنّما يشتريه بعض الناس لحفظ الآثار العتيقة</w:t>
      </w:r>
      <w:r>
        <w:rPr>
          <w:rStyle w:val="FootnoteAnchor"/>
          <w:rtl w:val="true"/>
        </w:rPr>
        <w:footnoteReference w:id="719"/>
      </w:r>
      <w:r>
        <w:rPr>
          <w:rFonts w:ascii="Amiri" w:hAnsi="Amiri" w:eastAsia="Amiri" w:cs="Amiri"/>
          <w:color w:val="111111"/>
          <w:sz w:val="28"/>
          <w:sz w:val="28"/>
          <w:szCs w:val="28"/>
          <w:rtl w:val="true"/>
          <w:lang w:bidi="ar-SA"/>
        </w:rPr>
        <w:t xml:space="preserve">؛ لأنّ المنظور في ذلك </w:t>
      </w:r>
    </w:p>
    <w:p>
      <w:pPr>
        <w:pStyle w:val="BookText"/>
        <w:rPr/>
      </w:pPr>
      <w:r>
        <w:rPr>
          <w:rFonts w:ascii="Amiri" w:hAnsi="Amiri" w:eastAsia="Amiri" w:cs="Amiri"/>
          <w:color w:val="111111"/>
          <w:sz w:val="28"/>
          <w:sz w:val="28"/>
          <w:szCs w:val="28"/>
          <w:rtl w:val="true"/>
          <w:lang w:bidi="ar-SA"/>
        </w:rPr>
        <w:t xml:space="preserve">المقام جواز المعاوضة عليه إن كان المقصود مجرّد ذلك ، لا حفظ شعار الأجداد ، كما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ينافيه بعض الروايات الواردة في الوسائد المنقوشة بالنقوش التي كانت</w:t>
      </w:r>
    </w:p>
    <w:p>
      <w:pPr>
        <w:pStyle w:val="BookText"/>
        <w:rPr/>
      </w:pPr>
      <w:r>
        <w:rPr>
          <w:rFonts w:ascii="Amiri" w:hAnsi="Amiri" w:eastAsia="Amiri" w:cs="Amiri"/>
          <w:color w:val="111111"/>
          <w:sz w:val="28"/>
          <w:sz w:val="28"/>
          <w:szCs w:val="28"/>
          <w:rtl w:val="true"/>
          <w:lang w:bidi="ar-SA"/>
        </w:rPr>
        <w:t>الأعاجم يعظّمها ، لو كان المراد منها صور أرباب الأنواع ونحوها ممّا كانت مورد تعظيمهم ، بعد ما لم يكن الحفظ للتعظيم بل للتحقير كما في الروايات أو لمجرّد استفادة التوسّد والافتراش</w:t>
      </w:r>
      <w:r>
        <w:rPr>
          <w:rStyle w:val="FootnoteAnchor"/>
          <w:rtl w:val="true"/>
        </w:rPr>
        <w:footnoteReference w:id="720"/>
      </w:r>
      <w:r>
        <w:rPr>
          <w:rFonts w:ascii="Amiri" w:hAnsi="Amiri" w:eastAsia="Amiri" w:cs="Amiri"/>
          <w:color w:val="111111"/>
          <w:sz w:val="28"/>
          <w:sz w:val="28"/>
          <w:szCs w:val="28"/>
          <w:rtl w:val="true"/>
          <w:lang w:bidi="ar-SA"/>
        </w:rPr>
        <w:t xml:space="preserve">، فإنّ الأحكام تختلف بالجهات والحيثيات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عدم معلومية كون النقوش من قبيلها أو من سلاطينهم أو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الأدلّة هو حرمة تصوير الصور وتمثيل المثال ، وهما لا يشملان إلاّ للمصنوع بيد الفاعل مباشرة؛ بمعنى صدور عمل التصوير منه وبيده ، كما كانت صنعة الصور كذلك في عصر صدور الروايات، فلا يشملان لإيجاد الصور كيف 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فرضت مكينة صنعت لإيجاد المجسّمات وباشر أحد لاتّصال القوّة الكهربائية بها فخرجت لأجلها الصور المجسّمة منها ، لم يفعل حراماً ولم تدلّ تلك الأدلّة على حرمته ؛ لعدم صدق تصوير الصور وتمثيل المثال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نسبا إليه كان بضرب من التأويل والتجوّز ، فإنّ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صوَّر 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تلك الأعصار صدورهما من قوّته الفاعلة ، فيكون هو المباشر لتصويرها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كتب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من أوجد الكتابة بالمطابع المتعارفة </w:t>
      </w:r>
    </w:p>
    <w:p>
      <w:pPr>
        <w:pStyle w:val="BookText"/>
        <w:rPr/>
      </w:pPr>
      <w:r>
        <w:rPr>
          <w:rFonts w:ascii="Amiri" w:hAnsi="Amiri" w:eastAsia="Amiri" w:cs="Amiri"/>
          <w:color w:val="111111"/>
          <w:sz w:val="28"/>
          <w:sz w:val="28"/>
          <w:szCs w:val="28"/>
          <w:rtl w:val="true"/>
          <w:lang w:bidi="ar-SA"/>
        </w:rPr>
        <w:t xml:space="preserve">أو أخذ الصورة منه ، فمباشر عمل المطبعة وأخذ الصور ليس كاتباً ولا كتب شيئاً ، كذلك صاحب المكينة العاملة للصور وكذا المصوّر ليسا مصوّرين وممثّلين للصور والمثل إلاّ بضرب من التأويل والتجوّز ، ولا يصار إليه إلاّ بدليل وقرينة ، من غير فرق بين الصور المنطبعة في الزجاجة والمنعكسة منها إلى الصحائف ، وإن كان عدم الصدق في الأوّل أوضح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وجود شيء مبغوضاً في الخارج كان إيجاده بأيّ نحو كذلك ، لاتّحاد الإيجاد والوجود ذاتاً، وإنّما اختلافهما بالاعتبار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لم يحرز في المقام ذلك ، بل سيأتي أنّ الأقوى جواز اقتناء الصور وعدم وجوب كسرها </w:t>
      </w:r>
      <w:r>
        <w:rPr>
          <w:rStyle w:val="FootnoteAnchor"/>
          <w:rtl w:val="true"/>
        </w:rPr>
        <w:footnoteReference w:id="721"/>
      </w:r>
      <w:r>
        <w:rPr>
          <w:rFonts w:ascii="Amiri" w:hAnsi="Amiri" w:eastAsia="Amiri" w:cs="Amiri"/>
          <w:color w:val="111111"/>
          <w:sz w:val="28"/>
          <w:sz w:val="28"/>
          <w:szCs w:val="28"/>
          <w:rtl w:val="true"/>
          <w:lang w:bidi="ar-SA"/>
        </w:rPr>
        <w:t xml:space="preserve">، فعليه لا دليل على حرمة إيجادها بأيّ نحو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يدّعى أنّ ذلك المدّعى لو تمّ في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صورة أو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في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الظاهر منه حرمة مثول المثال وهو شامل</w:t>
      </w:r>
    </w:p>
    <w:p>
      <w:pPr>
        <w:pStyle w:val="BookText"/>
        <w:rPr/>
      </w:pPr>
      <w:r>
        <w:rPr>
          <w:rFonts w:ascii="Amiri" w:hAnsi="Amiri" w:eastAsia="Amiri" w:cs="Amiri"/>
          <w:color w:val="111111"/>
          <w:sz w:val="28"/>
          <w:sz w:val="28"/>
          <w:szCs w:val="28"/>
          <w:rtl w:val="true"/>
          <w:lang w:bidi="ar-SA"/>
        </w:rPr>
        <w:t xml:space="preserve">للإيجاد ، أو مخصوص به ، أو يدّعى إلغاء الخصوصية عرفاً وفهم الإيجاد التسبيبي من الأدلّة بإلغائها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وهما أيضاً محلّ إشكال ومنع ؛ لأنّ الظهور المدّعى إنّما هو لهيئة الفعل؛ فإنّها ظاهرة في الإيجاد المباشري إلاّ مع قيام قرينة من غير فرق بين الموارد ، بل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مثّل صورة أو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تصوير الصورة وتمثيلها بقدرته وعلمه بذلك الصنع ، والمباشر لاتّصال القوّة بالمكينة أو لإلقاء الجصّ في القالب ربّما لا يكون مصوّراً وعالماً بالتصوير ولا قادراً عليه </w:t>
      </w:r>
      <w:r>
        <w:rPr>
          <w:rFonts w:eastAsia="Amiri" w:cs="Amiri" w:ascii="Amiri" w:hAnsi="Amiri"/>
          <w:color w:val="111111"/>
          <w:sz w:val="28"/>
          <w:szCs w:val="28"/>
          <w:rtl w:val="true"/>
          <w:lang w:bidi="ar-SA"/>
        </w:rPr>
        <w:t xml:space="preserve">. </w:t>
      </w:r>
      <w:bookmarkStart w:id="308" w:name="pg15158_207070"/>
    </w:p>
    <w:p>
      <w:pPr>
        <w:pStyle w:val="BookText"/>
        <w:rPr/>
      </w:pPr>
      <w:bookmarkEnd w:id="308"/>
      <w:r>
        <w:rPr>
          <w:rFonts w:ascii="Amiri" w:hAnsi="Amiri" w:eastAsia="Amiri" w:cs="Amiri"/>
          <w:color w:val="111111"/>
          <w:sz w:val="28"/>
          <w:sz w:val="28"/>
          <w:szCs w:val="28"/>
          <w:rtl w:val="true"/>
          <w:lang w:bidi="ar-SA"/>
        </w:rPr>
        <w:t xml:space="preserve">نعم ، في بعض الأحيان تقوم القرينة على التعميم ، أو على التخصيص بغير المباشرة ، وهو أمر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المتداول في التصوير والتمثيل تحصيلهما بمباشرة اليد وقدرة الصنع ، وربما يفعل بمثل المكائن والقوالب كما في هذا العصر ولم يكن ذلك أيضاً متداولاً في تلك الأعصار حتّى يكون التداول قرينة على إرادة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الأدلّة هو النحو الأوّل ، والتعميم يحتاج إلى دليل</w:t>
      </w:r>
    </w:p>
    <w:p>
      <w:pPr>
        <w:pStyle w:val="BookText"/>
        <w:rPr/>
      </w:pPr>
      <w:r>
        <w:rPr>
          <w:rFonts w:ascii="IRNazanin" w:hAnsi="IRNazanin" w:eastAsia="IRNazanin"/>
          <w:color w:val="111111"/>
          <w:sz w:val="28"/>
          <w:sz w:val="28"/>
          <w:szCs w:val="28"/>
          <w:rtl w:val="true"/>
          <w:lang w:bidi="fa-IR"/>
        </w:rPr>
        <w:t xml:space="preserve">وهو مفقود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ودعوى إلغاء الخصوصية أيضاً ممنوعة ، ولا أقلّ من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وجودها مبغوضاً كان الأمر كما ذكر ويأتي الكلام فيه ، ولكن الاحتياط بتركه مطلقاً لا ينبغي أن يترك </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1851630_2142443653"/>
      <w:bookmarkStart w:id="310" w:name="_Toc106"/>
      <w:bookmarkEnd w:id="309"/>
      <w:r>
        <w:rPr>
          <w:rtl w:val="true"/>
        </w:rPr>
        <w:t xml:space="preserve">الثاني </w:t>
      </w:r>
      <w:r>
        <w:rPr>
          <w:rtl w:val="true"/>
        </w:rPr>
        <w:t xml:space="preserve">: </w:t>
      </w:r>
      <w:r>
        <w:rPr>
          <w:rtl w:val="true"/>
        </w:rPr>
        <w:t>حكم تصوير الجنّ والشيطان والمَلَك</w:t>
      </w:r>
      <w:bookmarkEnd w:id="310"/>
    </w:p>
    <w:p>
      <w:pPr>
        <w:pStyle w:val="BookText"/>
        <w:rPr/>
      </w:pPr>
      <w:r>
        <w:rPr>
          <w:rFonts w:ascii="Amiri" w:hAnsi="Amiri" w:eastAsia="Amiri" w:cs="Amiri"/>
          <w:color w:val="111111"/>
          <w:sz w:val="28"/>
          <w:sz w:val="28"/>
          <w:szCs w:val="28"/>
          <w:rtl w:val="true"/>
          <w:lang w:bidi="ar-SA"/>
        </w:rPr>
        <w:t>هل تلحق صورة الجنّ والشيطان والمَلَك بالصورة الحيوانية أو لا ؟</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الأدلّة ذلك</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يمكن إنكار إطلاقها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في الأدلّة هو المستفيضة المشتملة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يكلّف أن ينفخ فيها وليس بنافخ</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xml:space="preserve">، وأمّا غيرها فقد تقدّم أنّ جملة </w:t>
      </w:r>
    </w:p>
    <w:p>
      <w:pPr>
        <w:pStyle w:val="BookText"/>
        <w:rPr/>
      </w:pPr>
      <w:r>
        <w:rPr>
          <w:rFonts w:ascii="Amiri" w:hAnsi="Amiri" w:eastAsia="Amiri" w:cs="Amiri"/>
          <w:color w:val="111111"/>
          <w:sz w:val="28"/>
          <w:sz w:val="28"/>
          <w:szCs w:val="28"/>
          <w:rtl w:val="true"/>
          <w:lang w:bidi="ar-SA"/>
        </w:rPr>
        <w:t>منها مربوطة بعمل تماثيل الهياكل المعبودة</w:t>
      </w:r>
      <w:r>
        <w:rPr>
          <w:rStyle w:val="FootnoteAnchor"/>
          <w:rtl w:val="true"/>
        </w:rPr>
        <w:footnoteReference w:id="724"/>
      </w:r>
      <w:r>
        <w:rPr>
          <w:rFonts w:ascii="Amiri" w:hAnsi="Amiri" w:eastAsia="Amiri" w:cs="Amiri"/>
          <w:color w:val="111111"/>
          <w:sz w:val="28"/>
          <w:sz w:val="28"/>
          <w:szCs w:val="28"/>
          <w:rtl w:val="true"/>
          <w:lang w:bidi="ar-SA"/>
        </w:rPr>
        <w:t xml:space="preserve">، وجملة اُخرى لا إطلاق فيها ، ولو وجد فيها ما له إطلاق فضعيف سنداً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المستفيضة المشار إليها ، فالظاهر منها أنّ المحرّم هو تمثال موجود يكون نحو إيجادها بالتصوير والنفخ كالإنسان وسائر الحيوانات ، فمع تصوير صورة حيوانية وتتميم تصويرها وبقاء نفخ الروح فيها ولو بنحو من المسامحة ، كأ نّه تشبّه بالخالق في مصوّريته ما في الأرحام ، فيقال 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المصوّر ، انفخ فيها كما نفخ اللّه تعالى في الصور بعد تسويتها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مثل الجنّ والشيطان والملك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تكون كيفية إيجادها بغير التصوير والتخليق التدريجيين ، وبغير التسوية والنفخ ، بل إيجادها بدعية دفعية سواء قيل بكونها مجرّدة أم لا ، ولا يكون فيها نفخ روح كما في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فخارج عن مساق تلك الأخبار التي هي المعتمدة في حرمة عمل المجسّمات ، لاستفاضتها واعتبار أسناد بعضها كمرسلة ابن أبي عمير</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أنّ المظنون بل الظاهر من مجموع الروايات أنّ وجه تحريم الصور والتماثيل هو التشبّه بالخالق جلّت قدرته في المصوّرية التي هي من صفاته الخاصّة ، والتصوير الخيالي من المذكورات ليس تشبّهاً به تعالى ؛ لأ نّه لم يصوّرها كذلك حتّى يكون التصوير تشبّهاً به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صار شبيهاً به في مطلق التصوير ، وهو كما ترى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يلزم ممّا ذكرناه الالتزام بجواز تصوير حيوان غير موجود ، كالعنقاء مثلاً ، أو مخلوق ذي رؤوس عديدة ؛ لأ نّا لا نقول باختصاص الأدلّة بالحيوانات الموجودة في الخارج ، بل نقول باختصاصها بما يكون موجوديته كموجودية الحيوانات بالتخليق والتصوير ، والمذكورات ليست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الالتزام بعدم الحرمة في بعض مصاديق مورد النقض ليس ببعيد وليس بتالي 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التمسّك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صور الروحاني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من الملائكة وغيرها ، حيث قال فيها في تفسير الصناعات المحلّلة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وصنعة صنوف التصاوير ما لم يكن مثل الروحاني</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أنّ الظاهر منها حرمة مطلق مثل الروحاني ، بل الظاهر خروج الإنسان والحيوانات منها ، فإنّ الروحاني ظاهر في موجود غلبت جهة الروح فيه ، والألف والنون من زيادات النسب ، فالروحاني مقابل الجسماني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رواية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العقل ، وهو أوّل خلق من الروحانيين</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المجلسي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يطلق الروحاني على الأجسام اللطيفة وعلى الجواهر المجرّدة إن قيل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 الروحانيون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يروى بضمّ الراء وفتحها ، كأ نّه نسب إلى الرُوح والرَوح </w:t>
      </w:r>
    </w:p>
    <w:p>
      <w:pPr>
        <w:pStyle w:val="BookText"/>
        <w:rPr/>
      </w:pPr>
      <w:r>
        <w:rPr>
          <w:rFonts w:ascii="Amiri" w:hAnsi="Amiri" w:eastAsia="Amiri" w:cs="Amiri"/>
          <w:color w:val="111111"/>
          <w:sz w:val="28"/>
          <w:sz w:val="28"/>
          <w:szCs w:val="28"/>
          <w:rtl w:val="true"/>
          <w:lang w:bidi="ar-SA"/>
        </w:rPr>
        <w:t>وهو نسيم الريح ، والألف والنون من زيادات النسب ، ويراد به أجسام لطيفة لا يدركها البصر</w:t>
      </w:r>
      <w:r>
        <w:rPr>
          <w:rStyle w:val="FootnoteAnchor"/>
          <w:rtl w:val="true"/>
        </w:rPr>
        <w:footnoteReference w:id="729"/>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xml:space="preserve">نحو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أبو الخطّاب أ نّه سمع من العرب من يقول في النسبة إلى الملائكة والجنّ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رُوحاني ، بضمّ الراء ، والجمع روحانيون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أبو عبيدة أنّ العرب تقوله لكلّ شيء فيه الروح</w:t>
      </w:r>
      <w:r>
        <w:rPr>
          <w:rStyle w:val="FootnoteAnchor"/>
          <w:rtl w:val="true"/>
        </w:rPr>
        <w:footnoteReference w:id="732"/>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فالمتفاهم منه ولو انصرافاً غير الحيوانات بل والإنسان ، وإنّما يطلق على علماء الشرائع بدعوى غلبة الجهات الروحية فيهم كأ نّهم ليسوا من عالم الأجسام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 تدلّ الرواية على حرمة تصوير الروحانيين الغائبين عن الحواسّ مطلقاً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يمكن المناقشة فيه بعد الغضّ عن سندها واغتشاش متنها ، بأنّ الظاهر من مجموعها صدراً وذيلاً في تفسير الصناعات أنّ المراد بمثل الروحاني مثل هياكل العبادة ؛ لأنّ المذكور في جميع فقرات الرواية من ملاك الحلّية والحرمة ، هو كون الشيء صلاحاً للعباد ، أو كان فيه وجه من وجوه الصلاح ، أو كون الشيء فساداً محضاً ، أو فيه جهة فساد ، وأنّ ما فيه جهة صلاح </w:t>
      </w:r>
    </w:p>
    <w:p>
      <w:pPr>
        <w:pStyle w:val="BookText"/>
        <w:rPr/>
      </w:pPr>
      <w:r>
        <w:rPr>
          <w:rFonts w:ascii="Amiri" w:hAnsi="Amiri" w:eastAsia="Amiri" w:cs="Amiri"/>
          <w:color w:val="111111"/>
          <w:sz w:val="28"/>
          <w:sz w:val="28"/>
          <w:szCs w:val="28"/>
          <w:rtl w:val="true"/>
          <w:lang w:bidi="ar-SA"/>
        </w:rPr>
        <w:t xml:space="preserve">وجهة فساد لا يحرم إلاّ إذا صرف في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فيستفاد منها أنّ مثل الروحانيين التي فيها الفساد من جهة عبادة الناس إيّاها وتعظيمها المنافية للتوحيد والتنزيه محرّم صنعتها ، وأمّا ما ينتفع الناس بها ولو في التزيين وسائر الأغراض العقلائية كتماثيل الموجودات كانت روحانيين أم لا فهي محلّلة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سائر فقرات الرواية حاكمة على تلك الفقرة ومفسّرة إيّاها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الاحتمال ذكر الأصنام والصلبان في الضابطة التي ذكرت مقابلة ضابط الحلّية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حرّم اللّه الصناعة التي حرام هي كلّها التي يجيء منها الفساد محضاً ، نظير البرابط والمزامير والشطرنج وكلّ ملهوّ به والصلبان والأصنام وما أشبه ذلك من صناعات الأشربة الحرام </w:t>
      </w:r>
      <w:r>
        <w:rPr>
          <w:rFonts w:eastAsia="Amiri" w:cs="Amiri" w:ascii="Amiri" w:hAnsi="Amiri"/>
          <w:color w:val="111111"/>
          <w:sz w:val="28"/>
          <w:szCs w:val="28"/>
          <w:rtl w:val="true"/>
          <w:lang w:bidi="ar-SA"/>
        </w:rPr>
        <w:t>. . .»</w:t>
      </w:r>
      <w:r>
        <w:rPr>
          <w:rStyle w:val="FootnoteAnchor"/>
          <w:rtl w:val="true"/>
        </w:rPr>
        <w:footnoteReference w:id="733"/>
      </w:r>
      <w:r>
        <w:rPr>
          <w:rFonts w:ascii="IRNazanin" w:hAnsi="IRNazanin" w:eastAsia="IRNazanin"/>
          <w:color w:val="111111"/>
          <w:sz w:val="28"/>
          <w:sz w:val="28"/>
          <w:szCs w:val="28"/>
          <w:rtl w:val="true"/>
          <w:lang w:bidi="fa-IR"/>
        </w:rPr>
        <w:t xml:space="preserve">إلى آخر فقراتها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والإنصاف أ نّها قاصرة عن إثبات الحرمة لمطلق صور الروحاني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تتمّة لفقه الحديث</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على فرض تسليم دلالتها على حرمة مطلق مثل الروحاني ، فلا شبهة في عدم شمولها للحيوان والإنسان كما تقدّم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يكون مقتضى الجمع بين منطوقها وبين ذيل صحيحة ابن مسلم</w:t>
      </w:r>
      <w:r>
        <w:rPr>
          <w:rStyle w:val="FootnoteAnchor"/>
          <w:rtl w:val="true"/>
        </w:rPr>
        <w:footnoteReference w:id="735"/>
      </w:r>
      <w:r>
        <w:rPr>
          <w:rFonts w:ascii="Amiri" w:hAnsi="Amiri" w:eastAsia="Amiri" w:cs="Amiri"/>
          <w:color w:val="111111"/>
          <w:sz w:val="28"/>
          <w:sz w:val="28"/>
          <w:szCs w:val="28"/>
          <w:rtl w:val="true"/>
          <w:lang w:bidi="ar-SA"/>
        </w:rPr>
        <w:t xml:space="preserve">أنّ تصاوير غير الروحاني مكروه ، ومقتضى الجمع بين مفهوم الرواية </w:t>
      </w:r>
    </w:p>
    <w:p>
      <w:pPr>
        <w:pStyle w:val="BookText"/>
        <w:rPr/>
      </w:pPr>
      <w:r>
        <w:rPr>
          <w:rFonts w:ascii="Amiri" w:hAnsi="Amiri" w:eastAsia="Amiri" w:cs="Amiri"/>
          <w:color w:val="111111"/>
          <w:sz w:val="28"/>
          <w:sz w:val="28"/>
          <w:szCs w:val="28"/>
          <w:rtl w:val="true"/>
          <w:lang w:bidi="ar-SA"/>
        </w:rPr>
        <w:t xml:space="preserve">ومنطوق الصحيحة حرمة تصوير الروحاني ؛ لأخصّية المفهوم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الالتزام بكراهة غير الروحاني مخالف للإجماع</w:t>
      </w:r>
      <w:r>
        <w:rPr>
          <w:rStyle w:val="FootnoteAnchor"/>
          <w:rtl w:val="true"/>
        </w:rPr>
        <w:footnoteReference w:id="736"/>
      </w:r>
      <w:r>
        <w:rPr>
          <w:rFonts w:ascii="Amiri" w:hAnsi="Amiri" w:eastAsia="Amiri" w:cs="Amiri"/>
          <w:color w:val="111111"/>
          <w:sz w:val="28"/>
          <w:sz w:val="28"/>
          <w:szCs w:val="28"/>
          <w:rtl w:val="true"/>
          <w:lang w:bidi="ar-SA"/>
        </w:rPr>
        <w:t xml:space="preserve">والروايات المتضافرة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الجمع بين الروايات 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تصوير الروحاني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ومطلق الحيوان محرّم ؛ لأنّ مفهوم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منطوق صحيحة ابن مسلم فيقيّده ، ومفاد الروايات المتقدّمة المخصوصة بالحيوانات أخصّ من منطوق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عدّ فيها من المحلّلات جميع صنوف التصاوير عدا الروحاني فيقيّد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فيصير حاصل المجموع حرمة تصاوير ذوات الأرواح من الروحاني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جميع ذلك فرع جواز الاعتماد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حكم وهو ممنوع ، فعليه تكون حرمة تصوير الروحانيين بلا دليل ، بل دلّت صحيحة ابن مسلم على جوازه ، بل لا يبعد دلالة رواية محمّد بن مروان</w:t>
      </w:r>
      <w:r>
        <w:rPr>
          <w:rStyle w:val="FootnoteAnchor"/>
          <w:rtl w:val="true"/>
        </w:rPr>
        <w:footnoteReference w:id="737"/>
      </w:r>
      <w:r>
        <w:rPr>
          <w:rFonts w:ascii="Amiri" w:hAnsi="Amiri" w:eastAsia="Amiri" w:cs="Amiri"/>
          <w:color w:val="111111"/>
          <w:sz w:val="28"/>
          <w:sz w:val="28"/>
          <w:szCs w:val="28"/>
          <w:rtl w:val="true"/>
          <w:lang w:bidi="ar-SA"/>
        </w:rPr>
        <w:t xml:space="preserve">عليه ، بناءً على حجّية مفهوم القيد في مثل المقام ؛ لأنّ الحيوان مخصوص أو منصرف إلى غير الملائكة والجنّ والشيطان بلا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لولا كون الحكم في تصوير الإنسان من المسلّمات لكان للمناقشة فيه أيضاً مجال ، لانصراف الحيوان عنه أيضاً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والعلم بحرمة تصوير الإنسان وعدم الفصل بينه وبين الحيوانات ، لا يوجب كون المراد من الحيوان ما هو مصطلح قوم أو مطلق ذي الروح أو كون ذكره في </w:t>
      </w:r>
    </w:p>
    <w:p>
      <w:pPr>
        <w:pStyle w:val="BookText"/>
        <w:rPr/>
      </w:pPr>
      <w:r>
        <w:rPr>
          <w:rFonts w:ascii="IRNazanin" w:hAnsi="IRNazanin" w:eastAsia="IRNazanin"/>
          <w:color w:val="111111"/>
          <w:sz w:val="28"/>
          <w:sz w:val="28"/>
          <w:szCs w:val="28"/>
          <w:rtl w:val="true"/>
          <w:lang w:bidi="fa-IR"/>
        </w:rPr>
        <w:t>الأخبار لمطلق التمثيل كما قرّبه السيّد  رحمه الله علیه  في حاشيته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قال من أنّ المتعارف من تصوير الجنّ والملائكة ما هو بشكل واحد من الحيوانات ، فيحرم من هذه الجهة ، بناءً على عدم اعتبار قصد كونه حيواناً مع فرض العلم بكونه صورة له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اختاره من اعتبار القصد في صور المشتركات وليس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الصور المتعارفة من تصويرهما ممتازة عرفاً عن صور الحيوانات وإن كانت شبيهة من بعض الوجوه بالإنسان ، لكن العرف يراها غير صورة الإنسان ، ففرق بين كون صورة للإنسان أو لموجود آخر شبيه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والصور المعمولة من قبيل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التشبّث برواية أبي العبّاس ففيه ما لا يخفى ، وقد تقدّم الكلام فيها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فالأقوى عدم الحرمة وإن كان الاحتياط لا ينبغي أن يترك ؛ لاحتمال إطلاق بعض الأخبار أو فهم المناط منها أو إلغاء الخصوصية أو كون المراد بالحيوان مطلق ذي الروح ولو لمناسبات ، أو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فرض ما صوّر يكون مثالاً لحيوان أو الإنسان فإن قلنا بحصول التميّز بينهما بالقصد كتميّز سائر المشتركات كما لا يبعد ، فيتبع الحكم القصد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قصدهما وقلنا بصدق العنوانين عليها ، أو قصد نفس الصورة الخارجية بلا قصد عنوان وقلنا بانطباقهما عليها ، أو قلنا بعدم اعتبار القصد والانطباق </w:t>
      </w:r>
    </w:p>
    <w:p>
      <w:pPr>
        <w:pStyle w:val="BookText"/>
        <w:rPr/>
      </w:pPr>
      <w:r>
        <w:rPr>
          <w:rFonts w:ascii="Amiri" w:hAnsi="Amiri" w:eastAsia="Amiri" w:cs="Amiri"/>
          <w:color w:val="111111"/>
          <w:sz w:val="28"/>
          <w:sz w:val="28"/>
          <w:szCs w:val="28"/>
          <w:rtl w:val="true"/>
          <w:lang w:bidi="ar-SA"/>
        </w:rPr>
        <w:t xml:space="preserve">عليها قهري ، فالأقوى حرمتها من حيث انطباق عنوان الحيوان عليها في جميع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المورد من قبيل تزاحم المقتضيات ولا تعارض الأدلّة ؛ لأنّ الحكمين على عنوانين بينهما عموم من وجه ، أمّا على ما قلناه من امتياز الصور المتعارفة للملائكة والجنّ عن صورة الحيوان والإنسان ، فواضح ، وكذا على ما ذكره السيّد الطباطبائي</w:t>
      </w:r>
      <w:r>
        <w:rPr>
          <w:rStyle w:val="FootnoteAnchor"/>
          <w:rtl w:val="true"/>
        </w:rPr>
        <w:footnoteReference w:id="741"/>
      </w:r>
      <w:r>
        <w:rPr>
          <w:rFonts w:ascii="Amiri" w:hAnsi="Amiri" w:eastAsia="Amiri" w:cs="Amiri"/>
          <w:color w:val="111111"/>
          <w:sz w:val="28"/>
          <w:sz w:val="28"/>
          <w:szCs w:val="28"/>
          <w:rtl w:val="true"/>
          <w:lang w:bidi="ar-SA"/>
        </w:rPr>
        <w:t>من أنّ الصور المتعارفة من قبيل صورة الإنسان ، لكنّه</w:t>
      </w:r>
    </w:p>
    <w:p>
      <w:pPr>
        <w:pStyle w:val="BookText"/>
        <w:rPr/>
      </w:pPr>
      <w:r>
        <w:rPr>
          <w:rFonts w:ascii="Amiri" w:hAnsi="Amiri" w:eastAsia="Amiri" w:cs="Amiri"/>
          <w:color w:val="111111"/>
          <w:sz w:val="28"/>
          <w:sz w:val="28"/>
          <w:szCs w:val="28"/>
          <w:rtl w:val="true"/>
          <w:lang w:bidi="ar-SA"/>
        </w:rPr>
        <w:t xml:space="preserve">تصوّر صورة غير حيواني للملائكة والجنّ ، وعلى أيّ تقدير بين العنوانين عموم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لا منافاة ولا مزاحمة بين الدليلين ، فعنوان صورة الملائكة حلال ، وعنوان صورة الحيوان حرام ، وانطباق العنوانين بسوء اختيار المكلّف ، فالصورة الخارجية مجمع العنوانين ، ومحرّمة من حيث ، ومحلّلة من حيث أو حيثيات ، من غير تزاحم أو تعارض ، نظير شرب الماء المغصوب ، فإنّه من حيث شرب الماء ليس بمحرّم ، ومن حيث التصرّف في مال الغير أو إتلافه حرام ، كما أنّ شرب المائع النجس المغصوب محرّم من جهتين ، فما في حاشية السيّد المتقدّم لا يخلو من خلط وإشكال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بينهما تلازم؛ بمعنى عدم انفكاك صورة الملك عن صورة الحيوان في المقام ، ودلّ دليل بالخصوص على جواز تصوير الملائكة ، ودليل على حرمة تصوير الحيوان الذي يشترك معها في الصورة ، يقع التعارض بين </w:t>
      </w:r>
      <w:bookmarkStart w:id="311" w:name="pg15158_207078"/>
    </w:p>
    <w:p>
      <w:pPr>
        <w:pStyle w:val="BookText"/>
        <w:rPr/>
      </w:pPr>
      <w:bookmarkEnd w:id="311"/>
      <w:r>
        <w:rPr>
          <w:rFonts w:ascii="Amiri" w:hAnsi="Amiri" w:eastAsia="Amiri" w:cs="Amiri"/>
          <w:color w:val="111111"/>
          <w:sz w:val="28"/>
          <w:sz w:val="28"/>
          <w:szCs w:val="28"/>
          <w:rtl w:val="true"/>
          <w:lang w:bidi="ar-SA"/>
        </w:rPr>
        <w:t xml:space="preserve">الدليلين وهو خارج عمّا نحن فيه ومجرّد 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لو فرض دليل على حرمة صورة مطلق الحيوان ، ودليل على جواز صورة الملك ولا تكون صورته إلاّ صورة حيوان خاصّ ، يخصّص دليل الحرمة بدليل الجواز الملازم لجواز تصوير الحيوان الذي تلازم صورته للملك </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1851632_2142443653"/>
      <w:bookmarkStart w:id="313" w:name="_Toc107"/>
      <w:bookmarkEnd w:id="312"/>
      <w:r>
        <w:rPr>
          <w:rtl w:val="true"/>
        </w:rPr>
        <w:t xml:space="preserve">الثالث </w:t>
      </w:r>
      <w:r>
        <w:rPr>
          <w:rtl w:val="true"/>
        </w:rPr>
        <w:t xml:space="preserve">: </w:t>
      </w:r>
      <w:r>
        <w:rPr>
          <w:rtl w:val="true"/>
        </w:rPr>
        <w:t>حكم ما لو اشترك اثنان أو أكثر في عمل صورة</w:t>
      </w:r>
      <w:bookmarkEnd w:id="313"/>
    </w:p>
    <w:p>
      <w:pPr>
        <w:pStyle w:val="BookText"/>
        <w:rPr/>
      </w:pPr>
      <w:r>
        <w:rPr>
          <w:rFonts w:ascii="Amiri" w:hAnsi="Amiri" w:eastAsia="Amiri" w:cs="Amiri"/>
          <w:color w:val="111111"/>
          <w:sz w:val="28"/>
          <w:sz w:val="28"/>
          <w:szCs w:val="28"/>
          <w:rtl w:val="true"/>
          <w:lang w:bidi="ar-SA"/>
        </w:rPr>
        <w:t xml:space="preserve">لو اشترك اثنان أو أكثر في عمل صورة ، فالظاهر قصور الأدلّة عن إثبات الحرمة لفعل كلّ من الفاعلين أو أكثر بعد عدم صدق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واحد منهما بلا ريب ؛ ضرورة أنّ التمثال والصورة عبارة عن مجموع الصورة الخارجية ، والأجزاء لا تكون تمثالاً لحيوان ولا صورة له ، والفاعل للجزء لا يكون مصوّراً للحيوان ، من غير فرق بين اشتغالهما بتصويره من الأوّل إلى الآخر أو تصوير أحدهما نصفه والآخر نصفه الآخر ، أو عمل واحد منهما الأجزاء وتركيب الآخر بينها ؛ لعدم الصدق في شيء منها ، فإنّ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كون صدور الصورة ؛ أي هذا الموجود الخارجي الذي يقال له التمثال ، من فاعل ، والفرض عدم صدورها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نظير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شعراً ، أو من كتب سطراً ، أو من مشى من بلده إلى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أن يكون المراد بهما ، أ نّه من أوجد هيئة الصورة أو هيئة المثال وهو صادق على من أتمّهما ، إمّا بإتيان النصف الباقي ، أو بتركيب الأجزاء ، بعيد عن ظاهر اللفظ ومخالف للمتفاهم من الأخبار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 xml:space="preserve">الأشخاص الخارجية، بل المراد أشخاص الفاعلين ، وفي المفروض أنّ الصورة صادرة من فاعل مختار قاصد وهو مجموع الاثنين ، فهما فاعل واحد ومصوّر واحد ، وذلك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 ومن ردّ عبدي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صادق على الواحد والاثنين ، ولا يلزم منه استعمال اللفظ في أكثر من معنىً واحد بتوهّم أنّ المراد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شخص وكلّ شخصين وهكذا ، وذلك لأنّ المراد كلّ شخص فاعل ، فكأ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فاعل ، والفاعل يصدق على الاثنين والواحد ؛ بمعنى أنّ الاثنين فاعل واحد فلا يكون مستعملاً في الوحدات والاثنينات</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بين العامّ الاستغراقي والمجموعي في كلام واحد وحكم واحد لا يمكن ؛ فإنّ الاستغراق الملازم للانحلال يتقوّم بعدم لحاظ الوحدة بين الأشخاص ، والعامّ المجموعي متقوّم بلحاظها ، ففي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إن لم يلحظ في تعلّق الحكم وحدة الموضوع ولم يعتبر المجموع واحداً ، ينحلّ إلى أحكام عديدة حسب تعدّد الأفراد ، وإن لوحظت الوحدة والاجتماع يكون حكم واحد لموضوع واحد ، ولا يعقل الجمع بين المجموعي والاستغراقي ، أي لحاظ الوحدة وعدم لحاظها ، هذا في المتعلّق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في المكلّف ، ففي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 xml:space="preserve">إمّا أن لا يلاحظ كون المؤمنين نفساً واحدة ، فيكون كلّ مؤمن مكلّفاً بالوفاء ، وإمّا أن يلاحظ ذلك ، فلايمكن الانحلال إلى أحكام كثيرة حسب تعدّد المؤمنين ؛ </w:t>
      </w:r>
    </w:p>
    <w:p>
      <w:pPr>
        <w:pStyle w:val="BookText"/>
        <w:rPr/>
      </w:pPr>
      <w:r>
        <w:rPr>
          <w:rFonts w:ascii="Amiri" w:hAnsi="Amiri" w:eastAsia="Amiri" w:cs="Amiri"/>
          <w:color w:val="111111"/>
          <w:sz w:val="28"/>
          <w:sz w:val="28"/>
          <w:szCs w:val="28"/>
          <w:rtl w:val="true"/>
          <w:lang w:bidi="ar-SA"/>
        </w:rPr>
        <w:t xml:space="preserve">لأنّ المكلّف حينئذٍ يكون عنواناً واحداً هو مجموع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ما نحن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 كلّ فاعل مستقلاًّ في فعله وفاعلاً لجزء من الصورة ، ولا يمكن أن يكون الاثنان أو أكثر واحداً إلاّ مع اعتبار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تعتبر الوحدة في من يكون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عنه أو لا ، فعلى الأوّل لا يعقل جعل الحكم استقلالاً ، وعلى الثاني لا يعقل جعله للمجموع ، والجمع بينهما جمع بين اللحاظين المتنافي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توهّم جعل الحكم على الأشخاص الفاعلين أو على عنوان الفاعل لا يصحّح ذلك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للصورة كذا ، يأتي فيه ما ذكرناه من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والمثالان المذكوران نقضاً أي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نحن فيه في عدم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تقوم قرينة على عدم الفرق بينهما وقد يعلم بحصول المناط في الصورتين وهو أمر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يناقش فيما ذكرناه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منطبق على الأفراد والوحدات الحقيقية قهراً ، وإذا لوحظ الاجتماع في الوحدات ينطبق على الوحدات الاعتبارية لأجل الاعتبار ، كما في ادّعاء كون الشجاع أسداً وإطلاق الأسد على معناه ، فينطبق على الفرد الحقيقي والادّعائي ، ففي المقام لا يحتاج الانطباق على الأفراد الحقيقية إلى لحاظ ، والأفراد الاعتبارية إنّما تحتاج إليه ، ولا يضرّ لحاظ الاجتماع لتحقّق الأفراد الاعتبارية زائدة على الأفراد الحقيقية بالانحلال ، ففي الحقيقة يكون اللحاظ موجباً لتوسعة دائرة الانحلال لا للجمع بين اللحاظين المتنافي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على فرض صحّته ثبوتاً يحتاج إلى تكلّف وتعسّف وقيام قرينة ، وهي مفقودة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وأمثالها من قبيل المطلق لا العامّ ، </w:t>
      </w:r>
    </w:p>
    <w:p>
      <w:pPr>
        <w:pStyle w:val="BookText"/>
        <w:rPr/>
      </w:pPr>
      <w:r>
        <w:rPr>
          <w:rFonts w:ascii="Amiri" w:hAnsi="Amiri" w:eastAsia="Amiri" w:cs="Amiri"/>
          <w:color w:val="111111"/>
          <w:sz w:val="28"/>
          <w:sz w:val="28"/>
          <w:szCs w:val="28"/>
          <w:rtl w:val="true"/>
          <w:lang w:bidi="ar-SA"/>
        </w:rPr>
        <w:t xml:space="preserve">فلا يراد بها الأفراد حتّى يأتي فيها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جعل الحكم للعنوان وإيجاد أفراد اعتبارية له في التشريع بنحو الحكومة ، لكنّه يحتاج إلى اعتبار مستأنف زائداً على مفاد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وإن كان غير ممتنع لكنّه غير ثابت ؛ ضرورة أنّ الظاهر من الأخبار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الأشخاص الحقيقية ، لا الأعمّ منها والاعتبارية ، كما اعترف به صاحب المقالة المتقدّمة لكنّه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المناط موجود فيما نحن فيه أيضاً</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 xml:space="preserve">وهو كما ترى ؛ لأنّ المناط غير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يمكن أن يستشعر من الروايات من أ نّه مضادّ للّه تعالى في مصوّريته ، فيمكن أن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 الفاعلين لم يفعل ما يضادّ اللّه تعالى، فإنّه</w:t>
      </w:r>
    </w:p>
    <w:p>
      <w:pPr>
        <w:pStyle w:val="BookText"/>
        <w:rPr/>
      </w:pPr>
      <w:r>
        <w:rPr>
          <w:rFonts w:ascii="Amiri" w:hAnsi="Amiri" w:eastAsia="Amiri" w:cs="Amiri"/>
          <w:color w:val="111111"/>
          <w:sz w:val="28"/>
          <w:sz w:val="28"/>
          <w:szCs w:val="28"/>
          <w:rtl w:val="true"/>
          <w:lang w:bidi="ar-SA"/>
        </w:rPr>
        <w:t xml:space="preserve">تعالى مصوّر الصورة المنفوخة فيها ، وكلّ من الفاعلين لم يفعل ذلك والمجموع منهما ليسا شخصاً واحداً مضادّاً له تعالى ، مع أنّ في كون المناط ذلك بحيث يكون كالعلّة في التعميم والتخصيص منعاً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وأسوأ منه توهّم إلغاء الخصوصية عرفاً ، سيّما مع ما في الأخبار من أ نّه يؤمر بالنفخ ، الظاهر منه أنّ المصوّر شخص واحد بخصوصية كونه مصوّراً وهي منفيّة في المقام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التشبّث</w:t>
      </w:r>
      <w:r>
        <w:rPr>
          <w:rStyle w:val="FootnoteAnchor"/>
          <w:rtl w:val="true"/>
        </w:rPr>
        <w:footnoteReference w:id="745"/>
      </w:r>
      <w:r>
        <w:rPr>
          <w:rFonts w:ascii="IRNazanin" w:hAnsi="IRNazanin" w:eastAsia="IRNazanin"/>
          <w:color w:val="111111"/>
          <w:sz w:val="28"/>
          <w:sz w:val="28"/>
          <w:szCs w:val="28"/>
          <w:rtl w:val="true"/>
          <w:lang w:bidi="fa-IR"/>
        </w:rPr>
        <w:t xml:space="preserve">ببعض الأخبار لإثبات الحكم بالنسبة إلى الاثنين وأكثر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عن تزويق البيوت</w:t>
      </w:r>
      <w:r>
        <w:rPr>
          <w:rFonts w:eastAsia="IRNazanin" w:cs="IRNazanin"/>
          <w:color w:val="111111"/>
          <w:sz w:val="28"/>
          <w:szCs w:val="28"/>
          <w:rtl w:val="true"/>
          <w:lang w:bidi="fa-IR"/>
        </w:rPr>
        <w:t>»</w:t>
      </w:r>
      <w:r>
        <w:rPr>
          <w:rStyle w:val="FootnoteAnchor"/>
          <w:rtl w:val="true"/>
        </w:rPr>
        <w:footnoteReference w:id="746"/>
      </w:r>
      <w:r>
        <w:rPr>
          <w:rFonts w:ascii="Amiri" w:hAnsi="Amiri" w:eastAsia="Amiri" w:cs="Amiri"/>
          <w:color w:val="111111"/>
          <w:sz w:val="28"/>
          <w:sz w:val="28"/>
          <w:szCs w:val="28"/>
          <w:rtl w:val="true"/>
          <w:lang w:bidi="ar-SA"/>
        </w:rPr>
        <w:t xml:space="preserve">، بدعوى أ نّه أعمّ من أن يكون صادراً عن واحد وما زاد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وصنعة صنوف التصاوير ما لم تكن مثل الروحاني</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وكقوله في صحيحة محمّد 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من الحيوان</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وكقوله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يَعْمَلُونَ لَهُ مَا يَشَاءُ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واللّه ما هي تماثيل الرجال والنساء</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xml:space="preserve">، فإنّ ظاهره حرمة عملهم لها ولو كان بالاشتراك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منها مبغوضية الصورة ولو صدرت من أكثر من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لما تقدّم</w:t>
      </w:r>
      <w:r>
        <w:rPr>
          <w:rStyle w:val="FootnoteAnchor"/>
          <w:rtl w:val="true"/>
        </w:rPr>
        <w:footnoteReference w:id="750"/>
      </w:r>
      <w:r>
        <w:rPr>
          <w:rFonts w:ascii="Amiri" w:hAnsi="Amiri" w:eastAsia="Amiri" w:cs="Amiri"/>
          <w:color w:val="111111"/>
          <w:sz w:val="28"/>
          <w:sz w:val="28"/>
          <w:szCs w:val="28"/>
          <w:rtl w:val="true"/>
          <w:lang w:bidi="ar-SA"/>
        </w:rPr>
        <w:t xml:space="preserve">أنّ الرواية الاُولى راجعة إلى تزويق البيوت وأجنبيّة عمّا نحن بصدده ، مع إمكان المناقشة في إطلاقها من الجهة المنظورة ؛ لإمكان أن يكون تزويق البيوت محرّماً على صاحب البيوت ولو بالتسبيب وإن لم يكن بعض التصوير محرّماً على الفاعل ،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الاستناد إليها للمقام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أيضاً أجنبيّة عن المقام كما تقدّم</w:t>
      </w:r>
      <w:r>
        <w:rPr>
          <w:rStyle w:val="FootnoteAnchor"/>
          <w:rtl w:val="true"/>
        </w:rPr>
        <w:footnoteReference w:id="751"/>
      </w:r>
      <w:r>
        <w:rPr>
          <w:rFonts w:ascii="Amiri" w:hAnsi="Amiri" w:eastAsia="Amiri" w:cs="Amiri"/>
          <w:color w:val="111111"/>
          <w:sz w:val="28"/>
          <w:sz w:val="28"/>
          <w:szCs w:val="28"/>
          <w:rtl w:val="true"/>
          <w:lang w:bidi="ar-SA"/>
        </w:rPr>
        <w:t xml:space="preserve">ويأتي بعض الكلام فيها إن شاء اللّه ، مع أ نّها بصدد بيان صنوف الحلال والحرام ولا إطلاق فيها من حيث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صحيحة ابن مسلم ؛ لما تقدّم</w:t>
      </w:r>
      <w:r>
        <w:rPr>
          <w:rStyle w:val="FootnoteAnchor"/>
          <w:rtl w:val="true"/>
        </w:rPr>
        <w:footnoteReference w:id="752"/>
      </w: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منها التمسّك برواية أبي العبّاس ؛ ضرورة عدم معلومية الواقعة </w:t>
      </w:r>
      <w:bookmarkStart w:id="314" w:name="pg15158_207083"/>
    </w:p>
    <w:p>
      <w:pPr>
        <w:pStyle w:val="BookText"/>
        <w:rPr/>
      </w:pPr>
      <w:bookmarkEnd w:id="314"/>
      <w:r>
        <w:rPr>
          <w:rFonts w:ascii="IRNazanin" w:hAnsi="IRNazanin" w:eastAsia="IRNazanin"/>
          <w:color w:val="111111"/>
          <w:sz w:val="28"/>
          <w:sz w:val="28"/>
          <w:szCs w:val="28"/>
          <w:rtl w:val="true"/>
          <w:lang w:bidi="fa-IR"/>
        </w:rPr>
        <w:t xml:space="preserve">الخارجية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ونفي تماثيل الرجال والنساء أجنبيّ عن الدلالة على حرمة عملهم ولو بالاشتراك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دلالتها على حرمة ذلك على سليمان النبي علیه السلام</w:t>
      </w:r>
    </w:p>
    <w:p>
      <w:pPr>
        <w:pStyle w:val="BookText"/>
        <w:rPr/>
      </w:pPr>
      <w:r>
        <w:rPr>
          <w:rFonts w:ascii="Amiri" w:hAnsi="Amiri" w:eastAsia="Amiri" w:cs="Amiri"/>
          <w:color w:val="111111"/>
          <w:sz w:val="28"/>
          <w:sz w:val="28"/>
          <w:szCs w:val="28"/>
          <w:rtl w:val="true"/>
          <w:lang w:bidi="ar-SA"/>
        </w:rPr>
        <w:t xml:space="preserve">كما تقدّم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والإنصاف عدم نهوض الأدلّة لإثبات الحكم وإن كان الاحتياط في الدين يقتضي التجنّب عنه ولو بالاشتراك ؛ لذهاب بعض الأساطين إلى حرمته</w:t>
      </w:r>
      <w:r>
        <w:rPr>
          <w:rStyle w:val="FootnoteAnchor"/>
          <w:rtl w:val="true"/>
        </w:rPr>
        <w:footnoteReference w:id="754"/>
      </w:r>
      <w:r>
        <w:rPr>
          <w:rFonts w:ascii="IRNazanin" w:hAnsi="IRNazanin" w:eastAsia="IRNazanin"/>
          <w:color w:val="111111"/>
          <w:sz w:val="28"/>
          <w:sz w:val="28"/>
          <w:szCs w:val="28"/>
          <w:rtl w:val="true"/>
          <w:lang w:bidi="fa-IR"/>
        </w:rPr>
        <w:t xml:space="preserve">، ومظنونية تحقّق المناط ، وعدم رضا اللّه تعالى بكون الشخصين أيضاً مشابهاً له في مصوّريته ، واحتمال مساعدة العرف للتعدّي وإلغاء الخصوصية ، واحتمال شمول رواية أبي بصير 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إنّ ربّك ينهى عن التماثيل</w:t>
      </w:r>
      <w:r>
        <w:rPr>
          <w:rFonts w:eastAsia="IRNazanin" w:cs="IRNazanin"/>
          <w:color w:val="111111"/>
          <w:sz w:val="28"/>
          <w:szCs w:val="28"/>
          <w:rtl w:val="true"/>
          <w:lang w:bidi="fa-IR"/>
        </w:rPr>
        <w:t>»</w:t>
      </w:r>
      <w:r>
        <w:rPr>
          <w:rStyle w:val="FootnoteAnchor"/>
          <w:rtl w:val="true"/>
        </w:rPr>
        <w:footnoteReference w:id="755"/>
      </w:r>
      <w:r>
        <w:rPr>
          <w:rFonts w:ascii="Amiri" w:hAnsi="Amiri" w:eastAsia="Amiri" w:cs="Amiri"/>
          <w:color w:val="111111"/>
          <w:sz w:val="28"/>
          <w:sz w:val="28"/>
          <w:szCs w:val="28"/>
          <w:rtl w:val="true"/>
          <w:lang w:bidi="ar-SA"/>
        </w:rPr>
        <w:t>للمقام ، بناءً على أ نّها غير الرواية المتقدّمة</w:t>
      </w:r>
      <w:r>
        <w:rPr>
          <w:rStyle w:val="FootnoteAnchor"/>
          <w:rtl w:val="true"/>
        </w:rPr>
        <w:footnoteReference w:id="756"/>
      </w:r>
      <w:r>
        <w:rPr>
          <w:rFonts w:ascii="Amiri" w:hAnsi="Amiri" w:eastAsia="Amiri" w:cs="Amiri"/>
          <w:color w:val="111111"/>
          <w:sz w:val="28"/>
          <w:sz w:val="28"/>
          <w:szCs w:val="28"/>
          <w:rtl w:val="true"/>
          <w:lang w:bidi="ar-SA"/>
        </w:rPr>
        <w:t>، كما هو الظاهر ، وبناءً على أنّ النهي عن تصوير</w:t>
      </w:r>
    </w:p>
    <w:p>
      <w:pPr>
        <w:pStyle w:val="BookText"/>
        <w:rPr/>
      </w:pPr>
      <w:r>
        <w:rPr>
          <w:rFonts w:ascii="Amiri" w:hAnsi="Amiri" w:eastAsia="Amiri" w:cs="Amiri"/>
          <w:color w:val="111111"/>
          <w:sz w:val="28"/>
          <w:sz w:val="28"/>
          <w:szCs w:val="28"/>
          <w:rtl w:val="true"/>
          <w:lang w:bidi="ar-SA"/>
        </w:rPr>
        <w:t xml:space="preserve">التماثيل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1851634_2142443653"/>
      <w:bookmarkStart w:id="316" w:name="_Toc108"/>
      <w:bookmarkEnd w:id="315"/>
      <w:r>
        <w:rPr>
          <w:rtl w:val="true"/>
        </w:rPr>
        <w:t>حكم تصوير بعض الأجزاء</w:t>
      </w:r>
      <w:bookmarkEnd w:id="31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من حرمة تصوير الصور وتمثيل المثال حرمة الاشتغال بها إذا انتهى إلى تحقّق الصورة ، كما هو الظاهر من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تكتب سطراً ، ولا تقل </w:t>
      </w:r>
      <w:bookmarkStart w:id="317" w:name="pg15158_207084"/>
    </w:p>
    <w:p>
      <w:pPr>
        <w:pStyle w:val="BookText"/>
        <w:rPr/>
      </w:pPr>
      <w:bookmarkEnd w:id="317"/>
      <w:r>
        <w:rPr>
          <w:rFonts w:ascii="Amiri" w:hAnsi="Amiri" w:eastAsia="Amiri" w:cs="Amiri"/>
          <w:color w:val="111111"/>
          <w:sz w:val="28"/>
          <w:sz w:val="28"/>
          <w:szCs w:val="28"/>
          <w:rtl w:val="true"/>
          <w:lang w:bidi="ar-SA"/>
        </w:rPr>
        <w:t xml:space="preserve">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اشتغل بالكتابة والإنشاء فعل حراماً واشتغل به مع إتمام السطر</w:t>
      </w:r>
    </w:p>
    <w:p>
      <w:pPr>
        <w:pStyle w:val="BookText"/>
        <w:rPr/>
      </w:pPr>
      <w:r>
        <w:rPr>
          <w:rFonts w:ascii="Amiri" w:hAnsi="Amiri" w:eastAsia="Amiri" w:cs="Amiri"/>
          <w:color w:val="111111"/>
          <w:sz w:val="28"/>
          <w:sz w:val="28"/>
          <w:szCs w:val="28"/>
          <w:rtl w:val="true"/>
          <w:lang w:bidi="ar-SA"/>
        </w:rPr>
        <w:t xml:space="preserve">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بدا له فلم يتمّها أو منعه مانع ، لم يفعل الحرام وإن كان متجرّياً على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المحرّم تصوير الأجزاء ؛ لأنّ الحكم متعلّق بعنوان تصوير الصورة ، وتصوير بعض الأعضاء ولو بقصد الإتمام ليس تصوير الصورة ، وليس المحرّم هو الجزء الأخير فقط أو حصول الهيئة ؛ فإنّ الحكم لم يتعلّق بإحداث الهيئة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الجزء الأخير محقّقها ، على تأمّل فيه أيضاً ، بل الحكم متعلّق بالتصوير المنطبق على تمام الأجزاء إلى حصول الصورة ، كما أنّ المحرّم في كتابة السطر تمام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المحرّم هو العنوان الذي لا ينطبق إلاّ على تمام الأجزاء ، تأمّل </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1851636_2142443653"/>
      <w:bookmarkStart w:id="319" w:name="_Toc109"/>
      <w:bookmarkEnd w:id="318"/>
      <w:r>
        <w:rPr>
          <w:rtl w:val="true"/>
        </w:rPr>
        <w:t xml:space="preserve">الرابع </w:t>
      </w:r>
      <w:r>
        <w:rPr>
          <w:rtl w:val="true"/>
        </w:rPr>
        <w:t xml:space="preserve">: </w:t>
      </w:r>
      <w:r>
        <w:rPr>
          <w:rtl w:val="true"/>
        </w:rPr>
        <w:t>حكم اقتناء الصور المحرّمة</w:t>
      </w:r>
      <w:bookmarkEnd w:id="319"/>
    </w:p>
    <w:p>
      <w:pPr>
        <w:pStyle w:val="BookText"/>
        <w:rPr/>
      </w:pPr>
      <w:r>
        <w:rPr>
          <w:rFonts w:ascii="Amiri" w:hAnsi="Amiri" w:eastAsia="Amiri" w:cs="Amiri"/>
          <w:color w:val="111111"/>
          <w:sz w:val="28"/>
          <w:sz w:val="28"/>
          <w:szCs w:val="28"/>
          <w:rtl w:val="true"/>
          <w:lang w:bidi="ar-SA"/>
        </w:rPr>
        <w:t>هل يجوز اقتناء الصور المحرّمة أو يجب كسرها ؟</w:t>
      </w:r>
    </w:p>
    <w:p>
      <w:pPr>
        <w:pStyle w:val="Heading5"/>
        <w:numPr>
          <w:ilvl w:val="4"/>
          <w:numId w:val="1"/>
        </w:numPr>
        <w:rPr/>
      </w:pPr>
      <w:bookmarkStart w:id="320" w:name="__RefHeading___Toc1851638_2142443653"/>
      <w:bookmarkStart w:id="321" w:name="_Toc110"/>
      <w:bookmarkEnd w:id="320"/>
      <w:r>
        <w:rPr>
          <w:rtl w:val="true"/>
        </w:rPr>
        <w:t>حول كلام المحقّق الأردبيلي في المقام</w:t>
      </w:r>
      <w:bookmarkEnd w:id="32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الأردبيلي أنّ المستفاد من الأخبار الصحيحة وأقوال الأصحاب ، عدم حرمة إبقاء الصور</w:t>
      </w:r>
      <w:r>
        <w:rPr>
          <w:rFonts w:eastAsia="Amiri" w:cs="Amiri" w:ascii="Amiri" w:hAnsi="Amiri"/>
          <w:color w:val="111111"/>
          <w:sz w:val="28"/>
          <w:szCs w:val="28"/>
          <w:rtl w:val="true"/>
          <w:lang w:bidi="ar-SA"/>
        </w:rPr>
        <w:t>»</w:t>
      </w:r>
      <w:r>
        <w:rPr>
          <w:rStyle w:val="FootnoteAnchor"/>
          <w:rtl w:val="true"/>
        </w:rPr>
        <w:footnoteReference w:id="75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 xml:space="preserve">عن مبحث لباس المصلّي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ويفهم من الأخبار الصحيحة عدم تحريم إبقاء الصورة ، وكذا الصورة في الخاتم</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فيه ذكر من أقوال العلماء ، ولعلّه حكى عن نسخة اُخرى غير المطبوعة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في ذلك المبحث لعلّه غير منافٍ لما ذكره في المقام ؛ حيث 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روايات كثيرة على جواز إبقاء الصور مطلقاً وهو يشعر بجوازه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بعض الروايات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ثبوت التحريم فيما ثبت يشكل جواز الإبقاء ؛ لأنّ الظاهر أنّ الغرض من التحريم عدم خلق شيء يشبه بخلق اللّه وبقائه لا مجرّد التصوير ، فيحمل ما يدلّ على جواز الإبقاء على ما يجوز منها ، فهي من أدلّة جواز التصوير في الجملة على البُسُط والستر والحيطان والثياب ، وهي التي تدلّ الأخبار على جواز إبقائها فيها ، لا ذو الروح التي لها ظلّ على حدتها التي هي حرام بالإجماع</w:t>
      </w:r>
      <w:r>
        <w:rPr>
          <w:rFonts w:eastAsia="Amiri" w:cs="Amiri" w:ascii="Amiri" w:hAnsi="Amiri"/>
          <w:color w:val="111111"/>
          <w:sz w:val="28"/>
          <w:szCs w:val="28"/>
          <w:rtl w:val="true"/>
          <w:lang w:bidi="ar-SA"/>
        </w:rPr>
        <w:t>»</w:t>
      </w:r>
      <w:r>
        <w:rPr>
          <w:rStyle w:val="FootnoteAnchor"/>
          <w:rtl w:val="true"/>
        </w:rPr>
        <w:footnoteReference w:id="76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ويرجع كلامه إلى دعويين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دلّت على تحريم التصوير تدلّ على تحريم الإبقاء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دلّت على جواز الإبقاء تشعر بجواز التصوير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فصارتا موجبتين لحمل الأخبار المجوّزة للإبقاء على ما يجوز تصويره كتصوير </w:t>
      </w:r>
    </w:p>
    <w:p>
      <w:pPr>
        <w:pStyle w:val="BookText"/>
        <w:rPr/>
      </w:pPr>
      <w:r>
        <w:rPr>
          <w:rFonts w:ascii="Amiri" w:hAnsi="Amiri" w:eastAsia="Amiri" w:cs="Amiri"/>
          <w:color w:val="111111"/>
          <w:sz w:val="28"/>
          <w:sz w:val="28"/>
          <w:szCs w:val="28"/>
          <w:rtl w:val="true"/>
          <w:lang w:bidi="ar-SA"/>
        </w:rPr>
        <w:t xml:space="preserve">غير ذي الظلّ من ذوات الأرواح على البسط ونحوها ، والأخبار المانعة عن التصوير على غيرها ممّا يحرم إبقاؤها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دعواه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يتعلّق به الأمر والنهي إن لم تكن من الماهيات التي لها بقاء بل حدوثها معانق لزوالها ، فلا محالة يكون النهي عن وجودها وإيجادها بالمعنى المصدري وهما متّحدان خارجاً مختلفان اعتباراً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من الماهيات التي لها بقاء وثبات في الخارج ، فلا ينتقل ذهن العرف والعقلاء من النواهي مثلاً على أنّ المبغوض صرف هذا المعنى المصدري وحاصله ؛ أي الإيجاد والوجود ، بل المتفاهم العرفي من الأوامر والنواهي المتعلّقة بها أنّ تلك الماهية القارّة الذات محبوبة أو مبغوضة له، وإنّما أمر بإيجادها لمحبوبيتها بوجودها المستقرّ المستمرّ ونهى عنها لمبغوضيتها كذلك ، ولا تنتقل الأذهان إلى الإيجاد والوجود بنحو الاستقلال كما لا تتوجّه إلى احتمال أن يكون في نفس الأمر والنهي مصلحة ، وذلك لأنّ تلك العناوين التوسّلية والتوصّلية لا ينظر إليها استقلالاً إلاّ مع قيام قرينة أو مع لا بدّية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أمر المولى بإيجاد شيء له البقاء كبناء الأبنية وغرس الأشجار وكتابة الكتب ونحوها ، لا ينقدح في الأذهان منه أنّ نفس الإيجاد المصدري مطلوبة ، لا الماهية المستقرّة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نهى عن ماهية كذائية كعمل الأصنام والصور وآلات اللهو والقمار ، كما يظهر للمراجع إلى الأمثال والنظائر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يكون المدّعى هو التفاهم العرفي لا الملازمة العقلية حتّى ينتقض ببعض الموارد ، كما توهّم الفاضل الإيرواني نقضه بمثل الزنا والنتيجة </w:t>
      </w:r>
    </w:p>
    <w:p>
      <w:pPr>
        <w:pStyle w:val="BookText"/>
        <w:rPr/>
      </w:pPr>
      <w:r>
        <w:rPr>
          <w:rFonts w:ascii="Amiri" w:hAnsi="Amiri" w:eastAsia="Amiri" w:cs="Amiri"/>
          <w:color w:val="111111"/>
          <w:sz w:val="28"/>
          <w:sz w:val="28"/>
          <w:szCs w:val="28"/>
          <w:rtl w:val="true"/>
          <w:lang w:bidi="ar-SA"/>
        </w:rPr>
        <w:t>الحاصلة منه ، فإنّه حرام مع وجوب حفظ حاصله</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ينقضي تعجّبي من نقضه ومثاله الأجنبيّ عن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إنكار الشيخ الأنصاري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الممنوع هو إيجاد الصورة وليس</w:t>
      </w:r>
    </w:p>
    <w:p>
      <w:pPr>
        <w:pStyle w:val="BookText"/>
        <w:rPr/>
      </w:pPr>
      <w:r>
        <w:rPr>
          <w:rFonts w:ascii="Amiri" w:hAnsi="Amiri" w:eastAsia="Amiri" w:cs="Amiri"/>
          <w:color w:val="111111"/>
          <w:sz w:val="28"/>
          <w:sz w:val="28"/>
          <w:szCs w:val="28"/>
          <w:rtl w:val="true"/>
          <w:lang w:bidi="ar-SA"/>
        </w:rPr>
        <w:t>وجودها مبغوضاً حتّى يجب رفعه</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 xml:space="preserve">، فإن رجع إلى نفي الملازمة عقلاً فلا ينافي التفاهم العرفي وهو كافٍ في المقام ، وإن رجع إلى إنكار فهم العرف فهو غير وجيه؛ لمساعدة العرف لما ذكر بالتقريب المتقدّم ، إلاّ أن قامت القرينة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أنّ المدّعى بنحو ما قرّرناه متين لا محيص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المقام ممّا قامت القرينة على أنّ المحرّم والمبغوض هو هذا المعنى المصدري ، لا الماهية بوجودها البقائي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عمدة المستند في المسألة كما تقدّم هي المستفيضة المشتملة على الأمر بالنفخ</w:t>
      </w:r>
      <w:r>
        <w:rPr>
          <w:rStyle w:val="FootnoteAnchor"/>
          <w:rtl w:val="true"/>
        </w:rPr>
        <w:footnoteReference w:id="763"/>
      </w:r>
      <w:r>
        <w:rPr>
          <w:rFonts w:ascii="Amiri" w:hAnsi="Amiri" w:eastAsia="Amiri" w:cs="Amiri"/>
          <w:color w:val="111111"/>
          <w:sz w:val="28"/>
          <w:sz w:val="28"/>
          <w:szCs w:val="28"/>
          <w:rtl w:val="true"/>
          <w:lang w:bidi="ar-SA"/>
        </w:rPr>
        <w:t xml:space="preserve">، والظاهر منها بمناسبة الحكم والموضوع أنّ الأمر به لأجل تعجيزه عن تتميم ما خلق ، وكأ نّه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مصوّراً فكن نافخاً كما كان اللّه كذلك ، فيفهم منها أنّ الممنوع</w:t>
      </w:r>
    </w:p>
    <w:p>
      <w:pPr>
        <w:pStyle w:val="BookText"/>
        <w:rPr/>
      </w:pPr>
      <w:r>
        <w:rPr>
          <w:rFonts w:ascii="Amiri" w:hAnsi="Amiri" w:eastAsia="Amiri" w:cs="Amiri"/>
          <w:color w:val="111111"/>
          <w:sz w:val="28"/>
          <w:sz w:val="28"/>
          <w:szCs w:val="28"/>
          <w:rtl w:val="true"/>
          <w:lang w:bidi="ar-SA"/>
        </w:rPr>
        <w:t xml:space="preserve">والمبغوض هو التشبّه به تعالى في مصوّريته ، فهذا المعنى المصدري هو المنظور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المناسبة توجب عطف الأنظار إلى المعنى المصدري الذي لولاها لكان غير منظور فيه مستقلاًّ كما تقدّم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ذكرناه يظهر النظر في دعواه الاُخرى ، وهي أنّ جواز الإبقاء مشعر بجواز </w:t>
      </w:r>
      <w:bookmarkStart w:id="322" w:name="pg15158_207088"/>
    </w:p>
    <w:p>
      <w:pPr>
        <w:pStyle w:val="BookText"/>
        <w:rPr/>
      </w:pPr>
      <w:bookmarkEnd w:id="322"/>
      <w:r>
        <w:rPr>
          <w:rFonts w:ascii="Amiri" w:hAnsi="Amiri" w:eastAsia="Amiri" w:cs="Amiri"/>
          <w:color w:val="111111"/>
          <w:sz w:val="28"/>
          <w:sz w:val="28"/>
          <w:szCs w:val="28"/>
          <w:rtl w:val="true"/>
          <w:lang w:bidi="ar-SA"/>
        </w:rPr>
        <w:t xml:space="preserve">التصوير ، فإنّها أيضاً موجّهة لولا القرينة على خلافها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فرض تسليم ما ذكره المحقّق الأردبيلي لو دلّ دليل ولو بعمومه أو إطلاقه على جواز إبقاء المجسّمات ، لا يكون معارضاً للروايات الدالّة على حرمة التصوير المستفاد منها حرمة الإبقاء ؛ ضرورة أنّ حرمة الإبقاء المستفاد منها ليست بدلالة لفظية أو ملازمة عقلية حتّى ينافيها ، بل لانتقال ذهن العرف من النهي عن إيجاد تلك الماهية إلى أنّ الماهية بوجودها القارّ مبغوضة والنهي عن الإيجاد توصّلي ، لكن لو ورد ما دلّ على جواز إبقاء التماثيل تنعطف الأذهان إلى أنّ المبغوض والمنهيّ عنه هو العنوان المصدري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الأدلّة جمع عقلائي ، أو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الاستفادة إنّما هي في صورة سكوت القائل ، فلا تنافي بين الأدلّة </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1851640_2142443653"/>
      <w:bookmarkStart w:id="324" w:name="_Toc111"/>
      <w:bookmarkEnd w:id="323"/>
      <w:r>
        <w:rPr>
          <w:rtl w:val="true"/>
        </w:rPr>
        <w:t>بيان الأخبار الدالّة على جواز الاقتناء</w:t>
      </w:r>
      <w:bookmarkEnd w:id="324"/>
    </w:p>
    <w:p>
      <w:pPr>
        <w:pStyle w:val="BookText"/>
        <w:rPr/>
      </w:pPr>
      <w:r>
        <w:rPr>
          <w:rFonts w:ascii="Amiri" w:hAnsi="Amiri" w:eastAsia="Amiri" w:cs="Amiri"/>
          <w:color w:val="111111"/>
          <w:sz w:val="28"/>
          <w:sz w:val="28"/>
          <w:szCs w:val="28"/>
          <w:rtl w:val="true"/>
          <w:lang w:bidi="ar-SA"/>
        </w:rPr>
        <w:t xml:space="preserve">وأمّا الأخبار فعلى طائفتين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تتعرّض للوسائد والستور والأثواب المصوّرات</w:t>
      </w:r>
      <w:r>
        <w:rPr>
          <w:rStyle w:val="FootnoteAnchor"/>
          <w:rtl w:val="true"/>
        </w:rPr>
        <w:footnoteReference w:id="764"/>
      </w:r>
      <w:r>
        <w:rPr>
          <w:rFonts w:ascii="IRNazanin" w:hAnsi="IRNazanin" w:eastAsia="IRNazanin"/>
          <w:color w:val="111111"/>
          <w:sz w:val="28"/>
          <w:sz w:val="28"/>
          <w:szCs w:val="28"/>
          <w:rtl w:val="true"/>
          <w:lang w:bidi="fa-IR"/>
        </w:rPr>
        <w:t xml:space="preserve">وهي كثيرة ، أو تشتمل على نفي البأس إذا كانت التماثيل عن اليمين أو الشمال أو تحت الرجل حال الصلاة ، كصحيحة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اُصلّي والتماثيل قدّامي وأنا أنظر إليها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 اطرح عليها ثوباً ، ولا بأس بها إذا كانت عن يمينك أو شمالك أو خلفك أو تحت رجلك أو فوق رأسك ، وإن كانت </w:t>
      </w:r>
    </w:p>
    <w:p>
      <w:pPr>
        <w:pStyle w:val="BookText"/>
        <w:rPr/>
      </w:pPr>
      <w:r>
        <w:rPr>
          <w:rFonts w:ascii="Amiri" w:hAnsi="Amiri" w:eastAsia="Amiri" w:cs="Amiri"/>
          <w:color w:val="111111"/>
          <w:sz w:val="28"/>
          <w:sz w:val="28"/>
          <w:szCs w:val="28"/>
          <w:rtl w:val="true"/>
          <w:lang w:bidi="ar-SA"/>
        </w:rPr>
        <w:t>في القبلة فألقِ عليها ثوباً وصلّ</w:t>
      </w:r>
      <w:r>
        <w:rPr>
          <w:rFonts w:eastAsia="Amiri" w:cs="Amiri" w:ascii="Amiri" w:hAnsi="Amiri"/>
          <w:color w:val="111111"/>
          <w:sz w:val="28"/>
          <w:szCs w:val="28"/>
          <w:rtl w:val="true"/>
          <w:lang w:bidi="ar-SA"/>
        </w:rPr>
        <w:t>»</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غيرها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يبعد أن يستظهر منها بمناسبات أنّ التماثيل غير المجسّمات وإن لا يبعد دعوى الإطلاق فيها أو في بعضها ؛ لاحتمال أن تكون المصوّرات فيها مختلفة من حيث التجسيم وغيره كما يتعارف في أعصارنا ، لكنّه لا يخلو من إشكال وإن كان الإطلاق أظهر في مثل الصحيحة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دعوى الإطلاق فيها أو دعوى ظهورها في المجسّمات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أحدهما علیهما السلام عن التماثيل في البيت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كانت عن يمينك وعن شمالك وعن خلفك أو تحت رجليك ، وإن كانت في القبلة فألق عليها ثوباً</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السؤال عن وجودها في البيت ، فأجاب بعدم البأس إلاّ إذا كانت في القبلة فيلقى عليها الثوب ، وإلقاؤه لأجل الصلاة، ومقتضى عمومها عدم الفرق بين المجسّمات وغيرها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تحت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الاختصاص بغيرها ، ضرورة أنّ الطبيعة إذا كانت ذات أفراد مختلفة يمكن إلقاء بعضها تحت الرجل ، يصحّ </w:t>
      </w:r>
    </w:p>
    <w:p>
      <w:pPr>
        <w:pStyle w:val="BookText"/>
        <w:rPr/>
      </w:pPr>
      <w:r>
        <w:rPr>
          <w:rFonts w:ascii="Amiri" w:hAnsi="Amiri" w:eastAsia="Amiri" w:cs="Amiri"/>
          <w:color w:val="111111"/>
          <w:sz w:val="28"/>
          <w:sz w:val="28"/>
          <w:szCs w:val="28"/>
          <w:rtl w:val="true"/>
          <w:lang w:bidi="ar-SA"/>
        </w:rPr>
        <w:t xml:space="preserve">أن يقال فيها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عدم الشبهة في شمول العموم للصور المنقوشة على الجدران مع عدم إمكان إلقائها تحت الرجل ، فلا إشكال في عمومها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أنّ التماثيل في تلك الأعصار كانت غير مجسّمات فالدليل منصرف عنها ، فاسد ، لعدم إحراز ذلك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الأعصار لأجل قربها بعصر صنعة الأصنام المجسّمات كانت فيها صنعة المجسّمات متعارفة ، مع أنّ قلّة الأفراد لا توجب الانصراف ، مضافاً إلى أنّ الدليل من قبيل العموم لا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توهّم كون الدليل في مقام بيان حكم آخر وهو الصلاة في البيت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البيت صنم أو آلة لهو هل يجوز الصلاة فيه ؟ فأجاب بعدم البأس ، لا يدلّ على جواز إبقائهما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السؤال كما تقدّم إنّما هو عن التماثيل في البيت ، والظاهر منه أنّ</w:t>
      </w:r>
    </w:p>
    <w:p>
      <w:pPr>
        <w:pStyle w:val="BookText"/>
        <w:rPr/>
      </w:pPr>
      <w:r>
        <w:rPr>
          <w:rFonts w:ascii="IRNazanin" w:hAnsi="IRNazanin" w:eastAsia="IRNazanin"/>
          <w:color w:val="111111"/>
          <w:sz w:val="28"/>
          <w:sz w:val="28"/>
          <w:szCs w:val="28"/>
          <w:rtl w:val="true"/>
          <w:lang w:bidi="fa-IR"/>
        </w:rPr>
        <w:t xml:space="preserve">السؤال عن وجودها فيه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كانت بحذاء القبلة ألق عليها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يدلّ على أنّ السؤال عن الصلاة، والظاهر أ نّه علیه السلام أجاب عن مسؤوله مع شيء</w:t>
      </w:r>
    </w:p>
    <w:p>
      <w:pPr>
        <w:pStyle w:val="BookText"/>
        <w:rPr/>
      </w:pPr>
      <w:r>
        <w:rPr>
          <w:rFonts w:ascii="Amiri" w:hAnsi="Amiri" w:eastAsia="Amiri" w:cs="Amiri"/>
          <w:color w:val="111111"/>
          <w:sz w:val="28"/>
          <w:sz w:val="28"/>
          <w:szCs w:val="28"/>
          <w:rtl w:val="true"/>
          <w:lang w:bidi="ar-SA"/>
        </w:rPr>
        <w:t xml:space="preserve">زائد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لا بأس بوجودها في البيت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بحذاء القبلة ألق عليها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فالإنصاف أنّ المناقشة فيها في غير محلّها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توهّم أنّ تلك الرواية عين روايته المتقدّمة آنفاً فكما أ نّها في مقام بيان حكم آخر فكذلك هي ، ففيه ما لا يخفى بعد كون ألفاظهما مختلفة والمسؤول عنه في إحداهما أبو جعفر علیه السلام وفي الاُخرى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حجّة على وحدتهما بعد استفادة حكم زائد من إحداهما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علي بن جعفر علیه السلام أو صحيحته عن أخيه موسى علیه السلام ،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وسألته عن الدار والحجرة فيها التماثيل ، أيصلّى فيها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فيها وشيء منها مستقبلك ، إلاّ أن لا تجد بدّاً فتقطع رؤوسها ، وإلاّ فلا تصلّ</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عمومها شامل للمجسّمات لو لم نقل بأنّ الظاهر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فتقطع رؤوسها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كالصريحة في أنّ إبقاءها جائز في نفسه ، فإن أمكنه الصلاة في محلّ آخر أبقاها على حالها وإن لم يجد بدّاً فتقطع رؤوسها للصلاة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الاُخرى أو صحيحته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البيت فيه صورة طير أو سمكة أو شبهه ، يلعب به أهل البيت ، هل تصلح الصلاة فيه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حتّى يقطع رأسه أو يفسده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صلّى ، فليس عليه الإعادة</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ظهورها في المجسّمات ؛ لأنّ الظاهر منها أنّ أهل البيت كانوا يلعبون بنفس الصورة لا بشيء فيه ذلك ، وهو يناسب المجسّمات ، بل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صورة طير أو 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الصورة بنفسها فيه ، لا أنّ فيه شيئاً عليه الصورة ،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يشعر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ويقطع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نوقش فيما ذكر فلا شبهة في إطلاقها فتشمل المجسّمات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شبهة في تقريره للعب أهل البيت بها وتجويزه ذلك ، فجواز الإبقاء واللعب بها مفروغ عنهما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وعليها تحمل روايته الاُخرى أو صحيحته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كان في بيته تماثيل أو في ستر ، ولم يعلم بها وهو يصلّي في ذلك البيت ، ثمّ علم ؛ ما عليه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فيما لا يعلم شيء ، فإذا علم فلينزع الستر وليكسر رؤوس التماثيل</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ضرورة أنّ المفروض أنّ الرجل يصلّي في ذلك البيت ، فالأمر بالنزع والكسر لمكان الصلاة كما في سائر الروايات ، لا للوجوب نفساً كما هو واضح سيّما مع اقتران الكسر بالنزع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المثنّى عن أبي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علياً علیه السلام كره الصور في البيوت</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 ونحوها رواية حاتم بن إسماعيل عنه علیه السلام</w:t>
      </w:r>
      <w:r>
        <w:rPr>
          <w:rStyle w:val="FootnoteAnchor"/>
          <w:rtl w:val="true"/>
        </w:rPr>
        <w:footnoteReference w:id="772"/>
      </w:r>
      <w:r>
        <w:rPr>
          <w:rFonts w:ascii="Amiri" w:hAnsi="Amiri" w:eastAsia="Amiri" w:cs="Amiri"/>
          <w:color w:val="111111"/>
          <w:sz w:val="28"/>
          <w:sz w:val="28"/>
          <w:szCs w:val="28"/>
          <w:rtl w:val="true"/>
          <w:lang w:bidi="ar-SA"/>
        </w:rPr>
        <w:t xml:space="preserve">، ورواية يحيى بن أبي العلاء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 يحيى بن العلاء كما قيل</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كره الصور في البيوت</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منها أنّ الكراهة إنّما تعلّقت بخصوص كونها في البيوت ، فلو كان </w:t>
      </w:r>
    </w:p>
    <w:p>
      <w:pPr>
        <w:pStyle w:val="BookText"/>
        <w:rPr/>
      </w:pPr>
      <w:r>
        <w:rPr>
          <w:rFonts w:ascii="Amiri" w:hAnsi="Amiri" w:eastAsia="Amiri" w:cs="Amiri"/>
          <w:color w:val="111111"/>
          <w:sz w:val="28"/>
          <w:sz w:val="28"/>
          <w:szCs w:val="28"/>
          <w:rtl w:val="true"/>
          <w:lang w:bidi="ar-SA"/>
        </w:rPr>
        <w:t xml:space="preserve">إبقاؤها محرّماً لما يناسب ذلك التعبير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أنّ الكراهة هي بالمعنى المعروف ، ولا يبعد أن تكون لأحد وجهين على سبيل منع الخلوّ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لأجل أنّ الملائكة لا تدخل بيتاً فيه صورة ، كما ورد في روايات متضافرة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الملائكة لا تدخل بيتاً فيه صورة ولا بيتاً فيه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بيتاً فيه بول مجموع في 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جنب</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لأجل أنّ البيت معدّ للصلاة فيه ويكره وجود الصورة في بيت يصلّى فيه مطلقاً ، أو إذا كانت بحذاء القبلة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تلك الروايات جواز إبقائها وإن كانت مكروهة في خصوص البيوت ، ومقتضى إطلاقها عدم الفرق بين المجسّمة 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ذكرناه يظهر الكلام في صحيحة زرارة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تكون التماثيل في البيوت ، إذا غيّرت رؤوسها منها وترك ما سوى ذلك</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أنّ التقييد بالبيوت لما ذكرناه آنفاً ، فدالّة على أنّ البأس فيها بلا تغيير مختصّ بالبيوت ، فتشعر أو تدلّ على جواز الإبقاء والاقتناء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في رواية علي بن جعفر عن أخيه موسى بن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مسجد يكون فيه تصاوير وتماثيل ؛ يصلّى فيه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تكسر رؤوس التماثيل </w:t>
      </w:r>
      <w:bookmarkStart w:id="325" w:name="pg15158_207094"/>
    </w:p>
    <w:p>
      <w:pPr>
        <w:pStyle w:val="BookText"/>
        <w:rPr/>
      </w:pPr>
      <w:bookmarkEnd w:id="325"/>
      <w:r>
        <w:rPr>
          <w:rFonts w:ascii="Amiri" w:hAnsi="Amiri" w:eastAsia="Amiri" w:cs="Amiri"/>
          <w:color w:val="111111"/>
          <w:sz w:val="28"/>
          <w:sz w:val="28"/>
          <w:szCs w:val="28"/>
          <w:rtl w:val="true"/>
          <w:lang w:bidi="ar-SA"/>
        </w:rPr>
        <w:t>وتلطّخ رؤوس التصاوير ويصلّى فيه ولا بأس</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أيضاً راجعة إلى الصلاة في مسجد فيه التصوير ، ولا ينافي جواز إبقائها في غير المسجد ، أو فيه في غير حال الصلاة ، فالأمر بالكسر والتلطيخ لرفع البأس عن الصلاة فيه ، لا لحرمة إبقائها ،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فاحتمال أن تكون تلك الرواية شاهدة جمع بين الروايات وشاهدة على دعوى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بكسر رؤوس التماثيل لكونها مجسّمة ، وبتلطيخ رؤوس التصاوير لكونها غير مجسّمة ، وإنّما أمر بتلطيخها لأجل الصلاة ، فتشهد الرواية بأنّ ما دلّت على الكسر وقطع الرأس إنّما هي في المجسّمات ، وما دلّت على جواز الإبقاء وإلقاء ثوب مثلاً عليها فهي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وجيه ؛ لما ذكرناه من أنّ الكسر واللطخ إنّما هما لرفع البأس عن الصلاة كما هو ظاهر الرواية ، لا لوجوبهما مطلقاً ، ومعه لا شهادة لها على المدّعى بل يستشعر منها جواز الإبقاء لو لم نقل بدلالتها عليه </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1851642_2142443653"/>
      <w:bookmarkStart w:id="327" w:name="_Toc112"/>
      <w:bookmarkEnd w:id="326"/>
      <w:r>
        <w:rPr>
          <w:rtl w:val="true"/>
        </w:rPr>
        <w:t>الأخبار المستدلّ بها على حرمة الاقتناء والجواب عنها</w:t>
      </w:r>
      <w:bookmarkEnd w:id="327"/>
    </w:p>
    <w:p>
      <w:pPr>
        <w:pStyle w:val="BookText"/>
        <w:rPr/>
      </w:pPr>
      <w:r>
        <w:rPr>
          <w:rFonts w:ascii="Amiri" w:hAnsi="Amiri" w:eastAsia="Amiri" w:cs="Amiri"/>
          <w:color w:val="111111"/>
          <w:sz w:val="28"/>
          <w:sz w:val="28"/>
          <w:szCs w:val="28"/>
          <w:rtl w:val="true"/>
          <w:lang w:bidi="ar-SA"/>
        </w:rPr>
        <w:t xml:space="preserve">ثمّ إنّه قد تقدّم في خلال الكلمات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البحث إلى هاهنا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عمّا استدلّ بها على حرمة الاقتناء ، كالتشبّث برواية أبي العبّاس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يَعْمَلُونَ لَهُ مَا يَشَاءُ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ورواية القدّاح وغيرها من بعث رسول اللّه‌ صلی الله علیه و آله وسلم  أمير المؤمنين في هدم القبور وكسر الصور</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محمّد بن مسلم النافية للبأس عمّا لا يكون شيئاً من الحيوان</w:t>
      </w:r>
      <w:r>
        <w:rPr>
          <w:rStyle w:val="FootnoteAnchor"/>
          <w:rtl w:val="true"/>
        </w:rPr>
        <w:footnoteReference w:id="779"/>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عليها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xml:space="preserve">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الحصر فيها أنّ اللّه تعالى ما حرّم شيئاً إلاّ ما يكون فيه الفساد محضاً ، ولا شبهة في أنّ الانتفاع من الصورة الحاصلة بالتصوير كالاقتناء والبيع والشراء ونحوها من منافع التصوير عرفاً ، ولهذا صحّ بذل المال بإزاء التصوير بملاحظة الفوائد الحاصلة من الصورة الحاصلة ، فلو كانت تلك المنافع محلّلة لما حرّم اللّه تعالى التصوير بمقتضى الحصر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أنّ ما حرّمه اللّه يكون فيه الفساد محضاً ، والفرض أنّ التصوير حرام فلا بدّ وأن لا يكون فيه منفعة محلّلة كالاقتناء ونحوه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منها أنّ التصوير المحرّم فيه الفساد محضاً ، فيضمّ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منه وفيه الفساد محضاً فحرام تعليمه وتعلّمه وجميع التقلّب فيه من جميع وجوه الحركات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فيستنتج منهما حرمة جميع التقلّبات ، ومنها الاقتناء</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التصوير أمر والصورة الحاصلة منه شيء آخر مستقلّ في الوجود ؛ فإذا كان التصوير محرّماً يكون فيه الفساد محضاً ولا يجوز تعليمه وتعلّمه وأخذ الأجر عليه وسائر التقلّبات فيه ، وهو غير مربوط بالصورة الحاصلة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الرواية ، من أوّل تعرّضها لتفسير الصناعات إلى آخرها بعد التأمّل الأكيد فيها ، أنّ ما كان فيه الفساد محضاً حرّم اللّه تعالى جميع وجوه التقلّب فيه كالبرابط والمزامير ونحوهما ممّا ذكر فيها ، فإنّ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إنّما حرّم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تعليل لكلامه السابق الدالّ على أنّ ما فيه مصلحة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كالأمثلة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جميع تقلّباته وإن كانت تلك الصناعة قد يستعان بها على وجوه الفساد والمعاصي وتكون معونة على الحقّ والباطل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المحرّم من جميع الجهات وجميع التقلّبات ما كان فيه الفساد محضاً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يكون منه وفيه الفساد محضاً ولا يكون فيه ولا منه شيء من وجوه الصلاح فحرام تعليمه وتعلّمه والعمل به وأخذ الأجر عليه وجميع التقلّب فيه من جميع وجوه الحركات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لما أجمل فيها ؛ أي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اللّه الصناعة التي حرام هي كلّها التي يجيء منه الفساد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المراد من هذه الفقرة مقابل الفقرات السابقة أنّ الصناعة التي هي حرام بجميع شؤونها هي التي يجيء منه الفساد محضاً كالأمثلة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تدلّ الرواية على أنّ كلّ محرّم يجيء منه الفساد محضاً ، بل تدلّ على أنّ المحرّم بجميع شؤونه هو ما يجيء منه الفساد محضاً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فالكاشف إنّاً من الفساد المحض هو المحرّم بجميع الشؤون لا المحرّم في </w:t>
      </w:r>
    </w:p>
    <w:p>
      <w:pPr>
        <w:pStyle w:val="BookText"/>
        <w:rPr/>
      </w:pPr>
      <w:r>
        <w:rPr>
          <w:rFonts w:ascii="Amiri" w:hAnsi="Amiri" w:eastAsia="Amiri" w:cs="Amiri"/>
          <w:color w:val="111111"/>
          <w:sz w:val="28"/>
          <w:sz w:val="28"/>
          <w:szCs w:val="28"/>
          <w:rtl w:val="true"/>
          <w:lang w:bidi="ar-SA"/>
        </w:rPr>
        <w:t xml:space="preserve">بعضها ، وعليه فلا تدلّ على مطلوبهم ولو كان الحصر حقيقياً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الظاهر منها التعرّض للصنائع التي نشأت الحرمة فيها عن</w:t>
      </w:r>
    </w:p>
    <w:p>
      <w:pPr>
        <w:pStyle w:val="BookText"/>
        <w:rPr/>
      </w:pPr>
      <w:r>
        <w:rPr>
          <w:rFonts w:ascii="Amiri" w:hAnsi="Amiri" w:eastAsia="Amiri" w:cs="Amiri"/>
          <w:color w:val="111111"/>
          <w:sz w:val="28"/>
          <w:sz w:val="28"/>
          <w:szCs w:val="28"/>
          <w:rtl w:val="true"/>
          <w:lang w:bidi="ar-SA"/>
        </w:rPr>
        <w:t xml:space="preserve">الفساد الكائن في المصنوع كالبرابط والمزامير وسائر الأمثلة المذكورة فيها ، دون ما كانت الصنعة محرّمة لفساد فيها لا المصنوع كما في المقام حيث تكون الحرمة متعلّقة بالتصوير لفساد فيه ؛ لكونه تشبّهاً باللّه تعالى في مصوّريته ، وتشهد لما ذكرناه فقرات الرواية سيّما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يكون منه وفيه الفساد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ولعلّه مراد الشيخ الأنصاري من أنّ الحصر إضافي</w:t>
      </w:r>
      <w:r>
        <w:rPr>
          <w:rStyle w:val="FootnoteAnchor"/>
          <w:rtl w:val="true"/>
        </w:rPr>
        <w:footnoteReference w:id="782"/>
      </w:r>
      <w:r>
        <w:rPr>
          <w:rFonts w:ascii="Amiri" w:hAnsi="Amiri" w:eastAsia="Amiri" w:cs="Amiri"/>
          <w:color w:val="111111"/>
          <w:sz w:val="28"/>
          <w:sz w:val="28"/>
          <w:szCs w:val="28"/>
          <w:rtl w:val="true"/>
          <w:lang w:bidi="ar-SA"/>
        </w:rPr>
        <w:t xml:space="preserve">، فلا يرد عليه ما في تعليقة الطباطبائي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الحصر الإضافي يكفي في المقام ؛ إذ يستفاد منه أنّ عمل الصور الذي هو حرام ليس داخلاً تحت ما فيه وجه الصلاح ووجه الفساد ؛ لأنّ ما كان كذلك ليس بمحرّم بمقتضى الحصر ، ومن المعلوم أ نّه ليس داخلاً فيما فيه الصلاح محضاً فلا يبقى إلاّ أن يكون داخلاً فيما فيه الفساد محضاً</w:t>
      </w:r>
      <w:r>
        <w:rPr>
          <w:rFonts w:eastAsia="Amiri" w:cs="Amiri" w:ascii="Amiri" w:hAnsi="Amiri"/>
          <w:color w:val="111111"/>
          <w:sz w:val="28"/>
          <w:szCs w:val="28"/>
          <w:rtl w:val="true"/>
          <w:lang w:bidi="ar-SA"/>
        </w:rPr>
        <w:t>»</w:t>
      </w:r>
      <w:r>
        <w:rPr>
          <w:rStyle w:val="FootnoteAnchor"/>
          <w:rtl w:val="true"/>
        </w:rPr>
        <w:footnoteReference w:id="783"/>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لأنّ الرواية ساكتة عن الصنعة التي ليس في متعلّقها فساد، فالحصر إنّما هو فيما تعرّضت له لا غيره ، فصنعة التصوير الذي يكون في نفسها فساد خارجة عنها موضوعاً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أنّ مراد الشيخ ليس ما ذكرناه كما يشهد به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الحصر وارد في مساق التعليل وإعطاء الضابطة </w:t>
      </w:r>
      <w:r>
        <w:rPr>
          <w:rFonts w:eastAsia="Amiri" w:cs="Amiri" w:ascii="Amiri" w:hAnsi="Amiri"/>
          <w:color w:val="111111"/>
          <w:sz w:val="28"/>
          <w:szCs w:val="28"/>
          <w:rtl w:val="true"/>
          <w:lang w:bidi="ar-SA"/>
        </w:rPr>
        <w:t>. . .»</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منه </w:t>
      </w:r>
      <w:bookmarkStart w:id="328" w:name="pg15158_207098"/>
    </w:p>
    <w:p>
      <w:pPr>
        <w:pStyle w:val="BookText"/>
        <w:rPr/>
      </w:pPr>
      <w:bookmarkEnd w:id="328"/>
      <w:r>
        <w:rPr>
          <w:rFonts w:ascii="Amiri" w:hAnsi="Amiri" w:eastAsia="Amiri" w:cs="Amiri"/>
          <w:color w:val="111111"/>
          <w:sz w:val="28"/>
          <w:sz w:val="28"/>
          <w:szCs w:val="28"/>
          <w:rtl w:val="true"/>
          <w:lang w:bidi="ar-SA"/>
        </w:rPr>
        <w:t>تصديقه بأنّ الحصر لو كان حقيقياً يدلّ على المطلوب ، مع أ نّه على ما ذكرناه</w:t>
      </w:r>
    </w:p>
    <w:p>
      <w:pPr>
        <w:pStyle w:val="BookText"/>
        <w:rPr/>
      </w:pPr>
      <w:r>
        <w:rPr>
          <w:rFonts w:ascii="Amiri" w:hAnsi="Amiri" w:eastAsia="Amiri" w:cs="Amiri"/>
          <w:color w:val="111111"/>
          <w:sz w:val="28"/>
          <w:sz w:val="28"/>
          <w:szCs w:val="28"/>
          <w:rtl w:val="true"/>
          <w:lang w:bidi="ar-SA"/>
        </w:rPr>
        <w:t xml:space="preserve">فالحصر حقيقي ولا يدلّ عليه ، فتدبّر </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1851644_2142443653"/>
      <w:bookmarkStart w:id="330" w:name="_Toc113"/>
      <w:bookmarkEnd w:id="329"/>
      <w:r>
        <w:rPr>
          <w:rtl w:val="true"/>
        </w:rPr>
        <w:t>حول كلام المحقّق الشيرازي</w:t>
      </w:r>
      <w:bookmarkEnd w:id="330"/>
    </w:p>
    <w:p>
      <w:pPr>
        <w:pStyle w:val="BookText"/>
        <w:rPr/>
      </w:pPr>
      <w:r>
        <w:rPr>
          <w:rFonts w:ascii="Amiri" w:hAnsi="Amiri" w:eastAsia="Amiri" w:cs="Amiri"/>
          <w:color w:val="111111"/>
          <w:sz w:val="28"/>
          <w:sz w:val="28"/>
          <w:szCs w:val="28"/>
          <w:rtl w:val="true"/>
          <w:lang w:bidi="ar-SA"/>
        </w:rPr>
        <w:t xml:space="preserve">ومن بعض ما تقدّم ذكره في معنى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النظر في كلام المحقّق التقيّ في تعليقته ، وهو أنّ الحصر إن كان حقيقياً يكشف عن عدم تحقّق مصداق يكون محرّماً ويجوز اقتناؤه ، وذلك لأنّ العامّ لا يصير مجملاً بمجرّد احتمال وجود فرد للعامّ يعلم بخروجه عن الحكم على تقدير وجوده في الخارج ، 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أ نّه على تقدير وجود عدوّ له في جيرانه إنّه لا يريد إكرامه ، فإنّه لا يوجب إجمال العامّ بل يحكم بوجوب إكرامه ويكشف حال الفرد بأ نّه ليس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نحن فيه إذا ثبت حرمة الاكتساب بالتصوير ، لكن لا يعلم أ نّه يجوز سائر الانتفاعات به حتّى خرج عن العامّ المستفاد من الحصر تخصيصاً ؛ لأنّ ذلك إثبات لحرمة الاكتساب في غير ما يكون فيه الفساد محضاً ، فيكون تخصيصاً في العموم المستفاد من الحصر ، أو يكون ممّا يحرم جميع الانتفاعات به؛ لعدم كون جهة صلاح فيه ، فالمتعيّن الثاني عملاً بأصالة العموم السليم عمّا يصلح للمعارضة</w:t>
      </w:r>
      <w:r>
        <w:rPr>
          <w:rStyle w:val="FootnoteAnchor"/>
          <w:rtl w:val="true"/>
        </w:rPr>
        <w:footnoteReference w:id="785"/>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لما عرفت أنّ مفاد الرواية بعد التأمّل في مجموعها ، هو أنّ كلّ ما يحرم من جميع الوجوه ، ففيه الفساد محضاً ، وكلّ ما كان فيه الفساد محضاً ، فهو حرام من جميع الوجوه ، لا أنّ كلّ حرام ، ففيه الفساد محضاً ، فعليه يكون الحصر </w:t>
      </w:r>
      <w:bookmarkStart w:id="331" w:name="pg15158_207099"/>
    </w:p>
    <w:p>
      <w:pPr>
        <w:pStyle w:val="BookText"/>
        <w:rPr/>
      </w:pPr>
      <w:bookmarkEnd w:id="331"/>
      <w:r>
        <w:rPr>
          <w:rFonts w:ascii="Amiri" w:hAnsi="Amiri" w:eastAsia="Amiri" w:cs="Amiri"/>
          <w:color w:val="111111"/>
          <w:sz w:val="28"/>
          <w:sz w:val="28"/>
          <w:szCs w:val="28"/>
          <w:rtl w:val="true"/>
          <w:lang w:bidi="ar-SA"/>
        </w:rPr>
        <w:t xml:space="preserve">حقيقياً ، ولا يستفاد منه الحكم المطلوب ، ولا يكون المورد من قبيل العامّ المذكور ، لو سلِّم في مورده جواز التمسّك به لكشف حال الفرد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عرفت أ نّها كما يظهر من فقراتها ، متعرّضة لموضوعات فيها فساد محض أو صلاح كذلك ، أو فيها صلاح وإن تستعمل أحياناً في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والحصر إن كان حقيقياً لا يوجب استفادة حكم خارج عن مدلول الكلام ، فكأ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الناشئة من الموضوعات منحصرة بما فيها الفساد ، والحرمة الناشئة من نفس العمل ، كما في المقام ، خارجة عن مفادها موضوعاً ، وهو لا يوجب إضافية الحصر </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1851646_2142443653"/>
      <w:bookmarkStart w:id="333" w:name="_Toc114"/>
      <w:bookmarkEnd w:id="332"/>
      <w:r>
        <w:rPr>
          <w:rtl w:val="true"/>
        </w:rPr>
        <w:t>في جواز بيع الصور وسائر التقلّبات فيها إذا كان اقتناؤها جائزاً</w:t>
      </w:r>
      <w:bookmarkEnd w:id="333"/>
    </w:p>
    <w:p>
      <w:pPr>
        <w:pStyle w:val="BookText"/>
        <w:rPr/>
      </w:pPr>
      <w:r>
        <w:rPr>
          <w:rFonts w:ascii="Amiri" w:hAnsi="Amiri" w:eastAsia="Amiri" w:cs="Amiri"/>
          <w:color w:val="111111"/>
          <w:sz w:val="28"/>
          <w:sz w:val="28"/>
          <w:szCs w:val="28"/>
          <w:rtl w:val="true"/>
          <w:lang w:bidi="ar-SA"/>
        </w:rPr>
        <w:t xml:space="preserve">ثمّ بعد جواز اقتنائها يكون بيعها وسائر التقلّبات فيها جائزاً على مقتضى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دلالة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الجواز ، بدعوى أنّ المستفاد منها أنّ الصورة المحرّمة لا يجوز بيعها وشراؤها وسائر التقلّبات فيها، خرج منها الاقتناء وبقي الباقي ، فاسد ، أمّا على ما ذكرناه في معنى الرواية من الوجهين فواضح ، وأمّا على ما ذكروه فلأنّ موضوع الحكم على عدم جواز جميع التقلّبات هو ما يكون فيه الفساد محضاً ، والمفروض أنّ التصوير ليس كذلك ؛ لأنّ فيه جهة صلاح وهي الاقتناء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المقام ليس من قبيل العامّ المخصّص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حجّة فيما بقى ، بل الحكم في الموضوعات مستفاد من ضمّ صغرى هي أنّ التصوير </w:t>
      </w:r>
      <w:bookmarkStart w:id="334" w:name="pg15158_207100"/>
    </w:p>
    <w:p>
      <w:pPr>
        <w:pStyle w:val="BookText"/>
        <w:rPr/>
      </w:pPr>
      <w:bookmarkEnd w:id="334"/>
      <w:r>
        <w:rPr>
          <w:rFonts w:ascii="Amiri" w:hAnsi="Amiri" w:eastAsia="Amiri" w:cs="Amiri"/>
          <w:color w:val="111111"/>
          <w:sz w:val="28"/>
          <w:sz w:val="28"/>
          <w:szCs w:val="28"/>
          <w:rtl w:val="true"/>
          <w:lang w:bidi="ar-SA"/>
        </w:rPr>
        <w:t xml:space="preserve">مثلاً محرّم ، إلى كبرى هي أنّ كلّ محرّم ففيه الفساد محضاً ، فيستنتج أنّ الصورة فيها الفساد محضاً ، فيجعل صغرى لكبرى اُخرى هي أنّ كلّ ما فيه الفساد محضاً فحرام تعليمه وتعلّمه وجميع التقلّبات فيه ، فالصورة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دلّ الدليل على جواز الاقتناء خرج التصوير عن عنوان الصغرى ؛ ضرورة أ نّه بعد جواز الاقتناء لا يكون فيه الفساد محضاً ، فلا تنطبق عليها الكبرى ، فلا تستنتج النتيجة المطلوبة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ذكرناه هو مراد السيّد في تعليقته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حرمة البيع وسائر التقلّبات فيها كيفما كانت </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1851648_2142443653"/>
      <w:bookmarkStart w:id="336" w:name="_Toc115"/>
      <w:bookmarkEnd w:id="335"/>
      <w:r>
        <w:rPr>
          <w:rtl w:val="true"/>
        </w:rPr>
        <w:t>عدم جواز أخذ الاُجرة على التصوير المحرّم</w:t>
      </w:r>
      <w:bookmarkEnd w:id="336"/>
    </w:p>
    <w:p>
      <w:pPr>
        <w:pStyle w:val="BookText"/>
        <w:rPr/>
      </w:pPr>
      <w:r>
        <w:rPr>
          <w:rFonts w:ascii="Amiri" w:hAnsi="Amiri" w:eastAsia="Amiri" w:cs="Amiri"/>
          <w:color w:val="111111"/>
          <w:sz w:val="28"/>
          <w:sz w:val="28"/>
          <w:szCs w:val="28"/>
          <w:rtl w:val="true"/>
          <w:lang w:bidi="ar-SA"/>
        </w:rPr>
        <w:t>ثمّ إنّ أخذ الاُجرة على التصوير المحرّم غير جائز ؛ لأنّ الإجارة لذلك</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حرام وفاسد ؛ لما ذكرناه فيما سلف من أنّ الفعل المحرّم الذي يجب على الناس منع الفاعل عنه بأدلّة النهي عن المنكر ، لا يكون محترماً ومالاً ، ولهذا لا يضمن المانع عنه اُجرة المثل للعمل بلا شبهة ، فلو منع مانع عبد غيره من عمل الصورة المجسّمة ، لا يكون ضامناً ، فلا يكون ذلك العمل مالاً لدى الشارع ، فلا يجوز أخذ الأجر عليه ، ويكون الأخذ أكلاً للمال بالباطل كما تقدّم تقريره ، فراجع</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bookmarkStart w:id="337" w:name="pg15158_207101"/>
    </w:p>
    <w:p>
      <w:pPr>
        <w:pStyle w:val="Heading3"/>
        <w:numPr>
          <w:ilvl w:val="2"/>
          <w:numId w:val="1"/>
        </w:numPr>
        <w:rPr/>
      </w:pPr>
      <w:bookmarkStart w:id="338" w:name="__RefHeading___Toc1851650_2142443653"/>
      <w:bookmarkStart w:id="339" w:name="_Toc116"/>
      <w:bookmarkEnd w:id="337"/>
      <w:bookmarkEnd w:id="338"/>
      <w:r>
        <w:rPr>
          <w:rtl w:val="true"/>
        </w:rPr>
        <w:t xml:space="preserve">المسألة الثانية </w:t>
      </w:r>
      <w:r>
        <w:rPr>
          <w:rtl w:val="true"/>
        </w:rPr>
        <w:t xml:space="preserve">: </w:t>
      </w:r>
      <w:r>
        <w:rPr>
          <w:rtl w:val="true"/>
        </w:rPr>
        <w:t>في الغناء</w:t>
      </w:r>
      <w:bookmarkEnd w:id="339"/>
    </w:p>
    <w:p>
      <w:pPr>
        <w:pStyle w:val="Heading4"/>
        <w:numPr>
          <w:ilvl w:val="3"/>
          <w:numId w:val="1"/>
        </w:numPr>
        <w:rPr/>
      </w:pPr>
      <w:bookmarkStart w:id="340" w:name="__RefHeading___Toc1851652_2142443653"/>
      <w:bookmarkStart w:id="341" w:name="_Toc117"/>
      <w:bookmarkEnd w:id="340"/>
      <w:r>
        <w:rPr>
          <w:rtl w:val="true"/>
        </w:rPr>
        <w:t>ماهية الغناء</w:t>
      </w:r>
      <w:bookmarkEnd w:id="34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اختلف الكلمات في ماهيته وحكمه ، ففسِّر بالسماع ، وبالصوت ، وبالصوت المطرب ، وبالصوت المشتمل على الترجيع ؛ أو هو مع الإطراب ، وبالترجيع ، وبالتطريب ؛ وبه مع الترجيع ، وبرفع الصوت مع الترجيع ، وبمدّه ، وبمدّه مع الترجيع والتطريب ؛ أو أحدهما ، وبتحسين الصوت ، وبحسنه ذاتاً ، وبمدّه وموالاته ، وبالصوت الموزون المفهم المحرّك للقلب ، وبمدّ الصوت المشتمل على الترجيع المطرب ، أو ما يسمّى في العرف غناءً وإن لم يطرب ، وبالصوت اللهوي ، وبألحان أهل المعاصي والكبائر ، وبما كان مناسباً لبعض آلات اللهو والرقص ، وبالصوت المعدّ لمجالس اللهو ، وبالصوت المثير لشهوة النكاح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المشهور أ نّه مدّ الصوت المشتمل على الترجيع المطرب</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bookmarkStart w:id="342" w:name="pg15158_207102"/>
    </w:p>
    <w:p>
      <w:pPr>
        <w:pStyle w:val="Heading4"/>
        <w:numPr>
          <w:ilvl w:val="3"/>
          <w:numId w:val="1"/>
        </w:numPr>
        <w:rPr/>
      </w:pPr>
      <w:bookmarkStart w:id="343" w:name="__RefHeading___Toc1851654_2142443653"/>
      <w:bookmarkStart w:id="344" w:name="_Toc118"/>
      <w:bookmarkEnd w:id="342"/>
      <w:bookmarkEnd w:id="343"/>
      <w:r>
        <w:rPr>
          <w:rtl w:val="true"/>
        </w:rPr>
        <w:t>تفسير الشيخ محمّد رضا الأصفهاني للغناء</w:t>
      </w:r>
      <w:bookmarkEnd w:id="344"/>
    </w:p>
    <w:p>
      <w:pPr>
        <w:pStyle w:val="BookText"/>
        <w:rPr/>
      </w:pPr>
      <w:r>
        <w:rPr>
          <w:rFonts w:ascii="Amiri" w:hAnsi="Amiri" w:eastAsia="Amiri" w:cs="Amiri"/>
          <w:color w:val="111111"/>
          <w:sz w:val="28"/>
          <w:sz w:val="28"/>
          <w:szCs w:val="28"/>
          <w:rtl w:val="true"/>
          <w:lang w:bidi="ar-SA"/>
        </w:rPr>
        <w:t xml:space="preserve">وقد تصدّى العلم الفقيه الشيخ محمّد رضا آل الشيخ العلاّمة الشيخ محمّد تقيّ رحمهما اللّه لتفسيره في رسالة لطيفة مستقلّة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صوت الإنسان الذي من شأنه إيجاد الطرب بتناسبه لمتعارف الناس ، والطرب هو الخفّة التي تعتري الإنسان فتكاد أن تذهب بالعقل وتفعل فعل المسكر لمتعارف الناس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تصدّى لتشييده بذكر مقدّمة حاصلها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الغناء من أظهر مظاهر الحسن ولأجله يطلبه من يطلبه ، فلا بدّ لبيان ناموس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وإن كان ممّا تحيّر فيه العقول ويدرك ولا يوصف ولكنّه في المركّبات لا يخرج عن حدّ التناسب ، فأينما وجد فالتناسب سببه ، فالخطّ الحسن ما تناسبت واواته وميماته ، والشعر الحسن ما تناسبت ألفاظه ومعانيه ، ولا يوصف الحيوان بالحسن إلاّ إذا تناسبت أعضاؤه ، ولا يقال للوجه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جميل إلاّ إذا تناسبت أجزاؤه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والصوت بين مظاهر الحسن من أكثرها قبولاً للتناسب ، فإذا كان الصوت متناسباً بمه ، وزيره ، ونبراته ، ومدّه ، وارتفاعه ، وانخفاضه ، واتّصاله ، وانفصاله ، سمّي بالغناء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وضع لبيان هذه النسب وأقسامها فنّ الموسيقى الذي هو أحد أقسام العلوم الرياضية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ويخصّ فنّ تناسب الآلات باسم الإيقاع ، والعود بينها ميزان الغناء ، يعرف به صحيح الغناء من فاسده ، كما يعرف بالمنطق صحيح القضايا من فاسدها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أوتارها الأربعة وكيفية شدّها والإصبع التي يضرب بها يعرف أقسام الغناء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اُنشد الشعر على طبق مقرّرات الفنّ ، أوجب لسامعه إذا كان من متعارف الناس ، الطرب الخارج عن المتعارف ، حتّى يكاد أن يفعل فعل المسكر فيصدر من الشريف الحكيم ما يأنف منه الأنذال من أقوال وأفعال يشبه أقوال السكارى وأفعالهم ، وفي كتب المحاضرات والتأريخ نجد حكايات إن تأمّلتها علمت أنّ ولع الغناء بالعقل لا يقصر عن الخمر بل يربو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الصوت بصوت الإنسان لمتابعة العرف ؛ فإنّ أصوات البلابل وإن تناسبت وأطربت لا يسمّى غناءً ، وبقيد التناسب يخرج ما أوجب الطرب بغيره من حسن الصوت اللغوي ذاتاً أو لحسن صاحبه ، أو لحسن ألفاظه ومعانيه ونحو ذلك ، وبقيد المتعارف يخرج الخارج عنه ، فلا اعتبار بمن هو كالجماد كما لا اعتبار بمن يطرب بأدنى سبب كما أنّ الحال كذلك في حدّ المسكر ، وبقولي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أن تذهب بالعقل يخرج الطرب الخفيف ، إذ لا اعتبار به كما لا اعتبار بالفرح والنشاط الحاصلين من بعض المشروبات المفرّحة ما لم يبلغ مرتبة يزيل العقل عن المتعارف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الطرب في الغناء كالسكر في الشراب ، والعلّة في تحريمه عين العلّة فيه وهو إزالة العقل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تصدّى لبيان عدم الاختلاف في كلمات علماء اللغة في ذلك وأنّ مغزى </w:t>
      </w:r>
    </w:p>
    <w:p>
      <w:pPr>
        <w:pStyle w:val="BookText"/>
        <w:rPr/>
      </w:pPr>
      <w:r>
        <w:rPr>
          <w:rFonts w:ascii="Amiri" w:hAnsi="Amiri" w:eastAsia="Amiri" w:cs="Amiri"/>
          <w:color w:val="111111"/>
          <w:sz w:val="28"/>
          <w:sz w:val="28"/>
          <w:szCs w:val="28"/>
          <w:rtl w:val="true"/>
          <w:lang w:bidi="ar-SA"/>
        </w:rPr>
        <w:t xml:space="preserve">الجميع واحد وإن اختلف التعبير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وفذلكة القول أنّ الغناء هو الصوت المتناسب الذي من شأنه بما هو متناسب أن يوجد الطرب أعني الخفّة بالحدّ الذي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خرج منه فليس من الغناء في شيء وإن كان الصائت رخيم الصوت حسن الأداء وأحسن كلّ الإحسان ، ووقع من سامعه أقصى مراتب الاستحسان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من الغناء الصوت المتناسب وإن كان من أبحٍّ رديّ الصوت ولم يطرب بل أوجب عكس الطرب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غناني القرشي دعوت اللّه بالطرش</w:t>
      </w:r>
    </w:p>
    <w:p>
      <w:pPr>
        <w:pStyle w:val="BookText"/>
        <w:rPr/>
      </w:pPr>
      <w:r>
        <w:rPr>
          <w:rFonts w:ascii="Amiri" w:hAnsi="Amiri" w:eastAsia="Amiri" w:cs="Amiri"/>
          <w:color w:val="111111"/>
          <w:sz w:val="28"/>
          <w:sz w:val="28"/>
          <w:szCs w:val="28"/>
          <w:rtl w:val="true"/>
          <w:lang w:bidi="ar-SA"/>
        </w:rPr>
        <w:t>فبين كلّ من الغناء والصوت المستحسن عموم من وجه ، وهو محرّم أيضاً كالغناء الحسن؛ لعموم الأدلّة، إلاّ أن يدّعى انصرافها إلى ما أوجب الطرب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أحسن الشيخ  قدّس سرّه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مناسباً لبعض آلات اللهو والرقص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 نّه تحاول ما ذكرناه ، فإنّ النسب الموسيقية تنطبق على النسب الإيقاعية ، ولذلك يطابق أهل اللهو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اُستاذ الصناعة على الرشيد بأنّ مغنّيك يغنّي بالثقيل وعوّادك يضرب بالخفيف ، فالصوت الخالي عن النسبة لا يكون غناءً وإن أوجب الطرب وقصد به اللهو ، كما أنّ مجرّد تحريك الأوتار لا يقال له ضرب ولا يكون محرّماً ، وكذلك مجرّد تحريك الأعضاء لا يكون رقصاً ما لم يكن على النسب المعيّنة</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xml:space="preserve">انتهى ملخّصاً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نقلناه بتفصيل ؛ أداء لبعض 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ولاشتمال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تحقي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وفوائ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bookmarkStart w:id="345" w:name="pg15158_207105"/>
    </w:p>
    <w:p>
      <w:pPr>
        <w:pStyle w:val="Heading4"/>
        <w:numPr>
          <w:ilvl w:val="3"/>
          <w:numId w:val="1"/>
        </w:numPr>
        <w:rPr/>
      </w:pPr>
      <w:bookmarkStart w:id="346" w:name="__RefHeading___Toc1851656_2142443653"/>
      <w:bookmarkStart w:id="347" w:name="_Toc119"/>
      <w:bookmarkEnd w:id="345"/>
      <w:bookmarkEnd w:id="346"/>
      <w:r>
        <w:rPr>
          <w:rtl w:val="true"/>
        </w:rPr>
        <w:t>المناقشة في بعض ما ذكره الشيخ محمّد رضا الأصفهاني في الغناء</w:t>
      </w:r>
      <w:bookmarkEnd w:id="347"/>
    </w:p>
    <w:p>
      <w:pPr>
        <w:pStyle w:val="BookText"/>
        <w:rPr/>
      </w:pPr>
      <w:r>
        <w:rPr>
          <w:rFonts w:ascii="Amiri" w:hAnsi="Amiri" w:eastAsia="Amiri" w:cs="Amiri"/>
          <w:color w:val="111111"/>
          <w:sz w:val="28"/>
          <w:sz w:val="28"/>
          <w:szCs w:val="28"/>
          <w:rtl w:val="true"/>
          <w:lang w:bidi="ar-SA"/>
        </w:rPr>
        <w:t xml:space="preserve">والإنصاف أنّ ما ذكره وحقّقه أحسن ما قيل في الباب ، وأقرب بإصابة الواقع وإن كان في بعض ما أفاده مجال المناقشة ، كانتهائه حدّ الإطراب بما يكاد أن يزيل بالعقل ، وأنّ العلّة في الغناء عين العلّة في المسكر ، وذلك لعدم الشاهد عليه في العرف واللغة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لصدق الغناء على ما لم يبلغ الإطراب ذلك الحدّ ولم يكن من شأنه 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للغناء أقساماً كثيرة ومراتب كثيرة غاية الكثرة في الحسن والإطراب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بلغ فيه غايته كما لو كان الصوت بذاته في كمال الرقّة والرخامة وكان</w:t>
      </w:r>
    </w:p>
    <w:p>
      <w:pPr>
        <w:pStyle w:val="BookText"/>
        <w:rPr/>
      </w:pPr>
      <w:r>
        <w:rPr>
          <w:rFonts w:ascii="Amiri" w:hAnsi="Amiri" w:eastAsia="Amiri" w:cs="Amiri"/>
          <w:color w:val="111111"/>
          <w:sz w:val="28"/>
          <w:sz w:val="28"/>
          <w:szCs w:val="28"/>
          <w:rtl w:val="true"/>
          <w:lang w:bidi="ar-SA"/>
        </w:rPr>
        <w:t xml:space="preserve">الصائت ماهراً في البحور الموسيقية ، وكان البحر مناسباً له كالبحر الخفيف مثلاً ، فحينئذٍ لا يبعد أن يكون مزيلاً للعقل ، ومهيّجاً للحليم ، وموجباً لصدور أعمال من الشريف الحكيم ما لا يصدر من الأنذال والأرذال ، وإن كانت القضايا المحكيّة عن بعض أهل الكبائر كبعض خلفاء الاُمويّين والعبّاسيّين لم يثبت كونها لمحض الغناء ، فإنّ مجالس تغنّيهم كانت مشحونة بأنواع الملاهي والمعاصي ، كشرب الخمور وأنواع آلات اللهو والترقّص وغيرها حتّى القضيّة المعروفة من 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مغنّيه</w:t>
      </w:r>
      <w:r>
        <w:rPr>
          <w:rStyle w:val="FootnoteAnchor"/>
          <w:rtl w:val="true"/>
        </w:rPr>
        <w:footnoteReference w:id="791"/>
      </w:r>
      <w:r>
        <w:rPr>
          <w:rFonts w:ascii="Amiri" w:hAnsi="Amiri" w:eastAsia="Amiri" w:cs="Amiri"/>
          <w:color w:val="111111"/>
          <w:sz w:val="28"/>
          <w:sz w:val="28"/>
          <w:szCs w:val="28"/>
          <w:rtl w:val="true"/>
          <w:lang w:bidi="ar-SA"/>
        </w:rPr>
        <w:t xml:space="preserve">لم يحرز كونها للغناء محضاً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لا يكون بتلك المرتبة كما لعلّه كذلك غالباً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وكلمات اللغويّين أيضاً لا يساعده ؛ لعدم تقييد مهرة الفنّ بحصول تلك المرتبة ، بل هم بين من فسّره بخفّة تعتري الإنسان لشدّة حزن أو سرور</w:t>
      </w:r>
      <w:r>
        <w:rPr>
          <w:rStyle w:val="FootnoteAnchor"/>
          <w:rtl w:val="true"/>
        </w:rPr>
        <w:footnoteReference w:id="792"/>
      </w:r>
      <w:r>
        <w:rPr>
          <w:rFonts w:ascii="Amiri" w:hAnsi="Amiri" w:eastAsia="Amiri" w:cs="Amiri"/>
          <w:color w:val="111111"/>
          <w:sz w:val="28"/>
          <w:sz w:val="28"/>
          <w:szCs w:val="28"/>
          <w:rtl w:val="true"/>
          <w:lang w:bidi="ar-SA"/>
        </w:rPr>
        <w:t>أو خفّة لسرور أو حزن</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واضطرب فرحاً أو حزناً</w:t>
      </w:r>
      <w:r>
        <w:rPr>
          <w:rFonts w:eastAsia="Amiri" w:cs="Amiri" w:ascii="Amiri" w:hAnsi="Amiri"/>
          <w:color w:val="111111"/>
          <w:sz w:val="28"/>
          <w:szCs w:val="28"/>
          <w:rtl w:val="true"/>
          <w:lang w:bidi="ar-SA"/>
        </w:rPr>
        <w:t>»</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الاهتزاز والاضطراب في الروح ، كما عن الغزالي تفسيره بالصوت الموزون المفهم المحرّك للقلب</w:t>
      </w:r>
      <w:r>
        <w:rPr>
          <w:rStyle w:val="FootnoteAnchor"/>
          <w:rtl w:val="true"/>
        </w:rPr>
        <w:footnoteReference w:id="795"/>
      </w:r>
      <w:r>
        <w:rPr>
          <w:rFonts w:ascii="Amiri" w:hAnsi="Amiri" w:eastAsia="Amiri" w:cs="Amiri"/>
          <w:color w:val="111111"/>
          <w:sz w:val="28"/>
          <w:sz w:val="28"/>
          <w:szCs w:val="28"/>
          <w:rtl w:val="true"/>
          <w:lang w:bidi="ar-SA"/>
        </w:rPr>
        <w:t>، وأراد بالأوّل الخفّة الحاصلة من السرور ، وبالثاني</w:t>
      </w:r>
    </w:p>
    <w:p>
      <w:pPr>
        <w:pStyle w:val="BookText"/>
        <w:rPr/>
      </w:pPr>
      <w:r>
        <w:rPr>
          <w:rFonts w:ascii="Amiri" w:hAnsi="Amiri" w:eastAsia="Amiri" w:cs="Amiri"/>
          <w:color w:val="111111"/>
          <w:sz w:val="28"/>
          <w:sz w:val="28"/>
          <w:szCs w:val="28"/>
          <w:rtl w:val="true"/>
          <w:lang w:bidi="ar-SA"/>
        </w:rPr>
        <w:t xml:space="preserve">الخفّة الحاصلة من الحزن ، فيوافق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 في مقدّمته وتحديده أنّ السبب الوحيد للحسن في المركّبات هو التناسب وأنّ الصوت بتناسبه موجب للطرب أو له شأنيته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منافاته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الغناء الصوت المتناسب وإن كان من أبحٍّ رديّ الصوت ولم يطرب بل أوجب عكس الطرب ، ثمّ تمثّل بقول الشاعر ، فإنّ صريح كلامه في الحدّ أنّ الغناء هو ما يكون مطرباً ، وصريحه هاهنا أنّ من الغناء ما لم يطرب بل أوجب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أنّ المراد بالثاني عدم حصوله بالفعل وإن كان له شأنيته فاسد ؛ لأنّ صوت أبحٍّ رديّ الصوت لا شأنية له لإيجاد الطرب بالحدّ المذكور غالباً بل دائماً ، وأمّا صيرورته أحياناً موجباً </w:t>
      </w:r>
    </w:p>
    <w:p>
      <w:pPr>
        <w:pStyle w:val="BookText"/>
        <w:rPr/>
      </w:pPr>
      <w:r>
        <w:rPr>
          <w:rFonts w:ascii="Amiri" w:hAnsi="Amiri" w:eastAsia="Amiri" w:cs="Amiri"/>
          <w:color w:val="111111"/>
          <w:sz w:val="28"/>
          <w:sz w:val="28"/>
          <w:szCs w:val="28"/>
          <w:rtl w:val="true"/>
          <w:lang w:bidi="ar-SA"/>
        </w:rPr>
        <w:t xml:space="preserve">للاُضحوكة والفرح ، فلا يوجب أن يكون مطرباً كالغناء ؛ لأنّ الطرب هو الخفّة والحال الخاصّ الذي يحصل بالتغنّي لا مطلق الفرح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 نّه لا يعتبر في الغناء مطلقاً فعلية الطرب ، وعلى التوهّم المتقدّم يلزم اعتبار الفعلية في نوع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السبب الوحيد في المركّبات هو التناسب ،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المقام لو لم يكن للصوت رقّة ورخامة ولطف وصفاء ولو في الجملة لا يصير بالتناسب حسناً ، كصوت القرشي المنكر الذي يدعو اللّه السامع بالطرش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المنكر الرديّ لا يكون غناءً عرفاً وإن كان صائته من مهرة الفنّ وأوجده بكمال التناسب ، والظاهر أنّ تسمية القائل صوت القرشي غناءً من باب التهكّم والاستهزاء ، كتسمية البخيل بحاتم ، والجبّان بالأسد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كان صوت من أبحٍّ رديّ الصوت مع تناسب يعلم به بعض المطربين والمهرة ويكون موجباً للطرب والخفّة ، لا يكون غناءً، فإنّ بعض المطربين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بكيفية صوته مع رداءته موجباً لتفريح الحضّار وحصول الخفّة لهم بالحدّ الذي ذكر أكثر من المغنّي الذي يكون بغناه موجباً له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الطرب الحاصل من الغناء غير الفرح الحاصل من الصوت المذكور سنخاً ، كما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صوت مثل القرشي غناءً ؛ سواء حصل منه الطرب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دعواه بأنّ مرجع جميع التعاريف إلى ما ذكره ، ففيها ما لا يخفى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غير موافق لواحد منها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الظاهر أنّ المراد بالسماع أو الصوت هو الاصطلاحي منهما لكنّهما ليسا </w:t>
      </w:r>
      <w:bookmarkStart w:id="348" w:name="pg15158_207108"/>
    </w:p>
    <w:p>
      <w:pPr>
        <w:pStyle w:val="BookText"/>
        <w:rPr/>
      </w:pPr>
      <w:bookmarkEnd w:id="348"/>
      <w:r>
        <w:rPr>
          <w:rFonts w:ascii="Amiri" w:hAnsi="Amiri" w:eastAsia="Amiri" w:cs="Amiri"/>
          <w:color w:val="111111"/>
          <w:sz w:val="28"/>
          <w:sz w:val="28"/>
          <w:szCs w:val="28"/>
          <w:rtl w:val="true"/>
          <w:lang w:bidi="ar-SA"/>
        </w:rPr>
        <w:t xml:space="preserve">تعريفاً حقيقة ،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ورجوعهما إلى تعريفه محلّ إشكال يظهر ممّا ذكرناه ونذكره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التوجيه الذي ارتكبه لكلام الشيخ الأنصاري ؛ أي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مناسباً لبعض آلات اللهو والرقص ، فالظاهر بل المعلوم غير وجيه ؛ لعدم كون مراده من هذا الكلام هو بيان تناسب النسب الموسيقية والإيقاعية </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851658_2142443653"/>
      <w:bookmarkStart w:id="350" w:name="_Toc120"/>
      <w:bookmarkEnd w:id="349"/>
      <w:r>
        <w:rPr>
          <w:rtl w:val="true"/>
        </w:rPr>
        <w:t>التحقيق في تعريف الغناء</w:t>
      </w:r>
      <w:bookmarkEnd w:id="350"/>
    </w:p>
    <w:p>
      <w:pPr>
        <w:pStyle w:val="BookText"/>
        <w:rPr/>
      </w:pPr>
      <w:r>
        <w:rPr>
          <w:rFonts w:ascii="Amiri" w:hAnsi="Amiri" w:eastAsia="Amiri" w:cs="Amiri"/>
          <w:color w:val="111111"/>
          <w:sz w:val="28"/>
          <w:sz w:val="28"/>
          <w:szCs w:val="28"/>
          <w:rtl w:val="true"/>
          <w:lang w:bidi="ar-SA"/>
        </w:rPr>
        <w:t xml:space="preserve">فالأولى تعريف الغناء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صوت الإنسان الذي له رقّة وحسن ذاتي ولو في الجملة ، وله شأنية إيجاد الطرب بتناسبه لمتعارف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فخرج بقيد الرقّة والحسن صوت الأبحّ الرديّ الصوت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له شأنية الإطراب ؛ لعدم اعتبار الفعلية بلا شبهة ، فإنّ حصول الطرب تدريجي قد لا يحصل بشعر وشعرين فتلك الماهية ولو بتكرار أفرادها لها شأنية الإطراب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بوجه نظير ما ورد في المسكر بأنّ ما كان كثيره مسكراً فقليله حرام</w:t>
      </w:r>
      <w:r>
        <w:rPr>
          <w:rStyle w:val="FootnoteAnchor"/>
          <w:rtl w:val="true"/>
        </w:rPr>
        <w:footnoteReference w:id="796"/>
      </w:r>
      <w:r>
        <w:rPr>
          <w:rFonts w:ascii="Amiri" w:hAnsi="Amiri" w:eastAsia="Amiri" w:cs="Amiri"/>
          <w:color w:val="111111"/>
          <w:sz w:val="28"/>
          <w:sz w:val="28"/>
          <w:szCs w:val="28"/>
          <w:rtl w:val="true"/>
          <w:lang w:bidi="ar-SA"/>
        </w:rPr>
        <w:t xml:space="preserve">فإنّ الحكم تعلّق بالطبيعة التي من شأنها الإسكار ولا ينافي عدم مسكرية قليلها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وماهية الغناء كذلك ، فلا ينافي عدم مطربية بعض مصاديقه فعلاً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وقيد التناسب لأجل أنّ الصوت الرقيق الرخيم إن لم يكن فيه التناسب الموسيقى لا يكون مطرباً ولا غناءً ، بل لا يتّصف بالحسن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 الطويل </w:t>
      </w:r>
    </w:p>
    <w:p>
      <w:pPr>
        <w:pStyle w:val="BookText"/>
        <w:rPr/>
      </w:pPr>
      <w:r>
        <w:rPr>
          <w:rFonts w:ascii="Amiri" w:hAnsi="Amiri" w:eastAsia="Amiri" w:cs="Amiri"/>
          <w:color w:val="111111"/>
          <w:sz w:val="28"/>
          <w:sz w:val="28"/>
          <w:szCs w:val="28"/>
          <w:rtl w:val="true"/>
          <w:lang w:bidi="ar-SA"/>
        </w:rPr>
        <w:t xml:space="preserve">لا يكون غناءً ولا مطرباً ولو كان في كمال الرقّة والرخامة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حسن ، يراد به رقّته ورخامته وصفاؤه الذاتي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بشأنية الطرب لمعرّفية التناسب الخاصّ ؛ أي التناسب الذي من واحد من الألحان الموسيقية، فهو في الحقيقة من باب زيادة الحدّ على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الخدشة في الحدّ المنتسب إلى المشهور ، وهو مدّ الصوت المشتمل على الترجيع المطرب ؛ فإنّ الغناء لا يتقوّم بالمدّ ولا الترجيع ، ففي كثير</w:t>
      </w:r>
    </w:p>
    <w:p>
      <w:pPr>
        <w:pStyle w:val="BookText"/>
        <w:rPr/>
      </w:pPr>
      <w:r>
        <w:rPr>
          <w:rFonts w:ascii="Amiri" w:hAnsi="Amiri" w:eastAsia="Amiri" w:cs="Amiri"/>
          <w:color w:val="111111"/>
          <w:sz w:val="28"/>
          <w:sz w:val="28"/>
          <w:szCs w:val="28"/>
          <w:rtl w:val="true"/>
          <w:lang w:bidi="ar-SA"/>
        </w:rPr>
        <w:t xml:space="preserve">من أقسامه لا يكون مدّ ولا ترجيع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القيدين في كلماتهم لأجل كون المتعارف من الغناء في أعصارهم هو ما يكون مشتملاً عليهما ، فظنّ أ نّه متقوّم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المطربية الفعلية غير معتبرة فيه بما مرّ وأنّ الصوت ما لم يكن فيه رخامة وصفاء ليس بغناء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ذكرناه في المقام هو تحصيل ماهية الغناء من غير نظر إلى ما كان موضوعاً للحكم الشرعي ، ولعلّ موضوعه أعمّ أو أخصّ وسيأتي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الغناء ليس مساوقاً للصوت اللهي والباطل ، ولا لألحان أهل الفسوق والكبائر ، بل كثير من الألحان اللهوية وأهل الفسوق والأباطيل خارج عن حدّه ، ولا يكون في العرف والعادة غناءً ، ولكلّ طائفة من أهل اللهو والفسوق والتغنّي شغل خاصّ في عصرنا ، ومحالّ خاصّة معدّة له ، ولشغله وصنعته اسم خاصّ يعرفه أهل تلك الفنون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كلمات كلّ من تصدّى لتحديد الغناء أ نّه من كيفية الصوت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الصوت نفسه ، وليست مادّة الكلام دخيلة فيه ، ولا فرق في حصوله بين </w:t>
      </w:r>
      <w:bookmarkStart w:id="351" w:name="pg15158_207110"/>
    </w:p>
    <w:p>
      <w:pPr>
        <w:pStyle w:val="BookText"/>
        <w:rPr/>
      </w:pPr>
      <w:bookmarkEnd w:id="351"/>
      <w:r>
        <w:rPr>
          <w:rFonts w:ascii="Amiri" w:hAnsi="Amiri" w:eastAsia="Amiri" w:cs="Amiri"/>
          <w:color w:val="111111"/>
          <w:sz w:val="28"/>
          <w:sz w:val="28"/>
          <w:szCs w:val="28"/>
          <w:rtl w:val="true"/>
          <w:lang w:bidi="ar-SA"/>
        </w:rPr>
        <w:t>أن يكون الكلام باطلاً أو حقّاً وحكمة أو قرآناً أو رثاءً لمظلوم ، وهو واضح</w:t>
      </w:r>
    </w:p>
    <w:p>
      <w:pPr>
        <w:pStyle w:val="BookText"/>
        <w:rPr/>
      </w:pPr>
      <w:r>
        <w:rPr>
          <w:rFonts w:ascii="Amiri" w:hAnsi="Amiri" w:eastAsia="Amiri" w:cs="Amiri"/>
          <w:color w:val="111111"/>
          <w:sz w:val="28"/>
          <w:sz w:val="28"/>
          <w:szCs w:val="28"/>
          <w:rtl w:val="true"/>
          <w:lang w:bidi="ar-SA"/>
        </w:rPr>
        <w:t xml:space="preserve">لا ينبغي التأمّل فيه </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851660_2142443653"/>
      <w:bookmarkStart w:id="353" w:name="_Toc121"/>
      <w:bookmarkEnd w:id="352"/>
      <w:r>
        <w:rPr>
          <w:rtl w:val="true"/>
        </w:rPr>
        <w:t>حكم الغناء</w:t>
      </w:r>
      <w:bookmarkEnd w:id="353"/>
    </w:p>
    <w:p>
      <w:pPr>
        <w:pStyle w:val="BookText"/>
        <w:rPr/>
      </w:pPr>
      <w:r>
        <w:rPr>
          <w:rFonts w:ascii="Amiri" w:hAnsi="Amiri" w:eastAsia="Amiri" w:cs="Amiri"/>
          <w:color w:val="111111"/>
          <w:sz w:val="28"/>
          <w:sz w:val="28"/>
          <w:szCs w:val="28"/>
          <w:rtl w:val="true"/>
          <w:lang w:bidi="ar-SA"/>
        </w:rPr>
        <w:t>في الاستدلال بالأخبار على حرمة الغناء بذاته</w:t>
      </w:r>
    </w:p>
    <w:p>
      <w:pPr>
        <w:pStyle w:val="BookText"/>
        <w:rPr/>
      </w:pPr>
      <w:r>
        <w:rPr>
          <w:rFonts w:ascii="Amiri" w:hAnsi="Amiri" w:eastAsia="Amiri" w:cs="Amiri"/>
          <w:color w:val="111111"/>
          <w:sz w:val="28"/>
          <w:sz w:val="28"/>
          <w:szCs w:val="28"/>
          <w:rtl w:val="true"/>
          <w:lang w:bidi="ar-SA"/>
        </w:rPr>
        <w:t>وأمّا حكمه فقد وردت روايات مستفيضة أو متواترة على حرمته ،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على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وردت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 xml:space="preserve">بأ نّه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هشام عن أبي عبداللّه علیه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الرجس من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الشطرنج ، وقول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فسِّر به في رواية زيد الشحّام</w:t>
      </w:r>
      <w:r>
        <w:rPr>
          <w:rStyle w:val="FootnoteAnchor"/>
          <w:rtl w:val="true"/>
        </w:rPr>
        <w:footnoteReference w:id="799"/>
      </w:r>
      <w:r>
        <w:rPr>
          <w:rFonts w:ascii="IRNazanin" w:hAnsi="IRNazanin" w:eastAsia="IRNazanin"/>
          <w:color w:val="111111"/>
          <w:sz w:val="28"/>
          <w:sz w:val="28"/>
          <w:szCs w:val="28"/>
          <w:rtl w:val="true"/>
          <w:lang w:bidi="fa-IR"/>
        </w:rPr>
        <w:t>ومهران بن محمّد</w:t>
      </w:r>
      <w:r>
        <w:rPr>
          <w:rStyle w:val="FootnoteAnchor"/>
          <w:rtl w:val="true"/>
        </w:rPr>
        <w:footnoteReference w:id="800"/>
      </w:r>
      <w:r>
        <w:rPr>
          <w:rFonts w:ascii="Amiri" w:hAnsi="Amiri" w:eastAsia="Amiri" w:cs="Amiri"/>
          <w:color w:val="111111"/>
          <w:sz w:val="28"/>
          <w:sz w:val="28"/>
          <w:szCs w:val="28"/>
          <w:rtl w:val="true"/>
          <w:lang w:bidi="ar-SA"/>
        </w:rPr>
        <w:t>وأبي بصير</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وعبد الأعلى</w:t>
      </w:r>
      <w:r>
        <w:rPr>
          <w:rStyle w:val="FootnoteAnchor"/>
          <w:rtl w:val="true"/>
        </w:rPr>
        <w:footnoteReference w:id="802"/>
      </w:r>
      <w:r>
        <w:rPr>
          <w:rFonts w:ascii="Amiri" w:hAnsi="Amiri" w:eastAsia="Amiri" w:cs="Amiri"/>
          <w:color w:val="111111"/>
          <w:sz w:val="28"/>
          <w:sz w:val="28"/>
          <w:szCs w:val="28"/>
          <w:rtl w:val="true"/>
          <w:lang w:bidi="ar-SA"/>
        </w:rPr>
        <w:t>وغيرهم</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المتفاهم من عنوان قول الزور هو القول الباطل باعتبار مدلوله كالكذب وشهادة الباطل والافتراء ، والغناء كما عرفت من كيفية الصوت ، أو الصوت بكيفية ، وهو عنوان مغاير لعنوان الكلام والقول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وفسّرت الآية بقول القائل للمغنّي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حمّاد بن عثمان عن أبي عبداللّه علیه السلام</w:t>
      </w:r>
      <w:r>
        <w:rPr>
          <w:rStyle w:val="FootnoteAnchor"/>
          <w:rtl w:val="true"/>
        </w:rPr>
        <w:footnoteReference w:id="804"/>
      </w:r>
      <w:r>
        <w:rPr>
          <w:rFonts w:ascii="Amiri" w:hAnsi="Amiri" w:eastAsia="Amiri" w:cs="Amiri"/>
          <w:color w:val="111111"/>
          <w:sz w:val="28"/>
          <w:sz w:val="28"/>
          <w:szCs w:val="28"/>
          <w:rtl w:val="true"/>
          <w:lang w:bidi="ar-SA"/>
        </w:rPr>
        <w:t xml:space="preserve">، مع أنّ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بنفسه باطلاً وزوراً ، وإنّما اُطلق عليه باعتبار تحسين الغناء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فيقع الكلام في كيفية إرادة الكلام الباطل باعتبار مدلوله والغناء الذي صوت أو كيفيته بكلام واحد ، وكذا كيفية إرادة 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الزور ، هل هي من قبيل المجاز اللغوي المشهور مع استعمال اللفظ في أكثر من معنىً واحد ؛ أي في معنىً حقيقي ومجازي بعلاقة كعلاقة الحالّ والمحلّ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من قبيل الحقيقة الادّعائية على ما سلكناه في المجازات</w:t>
      </w:r>
      <w:r>
        <w:rPr>
          <w:rStyle w:val="FootnoteAnchor"/>
          <w:rtl w:val="true"/>
        </w:rPr>
        <w:footnoteReference w:id="805"/>
      </w:r>
      <w:r>
        <w:rPr>
          <w:rFonts w:ascii="IRNazanin" w:hAnsi="IRNazanin" w:eastAsia="IRNazanin"/>
          <w:color w:val="111111"/>
          <w:sz w:val="28"/>
          <w:sz w:val="28"/>
          <w:szCs w:val="28"/>
          <w:rtl w:val="true"/>
          <w:lang w:bidi="fa-IR"/>
        </w:rPr>
        <w:t xml:space="preserve">تبعاً لبعض مشايخنا  رحمه الله علیه </w:t>
      </w:r>
      <w:r>
        <w:rPr>
          <w:rStyle w:val="FootnoteAnchor"/>
          <w:rtl w:val="true"/>
        </w:rPr>
        <w:footnoteReference w:id="806"/>
      </w:r>
      <w:r>
        <w:rPr>
          <w:rFonts w:ascii="Amiri" w:hAnsi="Amiri" w:eastAsia="Amiri" w:cs="Amiri"/>
          <w:color w:val="111111"/>
          <w:sz w:val="28"/>
          <w:sz w:val="28"/>
          <w:szCs w:val="28"/>
          <w:rtl w:val="true"/>
          <w:lang w:bidi="ar-SA"/>
        </w:rPr>
        <w:t xml:space="preserve">؛ بمعنى استعمال قول الزور في معناه ، وادّعاء أنّ </w:t>
      </w:r>
    </w:p>
    <w:p>
      <w:pPr>
        <w:pStyle w:val="BookText"/>
        <w:rPr/>
      </w:pPr>
      <w:r>
        <w:rPr>
          <w:rFonts w:ascii="Amiri" w:hAnsi="Amiri" w:eastAsia="Amiri" w:cs="Amiri"/>
          <w:color w:val="111111"/>
          <w:sz w:val="28"/>
          <w:sz w:val="28"/>
          <w:szCs w:val="28"/>
          <w:rtl w:val="true"/>
          <w:lang w:bidi="ar-SA"/>
        </w:rPr>
        <w:t xml:space="preserve">الغناء منه ، وكذا قول القائل للمغنّي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أو من قبيل إطلاق قول الزور وإرادة مطلق الباطل بنحو من الادّعاء حتّى يدخل فيه المزامير والمعازف وغيرهما ؟</w:t>
      </w:r>
    </w:p>
    <w:p>
      <w:pPr>
        <w:pStyle w:val="BookText"/>
        <w:rPr/>
      </w:pPr>
      <w:r>
        <w:rPr>
          <w:rFonts w:ascii="Amiri" w:hAnsi="Amiri" w:eastAsia="Amiri" w:cs="Amiri"/>
          <w:color w:val="111111"/>
          <w:sz w:val="28"/>
          <w:sz w:val="28"/>
          <w:szCs w:val="28"/>
          <w:rtl w:val="true"/>
          <w:lang w:bidi="ar-SA"/>
        </w:rPr>
        <w:t>أو أراد من قول الزور القول المشتمل على الباطل مدلولاً وعلى الغناء جميعاً ، حتّى لا تدلّ الآية ولا الروايات المفسّرة لها على حرمة الغناء بنفسه ؟</w:t>
      </w:r>
    </w:p>
    <w:p>
      <w:pPr>
        <w:pStyle w:val="BookText"/>
        <w:rPr/>
      </w:pPr>
      <w:r>
        <w:rPr>
          <w:rFonts w:ascii="Amiri" w:hAnsi="Amiri" w:eastAsia="Amiri" w:cs="Amiri"/>
          <w:color w:val="111111"/>
          <w:sz w:val="28"/>
          <w:sz w:val="28"/>
          <w:szCs w:val="28"/>
          <w:rtl w:val="true"/>
          <w:lang w:bidi="ar-SA"/>
        </w:rPr>
        <w:t xml:space="preserve">أو أراد بقول الزور القول المشتمل على الباطل ، إمّا نحو اشتمال الكلام على مدلوله ، أو نحو اشتمال الموصوف على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القول إلى الزور لاتّحاده معه اتّحاد الصفة مع الموصوف ، فالقول زور باعتبار اشتمال مدلوله على الباطل وزور باعتبار صفته وهو الصوت الخاصّ ، فيكون الغناء مستقلاًّ محكوماً بوجوب الاجتناب ، والكلام المشتمل على الباطل بحسب مدلوله أيضاً محكوم به ؟</w:t>
      </w:r>
    </w:p>
    <w:p>
      <w:pPr>
        <w:pStyle w:val="BookText"/>
        <w:rPr/>
      </w:pPr>
      <w:r>
        <w:rPr>
          <w:rFonts w:ascii="Amiri" w:hAnsi="Amiri" w:eastAsia="Amiri" w:cs="Amiri"/>
          <w:color w:val="111111"/>
          <w:sz w:val="28"/>
          <w:sz w:val="28"/>
          <w:szCs w:val="28"/>
          <w:rtl w:val="true"/>
          <w:lang w:bidi="ar-SA"/>
        </w:rPr>
        <w:t>ولعلّ هذا الاحتمال الأخير أو ما يرجع إليه ممّا تقدّم أقرب الاحتمالات إلى ظواهر الأخبار المفسّرة كما اختاره بعض المدقّقين</w:t>
      </w:r>
      <w:r>
        <w:rPr>
          <w:rStyle w:val="FootnoteAnchor"/>
          <w:rtl w:val="true"/>
        </w:rPr>
        <w:footnoteReference w:id="807"/>
      </w:r>
      <w:r>
        <w:rPr>
          <w:rFonts w:ascii="Amiri" w:hAnsi="Amiri" w:eastAsia="Amiri" w:cs="Amiri"/>
          <w:color w:val="111111"/>
          <w:sz w:val="28"/>
          <w:sz w:val="28"/>
          <w:szCs w:val="28"/>
          <w:rtl w:val="true"/>
          <w:lang w:bidi="ar-SA"/>
        </w:rPr>
        <w:t>؛ لأنّ الظاهر منها أنّ قول الزور هو الغناء أو هو من قول الزور ، ومع قيام القرينة العقلية بأ نّه ليس من مقولة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يدور الأمر بين رفع اليد عن ظاهر جميع الأخبار المفسّرة الدالّة على أنّ الغناء الذي هو صوت خاصّ هو قول الزور بتمام مصاديقه ، وحملها على قسم خاصّ متحقّق مع كلام خاصّ مدلوله الباطل والزور كما احتمله الشيخ واختاره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الأخبار هو أنّ الغناء تمام الموضوع لصدق قول الزور عليه ومستقلّ فيه ، فعلى الاحتمال الذي رجّحه الشيخ لا بدّ من رفع اليد عن هذا الظاهر مع عدم حفظ ظهور الآية أيضاً ، فإنّ ظاهرها حرمة قول الزور ، والحمل على الغناء بما ذكر ، حمل على غير مدلولها بحسب فهم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حملها على قسم خاصّ منه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حفظ ظهور الأخبار وحملها على الغناء بالمعنى الحقيقي المعروف مع حفظ ظاهر الآية من حيث تعميمها بالنسبة إلى جميع الأقوال الباطلة ، وإن نعمّمها لأمر آخر لم نعمّمها له لولا الأخبار ، وهو إرادة الزور باعتبار الوصف الحاصل له وهو الغناء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بناءً على ما رجّحه الشيخ في معنى الآية بضميمة الروايات إنّ الغناء ليس قول الزور ولا هو من قول الزور ، وأمّا على ما ذكرناه فإنّه هو ؛ لاتّحادهما خارجاً وصدق أحدهما على الآخر بالحمل الشائع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فرضت المناقشة فيما ذكرناه فلا أقلّ من دخول الغناء تعبّداً فيه ، ومقتضى إطلاق الأدلّة أ نّه بذاته وبلا قيد قول الزور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 إشكال آخر ، وهو أنّ قول الزور إن كان مطلق الباطل المقابل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بالباطل ما لا يكون فيه غرض عقلائي وما لا دخالة له في المعاش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في عدم حرمته بهذا الإطلاق وبهذا العرض العريض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فيدور الأمر بين حفظ ظهور هيئة الأمر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الوجوب ، وتقييد قول الزور بقسم خاصّ وهو المحرّمات الشرعية ، فتكون </w:t>
      </w:r>
    </w:p>
    <w:p>
      <w:pPr>
        <w:pStyle w:val="BookText"/>
        <w:rPr/>
      </w:pPr>
      <w:r>
        <w:rPr>
          <w:rFonts w:ascii="Amiri" w:hAnsi="Amiri" w:eastAsia="Amiri" w:cs="Amiri"/>
          <w:color w:val="111111"/>
          <w:sz w:val="28"/>
          <w:sz w:val="28"/>
          <w:szCs w:val="28"/>
          <w:rtl w:val="true"/>
          <w:lang w:bidi="ar-SA"/>
        </w:rPr>
        <w:t xml:space="preserve">الآية لبيان إجمال ما فصّل في الشريعة من المحرّمات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w:t>
      </w:r>
    </w:p>
    <w:p>
      <w:pPr>
        <w:pStyle w:val="BookText"/>
        <w:rPr/>
      </w:pPr>
      <w:r>
        <w:rPr>
          <w:rFonts w:ascii="Amiri" w:hAnsi="Amiri" w:eastAsia="Amiri" w:cs="Amiri"/>
          <w:color w:val="111111"/>
          <w:sz w:val="28"/>
          <w:sz w:val="28"/>
          <w:szCs w:val="28"/>
          <w:rtl w:val="true"/>
          <w:lang w:bidi="ar-SA"/>
        </w:rPr>
        <w:t>عَلَيْهِمُ الْخَبَائِثَ</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xml:space="preserve">بناءً على أنّ المراد بها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حفظ إطلاق قول الزور وحمل الأمر على الرجحان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ترجيح للأوّل إن لم نقل أ نّه للثاني ؛ لشيوع استعمال الأمر في غير الوجوب وبُعد رفع اليد عن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لا دلالة للآية الكريمة ولا للأخبار الدالّة على أنّ قول الزور الغناء على حرمته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يجاب عنه بأنّ سياق الآية وذكر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قوّة ظهور في أنّ الأمر للوجوب سيّما مع إشعار مادّة الاجتناب بذلك ، فيصير قرينة على أنّ المراد من قول الزور ليس مطلق القول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الزور ليس مطلق القول الباطل بالمعنى المتقدّم ، بل باطل خاصّ عرفاً كالكذب والافتراء والسخرية ونحوها ، فلا يقال عرفاً لمطلق القول الذي لا دخالة له في المعاد والمعاش إ نّه قول الزور بل لعلّه لا يكون باطلاً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تفسير الآية بالأقوال المحرّمة كالكذب وتلبية المشركين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لا شريك لك إلاّ شريكاً هو لك تملكه وما ملك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رسول اللّه‌ صلی الله علیه و آله وسلم أ نّه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خطيباً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 عدلت شهادة الزور بالشرك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 xml:space="preserve">، وهو مؤيّد لما ذكرناه من السياق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الكريمة بضمّ الروايات المفسّرة تدلّ على حرمة الغناء بذاته إذا كان مقروناً بقول ، وبإلغاء الخصوصية عرفاً يستفاد منها حرمته مطلقاً ولو وجد في مهمل لا يقال له قول أو وجد في الصوت بلا 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الغناء المتحقّق في الكلام لا يقوم جميع قرعاته ورجعاته بالكلام بل يقع كثير منها في خلاله وقبله وبعده ، ولا شبهة في أنّ الصوت الكذائي بمطلق وجوده غناء ، فتدلّ الروايات على حرمته ولو بتلك القطعات الغير القائمة بالألفاظ ، ولا شبهة في عدم الفرق بين تلك القطعات المحرّمة والصوت المتحقّق بلا كلام إن كان غناءً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ذكرناه يظهر الكلام في طائفة اُخرى من الروايات وهي المفسّرة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يَشْتَرِى لَهْوَ الْحَدِيثِ لِيُضِلَّ عَنْ سَبِيلِ اللّه‌ِ بِغَيْرِ عِلْمٍ وَيَتَّخِذَهَا هُزُواً أُولَئِكَ لَهُمْ عَذَابٌ مُهِينٌ</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كرواية محمّد بن مسلم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يبعد أن تكون موثّقة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ممّا وعد اللّه عليه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 . (</w:t>
      </w:r>
      <w:r>
        <w:rPr>
          <w:rStyle w:val="FootnoteAnchor"/>
          <w:rtl w:val="true"/>
        </w:rPr>
        <w:footnoteReference w:id="812"/>
      </w:r>
      <w:r>
        <w:rPr>
          <w:rFonts w:ascii="Amiri" w:hAnsi="Amiri" w:eastAsia="Amiri" w:cs="Amiri"/>
          <w:color w:val="111111"/>
          <w:sz w:val="28"/>
          <w:sz w:val="28"/>
          <w:szCs w:val="28"/>
          <w:rtl w:val="true"/>
          <w:lang w:bidi="ar-SA"/>
        </w:rPr>
        <w:t>وقريب منها روايات اُخر</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دخوله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الوجه في دخوله في قول الزور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 كلام آخر ، وهو أنّ الظاهر من الآية أنّ لهو الحديث قسمان ، والمحرّم منه هو ما يشترى وتكون الغاية به إضلال الناس عن سبيل اللّه ، وغاية ما تدلّ الروايات هو كون الغناء داخلاً فيها ، ومقتضاه أن يكون الغناء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هو ما يوجب الإضلال ومحلّل هو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بالإضلال عن سبيل اللّه ليس خصوص الإضلال عن العقائد ، بل جميع الواجبات فعلاً والمحرّمات تركاً من سبل اللّه ، وكلّ شيء يوجب ترك واجب أو فعل محرّم يكون صادّاً عن سبيل اللّه ومضلاًّ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تعلّم أحد أحاديث لهوية ليحدّثها على قوم يوجب تحديثها ولو اقتضاءً ترك معروف أو فعل منكر ، يصدق عليه أ نّه اشترى لهو الحديث ليضلّ عن سبيل اللّه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الروايات المفسّرة كان ظاهر الآية حرمة اشتراء لهو الحديث ؛ أي الأخبار الموجبة بمدلولها لإلهاء الناس وإضلالهم عن سبيل اللّه ، كما ورد في سبب نزولها أنّ النضر بن الحرث كان يخرج إلى فارس فيشتري أخبار الأعاجم ويحدّث قريشاً ويصرفهم عن استماع القرآن</w:t>
      </w:r>
      <w:r>
        <w:rPr>
          <w:rStyle w:val="FootnoteAnchor"/>
          <w:rtl w:val="true"/>
        </w:rPr>
        <w:footnoteReference w:id="814"/>
      </w:r>
      <w:r>
        <w:rPr>
          <w:rFonts w:ascii="Amiri" w:hAnsi="Amiri" w:eastAsia="Amiri" w:cs="Amiri"/>
          <w:color w:val="111111"/>
          <w:sz w:val="28"/>
          <w:sz w:val="28"/>
          <w:szCs w:val="28"/>
          <w:rtl w:val="true"/>
          <w:lang w:bidi="ar-SA"/>
        </w:rPr>
        <w:t xml:space="preserve">، فلم تكن شاملة </w:t>
      </w:r>
    </w:p>
    <w:p>
      <w:pPr>
        <w:pStyle w:val="BookText"/>
        <w:rPr/>
      </w:pPr>
      <w:r>
        <w:rPr>
          <w:rFonts w:ascii="Amiri" w:hAnsi="Amiri" w:eastAsia="Amiri" w:cs="Amiri"/>
          <w:color w:val="111111"/>
          <w:sz w:val="28"/>
          <w:sz w:val="28"/>
          <w:szCs w:val="28"/>
          <w:rtl w:val="true"/>
          <w:lang w:bidi="ar-SA"/>
        </w:rPr>
        <w:t xml:space="preserve">للغناء الذي هو من كيفيات الصوت ولا دخل له بمدلول الحديث ومضمونه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بعد تفسيرها به وقلنا بدخوله فيها بالتقريب المتقدّم في الآية المتقدّمة</w:t>
      </w:r>
    </w:p>
    <w:p>
      <w:pPr>
        <w:pStyle w:val="BookText"/>
        <w:rPr/>
      </w:pPr>
      <w:r>
        <w:rPr>
          <w:rFonts w:ascii="Amiri" w:hAnsi="Amiri" w:eastAsia="Amiri" w:cs="Amiri"/>
          <w:color w:val="111111"/>
          <w:sz w:val="28"/>
          <w:sz w:val="28"/>
          <w:szCs w:val="28"/>
          <w:rtl w:val="true"/>
          <w:lang w:bidi="ar-SA"/>
        </w:rPr>
        <w:t>يصدق على من تعلّم الغناء للتغنّي أ نّه اشترى لهو الحديث ليضلّ عن سبيل اللّه ، إمّا لأ نّه بنفسه حرام وبإيجاده يخرج المغنّي والسامع عن سبيل اللّه ، وإمّا لأ نّه</w:t>
      </w:r>
    </w:p>
    <w:p>
      <w:pPr>
        <w:pStyle w:val="BookText"/>
        <w:rPr/>
      </w:pPr>
      <w:r>
        <w:rPr>
          <w:rFonts w:ascii="IRNazanin" w:hAnsi="IRNazanin" w:eastAsia="IRNazanin"/>
          <w:color w:val="111111"/>
          <w:sz w:val="28"/>
          <w:sz w:val="28"/>
          <w:szCs w:val="28"/>
          <w:rtl w:val="true"/>
          <w:lang w:bidi="fa-IR"/>
        </w:rPr>
        <w:t xml:space="preserve">بذاته مع تجريده عن معاني الألفاظ ومع سماعه وعدم فهم المعنى ممّا يترتّب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 عن سبيل اللّه والغفلة عن ذكر اللّه ، وربّما ينجرّ به إلى فعل الكبائر وترك الواجبات كما 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رقية الزنا</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العلم بأنّ ذلك من مقتضيات ذات الغناء وتعلّمه للتغنّي ، يصدق أ نّه تعلّم للإضلال ، أي تعلّم ما يترتّب عليه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التغنّي بالمواعظ والقرآن لا يترتّب عليه ذلك ؛ لأنّ هذا من مقتضيات نفس الغناء لو جرّد عن مداليل الألفاظ ، والمفروض أنّ الغناء بذاته داخل في الآية كما هو مفاد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مقتضى إطلاق الأخبار أنّ مطلق الغناء داخل في الآية وأوعد اللّه عليه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قلّما يتّفق لشخص أن يكون غاية تعلّمه للغناء أو تغنّيه ، الإضلال عن سبيل اللّه والصدّ عنه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 يكون عدّ الغناء من الآية بنحو الإطلاق على الاحتمال المتقدّم في الإشكال كحمل المطلق على الفرد النادر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الغناء ممّا وعد اللّه </w:t>
      </w:r>
    </w:p>
    <w:p>
      <w:pPr>
        <w:pStyle w:val="BookText"/>
        <w:rPr/>
      </w:pPr>
      <w:r>
        <w:rPr>
          <w:rFonts w:ascii="Amiri" w:hAnsi="Amiri" w:eastAsia="Amiri" w:cs="Amiri"/>
          <w:color w:val="111111"/>
          <w:sz w:val="28"/>
          <w:sz w:val="28"/>
          <w:szCs w:val="28"/>
          <w:rtl w:val="true"/>
          <w:lang w:bidi="ar-SA"/>
        </w:rPr>
        <w:t>عليه النار</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 xml:space="preserve">في الآية مع عدم دخوله فيها إلاّ ما هو نادر كالمعدوم يعدّ مستهجناً قبيحاً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وأن تحمل اللام على النتيجة أعمّ من كونها غاية أو لا ، فلا ينافي ذلك</w:t>
      </w:r>
    </w:p>
    <w:p>
      <w:pPr>
        <w:pStyle w:val="BookText"/>
        <w:rPr/>
      </w:pPr>
      <w:r>
        <w:rPr>
          <w:rFonts w:ascii="Amiri" w:hAnsi="Amiri" w:eastAsia="Amiri" w:cs="Amiri"/>
          <w:color w:val="111111"/>
          <w:sz w:val="28"/>
          <w:sz w:val="28"/>
          <w:szCs w:val="28"/>
          <w:rtl w:val="true"/>
          <w:lang w:bidi="ar-SA"/>
        </w:rPr>
        <w:t xml:space="preserve">ما ورد في شأن نزولها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فَالْتَقَطَهُ آلُ فِرْعَوْنَ لِيَكُونَ لَهُمْ عَدُوّاً وَحَزَناً</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xml:space="preserve">وكقول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لدوا للموت وابنوا للخراب</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الطائفتين المتقدّمتين على حرمة الغناء بذاته لا تأمّل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دلّت على دخوله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لاَ يَشْهَدُونَ الزُّورَ</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 xml:space="preserve">كصحيحة ابن مسلم عن أبي عبداللّه علیه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لاَ يَشْهَدُونَ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الغناء</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xml:space="preserve">ففي دلالتها على الحرمة تأمّل وإشكال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ودلّت على حرمته بذاته أيضاً روايات كثيرة ربّما يدّعى تواترها وسيأتي الكلام في بعضها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كصحيحة ريّان بن الصلت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يوماً بخراسان عن الغناء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العبّاسي ذكر عنك أ نّك ترخّص في الغناء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 الزنديق ، ما هكذا قلت له ، سألني عن الغناء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أتى أبا جعفر علیه السلام فسأله عن </w:t>
      </w:r>
    </w:p>
    <w:p>
      <w:pPr>
        <w:pStyle w:val="BookText"/>
        <w:rPr/>
      </w:pPr>
      <w:r>
        <w:rPr>
          <w:rFonts w:ascii="Amiri" w:hAnsi="Amiri" w:eastAsia="Amiri" w:cs="Amiri"/>
          <w:color w:val="111111"/>
          <w:sz w:val="28"/>
          <w:sz w:val="28"/>
          <w:szCs w:val="28"/>
          <w:rtl w:val="true"/>
          <w:lang w:bidi="ar-SA"/>
        </w:rPr>
        <w:t xml:space="preserve">الغناء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إذا ميّز اللّه بين الحقّ والباطل فأين يكون الغناء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الباطل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منها حرمته كما يشهد به نحو التعبير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في الدلالة أو أظهر منها رواية عبد الأعلى الموثّقة على الأظهر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 السلام عن الغناء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يزعمون أنّ رسول اللّه‌ صلی الله علیه و آله وسلم رخّص في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جئناكم جئناكم حيّونا حيّونا نحيّيكم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 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وَاْلأَرْضَ وَمَا بَيْنَهُمَا</w:t>
      </w:r>
    </w:p>
    <w:p>
      <w:pPr>
        <w:pStyle w:val="BookText"/>
        <w:rPr/>
      </w:pPr>
      <w:r>
        <w:rPr>
          <w:rFonts w:ascii="Amiri" w:hAnsi="Amiri" w:eastAsia="Amiri" w:cs="Amiri"/>
          <w:color w:val="111111"/>
          <w:sz w:val="28"/>
          <w:sz w:val="28"/>
          <w:szCs w:val="28"/>
          <w:rtl w:val="true"/>
          <w:lang w:bidi="ar-SA"/>
        </w:rPr>
        <w:t>لاَعِبِينَ</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وكصحيحة علي بن جعفر عن أخيه موسى بن جعفر علیهما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يتعمّد الغناء يجلس إليه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سعد بن محمّد الطاطري ، عن أبيه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رجل عن بيع الجواري المغنّيات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شراؤهنّ وبيعهنّ حرام ، وتعليمهنّ كفر ، واستماعهنّ نفاق</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15158_207120"/>
    </w:p>
    <w:p>
      <w:pPr>
        <w:pStyle w:val="BookText"/>
        <w:rPr/>
      </w:pPr>
      <w:bookmarkEnd w:id="354"/>
      <w:r>
        <w:rPr>
          <w:rFonts w:ascii="Amiri" w:hAnsi="Amiri" w:eastAsia="Amiri" w:cs="Amiri"/>
          <w:color w:val="111111"/>
          <w:sz w:val="28"/>
          <w:sz w:val="28"/>
          <w:szCs w:val="28"/>
          <w:rtl w:val="true"/>
          <w:lang w:bidi="ar-SA"/>
        </w:rPr>
        <w:t xml:space="preserve">والرواية إلى سعد موثّقة بابن فضّال ، 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الطائفة عملت بما رواه الطاطريّون</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وكصحيحة إبراهيم بن أبي البلاد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الأوّل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إنّ رجلاً من مواليك عنده جوارٍ مغنّيات قيمتهنّ أربعة عشر ألف دينار ، وقد جعل لك ثلثها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لي فيها ، إنّ ثمن الكلب والمغنّية سحت</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وسحتية ثمنها لأجل صفة التغنّي وكون الغناء حراماً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وكحسنة نضر بن قابوس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المغنّية ملعونة ، ملعون من أكل كسبها</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851662_2142443653"/>
      <w:bookmarkStart w:id="356" w:name="_Toc122"/>
      <w:bookmarkEnd w:id="355"/>
      <w:r>
        <w:rPr>
          <w:rtl w:val="true"/>
        </w:rPr>
        <w:t>ما نسب إلى بعض الأعاظم من إنكار حرمة الغناء بذاته</w:t>
      </w:r>
      <w:bookmarkEnd w:id="35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ربّما نسب إلى المحدّث الكاشاني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الخراساني إنكار حرمة الغناء واختصاص الحرمة بلواحقه ومقارناته من دخول الرجال على النساء واللعب بالملاهي ونحوهما ، ثمّ طعنوا عليهما بما لا ينبغي</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وهو خلاف ظاهر كلام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 xml:space="preserve">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والمحكيّ عن الثاني</w:t>
      </w:r>
      <w:r>
        <w:rPr>
          <w:rStyle w:val="FootnoteAnchor"/>
          <w:rtl w:val="true"/>
        </w:rPr>
        <w:footnoteReference w:id="830"/>
      </w:r>
      <w:r>
        <w:rPr>
          <w:rFonts w:ascii="Amiri" w:hAnsi="Amiri" w:eastAsia="Amiri" w:cs="Amiri"/>
          <w:color w:val="111111"/>
          <w:sz w:val="28"/>
          <w:sz w:val="28"/>
          <w:szCs w:val="28"/>
          <w:rtl w:val="true"/>
          <w:lang w:bidi="ar-SA"/>
        </w:rPr>
        <w:t xml:space="preserve">، بل الظاهر منهما أنّ الغناء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وباطل ، فالحقّ هو التغنّي بالأشعار المتضمّنة لذكر الجنّة والنار والتشويق إلى دار القرار ، والباطل ما</w:t>
      </w:r>
    </w:p>
    <w:p>
      <w:pPr>
        <w:pStyle w:val="BookText"/>
        <w:rPr/>
      </w:pPr>
      <w:r>
        <w:rPr>
          <w:rFonts w:ascii="Amiri" w:hAnsi="Amiri" w:eastAsia="Amiri" w:cs="Amiri"/>
          <w:color w:val="111111"/>
          <w:sz w:val="28"/>
          <w:sz w:val="28"/>
          <w:szCs w:val="28"/>
          <w:rtl w:val="true"/>
          <w:lang w:bidi="ar-SA"/>
        </w:rPr>
        <w:t xml:space="preserve">هو متعارف في مجالس أهل اللهو كمجالس بني اُميّة وبني العبّاس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مجموع الأخبار اختصاص حرمة الغناء وما يتعلّق به من الأجر والتعليم والاستماع والبيع والشراء كلّها بما كان على النحو المعهود المتعارف في زمن بني اُميّة وبني العبّاس من دخول الرجال عليهنّ وتكلّمهنّ بالأباطيل ولعبهنّ بالملاهي من العيدان والقضيب وغيرها ، دون ما سوى ذلك كما يشعر به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 بالتي يدخل عليها الرجال</w:t>
      </w:r>
      <w:r>
        <w:rPr>
          <w:rFonts w:eastAsia="IRNazanin" w:cs="IRNazanin"/>
          <w:color w:val="111111"/>
          <w:sz w:val="28"/>
          <w:szCs w:val="28"/>
          <w:rtl w:val="true"/>
          <w:lang w:bidi="fa-IR"/>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يستفاد من كلامه أنّ تحريم الغناء إنّما هو لاشتماله على أفعال محرّمة ، فإن لم يتضمّن شيئاً من ذلك 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فلا وجه لتخصيص الجواز بزفّ العرائس ولا سيّما وقد ورد الرخصة به في غيره ، 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الأفعال لا يليق بذوي المروءات وإن كان مباحاً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فالميزان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أصغى إلى ناطق فقد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ميّز اللّه بين الحقّ والباطل فأين يكون الغناء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هذا فلا بأس بسماع التغنّي بالأشعار المتضمّنة ذكر الجنّة والنار والتشويق إلى دار القرار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على ذوي الحجى بعد سماع هذه الأخبار تمييز حقّ الغناء من باطله ، </w:t>
      </w:r>
    </w:p>
    <w:p>
      <w:pPr>
        <w:pStyle w:val="BookText"/>
        <w:rPr/>
      </w:pPr>
      <w:r>
        <w:rPr>
          <w:rFonts w:ascii="Amiri" w:hAnsi="Amiri" w:eastAsia="Amiri" w:cs="Amiri"/>
          <w:color w:val="111111"/>
          <w:sz w:val="28"/>
          <w:sz w:val="28"/>
          <w:szCs w:val="28"/>
          <w:rtl w:val="true"/>
          <w:lang w:bidi="ar-SA"/>
        </w:rPr>
        <w:t>وأنّ أكثر ما يتغنّى المتصوّفة في محافلهم من قبيل الباطل</w:t>
      </w:r>
      <w:r>
        <w:rPr>
          <w:rFonts w:eastAsia="Amiri" w:cs="Amiri" w:ascii="Amiri" w:hAnsi="Amiri"/>
          <w:color w:val="111111"/>
          <w:sz w:val="28"/>
          <w:szCs w:val="28"/>
          <w:rtl w:val="true"/>
          <w:lang w:bidi="ar-SA"/>
        </w:rPr>
        <w:t>»</w:t>
      </w:r>
      <w:r>
        <w:rPr>
          <w:rStyle w:val="FootnoteAnchor"/>
          <w:rtl w:val="true"/>
        </w:rPr>
        <w:footnoteReference w:id="831"/>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هذه العبارة بل صريحها صدراً وذيلاً أنّ الغناء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محرّم وهو ما قارن تلك الخصوصيات ؛ بمعنى أنّ الغناء المقارن لها حرام ، لا أنّ المقارنات حرام فقط ، ولهذا حرم أجرهنّ وتعليمهنّ والاستماع منهنّ ، ولولا ذهابه إلى تحريمه ذاتاً لا وجه لتحريم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محلّل وهو ما يتغنّى بالمواعظ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استثنى من حرمة الغناء قسماً هو التغنّي بذكر اللّه تعالى ، كما استثنى بعضهم التغنّي بالمراثي</w:t>
      </w:r>
      <w:r>
        <w:rPr>
          <w:rStyle w:val="FootnoteAnchor"/>
          <w:rtl w:val="true"/>
        </w:rPr>
        <w:footnoteReference w:id="832"/>
      </w:r>
      <w:r>
        <w:rPr>
          <w:rFonts w:ascii="Amiri" w:hAnsi="Amiri" w:eastAsia="Amiri" w:cs="Amiri"/>
          <w:color w:val="111111"/>
          <w:sz w:val="28"/>
          <w:sz w:val="28"/>
          <w:szCs w:val="28"/>
          <w:rtl w:val="true"/>
          <w:lang w:bidi="ar-SA"/>
        </w:rPr>
        <w:t>، وبعضهم التغنّي بالقرآن</w:t>
      </w:r>
      <w:r>
        <w:rPr>
          <w:rStyle w:val="FootnoteAnchor"/>
          <w:rtl w:val="true"/>
        </w:rPr>
        <w:footnoteReference w:id="833"/>
      </w:r>
      <w:r>
        <w:rPr>
          <w:rFonts w:ascii="IRNazanin" w:hAnsi="IRNazanin" w:eastAsia="IRNazanin"/>
          <w:color w:val="111111"/>
          <w:sz w:val="28"/>
          <w:sz w:val="28"/>
          <w:szCs w:val="28"/>
          <w:rtl w:val="true"/>
          <w:lang w:bidi="fa-IR"/>
        </w:rPr>
        <w:t>، وبعضهم الحداء</w:t>
      </w:r>
      <w:r>
        <w:rPr>
          <w:rStyle w:val="FootnoteAnchor"/>
          <w:rtl w:val="true"/>
        </w:rPr>
        <w:footnoteReference w:id="834"/>
      </w:r>
      <w:r>
        <w:rPr>
          <w:rFonts w:ascii="Amiri" w:hAnsi="Amiri" w:eastAsia="Amiri" w:cs="Amiri"/>
          <w:color w:val="111111"/>
          <w:sz w:val="28"/>
          <w:sz w:val="28"/>
          <w:szCs w:val="28"/>
          <w:rtl w:val="true"/>
          <w:lang w:bidi="ar-SA"/>
        </w:rPr>
        <w:t>، وبعضهم في العرائس</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أمر لم يثبت أ نّه خلاف الإجماع أو خلاف المذهب حتّى يستوجب صاحبه الطعن والنسبة إلى الخرافة والأراجيف</w:t>
      </w:r>
      <w:r>
        <w:rPr>
          <w:rStyle w:val="FootnoteAnchor"/>
          <w:rtl w:val="true"/>
        </w:rPr>
        <w:footnoteReference w:id="836"/>
      </w:r>
      <w:r>
        <w:rPr>
          <w:rFonts w:ascii="Amiri" w:hAnsi="Amiri" w:eastAsia="Amiri" w:cs="Amiri"/>
          <w:color w:val="111111"/>
          <w:sz w:val="28"/>
          <w:sz w:val="28"/>
          <w:szCs w:val="28"/>
          <w:rtl w:val="true"/>
          <w:lang w:bidi="ar-SA"/>
        </w:rPr>
        <w:t xml:space="preserve">، وقد اختاره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 تأخّر عنه</w:t>
      </w:r>
      <w:r>
        <w:rPr>
          <w:rStyle w:val="FootnoteAnchor"/>
          <w:rtl w:val="true"/>
        </w:rPr>
        <w:footnoteReference w:id="837"/>
      </w:r>
      <w:r>
        <w:rPr>
          <w:rFonts w:ascii="Amiri" w:hAnsi="Amiri" w:eastAsia="Amiri" w:cs="Amiri"/>
          <w:color w:val="111111"/>
          <w:sz w:val="28"/>
          <w:sz w:val="28"/>
          <w:szCs w:val="28"/>
          <w:rtl w:val="true"/>
          <w:lang w:bidi="ar-SA"/>
        </w:rPr>
        <w:t xml:space="preserve">، كما لا يستوجبه من استثنى القرآن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فالصواب أن يجاب عنه بالبرهان كما صنع الشيخ الأنصاري</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النظر إلى ما يمكن أن يستدلّ به على هذا التفصيل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يمكن أن يستدلّ به على التفصيل في حرمة الغناء</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قصور الأدلّة عن إثبات حرمة مطلق الغناء</w:t>
      </w:r>
      <w:r>
        <w:rPr>
          <w:rStyle w:val="FootnoteAnchor"/>
          <w:rtl w:val="true"/>
        </w:rPr>
        <w:footnoteReference w:id="839"/>
      </w:r>
      <w:r>
        <w:rPr>
          <w:rFonts w:ascii="Amiri" w:hAnsi="Amiri" w:eastAsia="Amiri" w:cs="Amiri"/>
          <w:color w:val="111111"/>
          <w:sz w:val="28"/>
          <w:sz w:val="28"/>
          <w:szCs w:val="28"/>
          <w:rtl w:val="true"/>
          <w:lang w:bidi="ar-SA"/>
        </w:rPr>
        <w:t xml:space="preserve">؛ لعدم الإطلاق فيما تدلّ على الحرمة ، وعدم الدلالة عليها فيما يمكن دعوى الإطلاق فيها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شرّ الأصوات</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غشّ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ونحوهما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قصور في إطلاق كثير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كالروايات المفسّرة لقول الزور بالغناء</w:t>
      </w:r>
      <w:r>
        <w:rPr>
          <w:rStyle w:val="FootnoteAnchor"/>
          <w:rtl w:val="true"/>
        </w:rPr>
        <w:footnoteReference w:id="841"/>
      </w:r>
      <w:r>
        <w:rPr>
          <w:rFonts w:ascii="Amiri" w:hAnsi="Amiri" w:eastAsia="Amiri" w:cs="Amiri"/>
          <w:color w:val="111111"/>
          <w:sz w:val="28"/>
          <w:sz w:val="28"/>
          <w:szCs w:val="28"/>
          <w:rtl w:val="true"/>
          <w:lang w:bidi="ar-SA"/>
        </w:rPr>
        <w:t>، وقد تقدّم</w:t>
      </w:r>
      <w:r>
        <w:rPr>
          <w:rStyle w:val="FootnoteAnchor"/>
          <w:rtl w:val="true"/>
        </w:rPr>
        <w:footnoteReference w:id="842"/>
      </w:r>
      <w:r>
        <w:rPr>
          <w:rFonts w:ascii="Amiri" w:hAnsi="Amiri" w:eastAsia="Amiri" w:cs="Amiri"/>
          <w:color w:val="111111"/>
          <w:sz w:val="28"/>
          <w:sz w:val="28"/>
          <w:szCs w:val="28"/>
          <w:rtl w:val="true"/>
          <w:lang w:bidi="ar-SA"/>
        </w:rPr>
        <w:t xml:space="preserve">كيفية دخوله في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بمعارضة تلك الأخبار لما فسّره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للمغنّي ، وبما فسّره بشهادة الزور ؛ لأنّ الحمل يقتضي وحدة معناهما وما عرفت يدلّ على أ نّه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الجواب عنه في بيان الأخبار المفسّرة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الحمل يقتضي الاتّحاد ولو وجوداً ، فلو كان الغناء من مصاديقها يصحّ الحمل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الغناء أو أنّ الغناء هو ، فلا تعارض بين الأدلّة المفسّرة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رفع اليد عن الإطلاق بعد إمكان أن يكون الكلّ مندرجاً فيه </w:t>
      </w:r>
    </w:p>
    <w:p>
      <w:pPr>
        <w:pStyle w:val="BookText"/>
        <w:rPr/>
      </w:pPr>
      <w:r>
        <w:rPr>
          <w:rFonts w:ascii="Amiri" w:hAnsi="Amiri" w:eastAsia="Amiri" w:cs="Amiri"/>
          <w:color w:val="111111"/>
          <w:sz w:val="28"/>
          <w:sz w:val="28"/>
          <w:szCs w:val="28"/>
          <w:rtl w:val="true"/>
          <w:lang w:bidi="ar-SA"/>
        </w:rPr>
        <w:t xml:space="preserve">ولو لم نعلم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يجوز الغضّ عن الإطلاق ولو لم يندرج فيه أو لم نعلم اندراجه ؛ لإمكان الإلحاق حكماً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وكالأخبار المفسّرة للهو الحديث</w:t>
      </w:r>
      <w:r>
        <w:rPr>
          <w:rStyle w:val="FootnoteAnchor"/>
          <w:rtl w:val="true"/>
        </w:rPr>
        <w:footnoteReference w:id="843"/>
      </w:r>
      <w:r>
        <w:rPr>
          <w:rFonts w:ascii="Amiri" w:hAnsi="Amiri" w:eastAsia="Amiri" w:cs="Amiri"/>
          <w:color w:val="111111"/>
          <w:sz w:val="28"/>
          <w:sz w:val="28"/>
          <w:szCs w:val="28"/>
          <w:rtl w:val="true"/>
          <w:lang w:bidi="ar-SA"/>
        </w:rPr>
        <w:t xml:space="preserve">، فإنّها أيضاً مطلقة بلا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الغناء الخاصّ الذي يشتري ليضلّ عن سبيل اللّه ويتّخذها هزواً داخل فيها لا غير</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الجواب عنه</w:t>
      </w:r>
      <w:r>
        <w:rPr>
          <w:rStyle w:val="FootnoteAnchor"/>
          <w:rtl w:val="true"/>
        </w:rPr>
        <w:footnoteReference w:id="845"/>
      </w:r>
      <w:r>
        <w:rPr>
          <w:rFonts w:ascii="Amiri" w:hAnsi="Amiri" w:eastAsia="Amiri" w:cs="Amiri"/>
          <w:color w:val="111111"/>
          <w:sz w:val="28"/>
          <w:sz w:val="28"/>
          <w:szCs w:val="28"/>
          <w:rtl w:val="true"/>
          <w:lang w:bidi="ar-SA"/>
        </w:rPr>
        <w:t xml:space="preserve">ولزومه للاستهجان في الأخبار الدالّة على أنّ الغناء ممّا أوعد اللّه عليه النار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يَشْتَرِى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فلا ينبغي الشبهة في إطلاقها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وكالمحكيّ عن الرضا علیه السلام بطرق عديدة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صحيحاً عن الريّان بن الصلت الثقة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يوماً بخراسان عن الغناء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العبّاسي</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مرآة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عنك أ نّك ترخّص في الغناء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 الزنديق ، ما هكذا قلت له ، سألني عن الغناء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أتى أبا جعفر علیه السلام فسأله عن الغناء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 إذا ميّز اللّه بين الحقّ والباطل فأين يكون الغناء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الباطل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حكمت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يكتسب به ، الباب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وتقريب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إنكار الرضا علیه السلام الترخيص أنّ قول أبي جعفر علیه السلام يدلّ على حرمته ، وإلاّ فلو دلّ مقالته مع السائل على أنّ الغناء من الباطل الجائز الارتكاب ولو مع حزازة ، فنقل السائل عنه تجويزه نقلاً بالمعنى ، فلم يمكن إنكاره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فالإنكار دليل على عدم كون الغناء مرخّصاً فيه في كلام أبي جعفر علیه السلام ، وكان الرضا علیه السلام مستدلاًّ على حرمته بقوله ، وروى السائل خلافه كذباً عليه ، ولا شبهة في إطلاق الرواية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يظهر الجواب عمّا يمكن أن يقال بأنّ التكذيب راجع إلى عدم ترخيص أبي الحسن علیه السلام أو عدم ترخيصه بقول 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المراد بالترخيص ليس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مرخّص فيه ، بل ما يستفاد من كلامه ، ولا شبهة في أ نّه لو لم يدلّ كلام أبي جعفر علیه السلام على التحريم لما 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كذب ، والفرض أنّ كلامه مطلق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والإنصاف أنّ إنكار دلالتها في غير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النراقي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الباطل لا يفيد أزيد من الكراهة ، ومع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تكذيبه ليس للمنع بل لذكره خلاف الواقع</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لأنّ ذكر ما يدلّ على كراهته في مقام الجواب ترخيص له ، فأين خلاف الواقع حتّى يصحّ التكذيب سيّما مع هذا التعبير الشديد ؟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الأعلى الحسنة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عبد الأعلى هو ابن أعين ، وقد عدّه الشيخ المفيد من فقهاء أصحاب الصادقين والأعلام والرؤساء المأخوذ </w:t>
      </w:r>
    </w:p>
    <w:p>
      <w:pPr>
        <w:pStyle w:val="BookText"/>
        <w:rPr/>
      </w:pPr>
      <w:r>
        <w:rPr>
          <w:rFonts w:ascii="Amiri" w:hAnsi="Amiri" w:eastAsia="Amiri" w:cs="Amiri"/>
          <w:color w:val="111111"/>
          <w:sz w:val="28"/>
          <w:sz w:val="28"/>
          <w:szCs w:val="28"/>
          <w:rtl w:val="true"/>
          <w:lang w:bidi="ar-SA"/>
        </w:rPr>
        <w:t>عنهم الحلال والحرام والفتيا والأحكام الذين لا يطعن عليهم ولا طريق إلى ذمّ</w:t>
      </w:r>
    </w:p>
    <w:p>
      <w:pPr>
        <w:pStyle w:val="BookText"/>
        <w:rPr/>
      </w:pPr>
      <w:r>
        <w:rPr>
          <w:rFonts w:ascii="IRNazanin" w:hAnsi="IRNazanin" w:eastAsia="IRNazanin"/>
          <w:color w:val="111111"/>
          <w:sz w:val="28"/>
          <w:sz w:val="28"/>
          <w:szCs w:val="28"/>
          <w:rtl w:val="true"/>
          <w:lang w:bidi="fa-IR"/>
        </w:rPr>
        <w:t>واحد منهم</w:t>
      </w:r>
      <w:r>
        <w:rPr>
          <w:rStyle w:val="FootnoteAnchor"/>
          <w:rtl w:val="true"/>
        </w:rPr>
        <w:footnoteReference w:id="848"/>
      </w:r>
      <w:r>
        <w:rPr>
          <w:rFonts w:ascii="Amiri" w:hAnsi="Amiri" w:eastAsia="Amiri" w:cs="Amiri"/>
          <w:color w:val="111111"/>
          <w:sz w:val="28"/>
          <w:sz w:val="28"/>
          <w:szCs w:val="28"/>
          <w:rtl w:val="true"/>
          <w:lang w:bidi="ar-SA"/>
        </w:rPr>
        <w:t>، ولا إشكال في إفادته التوثيق ، كما عن المحقّق الداماد الجزم بصحّة رواياته</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الغناء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يزعمون أنّ رسول اللّه‌ صلی الله علیه و آله وسلم  رخّص في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جئناكم جئناكم حيّونا حيّونا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مرآة العقول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 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وَاْلأَرْضَ وَمَا بَيْنَهُمَا</w:t>
      </w:r>
    </w:p>
    <w:p>
      <w:pPr>
        <w:pStyle w:val="BookText"/>
        <w:rPr/>
      </w:pPr>
      <w:r>
        <w:rPr>
          <w:rFonts w:ascii="Amiri" w:hAnsi="Amiri" w:eastAsia="Amiri" w:cs="Amiri"/>
          <w:color w:val="111111"/>
          <w:sz w:val="28"/>
          <w:sz w:val="28"/>
          <w:szCs w:val="28"/>
          <w:rtl w:val="true"/>
          <w:lang w:bidi="ar-SA"/>
        </w:rPr>
        <w:t>لاَعِبِينَ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نَتَّخِذَ لَهْواً لاَتَّخَذْنَاهُ مِنْ لَدُنَّا إِنْ كُنَّا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عَلَى الْبَاطِلِ فَيَدْمَغُهُ فَإِذَا هُوَ زَاهِقٌ وَلَكُمُ الْوَيْلُ مِمَّا تَصِفُونَ</w:t>
      </w:r>
      <w:r>
        <w:rPr>
          <w:rFonts w:eastAsia="Amiri" w:cs="Amiri" w:ascii="Amiri" w:hAnsi="Amiri"/>
          <w:color w:val="111111"/>
          <w:sz w:val="28"/>
          <w:szCs w:val="28"/>
          <w:rtl w:val="true"/>
          <w:lang w:bidi="ar-SA"/>
        </w:rPr>
        <w:t>(</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لفلان ممّا يصف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يحضر المجلس</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تدلّ على حرمة الغناء بمثل تلك العبارة الغير اللهوية الغير الباطلة بل</w:t>
      </w:r>
    </w:p>
    <w:p>
      <w:pPr>
        <w:pStyle w:val="BookText"/>
        <w:rPr/>
      </w:pPr>
      <w:r>
        <w:rPr>
          <w:rFonts w:ascii="IRNazanin" w:hAnsi="IRNazanin" w:eastAsia="IRNazanin"/>
          <w:color w:val="111111"/>
          <w:sz w:val="28"/>
          <w:sz w:val="28"/>
          <w:szCs w:val="28"/>
          <w:rtl w:val="true"/>
          <w:lang w:bidi="fa-IR"/>
        </w:rPr>
        <w:t xml:space="preserve">الشريفة على نسخة حيّونا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يكن محرّماً كان رخّصه رسول اللّه‌ صلی الله علیه و آله وسلم فلم ينكره أبو عبداللّه علیه السلام ذلك الإنكار مع التمسّك بالآية الدالّة على قذف اللّه الحقّ بالباطل ليدمغه وتعقيبه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لفلان ممّا يصف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والظاهر أنّ المراد به رجل غائب كان ينسب إلى رسول اللّه‌ صلی الله علیه و آله وسلم  الترخيص فيه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شبهة في دلالتها على الحرمة ولا في إطلاقها لقول حقّ أو باطل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علي بن جعفر عن أخيه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يتعمّد الغناء يجلس إليه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الأخبار الكثيرة ، فلا مجال لإنكار إطلاقها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انصراف الأدلّة إلى الغناء المتعارف المعهود في زمن بني اُميّة وبني العبّاس ، كما هو من متمسّكات الكاشاني والخراساني في جملة من كلامهما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مجال لهذه الدعوى في بعض الروايات ، كصحيحة علي بن جعفر الأخيرة الظاهرة في المنع عن الجلوس عند من يتغنّى من غير أن يكون هنا معاصٍ اُخر كالمزامير وغيرها كما هو ظاهرها ، وكحسنة عبد الأعلى الدالّة على أنّ التغنّي بمثل ألفاظ التحيّة أيضاً حرام ومن الباطل ، وهي مفسّرة لسائر الروايات أيضاً وشارحة للمقصود من كون الغناء باطلاً بأ نّه بذاته باطل ولهو وزور لا بملحقاته وبمدلول الكلام المعروض له ، بل يدفع بها توهّم الانصراف في سائر الروايات أيضاً ؛ لحكومتها على غيرها وتعميمها لو فرض الانصراف للحكومة ، كما لا يخفى على المتأمّل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غالب أفراد ما يتعارف في عصر الخبيثتين من اشتمالها على محرّمات اُخر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وإنّ التغنّي بالأشعار عند الناس كان متعارفاً في كلّ عصر ، وربّما يتّفق معه سائر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المتعارف عند سلاطين الطائفتين أو الاُمراء في عصرهم </w:t>
      </w:r>
    </w:p>
    <w:p>
      <w:pPr>
        <w:pStyle w:val="BookText"/>
        <w:rPr/>
      </w:pPr>
      <w:r>
        <w:rPr>
          <w:rFonts w:ascii="Amiri" w:hAnsi="Amiri" w:eastAsia="Amiri" w:cs="Amiri"/>
          <w:color w:val="111111"/>
          <w:sz w:val="28"/>
          <w:sz w:val="28"/>
          <w:szCs w:val="28"/>
          <w:rtl w:val="true"/>
          <w:lang w:bidi="ar-SA"/>
        </w:rPr>
        <w:t xml:space="preserve">وسائر الأعصار ذلك ، لا يوجب أن يكون نوع التغنّيات كذلك حتّى يدّعى الانصراف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كثرة أفراد طبيعة في قسم لا توجب الانصراف ؛ فإنّ الإطلاق عبارة عن الحكم على طبيعة من غير قيد ، فلا بدّ في دعوى الانصراف من دعوى كون الكثرة والتعارف واُنس الذهن بوجه تصير كقيد حافّ بالطبيعة ، وهو في المقام ممنوع سيّما في مثل مقارنات الطبيعة لا مصاديقها وأصنافها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اللازم من دعوى الانصراف إلى أشباه ما تتعارف في عصر الاُمويين والعبّاسيين ، الالتزام بتخصيص تحريمه بما يكتنف بجميع ما يتعارف في مجالسهم الملعونة من دخول الرجال على النساء وشرب الخمور وارتكاب الأفعال القبيحة والفواحش وضرب أنواع الملاهي والتلهّي بالأشعار المهيّجة المورثة لإثارة الشهوات ورقص الجواري والغلمان إلى غير ذلك ، ومع فقد بعضها يقال بالجواز ، فلا وجه لتجويز خصوص ما يكون من قبيل التغنّي بالقرآن والفضائل ، لقصور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إثبات حرمته ولو مع الأشعار الملهيّة</w:t>
      </w:r>
    </w:p>
    <w:p>
      <w:pPr>
        <w:pStyle w:val="BookText"/>
        <w:rPr/>
      </w:pPr>
      <w:r>
        <w:rPr>
          <w:rFonts w:ascii="Amiri" w:hAnsi="Amiri" w:eastAsia="Amiri" w:cs="Amiri"/>
          <w:color w:val="111111"/>
          <w:sz w:val="28"/>
          <w:sz w:val="28"/>
          <w:szCs w:val="28"/>
          <w:rtl w:val="true"/>
          <w:lang w:bidi="ar-SA"/>
        </w:rPr>
        <w:t xml:space="preserve">والمهيّجة ؛ لكون المتعارف في عصرهم أخصّ منه ، ولا أظنّ التزامهم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الانصراف كدعوى عدم الإطلاق في الضعف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بروايات</w:t>
      </w:r>
      <w:r>
        <w:rPr>
          <w:rStyle w:val="FootnoteAnchor"/>
          <w:rtl w:val="true"/>
        </w:rPr>
        <w:footnoteReference w:id="855"/>
      </w:r>
      <w:r>
        <w:rPr>
          <w:rFonts w:ascii="IRNazanin" w:hAnsi="IRNazanin" w:eastAsia="IRNazanin"/>
          <w:color w:val="111111"/>
          <w:sz w:val="28"/>
          <w:sz w:val="28"/>
          <w:szCs w:val="28"/>
          <w:rtl w:val="true"/>
          <w:lang w:bidi="fa-IR"/>
        </w:rPr>
        <w:t xml:space="preserve">عمدتها صحيحة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 المغنّية التي تزفّ العرائس ليس به بأس ، وليست بالتي يدخل عليها الرجال</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المشايخ الثلاثة</w:t>
      </w:r>
      <w:r>
        <w:rPr>
          <w:rStyle w:val="FootnoteAnchor"/>
          <w:rtl w:val="true"/>
        </w:rPr>
        <w:footnoteReference w:id="856"/>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 xml:space="preserve">، 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الواو</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وليست بالتي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مشعر بالعلّية أو دالّ عليها ، فتدلّ على أنّ المحرّم قسم منه وهو المقارن للمعاصي كدخول الرجال على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الرواية على نسخة إثبات الواو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كاحتمال أن تكون الجملة حالية عن فاعل تزفّ ، والمعنى أنّ أجر المغنّية حلال إذا تزفّ العرائس ولم يدخل الرجال على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تكون الجملة بمنزلة التعليل ، فتدلّ على عدم حرمة الغناء بذاته ويحرم أجر المغنّية لا للغناء ، بل لدخول الرجال وسماع صوتها ورؤية وجهها وسائر حركاتها الملازمة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المراد بها إفادة حرمة قسم من الغناء ، وهو المقارن لدخول الرجال عليهنّ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الاحتمال الأوّل تدلّ على استثناء قسم خاصّ منه ، وهو الذي في العرائس مع الشرط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تكون الرواية معارضة لجميع الأدلّة الدالّة على أنّ الغناء حرام</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ومخالف مضمونها للإجماع</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الثالث توافق كلام الكاشاني وموافقيه على إشكال ، وهو أنّ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وليست بالتي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كون دخولهم عليهنّ بعنوانه موضوع الحكم ، لا عنواناً مشيراً إلى نوع خاصّ من الغناء أو مجالس خاصّة ، وهم لا يلتزمون بظاهر الرواية ، ولا وجه لحملها على خلاف ظاهرها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ترجيح ظاهر في أحد الاحتمالات المتقدّمة يمكن الاتّكال عليه لو لم نقل بترجيح الأوّل حتّى يلتئم بين الأدلّة ، أو الاحتمال الثاني في نفسه لو لا مخالفته لما ذكرناه ؛ لأنّ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وليست بالتي يدخل عليها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الفساد مترتّب عليه وليس في الغناء بما هو فساد ولعلّ الحرمة في دخولهم لأجل كونهم أجنبيّاً يحرم التغنّي عندهم لا لذات الغناء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أنّ طرح الأدلّة الظاهرة الدلالة بمثل هذه الرواية المشتبهة المراد مع اختلاف النسخ غير جائز ، سيّما مع مخالفة مضمونها لجميع الأقوال سواء في ذلك نسخة إثبات الواو وإسقاطها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احتمال أن تكون هي عين رواية اُخرى لأبي بصير</w:t>
      </w:r>
      <w:r>
        <w:rPr>
          <w:rStyle w:val="FootnoteAnchor"/>
          <w:rtl w:val="true"/>
        </w:rPr>
        <w:footnoteReference w:id="86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 السلام عن كسب المغنّيات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التي يدخل عليها الرجال حرام ، والتي تدعى إلى الأعراس ليس به بأس ،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يَشْتَرِى لَهْوَ الْحَدِيثِ لِيُضِلَّ عَنْ سَبِيلِ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يدّعى دلالتها على أنّ </w:t>
      </w:r>
    </w:p>
    <w:p>
      <w:pPr>
        <w:pStyle w:val="BookText"/>
        <w:rPr/>
      </w:pPr>
      <w:r>
        <w:rPr>
          <w:rFonts w:ascii="Amiri" w:hAnsi="Amiri" w:eastAsia="Amiri" w:cs="Amiri"/>
          <w:color w:val="111111"/>
          <w:sz w:val="28"/>
          <w:sz w:val="28"/>
          <w:szCs w:val="28"/>
          <w:rtl w:val="true"/>
          <w:lang w:bidi="ar-SA"/>
        </w:rPr>
        <w:t xml:space="preserve">قسماً منه حرام ، وهو المقارن لدخول الرجال على النساء ، والتي تدعى إلى الأعراس فعدم حرمته ليس لخصوصية فيها بل لعدم دخولهم عليهنّ فيكون الحكم دائراً مداره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ورود بعض ما تقدّم من الإشكالات عليها أيضاً ككون الظاهر أنّ الحكم دائر مدار عنوان دخول الرجال ومع عدمه يحلّ ولو بكلمات لهوية ومقارنات محرّمة ولم يلتزم به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منها التعرّض لقسمين من الغناء وعدم تعرّضها لسائر الأقسام ، وليس فيها مفهوم وإلاّ لتعارض بين مفهوم الصدر والذيل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الجملة الثانية كناية عن عدم دخولهم عليهنّ خلاف الظاهر ، فلا تدلّ على مدّعاهم بوجه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فيها إشعار به لا يقاوم الروايات الدالّة على أ نّه بذاته حرام كصحيحة علي بن جعفر المتقدّمة وحسنة عبد الأعلى</w:t>
      </w:r>
      <w:r>
        <w:rPr>
          <w:rStyle w:val="FootnoteAnchor"/>
          <w:rtl w:val="true"/>
        </w:rPr>
        <w:footnoteReference w:id="861"/>
      </w:r>
      <w:r>
        <w:rPr>
          <w:rFonts w:ascii="Amiri" w:hAnsi="Amiri" w:eastAsia="Amiri" w:cs="Amiri"/>
          <w:color w:val="111111"/>
          <w:sz w:val="28"/>
          <w:sz w:val="28"/>
          <w:szCs w:val="28"/>
          <w:rtl w:val="true"/>
          <w:lang w:bidi="ar-SA"/>
        </w:rPr>
        <w:t xml:space="preserve">بل وغيرها بعد تفسيره في رواية عبد الأعلى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رواية علي بن جعفر عن أخيه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الغناء هل يصلح في الفطر والأضحى والفرح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ما لم يعص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والمرويّ عن تفسير الإمام عن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 ذكرت فيه شجرة طوبى وشجرة الزقّوم والمتعلّقون بأغصان كلّ واحدة منهما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تغنّى بغناء حرام يبعث فيه على المعاصي فقد تعلّق بغصن منه</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xml:space="preserve">؛ أي من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الغناء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 ومحرّم ، فإن كان المراد من محرّمه هو ما يقترن بالمعاصي ثبت عدم حرمته بنحو الإطلاق ، وإن كان المراد منه غناءً نهى عنه الشارع يكون عنواناً مجملاً ، فيكون العمومات والإطلاقات مخصّصة ومقيّدة بالمجمل ، والعامّ المخصّص والمطلق المقيّد به ليس حجّة</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المقدّمات أنّ ذلك مسلّم لو لم يعلم بأنّ الغناء على قسمين ولم يتبيّن قسم الحلال من الحرام ، وأمّا في المقام الذي علم أنّ له قسماً محلّلاً هو الغناء في العرائس كما يأتي</w:t>
      </w:r>
      <w:r>
        <w:rPr>
          <w:rStyle w:val="FootnoteAnchor"/>
          <w:rtl w:val="true"/>
        </w:rPr>
        <w:footnoteReference w:id="864"/>
      </w:r>
      <w:r>
        <w:rPr>
          <w:rFonts w:ascii="Amiri" w:hAnsi="Amiri" w:eastAsia="Amiri" w:cs="Amiri"/>
          <w:color w:val="111111"/>
          <w:sz w:val="28"/>
          <w:sz w:val="28"/>
          <w:szCs w:val="28"/>
          <w:rtl w:val="true"/>
          <w:lang w:bidi="ar-SA"/>
        </w:rPr>
        <w:t xml:space="preserve">فلا يوجب قوله في تفسير الإمام إجمالاً ، هذا بالنسبة إليها مع ضعفها سنداً ويأتي الكلام في رواية علي بن جعفر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التشبّث بما اشتملت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كرواية الحسن بن هارون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الغناء مجلس لا ينظر اللّه إلى أهله </w:t>
      </w:r>
      <w:r>
        <w:rPr>
          <w:rFonts w:eastAsia="IRNazanin" w:cs="IRNazanin"/>
          <w:color w:val="111111"/>
          <w:sz w:val="28"/>
          <w:szCs w:val="28"/>
          <w:rtl w:val="true"/>
          <w:lang w:bidi="fa-IR"/>
        </w:rPr>
        <w:t>. . .»</w:t>
      </w:r>
      <w:r>
        <w:rPr>
          <w:rStyle w:val="FootnoteAnchor"/>
          <w:rtl w:val="true"/>
        </w:rPr>
        <w:footnoteReference w:id="866"/>
      </w:r>
      <w:r>
        <w:rPr>
          <w:rFonts w:ascii="IRNazanin" w:hAnsi="IRNazanin" w:eastAsia="IRNazanin"/>
          <w:color w:val="111111"/>
          <w:sz w:val="28"/>
          <w:sz w:val="28"/>
          <w:szCs w:val="28"/>
          <w:rtl w:val="true"/>
          <w:lang w:bidi="fa-IR"/>
        </w:rPr>
        <w:t xml:space="preserve">، وصحيحة زيد الشحّام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الغناء لا تؤمن فيه الفجيعة</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 xml:space="preserve">، ورواية إبراهيم بن محمّد عمّن ذكره عنه علیه السلاموفيها </w:t>
      </w:r>
      <w:r>
        <w:rPr>
          <w:rFonts w:eastAsia="IRNazanin" w:cs="IRNazanin"/>
          <w:color w:val="111111"/>
          <w:sz w:val="28"/>
          <w:szCs w:val="28"/>
          <w:rtl w:val="true"/>
          <w:lang w:bidi="fa-IR"/>
        </w:rPr>
        <w:t xml:space="preserve">: </w:t>
      </w:r>
      <w:bookmarkStart w:id="357" w:name="pg15158_207133"/>
    </w:p>
    <w:p>
      <w:pPr>
        <w:pStyle w:val="BookText"/>
        <w:rPr/>
      </w:pPr>
      <w:bookmarkEnd w:id="3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بيوتاً اللّه معرض عن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السؤال عن الغناء</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لتأييد اختصاص حرمته بنوع خاصّ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ما لا يخفى من الوهن ؛ لعدم المفهوم فيها ، وعدم دلالتها على الاختصاص ، وعدم دلالتها على اقترانه بغيره من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فيها إشعار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التشبّث بأنّ ظاهر الأدلّة دخول الغناء في اللهو والباطل ونحوهما وهي غير محرّمة بنحو الإطلاق ، فلا دليل على حرمته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الجواب عنه في خلال ما تقدّم الكلام في الأدلّة</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من جميع ذلك حرمة الغناء بذاته ، فلا بدّ من التماس دليل على الاستثناء </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851664_2142443653"/>
      <w:bookmarkStart w:id="359" w:name="_Toc123"/>
      <w:bookmarkEnd w:id="358"/>
      <w:r>
        <w:rPr>
          <w:rtl w:val="true"/>
        </w:rPr>
        <w:t>المستثنيات من الغناء</w:t>
      </w:r>
      <w:bookmarkEnd w:id="359"/>
    </w:p>
    <w:p>
      <w:pPr>
        <w:pStyle w:val="BookText"/>
        <w:rPr/>
      </w:pPr>
      <w:r>
        <w:rPr>
          <w:rFonts w:ascii="Amiri" w:hAnsi="Amiri" w:eastAsia="Amiri" w:cs="Amiri"/>
          <w:color w:val="111111"/>
          <w:sz w:val="28"/>
          <w:sz w:val="28"/>
          <w:szCs w:val="28"/>
          <w:rtl w:val="true"/>
          <w:lang w:bidi="ar-SA"/>
        </w:rPr>
        <w:t>في استثناء أيّام العيد والفرح</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يقال باستثناء أيّام الفرح منه كعيد الفطر والأضحى وسائر الأعياد المذهبية والملّية ؛ لصحيحة علي بن جعفر عن أخيه موسى علیهما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الغناء هل يصلح في الفطر والأضحى والفرح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ما لم يزمر به</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والظاهر أ نّها عين الرواية المتقدّمة إلاّ أنّ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يعص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يزمر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الاُولى مصحّفاً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يؤزر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بعيد ، فيكون إحداهما نقلاً بالمعنى ، وفي 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علي بن جعفر كان عالماً بحرمة الغناء لكن لمّا كانت</w:t>
      </w:r>
    </w:p>
    <w:p>
      <w:pPr>
        <w:pStyle w:val="BookText"/>
        <w:rPr/>
      </w:pPr>
      <w:r>
        <w:rPr>
          <w:rFonts w:ascii="IRNazanin" w:hAnsi="IRNazanin" w:eastAsia="IRNazanin"/>
          <w:color w:val="111111"/>
          <w:sz w:val="28"/>
          <w:sz w:val="28"/>
          <w:szCs w:val="28"/>
          <w:rtl w:val="true"/>
          <w:lang w:bidi="fa-IR"/>
        </w:rPr>
        <w:t xml:space="preserve">أيّام العيد والفرح مناسبة للتلهّي والتفريح في الجملة صارت موجبة لشبهته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وجه حصول الشبهة صحيحة أبي بصير المرويّة عن أبي عبداللّه علیه السلام في تجويز أجر المغنّية في الأعراس</w:t>
      </w:r>
      <w:r>
        <w:rPr>
          <w:rStyle w:val="FootnoteAnchor"/>
          <w:rtl w:val="true"/>
        </w:rPr>
        <w:footnoteReference w:id="871"/>
      </w:r>
      <w:r>
        <w:rPr>
          <w:rFonts w:ascii="IRNazanin" w:hAnsi="IRNazanin" w:eastAsia="IRNazanin"/>
          <w:color w:val="111111"/>
          <w:sz w:val="28"/>
          <w:sz w:val="28"/>
          <w:szCs w:val="28"/>
          <w:rtl w:val="true"/>
          <w:lang w:bidi="fa-IR"/>
        </w:rPr>
        <w:t xml:space="preserve">، فاحتمل أنّ سائر أيّام الفرح والأعياد كذلك فسأل عنه فيها ، فأجاب علیه السلام بعدم البأس ما لم يعص به ، أو ما لم يزمر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عدم جواز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يعص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توضيح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أبعدها ما احتمله الشيخ الأنصاري ، وهو أنّ المراد بالسؤال الصوت الحسن الأعمّ من الغناء المحرّم ، وبالجواب تجويز قسم منه وهو ما ليس بغناء ، وتحريم قسم وهو الغناء</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والإنصاف أنّ هذا الحمل يساوق الطرح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دعاه على هذا الحمل البعيد بناؤه على تعارضها مع الروايات الكثيرة المستفيضة أو المتواترة ، فرأى أنّ التصرّف فيها أوهن من رفع اليد عنها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بينها وبين الروايات جمعاً عقلائياً وهو حمل المطلقات عليها </w:t>
      </w:r>
    </w:p>
    <w:p>
      <w:pPr>
        <w:pStyle w:val="BookText"/>
        <w:rPr/>
      </w:pPr>
      <w:r>
        <w:rPr>
          <w:rFonts w:ascii="Amiri" w:hAnsi="Amiri" w:eastAsia="Amiri" w:cs="Amiri"/>
          <w:color w:val="111111"/>
          <w:sz w:val="28"/>
          <w:sz w:val="28"/>
          <w:szCs w:val="28"/>
          <w:rtl w:val="true"/>
          <w:lang w:bidi="ar-SA"/>
        </w:rPr>
        <w:t>وتجويز الغناء في أيّام الأعياد المقتضي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للسرور والفرح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يعص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لم</w:t>
      </w:r>
    </w:p>
    <w:p>
      <w:pPr>
        <w:pStyle w:val="BookText"/>
        <w:rPr/>
      </w:pPr>
      <w:r>
        <w:rPr>
          <w:rFonts w:ascii="Amiri" w:hAnsi="Amiri" w:eastAsia="Amiri" w:cs="Amiri"/>
          <w:color w:val="111111"/>
          <w:sz w:val="28"/>
          <w:sz w:val="28"/>
          <w:szCs w:val="28"/>
          <w:rtl w:val="true"/>
          <w:lang w:bidi="ar-SA"/>
        </w:rPr>
        <w:t xml:space="preserve">يكن سبباً لمعصية ، أو ما لم يقترن بها ، أو ما لم يتّحد معها ، كما لو كان التغنّي بالفحش والكذب ونحوهما من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المتفاهم منها أنّ الغناء في الأعياد وأيّام الفرح لا بأس به بذاته ما لم يقترن بمعصية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بوجه نظير ما ورد في بعض الروايات من رفع القلم في بعض الأعياد</w:t>
      </w:r>
      <w:r>
        <w:rPr>
          <w:rStyle w:val="FootnoteAnchor"/>
          <w:rtl w:val="true"/>
        </w:rPr>
        <w:footnoteReference w:id="873"/>
      </w:r>
      <w:r>
        <w:rPr>
          <w:rFonts w:ascii="Amiri" w:hAnsi="Amiri" w:eastAsia="Amiri" w:cs="Amiri"/>
          <w:color w:val="111111"/>
          <w:sz w:val="28"/>
          <w:sz w:val="28"/>
          <w:szCs w:val="28"/>
          <w:rtl w:val="true"/>
          <w:lang w:bidi="ar-SA"/>
        </w:rPr>
        <w:t xml:space="preserve">، والمراد به أيضاً على فرض صحّته ما يناسب أيّام العيد والسرور كالتغنّي والتلهّي لا مطلق المعاصي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يزمر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يتغنّ في المزمار ، من زمر أو زمَّر من التفعيل غنّى بالمزمار ، فتدلّ على جواز الغناء في الأعياد دون المزامير مع احتمال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يؤزر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فتوافق الاُولى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يشكل العمل بها ؛ لعدم قائل ظاهراً باستثنائه فيها بل عدم نقل احتماله من أحد ، مع بعد تجويزه في العيدين الشريفين المعدَّين لطاعة اللّه تعالى والصلاة والانقطاع إليه تعالى كما يظهر من الأدعية والأذكار والعبادات الواردة فيهما وفي الأعياد المذهبية بل بعض الأعياد الملّية ، وضعف الرواية المشتملة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يعص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بعبداللّه بن الحسن المجهول وإن كان كثير الرواية عن علي بن جعفر ، والظاهر إتقان رواياته ،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للحميري بإسناد لا يبعد إلحاقه بالصحاح</w:t>
      </w:r>
      <w:r>
        <w:rPr>
          <w:rStyle w:val="FootnoteAnchor"/>
          <w:rtl w:val="true"/>
        </w:rPr>
        <w:footnoteReference w:id="874"/>
      </w:r>
      <w:r>
        <w:rPr>
          <w:rFonts w:ascii="IRNazanin" w:hAnsi="IRNazanin" w:eastAsia="IRNazanin"/>
          <w:color w:val="111111"/>
          <w:sz w:val="28"/>
          <w:sz w:val="28"/>
          <w:szCs w:val="28"/>
          <w:rtl w:val="true"/>
          <w:lang w:bidi="fa-IR"/>
        </w:rPr>
        <w:t xml:space="preserve">وإن قال بعض </w:t>
      </w:r>
      <w:bookmarkStart w:id="360" w:name="pg15158_207136"/>
    </w:p>
    <w:p>
      <w:pPr>
        <w:pStyle w:val="BookText"/>
        <w:rPr/>
      </w:pPr>
      <w:bookmarkEnd w:id="360"/>
      <w:r>
        <w:rPr>
          <w:rFonts w:ascii="Amiri" w:hAnsi="Amiri" w:eastAsia="Amiri" w:cs="Amiri"/>
          <w:color w:val="111111"/>
          <w:sz w:val="28"/>
          <w:sz w:val="28"/>
          <w:szCs w:val="28"/>
          <w:rtl w:val="true"/>
          <w:lang w:bidi="ar-SA"/>
        </w:rPr>
        <w:t xml:space="preserve">المدقّقين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الغناء والمكاسب ، وفي كتاب القضاء والشهادات</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الاعتماد عليها بحدّ يمكن تقييد الأدلّة سيّما تلك المطلقات المستفيضة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الاُخرى صحيحة ، لكن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يزمر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تقدّم ، ومنها ما احتمله الشيخ الأنصاري ، أي لم يرجع به ترجيع المزمار ، أو لم يتغنّ به على سبيل اللهو ، أو لم يقصد منه قصد المزمار</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ظهورها في الأوّل معتدّاً به أمكن معه تقييد المطلقات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بل الأقوى عدم استثناء أيّام العيد والفرح </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851666_2142443653"/>
      <w:bookmarkStart w:id="362" w:name="_Toc124"/>
      <w:bookmarkEnd w:id="361"/>
      <w:r>
        <w:rPr>
          <w:rtl w:val="true"/>
        </w:rPr>
        <w:t>في استثناء المراثي والقراءة بالقرآن</w:t>
      </w:r>
      <w:bookmarkEnd w:id="362"/>
    </w:p>
    <w:p>
      <w:pPr>
        <w:pStyle w:val="BookText"/>
        <w:rPr/>
      </w:pPr>
      <w:r>
        <w:rPr>
          <w:rFonts w:ascii="Amiri" w:hAnsi="Amiri" w:eastAsia="Amiri" w:cs="Amiri"/>
          <w:color w:val="111111"/>
          <w:sz w:val="28"/>
          <w:sz w:val="28"/>
          <w:szCs w:val="28"/>
          <w:rtl w:val="true"/>
          <w:lang w:bidi="ar-SA"/>
        </w:rPr>
        <w:t xml:space="preserve">وأمّا المراثي والقراءة بالقرآن فربّما يقال باستثنائهما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بعمومات</w:t>
      </w:r>
    </w:p>
    <w:p>
      <w:pPr>
        <w:pStyle w:val="BookText"/>
        <w:rPr/>
      </w:pPr>
      <w:r>
        <w:rPr>
          <w:rFonts w:ascii="Amiri" w:hAnsi="Amiri" w:eastAsia="Amiri" w:cs="Amiri"/>
          <w:color w:val="111111"/>
          <w:sz w:val="28"/>
          <w:sz w:val="28"/>
          <w:szCs w:val="28"/>
          <w:rtl w:val="true"/>
          <w:lang w:bidi="ar-SA"/>
        </w:rPr>
        <w:t>أدلّة الإبكاء والرثاء وقراءة القرآن ، بدعوى أنّ التعارض بينها وبين أدلّة حرمة الغناء من وجه ، ومقتضى القاعدة تساقطهما والرجوع إلى الأصل</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ذلك توسعة الجواز بكلّ مورد ينطبق عليه أو يلازمه عنوان مستحبّ كإكرام الضيف وإدخال السرور في قلب المؤمن وقضاء حاجته ، بل توسعة نطاقه إلى سائر أبواب الفقه فيقال بمعارضة كلّ دليل في المستحبّات مع </w:t>
      </w:r>
    </w:p>
    <w:p>
      <w:pPr>
        <w:pStyle w:val="BookText"/>
        <w:rPr/>
      </w:pPr>
      <w:r>
        <w:rPr>
          <w:rFonts w:ascii="Amiri" w:hAnsi="Amiri" w:eastAsia="Amiri" w:cs="Amiri"/>
          <w:color w:val="111111"/>
          <w:sz w:val="28"/>
          <w:sz w:val="28"/>
          <w:szCs w:val="28"/>
          <w:rtl w:val="true"/>
          <w:lang w:bidi="ar-SA"/>
        </w:rPr>
        <w:t xml:space="preserve">أدلّة المحرّمات إذا كان بينهما عموم من وجه كالمقام ، بل يأتي الكلام في أدلّة المكروهات مع الواجبات والمحرّمات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 نّه مستلزم لفقه جديد واختلال فيه ، ولم يختلج ذلك التعارض والعلاج في ذهن فقهاء الشريعة ، وليس مبنى فقه الإسلام على نحوه ، وهو كافٍ في فساد هذا التوهّم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بأس ببيان سرّ عدم وقوع التعارض بين أدلّة المستحبّات والمحرّمات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الشيخ الأنصاري فيه وجوه</w:t>
      </w:r>
      <w:r>
        <w:rPr>
          <w:rStyle w:val="FootnoteAnchor"/>
          <w:rtl w:val="true"/>
        </w:rPr>
        <w:footnoteReference w:id="878"/>
      </w:r>
      <w:r>
        <w:rPr>
          <w:rFonts w:ascii="Amiri" w:hAnsi="Amiri" w:eastAsia="Amiri" w:cs="Amiri"/>
          <w:color w:val="111111"/>
          <w:sz w:val="28"/>
          <w:sz w:val="28"/>
          <w:szCs w:val="28"/>
          <w:rtl w:val="true"/>
          <w:lang w:bidi="ar-SA"/>
        </w:rPr>
        <w:t xml:space="preserve">، وإن يتراءى من تعبيراته أ نّه بصدد بيان وجه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مرجع أدلّة الاستحباب إلى إيجاده بسبب مباح لا المحرّم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ويحتمل أن يكون مراده منه انصراف أدلّته إلى إيجاده بطريق مباح وكيفية مباحة ، فلا تكون مقدّمته محرّمة ، ولا ينطبق عليه عنوان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التعميم يظهر من التأمّل في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مراده إهمال أدلّته ، فلا إطلاق فيها بالنسبة إلى مورد المحرّم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مقام بيان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أدلّة المستحبّات تفيد أحكاماً نحو الحكم الحيثي فلا ينافي طروّ عنوان آخر من الخارج يوجب لزوم فعله أو تركه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المستحبّ يدلّ على استحباب شيء لو خلّي ونفسه؛ أي مع خلوّه عمّا يوجب لزوم أحد طرفيه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 أنّ جهات الأحكام الثلاثة ؛ أعني الإباحة والاستحباب والكراهة ، لا تزاحم جهة الحرمة والوجوب ، فالحكم لهما مع اجتماع جهتيهما مع إحدى الجهات الثلاث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الوجوه لا ترجع إلى واحد ؛ لأنّ مبنى تزاحم المقتضيات على إطلاق الأدلّة وفعليتها وهو ينافي الوجهين الأوّلين ، ومبنى انصراف الأدلّة أو إهمالها غير مبنى كون الحكم حيثياً غير 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 نّه أجاب عن الاستدلال بواحد منها أو بأنّ حال أدلّة المستحبّات لا تخلو من واحد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إهمال جميع أدلّتها في غاية البعد بل مخالفة للواقع ولظواهر الأدلّة ، كما أنّ دعوى الانصراف في الجميع كذلك ، ولا يمكن إثباتها سيّما بعد كون متعلّق الأحكام في باب المطلقات نفس الطبائع من غير نظر إلى أفرادها فضلاً عن مزاحماتها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فالحكم إن تعلّق بطبيعة كالغناء أو الرثاء أو القراءة ولم يقيّد الموضوع بقيد مع تمامية مقدّمات الحكمة يكون مطلقاً ؛ أعني أنّ الطبيعة بلا قيد موضوعه ، فلا تكون الأفراد بما هي موضوع الحكم فيها ، ولا ينقدح في ذهن السامع أفراد نفس الطبيعة ولا أفراد طبيعة اُخرى أو عنوانها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الحكم أو الموضوع إلى أفراد خاصّ أو صنف خاصّ من الطبيعة فضلاً عن الأفراد الغير المزاحمة لخصوص حكم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ربّما يتّفق أن تكون الطبيعة مقارنة بحسب الوجود لشيء توجب اُنس الذهن أو تكون أفرادها من حيث الكثرة والمعهودية بوجه موجب للانصراف ، ولكن في مثل المقام لا وجه معتمد لدعواه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ويتلوهما في الضعف دعوى كون الاستحباب حكماً حيثياً في جميع الموارد؛ ضرورة أنّ الظاهر من كثير من الأدلّة فعلية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قضيّة تزاحم المقتضيات ففرع عدم سقوط الأدلّة بالتعارض وإلاّ فلا طريق لإثبات المقتضي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في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الاستحبابي معلّق على عدم تحقّق اقتضاء الحرام ، وأمّا التحريمي فلا تعليق فيه بالنسبة إلى اقتضاء الاستحباب ؛ لعدم مزاحمته معه ، فحينئذٍ لا يعارض المعلّق المنجّز</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مخالف لأدلّة الاستحباب الظاهرة في الحكم الفعلي ؛ فإنّ ظهورها في الفعلية كاشف عن عدم تحقّق مقتضى التحريم وتحقّق مقتضى الاستحباب ، فإطلاق دليله كاشف عن عدم الحرمة واقتضائها كالعكس ، فلا وجه للحكم بتعليقية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دليل الحرام قرينة على هذا التعليق ؛ فإنّه إذا تحقّق في أحد المتعارضين احتمال تصرّف مفقود في الآخر ، تعيّن التصرّف فيه وإبقاء الآخر على ظهوره وهو من الجمع المقبول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المقام حمل دليل الاستحباب على التعليق ممكن ؛ لأنّ فعلية </w:t>
      </w:r>
    </w:p>
    <w:p>
      <w:pPr>
        <w:pStyle w:val="BookText"/>
        <w:rPr/>
      </w:pPr>
      <w:r>
        <w:rPr>
          <w:rFonts w:ascii="Amiri" w:hAnsi="Amiri" w:eastAsia="Amiri" w:cs="Amiri"/>
          <w:color w:val="111111"/>
          <w:sz w:val="28"/>
          <w:sz w:val="28"/>
          <w:szCs w:val="28"/>
          <w:rtl w:val="true"/>
          <w:lang w:bidi="ar-SA"/>
        </w:rPr>
        <w:t>الاستحباب متوقّفة على عدم تحقّق مقتضى الحرمة ، بخلاف دليل الحرمة ، فإنّه غير قابل للتعليق على عدم تحقّق مقتضى الاستحباب ؛ لأنّ مقتضاه لا يزاحم مقتضى الحرام ، فالفعلية مع اجتماع المقتضي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للحرمة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دليل الاستحباب قابلاً للحمل على التعليق دون دليل الحرمة ، تعيّن</w:t>
      </w:r>
    </w:p>
    <w:p>
      <w:pPr>
        <w:pStyle w:val="BookText"/>
        <w:rPr/>
      </w:pPr>
      <w:r>
        <w:rPr>
          <w:rFonts w:ascii="Amiri" w:hAnsi="Amiri" w:eastAsia="Amiri" w:cs="Amiri"/>
          <w:color w:val="111111"/>
          <w:sz w:val="28"/>
          <w:sz w:val="28"/>
          <w:szCs w:val="28"/>
          <w:rtl w:val="true"/>
          <w:lang w:bidi="ar-SA"/>
        </w:rPr>
        <w:t>حمله عليه وإبقاء دليلها على ظاهره</w:t>
      </w:r>
      <w:r>
        <w:rPr>
          <w:rStyle w:val="FootnoteAnchor"/>
          <w:rtl w:val="true"/>
        </w:rPr>
        <w:footnoteReference w:id="88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ذلك ليس من الجمع المقبول ؛ فإنّه هو الجمع العرفي العقلائي لا العقلي الدقيق العلمي الذي لا سبيل للعرف إلى نيله كما فيما ذكره ، ولا دليل على أنّ الجمع بأيّ وجه ممكن أولى من الطرح وأولى من عمل التعارض ، بل الميزان فيه عدم اندراج الدليلين في الخبرين المختلفين والمتعارضين الوارد في أدلّة العلاج بحسب نظر العرف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ليس موجباً لإخراج الأدلّة عن التعارض على فرضه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مقتضي الاستحباب يمكن أن يزاحم مقتضي الحرام في بعض ملاكه فيخرج الحرام عن كونه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يمكن أن يكون التعليق في دليل الحرام أيضاً ، ولا يتعيّن التصرّف في دليل الاستحباب لتحقّق احتمال التصرّف في كليهما فيبقى التعارض بحاله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في المقام ونظائره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في المطلقات لم تتعلّق إلاّ بنفس الطبائع دون أفرادها ، ولم تكن ناظرة إلى أحوال الأفراد فضلاً عن كونها ناظرة إلى طبيعة اُخرى وأفرادها أو حال المزاحمات بين الأفراد أو المقتضيات في حال انطباق العناوين على الموضوعات الخارجية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يكون حكم كلّ عنوان عليه فعلياً من غير تعارض بين الدليلين ، فإنّ مصبّ التعارض بين الأدلّة هو مقام الدلالة والمدلول ، والفرض أنّ الحكم متعلّق بالطبائع، وكلّ طبيعة تغاير الاُخرى ، فلا مساس بين الدليلين ولا الحكمين المتعلّقين بالطبيعتين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تعارض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والإبكاء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مستحبّ 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حرام في مقام الدلالات وتعلّق الأحكام بالموضوعات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مقام انطباق العناوين على الأفراد الخارجية ، فخارج عن باب تعارض الأدلّة والدلالات ؛ لعدم كون الأفراد من مداليل الأدلّة في المطلقات ، فالعناوين التي بينها عموم من وجه بحسب التصادق خارج عن باب التعارض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فتحصّل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الغناء على عنوانه باقية فعلية ، واستحباب قراءة القرآن والرثاء على أبي عبداللّه الحسين علیه السلام كذلك ، من غير تعارض بين</w:t>
      </w:r>
    </w:p>
    <w:p>
      <w:pPr>
        <w:pStyle w:val="BookText"/>
        <w:rPr/>
      </w:pPr>
      <w:r>
        <w:rPr>
          <w:rFonts w:ascii="Amiri" w:hAnsi="Amiri" w:eastAsia="Amiri" w:cs="Amiri"/>
          <w:color w:val="111111"/>
          <w:sz w:val="28"/>
          <w:sz w:val="28"/>
          <w:szCs w:val="28"/>
          <w:rtl w:val="true"/>
          <w:lang w:bidi="ar-SA"/>
        </w:rPr>
        <w:t xml:space="preserve">الدليلين أو تزاحم بين المقتضيين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العقل في مقام الامتثال يحكم بلزوم الاحتراز من باب حفظ الغرض الأهمّ ، فلو سمّي هذا عدم مزاحمة مقتضى المستحبّات لمقتضى المحرّمات فلا بأس به بعد وضوح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فالترجيح في مقام الامتثال بحكم العقل غير مرتبط بمقام جعل الأحكام على عناوين الموضوعات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بحسب القواعد ، وأمّا لو فرض مورد يكون بقاء الاستحباب مخالفاً لارتكاز المتشرّعة يكشف ذلك عن قيد في دليل الاستحباب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 فرض أنّ إكرام الضيف بالمحرّم لم يكن مستحبّاً بارتكاز المتشرّعة أو </w:t>
      </w:r>
    </w:p>
    <w:p>
      <w:pPr>
        <w:pStyle w:val="BookText"/>
        <w:rPr/>
      </w:pPr>
      <w:r>
        <w:rPr>
          <w:rFonts w:ascii="Amiri" w:hAnsi="Amiri" w:eastAsia="Amiri" w:cs="Amiri"/>
          <w:color w:val="111111"/>
          <w:sz w:val="28"/>
          <w:sz w:val="28"/>
          <w:szCs w:val="28"/>
          <w:rtl w:val="true"/>
          <w:lang w:bidi="ar-SA"/>
        </w:rPr>
        <w:t xml:space="preserve">بدليل آخر يكشف ذلك عن قيد في دليل استحبابه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ورد في صحيحة صفوان بن يحيى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تسخطوا اللّه برضا أحد من خلقه</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والنهي ،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قلنا بتعارض الأدلّة فالترجيح لأدلّة حرمة الغناء بوجوه تأتي الإشارة إليها قريباً إن شاء اللّه ، بناءً على دخول العامّين من وجه على فرض تعارضهما في أدلّة العلاج ولو مناطاً أو بإلغاء الخصوصية أو باستفادته من روايات العلاج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التمسّك لجواز التغنّي بالقرآن والمراثي بالأصل بعد تعارض الأدلّة غير 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التشبّث بتعارف التغنّي في المراثي في بلاد المسلمين من زمن المشايخ إلى زماننا من غير نكير وهو يدلّ على الجواز غالباً كما قال به المحقّق الأردبيلي</w:t>
      </w:r>
      <w:r>
        <w:rPr>
          <w:rStyle w:val="FootnoteAnchor"/>
          <w:rtl w:val="true"/>
        </w:rPr>
        <w:footnoteReference w:id="882"/>
      </w:r>
      <w:r>
        <w:rPr>
          <w:rFonts w:ascii="Amiri" w:hAnsi="Amiri" w:eastAsia="Amiri" w:cs="Amiri"/>
          <w:color w:val="111111"/>
          <w:sz w:val="28"/>
          <w:sz w:val="28"/>
          <w:szCs w:val="28"/>
          <w:rtl w:val="true"/>
          <w:lang w:bidi="ar-SA"/>
        </w:rPr>
        <w:t xml:space="preserve">غير 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التمسّك؛ إمّا بسماع المشايخ وعدم منعهم وإنكارهم ، فلا حجّة فيه بعد اختلاف الاجتهادات ، مع ممنوعية كون عملهم عليه ، بل فيهم من منعه أو قام من مجلسه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كثيراً منهم لا يمنعه لاشتباه في الموضوع والشكّ في تحقّقه ، كما أنّ الأمر كذلك غالباً بل الغالب عدم تحقّقه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يكون باتّصال سيرتهم إلى زمن المعصومين علیهم السلام ، فهو ممنوع ؛ لأنّ تلك </w:t>
      </w:r>
    </w:p>
    <w:p>
      <w:pPr>
        <w:pStyle w:val="BookText"/>
        <w:rPr/>
      </w:pPr>
      <w:r>
        <w:rPr>
          <w:rFonts w:ascii="IRNazanin" w:hAnsi="IRNazanin" w:eastAsia="IRNazanin"/>
          <w:color w:val="111111"/>
          <w:sz w:val="28"/>
          <w:sz w:val="28"/>
          <w:szCs w:val="28"/>
          <w:rtl w:val="true"/>
          <w:lang w:bidi="fa-IR"/>
        </w:rPr>
        <w:t xml:space="preserve">المجالس المرسومة في هذه الأعصار لم تكن معهودة قبل عصر الصفوية بهذا الرواج ، وأمّا في عصر الأئمّة علیهم السلام وبعده إلى مدّة مديدة فلا شكّ في عدم تعارف انعقادها رأساً ، فضلاً عن التغنّي فيها بمرأى ومنظر من المعصومين علیهم السلام حتّى يكشف عدم الردع عن الجواز أو الاستحباب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أيّد به مذهبه ؛ من أنّ التحريم للطرب على الظاهر ولهذا قيّد بالمطرب</w:t>
      </w:r>
    </w:p>
    <w:p>
      <w:pPr>
        <w:pStyle w:val="BookText"/>
        <w:rPr/>
      </w:pPr>
      <w:r>
        <w:rPr>
          <w:rFonts w:ascii="Amiri" w:hAnsi="Amiri" w:eastAsia="Amiri" w:cs="Amiri"/>
          <w:color w:val="111111"/>
          <w:sz w:val="28"/>
          <w:sz w:val="28"/>
          <w:szCs w:val="28"/>
          <w:rtl w:val="true"/>
          <w:lang w:bidi="ar-SA"/>
        </w:rPr>
        <w:t>وليس في المراثي الطرب بل ليس إلاّ الحزن</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 للطرب ، بل الممنوع بمقتضى إطلاق الأدلّة طبيعة الغناء الذي</w:t>
      </w:r>
    </w:p>
    <w:p>
      <w:pPr>
        <w:pStyle w:val="BookText"/>
        <w:rPr/>
      </w:pPr>
      <w:r>
        <w:rPr>
          <w:rFonts w:ascii="Amiri" w:hAnsi="Amiri" w:eastAsia="Amiri" w:cs="Amiri"/>
          <w:color w:val="111111"/>
          <w:sz w:val="28"/>
          <w:sz w:val="28"/>
          <w:szCs w:val="28"/>
          <w:rtl w:val="true"/>
          <w:lang w:bidi="ar-SA"/>
        </w:rPr>
        <w:t>عبارة عن صوت مطرب ولو اقتضاءً ، وقد تقدّم أنّ الموادّ غير دخيلة في حرمة الغناء وموضوعه</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لو لم يحصل الطرب في المراثي فإنّما هو لمضامين الكلام ، وأمّا نفس الصوت بما هو ، مطرب مع كونه غناءً ، فموضوع المحرّم متحقّق ولو فرض منع موادّ الكلام عن حصول الطرب فعلاً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ممنوعية عدم حصول الطرب أحياناً ، فإنّ الغناء قد يكون محزناً ، والطرب خفّة ربما تحصل من الحزن أو شدّته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الأخبار التي تمسّك بها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كموثّقة حنّان بن سدير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معنا في الحيّ ولها جارية نائحة فجاءت إلى أبي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 أنت تعلم أنّ معيشتي من اللّه ثمّ من هذه الجارية ، </w:t>
      </w:r>
    </w:p>
    <w:p>
      <w:pPr>
        <w:pStyle w:val="BookText"/>
        <w:rPr/>
      </w:pPr>
      <w:r>
        <w:rPr>
          <w:rFonts w:ascii="IRNazanin" w:hAnsi="IRNazanin" w:eastAsia="IRNazanin"/>
          <w:color w:val="111111"/>
          <w:sz w:val="28"/>
          <w:sz w:val="28"/>
          <w:szCs w:val="28"/>
          <w:rtl w:val="true"/>
          <w:lang w:bidi="fa-IR"/>
        </w:rPr>
        <w:t xml:space="preserve">فاُحبّ أن تسأل أبا عبداللّه علیه السلام عن ذلك ، فإن كان حلالاً ، وإلاّ بعتها وأكلت من ثمنها حتّى يأتي اللّه بالفرج ، فقال لها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لاُعظم أبا عبداللّه أن أسأله عن هذه المسألة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قدمنا عليه أخبرته أنا بذلك ، فقال أبو عبداللّه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أتشارط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تشارط أم لا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تشارط وتقبل ما اُعطيت</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بأجر النائحة التي تنوح على الميّت</w:t>
      </w:r>
      <w:r>
        <w:rPr>
          <w:rFonts w:eastAsia="IRNazanin" w:cs="IRNazanin"/>
          <w:color w:val="111111"/>
          <w:sz w:val="28"/>
          <w:szCs w:val="28"/>
          <w:rtl w:val="true"/>
          <w:lang w:bidi="fa-IR"/>
        </w:rPr>
        <w:t>»</w:t>
      </w:r>
      <w:r>
        <w:rPr>
          <w:rStyle w:val="FootnoteAnchor"/>
          <w:rtl w:val="true"/>
        </w:rPr>
        <w:footnoteReference w:id="887"/>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النوح لا يكون إلاّ مع التغنّي ، أو أنّ مقتضى الإطلاق شمول الغناء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عدم كون النوح إلاّ معه ، بل الظاهر أنّ عنوان الغناء غيره وهما بحسب الحقيقة مختلفان بل متقابلان ،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ناحت المرأة الميّت وعلى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عليه بصياح وعويل وجزع</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أ نّه نفس الصوت الخاصّ لا البكاء فخصوصيته مغايرة لخصوصية الغناء كما يشهد بها العرف ، وتشهد بها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IRNazanin" w:hAnsi="IRNazanin" w:eastAsia="IRNazanin"/>
          <w:color w:val="111111"/>
          <w:sz w:val="28"/>
          <w:sz w:val="28"/>
          <w:szCs w:val="28"/>
          <w:rtl w:val="true"/>
          <w:lang w:bidi="fa-IR"/>
        </w:rPr>
        <w:t xml:space="preserve">رسول اللّه‌ صلی الله علیه و آله وسلم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صوتان ملعونان يبغضهما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إعوال عند مصيبة ، وصوت عند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يعني النوح والغناء</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عبداللّه بن سنان 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اقرؤوا القرآن بألحان العرب وأصواتها ، وإيّاكم ولحون أهل الفسق وأهل الكبائر ، فإنّه سيجيء من بعدي أقوام يرجّعون القرآن ترجيع الغناء والنوح والرهبانية ، لا يجوز تراقيهم ، قلوبهم مقلوبة ، وقلوب من يعجبه شأنهم</w:t>
      </w:r>
      <w:r>
        <w:rPr>
          <w:rFonts w:eastAsia="IRNazanin" w:cs="IRNazanin"/>
          <w:color w:val="111111"/>
          <w:sz w:val="28"/>
          <w:szCs w:val="28"/>
          <w:rtl w:val="true"/>
          <w:lang w:bidi="fa-IR"/>
        </w:rPr>
        <w:t>»</w:t>
      </w: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القطب الراوندي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علي علیهما السلام ، عن رسول اللّه‌ صلی الله علیه و آله وسلم </w:t>
      </w:r>
      <w:r>
        <w:rPr>
          <w:rStyle w:val="FootnoteAnchor"/>
          <w:rtl w:val="true"/>
        </w:rPr>
        <w:footnoteReference w:id="892"/>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اليمان عنه صلی الله علیه و آله وسلم نحوها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مقابلة ترجيع الغناء والنوح أ نّهما مغايران كما هو كذلك عرفاً وخارجاً ، فلا تكون تلك الروايات شاهدة على مذهبه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سلّم إطلاقها فلم يسلّم مساوقتهما وملازمتهما ، فحينئذٍ يأتي فيها ما تقدّم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الجواب عن أخبار استحباب الإبكاء والرثاء</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 فرضت معارضتهما فلا ريب في ترجيح روايات حرمة الغناء عليها ؛ لموافقتها للمشهور ؛ فإنّ مقتضى إطلاق الأصحاب وعدم استثنائهم غير الأعراس والحداء قصره عليهما أو على أوّلهما كما يأتي الكلام فيه ، وإنّما حكى عن بعضهم استثناء مراثي أبي عبداللّه علیه السلام المحقّق الثاني في محكيّ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فأخذه عنه بعض من تأخّر</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فالشهرة مع عدم الاستثناء ، وهي إمّا مرجّحة أو موهنة للأخبار المخالفة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ومخالفتها للعامّة على ما حكي عن مذاهبهم أنّ التغنّي من حيث كونه ترديد الصوت بالألحان مباح لا شيء فيه ولكن قد يعرض له ما يجعله حراماً أو مكروهاً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إحياء الغزالي عن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أحداً من علماء الحجاز كره السماع</w:t>
      </w:r>
      <w:r>
        <w:rPr>
          <w:rFonts w:eastAsia="Amiri" w:cs="Amiri" w:ascii="Amiri" w:hAnsi="Amiri"/>
          <w:color w:val="111111"/>
          <w:sz w:val="28"/>
          <w:szCs w:val="28"/>
          <w:rtl w:val="true"/>
          <w:lang w:bidi="ar-SA"/>
        </w:rPr>
        <w:t>»</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حكي حمل بعضهم ما عن أبي حنيفة أ نّه يكره الغناء ويجعل سماعه من الذنوب على النوح المحرّم</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وموافقتها للكتاب بوجه لا يخلو من إشكال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يستشهد</w:t>
      </w:r>
      <w:r>
        <w:rPr>
          <w:rStyle w:val="FootnoteAnchor"/>
          <w:rtl w:val="true"/>
        </w:rPr>
        <w:footnoteReference w:id="900"/>
      </w:r>
      <w:r>
        <w:rPr>
          <w:rFonts w:ascii="IRNazanin" w:hAnsi="IRNazanin" w:eastAsia="IRNazanin"/>
          <w:color w:val="111111"/>
          <w:sz w:val="28"/>
          <w:sz w:val="28"/>
          <w:szCs w:val="28"/>
          <w:rtl w:val="true"/>
          <w:lang w:bidi="fa-IR"/>
        </w:rPr>
        <w:t xml:space="preserve">للجواز بما عن الصادق علیه السلام أ نّه قال لمن أنشد عنده </w:t>
      </w:r>
    </w:p>
    <w:p>
      <w:pPr>
        <w:pStyle w:val="BookText"/>
        <w:rPr/>
      </w:pPr>
      <w:r>
        <w:rPr>
          <w:rFonts w:ascii="Amiri" w:hAnsi="Amiri" w:eastAsia="Amiri" w:cs="Amiri"/>
          <w:color w:val="111111"/>
          <w:sz w:val="28"/>
          <w:sz w:val="28"/>
          <w:szCs w:val="28"/>
          <w:rtl w:val="true"/>
          <w:lang w:bidi="ar-SA"/>
        </w:rPr>
        <w:t xml:space="preserve">مرثية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كما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بالعراق</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ويتّضح الجواب عنه ممّا تقدّم ، مع عدم معلومية كيفية إنشاده عنده وكيفية القراءة بالعراق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عدم استثناء المراثي والفضائل والأدعية ، وكذا عدم استثناء قراءة القرآن ، كما تدلّ عليه بالخصوص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عبداللّه بن سنان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منها أنّ ألحان العرب المأمور بقراءة نحوها غير ألحان أهل الفسوق والكبائر وغير الترجيع بالغناء كما أنّ الواقع كذلك وجداناً ؛ فإنّ القرّاء في العراق والحجاز وسائر الأقطار العربية يقرؤون القرآن بأصوات حسنة وألحان عربية لا تكون من سنخ التغنّي وأصوات أهل الفسوق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بأسانيده عن الرضا علیه السلام عن آبائه عن علي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عليكم استخفافاً بالدين ، وبيع الحكم ، وقطيعة الرحم ، وأن تتّخذوا القرآن مزامير ، وتقدّمون أحدكم وليس بأفضلكم في الدين</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تفسير علي بن إبراهيم بسنده ، عن عبداللّه بن عبّاس ، عن رسول اللّه‌ صلی الله علیه و آله وسلم  في حديث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أشراط الساعة إضاعة الصلوات ، </w:t>
      </w:r>
      <w:bookmarkStart w:id="363" w:name="pg15158_207148"/>
    </w:p>
    <w:p>
      <w:pPr>
        <w:pStyle w:val="BookText"/>
        <w:rPr/>
      </w:pPr>
      <w:bookmarkEnd w:id="363"/>
      <w:r>
        <w:rPr>
          <w:rFonts w:ascii="Amiri" w:hAnsi="Amiri" w:eastAsia="Amiri" w:cs="Amiri"/>
          <w:color w:val="111111"/>
          <w:sz w:val="28"/>
          <w:sz w:val="28"/>
          <w:szCs w:val="28"/>
          <w:rtl w:val="true"/>
          <w:lang w:bidi="ar-SA"/>
        </w:rPr>
        <w:t>واتّباع الشهوات، والميل إلى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فعندها يكون أقوام يتعلّمون القرآن لغير اللّه ، ويتّخذونه مزامير ، ويكون أقوام يتفقّهون لغير اللّه ، وتكثر</w:t>
      </w:r>
    </w:p>
    <w:p>
      <w:pPr>
        <w:pStyle w:val="BookText"/>
        <w:rPr/>
      </w:pPr>
      <w:r>
        <w:rPr>
          <w:rFonts w:ascii="Amiri" w:hAnsi="Amiri" w:eastAsia="Amiri" w:cs="Amiri"/>
          <w:color w:val="111111"/>
          <w:sz w:val="28"/>
          <w:sz w:val="28"/>
          <w:szCs w:val="28"/>
          <w:rtl w:val="true"/>
          <w:lang w:bidi="ar-SA"/>
        </w:rPr>
        <w:t>أولاد الزنا ، ويتغنّون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ويستحسنون الكوبة والمعازف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يدعون في ملكوت السماوات الأرجاس الأنجاس</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المراد باتّخاذ القرآن مزامير قراءته على نحو إيقاع المزامير فإنّ التصويت فيها ليس قرآناً وقراءة </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851668_2142443653"/>
      <w:bookmarkStart w:id="365" w:name="_Toc125"/>
      <w:bookmarkEnd w:id="364"/>
      <w:r>
        <w:rPr>
          <w:rtl w:val="true"/>
        </w:rPr>
        <w:t>بيان المراد ممّا دلّت على استحباب القراءة بصوت حسن</w:t>
      </w:r>
      <w:bookmarkEnd w:id="365"/>
    </w:p>
    <w:p>
      <w:pPr>
        <w:pStyle w:val="BookText"/>
        <w:rPr/>
      </w:pPr>
      <w:r>
        <w:rPr>
          <w:rFonts w:ascii="Amiri" w:hAnsi="Amiri" w:eastAsia="Amiri" w:cs="Amiri"/>
          <w:color w:val="111111"/>
          <w:sz w:val="28"/>
          <w:sz w:val="28"/>
          <w:szCs w:val="28"/>
          <w:rtl w:val="true"/>
          <w:lang w:bidi="ar-SA"/>
        </w:rPr>
        <w:t xml:space="preserve">ومنها يظهر المراد في روايات مستفيضة دالّة على استحباب قراءة القرآن بصوت 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حسِّنوا القرآن بأصواتكم ، فإنّ الصوت الحسن يزيد القرآن حسناً</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موثّقة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قرأت القرآن فرفعت به صوتي جاءني الشيطان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ترائي بهذا أهلك والناس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 اقرأ قراءة ما بين القراءتين تسمع أهلك ، ورجِّع بالقرآن صوتك ، فإنّ اللّه عزّ وجلّ يحبّ الصوت الحسن يرجّع فيه ترجيعاً</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وما حكي عن بعض الأئمّة من قراءته بصوت حسن ، كما عن علي بن الحسين علیه السلام أ نّه أحسن الناس صوتاً بالقرآن ، وكان السقّاؤون يمرّون فيقفون ببابه يستمعون قراءته</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المراد بالصوت الحسن مقابل اتّخاذ القرآن مزامير والترجيع به ترجيع الغناء والتغنّي به ، كما في الروايات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المراد بالصوت فيها ما هو المصطلح لأرباب السماع والموسيقى ، بل المراد ما هو المتفاهم منه عرفاً وما هو معناه لغة ولهذا وصفه بالحسن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ملازمة بين الصوت الحسن والغناء وإن لم يتّصف الصوت بالحسن إلاّ بتناسب بين قرعاته ، لكن ليس كلّ صوت متناسب قرعاته غناءً ؛ ضرورة أنّ الألحان العربية متناسبة القرعات ومع ذلك لا تكون غناءً كما جعلت مقابله في الرواية المتقدّمة ويشهد به الوجدان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بالترجيع في موثّقة أبي بصير ليس ترجيع الغناء كما تفسّره الرواية المتقدّمة ، ولو حمل على ترجيع الغناء صارت معارضة لجميع الروايات الدالّة على تحريم الغناء بل يصير مضمونها مخالفاً للإجماع</w:t>
      </w:r>
      <w:r>
        <w:rPr>
          <w:rStyle w:val="FootnoteAnchor"/>
          <w:rtl w:val="true"/>
        </w:rPr>
        <w:footnoteReference w:id="907"/>
      </w:r>
      <w:r>
        <w:rPr>
          <w:rFonts w:ascii="Amiri" w:hAnsi="Amiri" w:eastAsia="Amiri" w:cs="Amiri"/>
          <w:color w:val="111111"/>
          <w:sz w:val="28"/>
          <w:sz w:val="28"/>
          <w:szCs w:val="28"/>
          <w:rtl w:val="true"/>
          <w:lang w:bidi="ar-SA"/>
        </w:rPr>
        <w:t xml:space="preserve">والضرورة ؛ فإنّ الظاهر من التعليل أنّ الصوت الحسن الذي يرجّع به ترجيعاً محبوب عند اللّه ، فلو كان المراد به الغناء لزم منه أن يكون الغناء كذلك ، وهو كما ترى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وحملها على الغناء في القرآن بتقييدها بالأدلّة المتقدّمة</w:t>
      </w:r>
      <w:r>
        <w:rPr>
          <w:rStyle w:val="FootnoteAnchor"/>
          <w:rtl w:val="true"/>
        </w:rPr>
        <w:footnoteReference w:id="908"/>
      </w:r>
      <w:r>
        <w:rPr>
          <w:rFonts w:ascii="Amiri" w:hAnsi="Amiri" w:eastAsia="Amiri" w:cs="Amiri"/>
          <w:color w:val="111111"/>
          <w:sz w:val="28"/>
          <w:sz w:val="28"/>
          <w:szCs w:val="28"/>
          <w:rtl w:val="true"/>
          <w:lang w:bidi="ar-SA"/>
        </w:rPr>
        <w:t>غير وجيه ؛ لأ نّه مضافاً إلى منافاته للتعليل الظاهر في إلقاء الكبرى الكلّية مستلزم للتقييد الكثير</w:t>
      </w:r>
    </w:p>
    <w:p>
      <w:pPr>
        <w:pStyle w:val="BookText"/>
        <w:rPr/>
      </w:pPr>
      <w:r>
        <w:rPr>
          <w:rFonts w:ascii="Amiri" w:hAnsi="Amiri" w:eastAsia="Amiri" w:cs="Amiri"/>
          <w:color w:val="111111"/>
          <w:sz w:val="28"/>
          <w:sz w:val="28"/>
          <w:szCs w:val="28"/>
          <w:rtl w:val="true"/>
          <w:lang w:bidi="ar-SA"/>
        </w:rPr>
        <w:t xml:space="preserve">المستهجن وإن قلنا بجوازه في العرائس والحداء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شبهة في أنّ المراد بترجيع القرآن الصوت الحسن في مقابل ترجيع الغناء ، وهو الذي يحبّه اللّه تعالى وورد به ترغيب أكيد ، وهو الذي حكي عن رسول اللّه‌ صلی الله علیه و آله وسلم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تعط اُمّتي أقلّ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 والصوت الحسن والحفظ</w:t>
      </w:r>
      <w:r>
        <w:rPr>
          <w:rFonts w:eastAsia="IRNazanin" w:cs="IRNazanin"/>
          <w:color w:val="111111"/>
          <w:sz w:val="28"/>
          <w:szCs w:val="28"/>
          <w:rtl w:val="true"/>
          <w:lang w:bidi="fa-IR"/>
        </w:rPr>
        <w:t>»</w:t>
      </w:r>
      <w:r>
        <w:rPr>
          <w:rStyle w:val="FootnoteAnchor"/>
          <w:rtl w:val="true"/>
        </w:rPr>
        <w:footnoteReference w:id="909"/>
      </w:r>
      <w:r>
        <w:rPr>
          <w:rFonts w:ascii="Amiri" w:hAnsi="Amiri" w:eastAsia="Amiri" w:cs="Amiri"/>
          <w:color w:val="111111"/>
          <w:sz w:val="28"/>
          <w:sz w:val="28"/>
          <w:szCs w:val="28"/>
          <w:rtl w:val="true"/>
          <w:lang w:bidi="ar-SA"/>
        </w:rPr>
        <w:t xml:space="preserve">فإنّ الغناء ليس من إعطاء اللّه تعالى ابتداءً ، بل لا بدّ فيه من التعلّم ، والظاهر من الرواية أ نّه كالجمال والحفظ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ذكرناه يظهر الجواب عن مرسلة الصدوق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علي بن الحسين عن شراء جارية لها صوت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لو اشتريتها فذكَّرتك الجنّة، يعني بقراءة القرآن والزهد والفضائل التي ليست بغناء ، فأمّا الغناء فمحظور</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التفسير لو كان للإمام علیه السلام فهي شاهدة جمع بين الأخبار كبعض ما تقدّم ، وإن كان من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فالصوت في الرواية محمول على الصوت الحسن فتصير كسائر الروايات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الحمل على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الصوت قد يراد به الغناء كما فسّره به </w:t>
      </w:r>
      <w:bookmarkStart w:id="366" w:name="pg15158_207151"/>
    </w:p>
    <w:p>
      <w:pPr>
        <w:pStyle w:val="BookText"/>
        <w:rPr/>
      </w:pPr>
      <w:bookmarkEnd w:id="366"/>
      <w:r>
        <w:rPr>
          <w:rFonts w:ascii="Amiri" w:hAnsi="Amiri" w:eastAsia="Amiri" w:cs="Amiri"/>
          <w:color w:val="111111"/>
          <w:sz w:val="28"/>
          <w:sz w:val="28"/>
          <w:szCs w:val="28"/>
          <w:rtl w:val="true"/>
          <w:lang w:bidi="ar-SA"/>
        </w:rPr>
        <w:t>بعض اللغويين</w:t>
      </w:r>
      <w:r>
        <w:rPr>
          <w:rStyle w:val="FootnoteAnchor"/>
          <w:rtl w:val="true"/>
        </w:rPr>
        <w:footnoteReference w:id="911"/>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الصوت معروف ؛ كلّ ضرب من الغناء</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 xml:space="preserve">، وفسّره به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فبعيد عن الصواب سيّما مع تنكيره ، فإنّ الظاهر منه أنّ لها صوتاً حسناً لا أ نّها تعلم بعض المقامات الموسيقية وبحورها ، بل الظاهر أنّ هذا الاصطلاح على فرض ثبوته متأخّر عن زمن السجّاد علیه السلامولعلّه صار مصطلحاً في عصر الرشيد </w:t>
      </w:r>
      <w:r>
        <w:rPr>
          <w:rFonts w:eastAsia="IRNazanin" w:cs="IRNazanin"/>
          <w:color w:val="111111"/>
          <w:sz w:val="28"/>
          <w:szCs w:val="28"/>
          <w:rtl w:val="true"/>
          <w:lang w:bidi="fa-IR"/>
        </w:rPr>
        <w:t>.</w:t>
      </w:r>
    </w:p>
    <w:p>
      <w:pPr>
        <w:pStyle w:val="Heading4"/>
        <w:numPr>
          <w:ilvl w:val="3"/>
          <w:numId w:val="1"/>
        </w:numPr>
        <w:rPr/>
      </w:pPr>
      <w:bookmarkStart w:id="367" w:name="__RefHeading___Toc1851670_2142443653"/>
      <w:bookmarkStart w:id="368" w:name="_Toc126"/>
      <w:bookmarkEnd w:id="367"/>
      <w:r>
        <w:rPr>
          <w:rtl w:val="true"/>
        </w:rPr>
        <w:t>في استثناء الحداء</w:t>
      </w:r>
      <w:bookmarkEnd w:id="368"/>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يظهر من المحقّق في كتاب الشهادات استثناء الحداء من الغناء حكماً </w:t>
      </w:r>
      <w:r>
        <w:rPr>
          <w:rStyle w:val="FootnoteAnchor"/>
          <w:rtl w:val="true"/>
        </w:rPr>
        <w:footnoteReference w:id="914"/>
      </w:r>
      <w:r>
        <w:rPr>
          <w:rFonts w:ascii="Amiri" w:hAnsi="Amiri" w:eastAsia="Amiri" w:cs="Amiri"/>
          <w:color w:val="111111"/>
          <w:sz w:val="28"/>
          <w:sz w:val="28"/>
          <w:szCs w:val="28"/>
          <w:rtl w:val="true"/>
          <w:lang w:bidi="ar-SA"/>
        </w:rPr>
        <w:t xml:space="preserve">، وهو المحكيّ عن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 xml:space="preserve">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والخراساني ، بل عنه دعوى الشهرة عليه</w:t>
      </w:r>
      <w:r>
        <w:rPr>
          <w:rStyle w:val="FootnoteAnchor"/>
          <w:rtl w:val="true"/>
        </w:rPr>
        <w:footnoteReference w:id="91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للمجلسي الأوّل أنّ ظاهر أكثر الأصحاب استثناء الحداء</w:t>
      </w:r>
      <w:r>
        <w:rPr>
          <w:rStyle w:val="FootnoteAnchor"/>
          <w:rtl w:val="true"/>
        </w:rPr>
        <w:footnoteReference w:id="918"/>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1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اشتهر استثناؤه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لكن تأمّل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الشهرة</w:t>
      </w:r>
      <w:r>
        <w:rPr>
          <w:rStyle w:val="FootnoteAnchor"/>
          <w:rtl w:val="true"/>
        </w:rPr>
        <w:footnoteReference w:id="921"/>
      </w:r>
      <w:r>
        <w:rPr>
          <w:rFonts w:ascii="Amiri" w:hAnsi="Amiri" w:eastAsia="Amiri" w:cs="Amiri"/>
          <w:color w:val="111111"/>
          <w:sz w:val="28"/>
          <w:sz w:val="28"/>
          <w:szCs w:val="28"/>
          <w:rtl w:val="true"/>
          <w:lang w:bidi="ar-SA"/>
        </w:rPr>
        <w:t xml:space="preserve">، وجزم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بعدمها واحتمل تحقّقها على الخلاف</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لإطلاق الأصحاب وعدم استثنائهم ذلك ما عدا المحقّق ومن عرفت ممّن هو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عدم ثبوت الشهرة المعتمدة في طرفي القضيّة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w:t>
      </w:r>
      <w:r>
        <w:rPr>
          <w:rStyle w:val="FootnoteAnchor"/>
          <w:rtl w:val="true"/>
        </w:rPr>
        <w:footnoteReference w:id="923"/>
      </w:r>
      <w:r>
        <w:rPr>
          <w:rFonts w:ascii="IRNazanin" w:hAnsi="IRNazanin" w:eastAsia="IRNazanin"/>
          <w:color w:val="111111"/>
          <w:sz w:val="28"/>
          <w:sz w:val="28"/>
          <w:szCs w:val="28"/>
          <w:rtl w:val="true"/>
          <w:lang w:bidi="fa-IR"/>
        </w:rPr>
        <w:t xml:space="preserve">على الاستثناء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يؤيّده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روي أ نّه صلی الله علیه و آله وسلم  قال لعبداللّه بن رواحة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حرِّك بالنوق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فاندفع يرتجز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عبداللّه جيّد الحداء وكان مع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أنجشة</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القاموس المحيط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 النساء ، فلمّا سمعه تبعه ، فقال صلی الله علیه و آله وسلم  لأنجشة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رويدك رفقاً بالقوارير ؛ يعني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منها أنّ ابن رواحة ارتجز لتحريك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والإنشاد ببحر الرجز يخالف الغناء ، ولا يحصل به الخفّة والطرب الخاصّ بالغناء ، بل يحصل منه التهيّج الخاصّ بالحرب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إشعار بعدم جواز الحداء والتغنّي للإبل ، فإنّ تركه والأخذ بالرجز ، مع مناسبة الأوّل للسوق ، مشعر بممنوعيته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عبداللّه جيّد الحداء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من الراوي ، ولا يدلّ على حَدْوِه بالتغنّي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 في محكيّ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شهر آشوب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حادي بعض نسوته صلی الله علیه و آله وسلم  خادمه أنجشة فقال لأنجشة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ارفق بالقوارير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تكسر القوارير</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الظاهر أنّ صدره من كلام ابن شهر آشوب لا رواية عن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المظنون أ نّه نقل بالمعنى حسب اجتهاده من قطعة من الرواية المتقدّمة مع أنّ في معنى الحادي كلاماً يأتي عن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w:t>
      </w:r>
      <w:r>
        <w:rPr>
          <w:rStyle w:val="FootnoteAnchor"/>
          <w:rtl w:val="true"/>
        </w:rPr>
        <w:footnoteReference w:id="926"/>
      </w:r>
      <w:r>
        <w:rPr>
          <w:rFonts w:ascii="IRNazanin" w:hAnsi="IRNazanin" w:eastAsia="IRNazanin"/>
          <w:color w:val="111111"/>
          <w:sz w:val="28"/>
          <w:sz w:val="28"/>
          <w:szCs w:val="28"/>
          <w:rtl w:val="true"/>
          <w:lang w:bidi="fa-IR"/>
        </w:rPr>
        <w:t xml:space="preserve">بموثّقة السكوني بإسناده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المسافر الحداء والشعر ما كان منه ليس فيه خناً</w:t>
      </w:r>
      <w:r>
        <w:rPr>
          <w:rFonts w:eastAsia="IRNazanin" w:cs="IRNazanin"/>
          <w:color w:val="111111"/>
          <w:sz w:val="28"/>
          <w:szCs w:val="28"/>
          <w:rtl w:val="true"/>
          <w:lang w:bidi="fa-IR"/>
        </w:rPr>
        <w:t>»</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وإسناده عن جعفر بن محمّد عن آبائه عن رسول اللّه‌ صلی الله علیه و آله وسلم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للمجلسي</w:t>
      </w:r>
      <w:r>
        <w:rPr>
          <w:rStyle w:val="FootnoteAnchor"/>
          <w:rtl w:val="true"/>
        </w:rPr>
        <w:footnoteReference w:id="92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عصرنا سنة </w:t>
      </w:r>
      <w:r>
        <w:rPr>
          <w:rFonts w:eastAsia="Amiri" w:cs="Amiri" w:ascii="Amiri" w:hAnsi="Amiri"/>
          <w:color w:val="111111"/>
          <w:sz w:val="28"/>
          <w:szCs w:val="28"/>
          <w:lang w:bidi="ar-SA"/>
        </w:rPr>
        <w:t>1376</w:t>
      </w:r>
      <w:r>
        <w:rPr>
          <w:rStyle w:val="FootnoteAnchor"/>
          <w:rtl w:val="true"/>
        </w:rPr>
        <w:footnoteReference w:id="929"/>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9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كلمة حداء ، وفسّره بالفحش،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الحديث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931"/>
      </w:r>
      <w:r>
        <w:rPr>
          <w:rFonts w:ascii="IRNazanin" w:hAnsi="IRNazanin" w:eastAsia="IRNazanin"/>
          <w:color w:val="111111"/>
          <w:sz w:val="28"/>
          <w:sz w:val="28"/>
          <w:szCs w:val="28"/>
          <w:rtl w:val="true"/>
          <w:lang w:bidi="fa-IR"/>
        </w:rPr>
        <w:t xml:space="preserve">، </w:t>
      </w:r>
      <w:bookmarkStart w:id="369" w:name="pg15158_207154"/>
    </w:p>
    <w:p>
      <w:pPr>
        <w:pStyle w:val="BookText"/>
        <w:rPr/>
      </w:pPr>
      <w:bookmarkEnd w:id="369"/>
      <w:r>
        <w:rPr>
          <w:rFonts w:ascii="Amiri" w:hAnsi="Amiri" w:eastAsia="Amiri" w:cs="Amiri"/>
          <w:color w:val="111111"/>
          <w:sz w:val="28"/>
          <w:sz w:val="28"/>
          <w:szCs w:val="28"/>
          <w:rtl w:val="true"/>
          <w:lang w:bidi="ar-SA"/>
        </w:rPr>
        <w:t xml:space="preserve">فالمظنون أن يكون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الفحش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جعل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السطر مع علامة النسخة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والحنان من معانيه الطرب</w:t>
      </w:r>
      <w:r>
        <w:rPr>
          <w:rFonts w:eastAsia="Amiri" w:cs="Amiri" w:ascii="Amiri" w:hAnsi="Amiri"/>
          <w:color w:val="111111"/>
          <w:sz w:val="28"/>
          <w:szCs w:val="28"/>
          <w:rtl w:val="true"/>
          <w:lang w:bidi="ar-SA"/>
        </w:rPr>
        <w:t>»</w:t>
      </w:r>
      <w:r>
        <w:rPr>
          <w:rStyle w:val="FootnoteAnchor"/>
          <w:rtl w:val="true"/>
        </w:rPr>
        <w:footnoteReference w:id="932"/>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لم أر شاهداً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الحنين من حنّ يحنّ جاء بمعنى الطرب</w:t>
      </w:r>
      <w:r>
        <w:rPr>
          <w:rStyle w:val="FootnoteAnchor"/>
          <w:rtl w:val="true"/>
        </w:rPr>
        <w:footnoteReference w:id="933"/>
      </w:r>
      <w:r>
        <w:rPr>
          <w:rFonts w:ascii="Amiri" w:hAnsi="Amiri" w:eastAsia="Amiri" w:cs="Amiri"/>
          <w:color w:val="111111"/>
          <w:sz w:val="28"/>
          <w:sz w:val="28"/>
          <w:szCs w:val="28"/>
          <w:rtl w:val="true"/>
          <w:lang w:bidi="ar-SA"/>
        </w:rPr>
        <w:t xml:space="preserve">وهو غير الحنان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الرواية موثّقة لا إشكال فيها سنداً ؛ فإنّ إسماعيل بن أبي زياد السكوني كثير الرواية ومتقنها ، وعن الشيخ في مواضع من كتبه أنّ الإمامية مجمعة على العمل بروايته، وقد صرّح المحقّق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من الثقات</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والإجماع على العمل برواياته إجماع على العمل بروايات الحسين بن يزيد النوفلي ، فإنّ رواية السكوني من غير طريقه نادرة جدّاً ، فيكون المنصرف من رواياته ما هي بطريقه مع أ نّه أيضاً ممدوح بل حسن </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851672_2142443653"/>
      <w:bookmarkStart w:id="371" w:name="_Toc127"/>
      <w:bookmarkEnd w:id="370"/>
      <w:r>
        <w:rPr>
          <w:rtl w:val="true"/>
        </w:rPr>
        <w:t>ما هو معنى الحداء ؟</w:t>
      </w:r>
      <w:bookmarkEnd w:id="37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الإشكال في دلالتها ، منشؤه الشكّ في معنى الحداء ؛ هل هو بمعنى سوق الإبل مطلقاً بأيّة وسيلة كان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حدا الإبل وبها </w:t>
      </w:r>
    </w:p>
    <w:p>
      <w:pPr>
        <w:pStyle w:val="BookText"/>
        <w:rPr/>
      </w:pPr>
      <w:r>
        <w:rPr>
          <w:rFonts w:ascii="Amiri" w:hAnsi="Amiri" w:eastAsia="Amiri" w:cs="Amiri"/>
          <w:color w:val="111111"/>
          <w:sz w:val="28"/>
          <w:sz w:val="28"/>
          <w:szCs w:val="28"/>
          <w:rtl w:val="true"/>
          <w:lang w:bidi="ar-SA"/>
        </w:rPr>
        <w:t xml:space="preserve">حدواً وحُداءً وحِداءً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زجرها وساقها</w:t>
      </w:r>
      <w:r>
        <w:rPr>
          <w:rFonts w:eastAsia="Amiri" w:cs="Amiri" w:ascii="Amiri" w:hAnsi="Amiri"/>
          <w:color w:val="111111"/>
          <w:sz w:val="28"/>
          <w:szCs w:val="28"/>
          <w:rtl w:val="true"/>
          <w:lang w:bidi="ar-SA"/>
        </w:rPr>
        <w:t>»</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آخر له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 سوقها بمطلق الصوت الأعمّ من الغناء ، كما يظهر منه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للناس حداء ، فضرب أعرابي غلامه وعضّ أصابعه ، فمشى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 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يا يَدَي ، فسارت الإبل على صوته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 ، وخلع عليه ، فهذا أصل الحداء</w:t>
      </w:r>
      <w:r>
        <w:rPr>
          <w:rFonts w:eastAsia="Amiri" w:cs="Amiri" w:ascii="Amiri" w:hAnsi="Amiri"/>
          <w:color w:val="111111"/>
          <w:sz w:val="28"/>
          <w:szCs w:val="28"/>
          <w:rtl w:val="true"/>
          <w:lang w:bidi="ar-SA"/>
        </w:rPr>
        <w:t>»</w:t>
      </w:r>
      <w:r>
        <w:rPr>
          <w:rStyle w:val="FootnoteAnchor"/>
          <w:rtl w:val="true"/>
        </w:rPr>
        <w:footnoteReference w:id="936"/>
      </w:r>
      <w:r>
        <w:rPr>
          <w:rFonts w:ascii="IRNazanin" w:hAnsi="IRNazanin" w:eastAsia="IRNazanin"/>
          <w:color w:val="111111"/>
          <w:sz w:val="28"/>
          <w:sz w:val="28"/>
          <w:szCs w:val="28"/>
          <w:rtl w:val="true"/>
          <w:lang w:bidi="fa-IR"/>
        </w:rPr>
        <w:t xml:space="preserve">انتهى ، 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مشترك بين سوق الإبل مطلقاً والتغنّي لها كما هو محتمل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 xml:space="preserve">، ففي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الإبل والغناء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في تالييه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هو سوق الإبل بالغناء ، كما هو محتمل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للمجلسي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 xml:space="preserve">وغيرها </w:t>
      </w:r>
      <w:r>
        <w:rPr>
          <w:rStyle w:val="FootnoteAnchor"/>
          <w:rtl w:val="true"/>
        </w:rPr>
        <w:footnoteReference w:id="939"/>
      </w:r>
      <w:r>
        <w:rPr>
          <w:rFonts w:ascii="Amiri" w:hAnsi="Amiri" w:eastAsia="Amiri" w:cs="Amiri"/>
          <w:color w:val="111111"/>
          <w:sz w:val="28"/>
          <w:sz w:val="28"/>
          <w:szCs w:val="28"/>
          <w:rtl w:val="true"/>
          <w:lang w:bidi="ar-SA"/>
        </w:rPr>
        <w:t xml:space="preserve">، ففي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سوق الإبل بالترنّم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سوق الإبل بالغناء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منهم تفسيره مطلقاً لا ما هو موضوع الحكم الشرعي أو مورد استثناء الفقهاء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هو مباين للغناء ، كما هو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بشهادة العرف</w:t>
      </w:r>
      <w:r>
        <w:rPr>
          <w:rStyle w:val="FootnoteAnchor"/>
          <w:rtl w:val="true"/>
        </w:rPr>
        <w:footnoteReference w:id="940"/>
      </w:r>
      <w:r>
        <w:rPr>
          <w:rFonts w:ascii="Amiri" w:hAnsi="Amiri" w:eastAsia="Amiri" w:cs="Amiri"/>
          <w:color w:val="111111"/>
          <w:sz w:val="28"/>
          <w:sz w:val="28"/>
          <w:szCs w:val="28"/>
          <w:rtl w:val="true"/>
          <w:lang w:bidi="ar-SA"/>
        </w:rPr>
        <w:t xml:space="preserve">، وكأ نّه 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9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كان عبارة عن التغنّي للإبل فتكون الرواية أخصّ مطلقاً من أدلّة التحريم ولا مانع من تقييدها لها سواء في ذلك النسخ المختلفة ؛ لأنّ كونه مطرباً من لوازم الغناء ، فلا يرجع إليه القيد ولو كان الحنان بمعنى الطرب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الغناء هو المطربية الاقتضائية والمراد بالحنان هو المطربية الفعلية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مع بعده يفيد استثناء الغناء إلاّ إذا أثّر الطرب فعلاً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 أحد معنييه التغنّي لها والآخر السوق بغير صوت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أعمّ من التغنّي ؛ بمعنى كونه إمّا مطلق سوق الإبل بصوت أو غيره، بالتغنّي أو لا، أو بمعنى سوقها بمطلق الصوت ، فتصير الرواية أعمّ من وجه من روايات التحريم ، فيأتي فيها ما تقدّم من الكلام</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عمل المعارضة تقدّم عليها روايات التحريم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 نّه على فرض الأعمّية تصير مجملة ؛ لاحتمال رجوع القيد المجمل إليه ، وإن لا يبعد ظهوره في الرجوع إلى الشعر؛ لتأخّره وكون الضمير مفرداً وعدم احتمال رجوعه إلى المتقدّم فقط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فالمتحصّل ممّا ذكرعدم استثناء الحداء من الغناء </w:t>
      </w:r>
      <w:r>
        <w:rPr>
          <w:rFonts w:eastAsia="Amiri" w:cs="Amiri" w:ascii="Amiri" w:hAnsi="Amiri"/>
          <w:color w:val="111111"/>
          <w:sz w:val="28"/>
          <w:szCs w:val="28"/>
          <w:rtl w:val="true"/>
          <w:lang w:bidi="ar-SA"/>
        </w:rPr>
        <w:t xml:space="preserve">. </w:t>
      </w:r>
      <w:bookmarkStart w:id="372" w:name="pg15158_207157"/>
    </w:p>
    <w:p>
      <w:pPr>
        <w:pStyle w:val="Heading4"/>
        <w:numPr>
          <w:ilvl w:val="3"/>
          <w:numId w:val="1"/>
        </w:numPr>
        <w:rPr/>
      </w:pPr>
      <w:bookmarkStart w:id="373" w:name="__RefHeading___Toc1851674_2142443653"/>
      <w:bookmarkStart w:id="374" w:name="_Toc128"/>
      <w:bookmarkEnd w:id="372"/>
      <w:bookmarkEnd w:id="373"/>
      <w:r>
        <w:rPr>
          <w:rtl w:val="true"/>
        </w:rPr>
        <w:t>في استثناء زفّ العرائس</w:t>
      </w:r>
      <w:bookmarkEnd w:id="374"/>
    </w:p>
    <w:p>
      <w:pPr>
        <w:pStyle w:val="BookText"/>
        <w:rPr/>
      </w:pPr>
      <w:r>
        <w:rPr>
          <w:rFonts w:ascii="Amiri" w:hAnsi="Amiri" w:eastAsia="Amiri" w:cs="Amiri"/>
          <w:color w:val="111111"/>
          <w:sz w:val="28"/>
          <w:sz w:val="28"/>
          <w:szCs w:val="28"/>
          <w:rtl w:val="true"/>
          <w:lang w:bidi="ar-SA"/>
        </w:rPr>
        <w:t xml:space="preserve">نعم ، لا شبهة في استثناء زفّ العرائس منه في الجملة ؛ لرواية أبي بصير المحكيّة بطرق عديدة صحيحة ومعتمدة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صحيحته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 المغنّية التي تزفّ العرائس ليس به بأس ، وليست بالتي يدخل عليها الرجال</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سندها من يتأمّل فيه غير أبي بصير وهو يحيى بن أبي القاسم بقرينة علي بن أبي حمزة في روايته الاُخرى</w:t>
      </w:r>
      <w:r>
        <w:rPr>
          <w:rStyle w:val="FootnoteAnchor"/>
          <w:rtl w:val="true"/>
        </w:rPr>
        <w:footnoteReference w:id="944"/>
      </w:r>
      <w:r>
        <w:rPr>
          <w:rFonts w:ascii="Amiri" w:hAnsi="Amiri" w:eastAsia="Amiri" w:cs="Amiri"/>
          <w:color w:val="111111"/>
          <w:sz w:val="28"/>
          <w:sz w:val="28"/>
          <w:szCs w:val="28"/>
          <w:rtl w:val="true"/>
          <w:lang w:bidi="ar-SA"/>
        </w:rPr>
        <w:t>؛ فإنّ الظاهر أنّ الروايات الثلاث عنه</w:t>
      </w:r>
      <w:r>
        <w:rPr>
          <w:rStyle w:val="FootnoteAnchor"/>
          <w:rtl w:val="true"/>
        </w:rPr>
        <w:footnoteReference w:id="945"/>
      </w:r>
      <w:r>
        <w:rPr>
          <w:rFonts w:ascii="Amiri" w:hAnsi="Amiri" w:eastAsia="Amiri" w:cs="Amiri"/>
          <w:color w:val="111111"/>
          <w:sz w:val="28"/>
          <w:sz w:val="28"/>
          <w:szCs w:val="28"/>
          <w:rtl w:val="true"/>
          <w:lang w:bidi="ar-SA"/>
        </w:rPr>
        <w:t xml:space="preserve">رواية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ثقة على الأظهر ، فالإشكال على سندها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الإشكال على دلالتها ؛ ضرورة أنّ حلّية الأجر ملازمة عرفاً لحلّية العمل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روايته الاُخرى المعتمدة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 السلام عن كسب المغنّيات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يدخل عليها الرجال حرام ، والتي تدع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إلى الأعراس ليس به بأس ،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يَشْتَرِى </w:t>
      </w:r>
    </w:p>
    <w:p>
      <w:pPr>
        <w:pStyle w:val="BookText"/>
        <w:rPr/>
      </w:pPr>
      <w:r>
        <w:rPr>
          <w:rFonts w:ascii="Amiri" w:hAnsi="Amiri" w:eastAsia="Amiri" w:cs="Amiri"/>
          <w:color w:val="111111"/>
          <w:sz w:val="28"/>
          <w:sz w:val="28"/>
          <w:szCs w:val="28"/>
          <w:rtl w:val="true"/>
          <w:lang w:bidi="ar-SA"/>
        </w:rPr>
        <w:t>لَهْوَ الْحَدِيثِ لِيُضِلَّ عَنْ سَبِيلِ اللّه‌ِ</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روايته الثالثة الضعيفة بحَكَم الخيّاط</w:t>
      </w:r>
      <w:r>
        <w:rPr>
          <w:rStyle w:val="FootnoteAnchor"/>
          <w:rtl w:val="true"/>
        </w:rPr>
        <w:footnoteReference w:id="947"/>
      </w: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المغنّية التي تزفّ العرائس لا بأس بكسبها</w:t>
      </w:r>
      <w:r>
        <w:rPr>
          <w:rFonts w:eastAsia="IRNazanin" w:cs="IRNazanin"/>
          <w:color w:val="111111"/>
          <w:sz w:val="28"/>
          <w:szCs w:val="28"/>
          <w:rtl w:val="true"/>
          <w:lang w:bidi="fa-IR"/>
        </w:rPr>
        <w:t>»</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في الجملة ثابت لا إشكال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تحريم الغناء بالأدلّة المتواترة ، وفيها ما لا تقبل التخصيص كما تقدّم ، بل لعلّ قبحه عقلي؛ لكونه موجباً للفجور والفسوق ، فلا يمكن تخصيصها سيّما بتلك الرواية الواحدة التي يمكن الخدشة في سندها ودلالتها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وجيهة ؛ لمنع إبائها عن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انطباق عنوان الباطل والزور عليه لا يوجب ذلك سيّما في زفّ الأعراس الذي يناسب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حرمته أشدّ من الربا ، ولا لسان أدلّته أشدّ وأغلظ من أدلّته وهي مخصّصة بموارد كالربا بين الوالد والولد، والزوج والزوجة،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ملازماً للدخول في المحرّمات والفجور والفسوق ، بل لا يتّفق في مجالس النساء إلاّ نادراً ، ولو فرض في مورد سببية له لا يحكم بالجواز ؛ لعدم إطلاق في دليل التجويز من هذه الحيثية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الظاهر اختصاص الجواز بالمغنّية لا المغنّي وبمجلس العرس المختصّ </w:t>
      </w:r>
    </w:p>
    <w:p>
      <w:pPr>
        <w:pStyle w:val="BookText"/>
        <w:rPr/>
      </w:pPr>
      <w:r>
        <w:rPr>
          <w:rFonts w:ascii="Amiri" w:hAnsi="Amiri" w:eastAsia="Amiri" w:cs="Amiri"/>
          <w:color w:val="111111"/>
          <w:sz w:val="28"/>
          <w:sz w:val="28"/>
          <w:szCs w:val="28"/>
          <w:rtl w:val="true"/>
          <w:lang w:bidi="ar-SA"/>
        </w:rPr>
        <w:t>بالنساء لا غير ، بل الأحوط الاقتصار بزفّ العرائس لا غير ؛ لأ نّه مقتضى الرواية</w:t>
      </w:r>
    </w:p>
    <w:p>
      <w:pPr>
        <w:pStyle w:val="BookText"/>
        <w:rPr/>
      </w:pPr>
      <w:r>
        <w:rPr>
          <w:rFonts w:ascii="Amiri" w:hAnsi="Amiri" w:eastAsia="Amiri" w:cs="Amiri"/>
          <w:color w:val="111111"/>
          <w:sz w:val="28"/>
          <w:sz w:val="28"/>
          <w:szCs w:val="28"/>
          <w:rtl w:val="true"/>
          <w:lang w:bidi="ar-SA"/>
        </w:rPr>
        <w:t xml:space="preserve">الاُولى والثالثة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وإن كان مفادها أعمّ لكن الظاهر عدم كونها رواية مستقلّة ، مع أنّ مفهوم غيرها أخصّ من منطوقها فيقيّد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التقييد بزفّ العرائس في مثل المقام الاحتراز عن غيره ، فالأحوط الاقتصار عليه بل لا يخلو من قوّة ، لكن لا بذلك التضييق بل لا يبعد الجواز في مقدّمات الزفّ ومؤخّراته المتداولة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يستثنى المجالس الاُخر المستقلّة في أيّام الأعراس على الأحوط 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الأحوط الاقتصار على خصوص حضور النساء ، وعدم التغنّي وأخذ الأجر مع حضور الرجال وإن كانت الروايات مشعرة بأنّ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بالتي يدخل عليها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المعهودة التي تغنّت المغنّيات للرجال مقابل مجالس الأعراس ، لكن لا يكفي الإشعار لتقييد الروايات ؛ لاحتمال أن يكون المنع لمطلق دخول الأجنبيّ ؛ لكون صوتها بنحو التغنّي عورة وإن لم نقل بأنّ كلامها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الأحوط عدم دخول المحرم أيضاً ؛ لأنّ إسماع الغناء واستماعه محرّم ولو كان الإسماع لمحرم ، وإنّما الخارج زفّ الأعراس مع عدم دخول الرجال ، ومع وجود الرجال ولو كانوا من المحارم يكون التغنّي حراماً وكذا أخذ الأجر عليه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زفّ الأعراس إلى بيت الأزواج وتجويز الغناء لذلك ملازم </w:t>
      </w:r>
      <w:bookmarkStart w:id="375" w:name="pg15158_207160"/>
    </w:p>
    <w:p>
      <w:pPr>
        <w:pStyle w:val="BookText"/>
        <w:rPr/>
      </w:pPr>
      <w:bookmarkEnd w:id="375"/>
      <w:r>
        <w:rPr>
          <w:rFonts w:ascii="Amiri" w:hAnsi="Amiri" w:eastAsia="Amiri" w:cs="Amiri"/>
          <w:color w:val="111111"/>
          <w:sz w:val="28"/>
          <w:sz w:val="28"/>
          <w:szCs w:val="28"/>
          <w:rtl w:val="true"/>
          <w:lang w:bidi="ar-SA"/>
        </w:rPr>
        <w:t xml:space="preserve">لسماع الأجانب فضلاً عن بعض المحارم ، فالتجويز للزفّ ملازم لتجويز الإسماع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مقدار الملازمة هو الإسماع الاتّفاقي للعابر ونحوه ، ولا يلزم منه جوازه للداخل لتلك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منصرفة عن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ببعيد وإن كان الأحوط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الأحوط عدم جواز أخذ الأجر للتغنّي المتّحد خارجاً مع محرّم كالتغنّي بالكذب والفحش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بأس بأخذ الأجر للغناء وإن اقترنت معه المحرّمات الخارجية ، كما لو كان مقترناً بآلات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المغنّية ضاربة لها مع تغنّيها يجوز أخذه في مقابل تغنّيها لا العمل المحرّم المقارن له </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851676_2142443653"/>
      <w:bookmarkStart w:id="377" w:name="_Toc129"/>
      <w:bookmarkEnd w:id="376"/>
      <w:r>
        <w:rPr>
          <w:rtl w:val="true"/>
        </w:rPr>
        <w:t>تنبيه</w:t>
      </w:r>
      <w:bookmarkEnd w:id="377"/>
    </w:p>
    <w:p>
      <w:pPr>
        <w:pStyle w:val="BookText"/>
        <w:rPr/>
      </w:pPr>
      <w:r>
        <w:rPr>
          <w:rFonts w:ascii="Amiri" w:hAnsi="Amiri" w:eastAsia="Amiri" w:cs="Amiri"/>
          <w:color w:val="111111"/>
          <w:sz w:val="28"/>
          <w:sz w:val="28"/>
          <w:szCs w:val="28"/>
          <w:rtl w:val="true"/>
          <w:lang w:bidi="ar-SA"/>
        </w:rPr>
        <w:t>حكم سائر الأصوات اللهوية</w:t>
      </w:r>
    </w:p>
    <w:p>
      <w:pPr>
        <w:pStyle w:val="BookText"/>
        <w:rPr/>
      </w:pPr>
      <w:r>
        <w:rPr>
          <w:rFonts w:ascii="Amiri" w:hAnsi="Amiri" w:eastAsia="Amiri" w:cs="Amiri"/>
          <w:color w:val="111111"/>
          <w:sz w:val="28"/>
          <w:sz w:val="28"/>
          <w:szCs w:val="28"/>
          <w:rtl w:val="true"/>
          <w:lang w:bidi="ar-SA"/>
        </w:rPr>
        <w:t xml:space="preserve">بناءً على ما ذكرناه في موضوع الغناء من اعتبار الحسن الذاتي والرقّة في الصوت في الجملة ، لا يدخل فيه سائر الأصوات اللهوية كالتصنيفات المصطلحة بالألحان المعهودة عند أهل المعاصي والفسّاق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تكفي الأدلّة الدالّة على حرمة الغناء بعنوانه لإثباتها لها؛ لعدم صدقه عليها ، بل لا تكون موجبة للخفّة المعهودة المعتبرة في الغناء وإن يحصل به السرور ونحوه ، ولا تصحّ دعوى إلغاء الخصوصية عرفاً كما هو ظاهر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يمكن دعوى اندراجها في قول الزور ولهو الحديث بضميمة الأخبار المفسّرة لهما بالغناء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الروايات المفسّرة أنّ الغناء مندرج</w:t>
      </w:r>
    </w:p>
    <w:p>
      <w:pPr>
        <w:pStyle w:val="BookText"/>
        <w:rPr/>
      </w:pPr>
      <w:r>
        <w:rPr>
          <w:rFonts w:ascii="IRNazanin" w:hAnsi="IRNazanin" w:eastAsia="IRNazanin"/>
          <w:color w:val="111111"/>
          <w:sz w:val="28"/>
          <w:sz w:val="28"/>
          <w:szCs w:val="28"/>
          <w:rtl w:val="true"/>
          <w:lang w:bidi="fa-IR"/>
        </w:rPr>
        <w:t xml:space="preserve">تحت عنوانهما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واحتمال الإلحاق الحكمي أو الموضوعي الراجع إلى الحكمي نتيجة بعيد جدّاً ، بل فاسد مخالف للروايات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الزور الغناء</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 xml:space="preserve">، وقوله في جواب السؤال عن قول الزور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الغناء ممّا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يَشْتَرِى </w:t>
      </w:r>
      <w:r>
        <w:rPr>
          <w:rFonts w:eastAsia="Amiri" w:cs="Amiri" w:ascii="Amiri" w:hAnsi="Amiri"/>
          <w:color w:val="111111"/>
          <w:sz w:val="28"/>
          <w:szCs w:val="28"/>
          <w:rtl w:val="true"/>
          <w:lang w:bidi="ar-SA"/>
        </w:rPr>
        <w:t>. .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وأوضح 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ممّا أوعد اللّه عليه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الروايات الظاهرة في اندراجه في مفادها ، ولا شكّ في عدم اندراج عنوانه بما هو فيه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954"/>
      </w:r>
      <w:r>
        <w:rPr>
          <w:rFonts w:ascii="Amiri" w:hAnsi="Amiri" w:eastAsia="Amiri" w:cs="Amiri"/>
          <w:color w:val="111111"/>
          <w:sz w:val="28"/>
          <w:sz w:val="28"/>
          <w:szCs w:val="28"/>
          <w:rtl w:val="true"/>
          <w:lang w:bidi="ar-SA"/>
        </w:rPr>
        <w:t xml:space="preserve">أنّ الأقرب في وجه الاندراج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إضافة القول إلى الزور </w:t>
      </w:r>
    </w:p>
    <w:p>
      <w:pPr>
        <w:pStyle w:val="BookText"/>
        <w:rPr/>
      </w:pPr>
      <w:r>
        <w:rPr>
          <w:rFonts w:ascii="Amiri" w:hAnsi="Amiri" w:eastAsia="Amiri" w:cs="Amiri"/>
          <w:color w:val="111111"/>
          <w:sz w:val="28"/>
          <w:sz w:val="28"/>
          <w:szCs w:val="28"/>
          <w:rtl w:val="true"/>
          <w:lang w:bidi="ar-SA"/>
        </w:rPr>
        <w:t>تارةً تكون باعتبار بطلان مقوله ، واُخرى باعتبار بطلان كيفية الصوت أو الصوت</w:t>
      </w:r>
    </w:p>
    <w:p>
      <w:pPr>
        <w:pStyle w:val="BookText"/>
        <w:rPr/>
      </w:pPr>
      <w:r>
        <w:rPr>
          <w:rFonts w:ascii="Amiri" w:hAnsi="Amiri" w:eastAsia="Amiri" w:cs="Amiri"/>
          <w:color w:val="111111"/>
          <w:sz w:val="28"/>
          <w:sz w:val="28"/>
          <w:szCs w:val="28"/>
          <w:rtl w:val="true"/>
          <w:lang w:bidi="ar-SA"/>
        </w:rPr>
        <w:t xml:space="preserve">بالكيفية الباطلة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قرينية الروايات لكانت الآية وكذا الآية الاُخرى ظاهرة في الاعتبار الأوّل ، لكن بعد قيام القرينة يكون مفادهما أعمّ ، فيكون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عنده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الاجتناب عن قول هو زور بمقوله أو بعارضه الذي هو صوت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فاندراج الغناء فيه من قبيل اندراج مصاديق العناوين فيها ، فالحكم متعلّق بالصوت الزور والصوت اللهوي فيندرج فيه سائر الأصوات اللهوية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أرسل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 نّه يدخل في الزور الغناء وسائر الأقوال الملهيّة</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يناقش فيه بأنّ غاية ما تدلّ الروايات اندراج الغناء في الآية ، ولم يظهر منها كيفيته ، ولا يكون الاندراج بالنحو المذكور للظهور المستند إلى الكلام ولو بمؤونة الأخبار ؛ لعدم قرينيتها لكيفية الاندراج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أن يكون ذلك بنحو من الكناية أو غيرها من أنحاء الدلالات الخفيّة التي لا يعلمها إلاّ المخاطب بالكتاب العزيز وأهل بيته الخاصّ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من الروايات أنّ اندراج الغناء في الآيتين بعنوان اللهو من حيث الصوت حتّى يشمل سائر الأصوات اللهوية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 نّه ليس نحو الاندراج بما تقدّم إلاّ مظنوناً بالظنّ الخارجي </w:t>
      </w:r>
    </w:p>
    <w:p>
      <w:pPr>
        <w:pStyle w:val="BookText"/>
        <w:rPr/>
      </w:pPr>
      <w:r>
        <w:rPr>
          <w:rFonts w:ascii="Amiri" w:hAnsi="Amiri" w:eastAsia="Amiri" w:cs="Amiri"/>
          <w:color w:val="111111"/>
          <w:sz w:val="28"/>
          <w:sz w:val="28"/>
          <w:szCs w:val="28"/>
          <w:rtl w:val="true"/>
          <w:lang w:bidi="ar-SA"/>
        </w:rPr>
        <w:t xml:space="preserve">الغير الحجّة ، لا المستند إلى الظهور ولو بقرينة ، ولم يقم دليل على نحو الاندراج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على حرمتها بما دلّ على حرمة مطلق اللهو ، كما هي ظاهر جملة من الفقهاء كالمحكيّ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Style w:val="FootnoteAnchor"/>
          <w:rtl w:val="true"/>
        </w:rPr>
        <w:footnoteReference w:id="956"/>
      </w:r>
      <w:r>
        <w:rPr>
          <w:rFonts w:ascii="Amiri" w:hAnsi="Amiri" w:eastAsia="Amiri" w:cs="Amiri"/>
          <w:color w:val="111111"/>
          <w:sz w:val="28"/>
          <w:sz w:val="28"/>
          <w:szCs w:val="28"/>
          <w:rtl w:val="true"/>
          <w:lang w:bidi="ar-SA"/>
        </w:rPr>
        <w:t xml:space="preserve">، وإن كان ظاهر جمع آخر خلافها ،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 xml:space="preserve">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 xml:space="preserve">عطف سفر الصيد على سفر المعصية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مغايرتهما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 xml:space="preserve">أيضاً عدم كونه محرّماً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سفر الطاعة واجبة كانت أو مندوباً إليها مثل الحجّ والعمرة والزيارات وما أشبه ذلك فيه التقصير بلا خلاف ، والمباح عندنا يجري مجراه في جواز التقصير ، وأمّا اللهو فلا تقصير فيه عندنا</w:t>
      </w:r>
      <w:r>
        <w:rPr>
          <w:rFonts w:eastAsia="Amiri" w:cs="Amiri" w:ascii="Amiri" w:hAnsi="Amiri"/>
          <w:color w:val="111111"/>
          <w:sz w:val="28"/>
          <w:szCs w:val="28"/>
          <w:rtl w:val="true"/>
          <w:lang w:bidi="ar-SA"/>
        </w:rPr>
        <w:t xml:space="preserve">» . </w:t>
      </w:r>
      <w:bookmarkStart w:id="378" w:name="pg15158_207164"/>
    </w:p>
    <w:p>
      <w:pPr>
        <w:pStyle w:val="Heading4"/>
        <w:numPr>
          <w:ilvl w:val="3"/>
          <w:numId w:val="1"/>
        </w:numPr>
        <w:rPr/>
      </w:pPr>
      <w:bookmarkStart w:id="379" w:name="__RefHeading___Toc1851678_2142443653"/>
      <w:bookmarkStart w:id="380" w:name="_Toc130"/>
      <w:bookmarkEnd w:id="378"/>
      <w:bookmarkEnd w:id="379"/>
      <w:r>
        <w:rPr>
          <w:rtl w:val="true"/>
        </w:rPr>
        <w:t>ما دلّت على حرمة اللهو من الآيات والروايات</w:t>
      </w:r>
      <w:bookmarkEnd w:id="380"/>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يستدلّ عليها برواية حمّاد بن عثمان ، عن أبي عبداللّه علیه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باغي الصيد ، والعادي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 ليس لهما أن يأكلا الميتة إذا اضطرّا إليها ، هي حرام عليهما ، ليس هي عليهما كما هي على المسلمين ، وليس لهما أن يقصرا في الصلاة</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منها ما روي عن عبدالعظيم الحسني في أطعمة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 والباغي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يبغي الصيد بطراً ولهواً</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أنّ المتفاهم عرفاً من تحريم الميتة ونحوها على من خرج لسفر الصيد ، لدى الاضطرار حتّى عند خوف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بعدم جواز أكله حتّى يموت ، أو قلنا بوجوب حفظ نفسه بأكل الميتة وهي محرّمة عليه ويعاقب على أكلها كالمتوسّط في أرض مغصوبة على بعض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حرمة السفر صارت موجبة لذلك ، وأنّ الترخيص لدى الاضطرار منّة من المولى على عبيده ، ومع </w:t>
      </w:r>
    </w:p>
    <w:p>
      <w:pPr>
        <w:pStyle w:val="BookText"/>
        <w:rPr/>
      </w:pPr>
      <w:r>
        <w:rPr>
          <w:rFonts w:ascii="Amiri" w:hAnsi="Amiri" w:eastAsia="Amiri" w:cs="Amiri"/>
          <w:color w:val="111111"/>
          <w:sz w:val="28"/>
          <w:sz w:val="28"/>
          <w:szCs w:val="28"/>
          <w:rtl w:val="true"/>
          <w:lang w:bidi="ar-SA"/>
        </w:rPr>
        <w:t xml:space="preserve">حصول الاضطرار بسبب أمر محرّم وبسبب طغيان العبد على مولاه منعه عن ذلك التشريف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فبمناسبة الحكم والموضوع عرفاً أنّ المنع عند الاضطرار وهذا التضييق والتحريج إنّما هو لارتكاب العبد قبيحاً ومحرّماً ، ولو كان السفر مباحاً رخّصه اللّه تعالى وذهب العبد لترخيصه فلا يناسب المنع عنها عند الاضطرار لسدّ رمقه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مقارنته للسارق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ذكر الباغي والعادي مثال لمطلق العاصي المتجاوز الطاغي ، بل عنوانهما أعمّ لكلّ ذلك ، وأنّ التفسير لبيان بعض المصاديق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فسّر الباغي بالخارج على الإمام العادل أيضاً في مرسلة البزنطي عن أبي عبداللّه علیه السلام</w:t>
      </w:r>
      <w:r>
        <w:rPr>
          <w:rStyle w:val="FootnoteAnchor"/>
          <w:rtl w:val="true"/>
        </w:rPr>
        <w:footnoteReference w:id="967"/>
      </w:r>
      <w:r>
        <w:rPr>
          <w:rFonts w:ascii="Amiri" w:hAnsi="Amiri" w:eastAsia="Amiri" w:cs="Amiri"/>
          <w:color w:val="111111"/>
          <w:sz w:val="28"/>
          <w:sz w:val="28"/>
          <w:szCs w:val="28"/>
          <w:rtl w:val="true"/>
          <w:lang w:bidi="ar-SA"/>
        </w:rPr>
        <w:t>، وفسّر العادي بالمعصية طريق المحقّين</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تفسير الإمام بالقوّال بالباطل في نبوّة من ليس بنبي وإمامة من ليس بإمام</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تفسير العيّاشي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 والعادي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الغاصب</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ويشهد له أنّ الآية الكريمة نزلت في البقرة</w:t>
      </w:r>
      <w:r>
        <w:rPr>
          <w:rStyle w:val="FootnoteAnchor"/>
          <w:rtl w:val="true"/>
        </w:rPr>
        <w:footnoteReference w:id="971"/>
      </w:r>
      <w:r>
        <w:rPr>
          <w:rFonts w:ascii="IRNazanin" w:hAnsi="IRNazanin" w:eastAsia="IRNazanin"/>
          <w:color w:val="111111"/>
          <w:sz w:val="28"/>
          <w:sz w:val="28"/>
          <w:szCs w:val="28"/>
          <w:rtl w:val="true"/>
          <w:lang w:bidi="fa-IR"/>
        </w:rPr>
        <w:t>والأنعام</w:t>
      </w:r>
      <w:r>
        <w:rPr>
          <w:rStyle w:val="FootnoteAnchor"/>
          <w:rtl w:val="true"/>
        </w:rPr>
        <w:footnoteReference w:id="972"/>
      </w:r>
      <w:r>
        <w:rPr>
          <w:rFonts w:ascii="IRNazanin" w:hAnsi="IRNazanin" w:eastAsia="IRNazanin"/>
          <w:color w:val="111111"/>
          <w:sz w:val="28"/>
          <w:sz w:val="28"/>
          <w:szCs w:val="28"/>
          <w:rtl w:val="true"/>
          <w:lang w:bidi="fa-IR"/>
        </w:rPr>
        <w:t>والنحل</w:t>
      </w:r>
      <w:r>
        <w:rPr>
          <w:rStyle w:val="FootnoteAnchor"/>
          <w:rtl w:val="true"/>
        </w:rPr>
        <w:footnoteReference w:id="973"/>
      </w:r>
      <w:r>
        <w:rPr>
          <w:rFonts w:ascii="Amiri" w:hAnsi="Amiri" w:eastAsia="Amiri" w:cs="Amiri"/>
          <w:color w:val="111111"/>
          <w:sz w:val="28"/>
          <w:sz w:val="28"/>
          <w:szCs w:val="28"/>
          <w:rtl w:val="true"/>
          <w:lang w:bidi="ar-SA"/>
        </w:rPr>
        <w:t xml:space="preserve">بمضمون واحد ، وفي 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فِى مَخْمَصَةٍ غَيْرَ مُتَجَانِفٍ لاِءِثْمٍ فَإِنَّ اللّه‌َ غَفُورٌ رَحِيمٌ</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نظر في الآيات الأربع لا يشكّ في أ نّها بصدد بيان حكم واحد ويكون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بَاغٍ وَلاَ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مُتَجَانِفٍ لاِءِثْمٍ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غير متمايل له ، وتكون الآية الاُولى بصدد تفصيل ما أجمل في الأخيرة أو ذكر مصاديقها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مجموعها أنّ الترخيص بما أ نّه للامتنان مقصور على من لم يكن اضطراره بسبب البغي والتمايل إلى الإثم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والخارج على الإمام علیه السلام اضطرّه إليه تمايله إلى الإثم المنتهي إلى تحقّقه ، والخارج إلى التصيّد كذلك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مُتَجَانِفٍ لاِءِثْمٍ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الميل إلى أكل الميتة واستحلالها ، وحمل الحال على المؤكّدة بعيد عن ظاهر الكلام وعن ظاهر سائر الآيات الموافقة لها في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ذكرناه حرمة الخروج إلى الصيد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فيضمّ إلى ذلك ما دلّت على أن ليس التقصير في سفر الصيد لكونه مسير </w:t>
      </w:r>
    </w:p>
    <w:p>
      <w:pPr>
        <w:pStyle w:val="BookText"/>
        <w:rPr/>
      </w:pPr>
      <w:r>
        <w:rPr>
          <w:rFonts w:ascii="IRNazanin" w:hAnsi="IRNazanin" w:eastAsia="IRNazanin"/>
          <w:color w:val="111111"/>
          <w:sz w:val="28"/>
          <w:sz w:val="28"/>
          <w:szCs w:val="28"/>
          <w:rtl w:val="true"/>
          <w:lang w:bidi="fa-IR"/>
        </w:rPr>
        <w:t xml:space="preserve">باطل وكونه لهواً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كرواية ابن بكير المعتمدة أو الصحيحة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يتصيّد اليوم واليومين والثلاثة أيقصّر الصلاة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إلاّ أن يشيّع الرجل أخاه في الدين ، فإنّ التصيّد مسير باطل لا تقصر الصلاة فيه</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زرارة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عمّن يخرج عن أهله بالصقورة والبزاة والكلاب يتنزّه الليلة والليلتين والثلاثة هل يقصّر من صلاته أم لا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خرج في لهو ، لا يقصِّر </w:t>
      </w:r>
      <w:r>
        <w:rPr>
          <w:rFonts w:eastAsia="Amiri" w:cs="Amiri" w:ascii="Amiri" w:hAnsi="Amiri"/>
          <w:color w:val="111111"/>
          <w:sz w:val="28"/>
          <w:szCs w:val="28"/>
          <w:rtl w:val="true"/>
          <w:lang w:bidi="ar-SA"/>
        </w:rPr>
        <w:t>. . .»</w:t>
      </w:r>
      <w:r>
        <w:rPr>
          <w:rStyle w:val="FootnoteAnchor"/>
          <w:rtl w:val="true"/>
        </w:rPr>
        <w:footnoteReference w:id="976"/>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فينتج أنّ اللهو والباطل 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رواية حمّاد بن عثمان المفسِّرة للآية حرمة سفر الصيد بالتقريب المتقدّم ، ومن الروايات المعلّلة لعدم التقصير بأنّ التصيّد مسير باطل وأ نّه خرج للّهو ، أنّ اللهو محرّم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إثبات حرمة سفره برواية حمّاد مشكل ؛ لضعفها بمعلّى بن محمّد ، فإنّه مضطرب الحديث والمذهب بنصّ النجاشي</w:t>
      </w:r>
      <w:r>
        <w:rPr>
          <w:rStyle w:val="FootnoteAnchor"/>
          <w:rtl w:val="true"/>
        </w:rPr>
        <w:footnoteReference w:id="977"/>
      </w:r>
      <w:r>
        <w:rPr>
          <w:rFonts w:ascii="Amiri" w:hAnsi="Amiri" w:eastAsia="Amiri" w:cs="Amiri"/>
          <w:color w:val="111111"/>
          <w:sz w:val="28"/>
          <w:sz w:val="28"/>
          <w:szCs w:val="28"/>
          <w:rtl w:val="true"/>
          <w:lang w:bidi="ar-SA"/>
        </w:rPr>
        <w:t>والعلاّمة</w:t>
      </w:r>
      <w:r>
        <w:rPr>
          <w:rStyle w:val="FootnoteAnchor"/>
          <w:rtl w:val="true"/>
        </w:rPr>
        <w:footnoteReference w:id="978"/>
      </w:r>
      <w:r>
        <w:rPr>
          <w:rFonts w:ascii="Amiri" w:hAnsi="Amiri" w:eastAsia="Amiri" w:cs="Amiri"/>
          <w:color w:val="111111"/>
          <w:sz w:val="28"/>
          <w:sz w:val="28"/>
          <w:szCs w:val="28"/>
          <w:rtl w:val="true"/>
          <w:lang w:bidi="ar-SA"/>
        </w:rPr>
        <w:t>، ويعرف حديثه وينكر عن ابن الغضائري</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قريبة ، لا يوجب الاعتماد عليها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ومجرّد كونه شيخ الإجازة لا يكفي في الاعتماد ؛ إذ لا دليل مقنع عليه مع عدم</w:t>
      </w:r>
    </w:p>
    <w:p>
      <w:pPr>
        <w:pStyle w:val="BookText"/>
        <w:rPr/>
      </w:pPr>
      <w:r>
        <w:rPr>
          <w:rFonts w:ascii="Amiri" w:hAnsi="Amiri" w:eastAsia="Amiri" w:cs="Amiri"/>
          <w:color w:val="111111"/>
          <w:sz w:val="28"/>
          <w:sz w:val="28"/>
          <w:szCs w:val="28"/>
          <w:rtl w:val="true"/>
          <w:lang w:bidi="ar-SA"/>
        </w:rPr>
        <w:t xml:space="preserve">ثبوت كونه شيخاً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إمكان المناقشة في بعض ما تقدّم من استفادة الحرمة من الآيات وإمكان إرجاع سائر الآيات إلى الأخيرة ، وحملها على الاحتمال المتقدّم كما حملها عليه المفسّرون</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في تفسير القرآن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الاتّفاق ظاهراً على تفسير المتجانف للإثم بالميل إلى أكل</w:t>
      </w:r>
    </w:p>
    <w:p>
      <w:pPr>
        <w:pStyle w:val="BookText"/>
        <w:rPr/>
      </w:pPr>
      <w:r>
        <w:rPr>
          <w:rFonts w:ascii="Amiri" w:hAnsi="Amiri" w:eastAsia="Amiri" w:cs="Amiri"/>
          <w:color w:val="111111"/>
          <w:sz w:val="28"/>
          <w:sz w:val="28"/>
          <w:szCs w:val="28"/>
          <w:rtl w:val="true"/>
          <w:lang w:bidi="ar-SA"/>
        </w:rPr>
        <w:t>الميتة استحلالاً ؛ أي اقترافاً بالذنب</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ذلك كإمكان المناقشة في استفادة حرمة مطلق اللهو بنحو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مسير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خرج 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دخالة خصوصيات سفر الصيد اللهوي في الحكم كالخروج مع البزاة والصقورة ونحوهما ، فإلغاء الخصوصية مشكل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فإثبات حرمة اللهو مطلقاً بما ذكر مشكل أو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عليها بوجه آخر وهو إثبات كون اللهو باطلاً؛ إمّا باندراجه فيه أو مساوقته له ، فيجعل صغرى لكبرى حرمة كلّ باطل ، فينتج حرمة مطلق اللهو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فتدلّ عليها رواية عبداللّه بن المغيرة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في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لهو المؤمن باطل إلاّ في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تأديبه </w:t>
      </w:r>
    </w:p>
    <w:p>
      <w:pPr>
        <w:pStyle w:val="BookText"/>
        <w:rPr/>
      </w:pPr>
      <w:r>
        <w:rPr>
          <w:rFonts w:ascii="Amiri" w:hAnsi="Amiri" w:eastAsia="Amiri" w:cs="Amiri"/>
          <w:color w:val="111111"/>
          <w:sz w:val="28"/>
          <w:sz w:val="28"/>
          <w:szCs w:val="28"/>
          <w:rtl w:val="true"/>
          <w:lang w:bidi="ar-SA"/>
        </w:rPr>
        <w:t>الفرس ، ورميه عن قوسه ، وملاعبته امرأته ؛ فإنّهنّ حقّ</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كلّ لهو باطل ما عدا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أمثال المستثنى ممّا لها غاية عقلائية داخلة في اللهو ، وأنّ اللهو الحقّ منحصر في 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عبد الأعلى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 السلام عن الغناء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يزعمون أنّ رسول اللّه‌ صلی الله علیه و آله وسلم  رخّص في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جئناكم جئناكم ، حيّونا حيّونا نحيّكم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السَّمَاءَ </w:t>
      </w:r>
      <w:r>
        <w:rPr>
          <w:rFonts w:eastAsia="Amiri" w:cs="Amiri" w:ascii="Amiri" w:hAnsi="Amiri"/>
          <w:color w:val="111111"/>
          <w:sz w:val="28"/>
          <w:szCs w:val="28"/>
          <w:rtl w:val="true"/>
          <w:lang w:bidi="ar-SA"/>
        </w:rPr>
        <w:t>. .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بتقريب أنّ أبا عبداللّه علیه السلام استدلّ على بطلان زعمهم بالآيات الكريمة ، ولا يتمّ الاستدلال إلاّ باندراج الغناء في اللهو واندراج اللهو في الباطل الذي أزهقه اللّه بالحقّ ودمغه ، فلو كان اللهو مرخّصاً فيه وكان حقّاً ، أو كان على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رخّص فيه لم ينتج المطلوب ، فلا بدّ في تمامية الاستدلال أن يكون كلّ غناء لهواً وكلّ لهو باطلاً لينتج أنّ كلّ غناء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جعل النتيجة صغرى لكبرى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باطل مزهق مدموغ ممنوع ، فينتج كلّ غناء ممنوع بحكم اللّه تعالى فأنتج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كيف رخّص رسول اللّه‌ صلی الله علیه و آله وسلم ما منعه تعالى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منه مساوقة اللهو للباطل ، أو اندراجه فيه ، كما ظهرت كيفية دلالتها على حرمة الباطل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محمّد بن أبي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مستهتراً بالسماع ويشرب 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الرضا علیه السلام عن السماع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لأهل الحجاز فيه رأي وهو في حيّز الباطل واللهو ، أما سمعت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مَرُّوا بِاللَّغْوِ مَرُّوا كِرَاماً</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وظاهرها أنّ السماع منطبق عليه العناوين الثلاثة وإن لم يظهر منها مساوقة العناوين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تخلو من إشعار على مساوقة الباطل واللهو ، كما تشعر بها الروايات المتقدّمة التي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التصيّد مسير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خرج في لهو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والعمدة في الباب موثّقة عبد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فتدلّ عليها الموثّقة بالتقريب المتقدّم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وصحيحة الريّان بن الصلت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يوماً بخراسان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 xml:space="preserve">العبّاسي ذكر عنك أ نّك ترخّص في الغناء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 الزنديق ، ما هكذا قلت له ؛ سألني عن الغناء فقلت إنّ رجلاً أتى أبا جعفر علیه السلام فسأله عن الغناء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 إذا ميّز اللّه بين الحقّ والباطل فأين يكون الغناء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w:t>
      </w:r>
      <w:r>
        <w:rPr>
          <w:rStyle w:val="FootnoteAnchor"/>
          <w:rtl w:val="true"/>
        </w:rPr>
        <w:footnoteReference w:id="986"/>
      </w:r>
      <w:r>
        <w:rPr>
          <w:rFonts w:ascii="IRNazanin" w:hAnsi="IRNazanin" w:eastAsia="IRNazanin"/>
          <w:color w:val="111111"/>
          <w:sz w:val="28"/>
          <w:sz w:val="28"/>
          <w:szCs w:val="28"/>
          <w:rtl w:val="true"/>
          <w:lang w:bidi="fa-IR"/>
        </w:rPr>
        <w:t xml:space="preserve">وجه دلالتها على حرمة الغناء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ذيلها على أنّ حرمة الباطل كانت مفروغاً عنها ، وإنّما ألزم أبو جعفر علیه السلام الرجل السائل بأنّ الغناء من الباطل </w:t>
      </w:r>
    </w:p>
    <w:p>
      <w:pPr>
        <w:pStyle w:val="BookText"/>
        <w:rPr/>
      </w:pPr>
      <w:r>
        <w:rPr>
          <w:rFonts w:ascii="Amiri" w:hAnsi="Amiri" w:eastAsia="Amiri" w:cs="Amiri"/>
          <w:color w:val="111111"/>
          <w:sz w:val="28"/>
          <w:sz w:val="28"/>
          <w:szCs w:val="28"/>
          <w:rtl w:val="true"/>
          <w:lang w:bidi="ar-SA"/>
        </w:rPr>
        <w:t>فيكون حراماً ؛ إذ لا شبهة في أنّ الرجل كان سؤاله عن جواز الغناء وعدمه ، فإنّ</w:t>
      </w:r>
    </w:p>
    <w:p>
      <w:pPr>
        <w:pStyle w:val="BookText"/>
        <w:rPr/>
      </w:pPr>
      <w:r>
        <w:rPr>
          <w:rFonts w:ascii="Amiri" w:hAnsi="Amiri" w:eastAsia="Amiri" w:cs="Amiri"/>
          <w:color w:val="111111"/>
          <w:sz w:val="28"/>
          <w:sz w:val="28"/>
          <w:szCs w:val="28"/>
          <w:rtl w:val="true"/>
          <w:lang w:bidi="ar-SA"/>
        </w:rPr>
        <w:t>جوازه كان معروفاً عند العامّة كما تقدّم</w:t>
      </w:r>
      <w:r>
        <w:rPr>
          <w:rStyle w:val="FootnoteAnchor"/>
          <w:rtl w:val="true"/>
        </w:rPr>
        <w:footnoteReference w:id="987"/>
      </w:r>
      <w:r>
        <w:rPr>
          <w:rFonts w:ascii="Amiri" w:hAnsi="Amiri" w:eastAsia="Amiri" w:cs="Amiri"/>
          <w:color w:val="111111"/>
          <w:sz w:val="28"/>
          <w:sz w:val="28"/>
          <w:szCs w:val="28"/>
          <w:rtl w:val="true"/>
          <w:lang w:bidi="ar-SA"/>
        </w:rPr>
        <w:t xml:space="preserve">، فصار موجباً للشبهة ، فأجاب بعدمه مستدلاًّ بأ نّه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عليها أيضاً جملة من الروايات الدالّة على أنّ الشطرنج وغيره من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كموثّقة زرارة عن أبي عبداللّه علیه السلام أ نّه سأل عن الشطرنج ، وعن لعبة شبيب التي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لعبة الأمير ، وعن لعبة الثلاث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أرأيتك إذا ميّز اللّه بين الحقّ والباطل مع أيّهما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الباطل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خير فيه</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ريب في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الحرمة ؛ لقيام الضرورة على حرمة الشطرنج والقمار بأقسامه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ومرسلة يعقوب بن يزيد 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الشطرنج من الباطل</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يكتسب به ، الباب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تلك الطائفة أنّ الباطل معلوم الحرمة ولذا كان في مقام بيان حرمة المذكورات اكتفى باندراجها فيه، كما تقدّم في رواية الريّان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حكمت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لكن يمكن المناقشة فيما تقدّم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الاستشهاد بالآيات لا يكون من قبيل الاستدلال المنطقي والاستنتاج من صغرى وكبرى في مقابل الخصم الغير المعتقد بإمامته ؛ للزوم كون الاستدلال حينئذٍ بالظاهر المتفاهم عرفاً حتّى يجاب به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الظاهر من الآية الاُولى المستشهد بها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تعالى لم يخلق شيئاً لعباً بل لغاية بما يليق بذاته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تعالى لم يتّخذ اللهو ، وقد فسِّر بالمرأة والولد والصاحب</w:t>
      </w:r>
      <w:r>
        <w:rPr>
          <w:rStyle w:val="FootnoteAnchor"/>
          <w:rtl w:val="true"/>
        </w:rPr>
        <w:footnoteReference w:id="990"/>
      </w:r>
      <w:r>
        <w:rPr>
          <w:rFonts w:ascii="Amiri" w:hAnsi="Amiri" w:eastAsia="Amiri" w:cs="Amiri"/>
          <w:color w:val="111111"/>
          <w:sz w:val="28"/>
          <w:sz w:val="28"/>
          <w:szCs w:val="28"/>
          <w:rtl w:val="true"/>
          <w:lang w:bidi="ar-SA"/>
        </w:rPr>
        <w:t>، ولو يراد أعمّ منها يكون المعنى أ نّه لم يتّخذ مطلق اللهو ، وبمناسبة السابقة أ نّه</w:t>
      </w:r>
    </w:p>
    <w:p>
      <w:pPr>
        <w:pStyle w:val="BookText"/>
        <w:rPr/>
      </w:pPr>
      <w:r>
        <w:rPr>
          <w:rFonts w:ascii="Amiri" w:hAnsi="Amiri" w:eastAsia="Amiri" w:cs="Amiri"/>
          <w:color w:val="111111"/>
          <w:sz w:val="28"/>
          <w:sz w:val="28"/>
          <w:szCs w:val="28"/>
          <w:rtl w:val="true"/>
          <w:lang w:bidi="ar-SA"/>
        </w:rPr>
        <w:t xml:space="preserve">تعالى غير لاهٍ كما أ نّه غير لاعب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تعالى مضافاً إلى تنزّهه عمّا ذكر يجعل الحقّ غالباً وقاهراً</w:t>
      </w:r>
    </w:p>
    <w:p>
      <w:pPr>
        <w:pStyle w:val="BookText"/>
        <w:rPr/>
      </w:pPr>
      <w:r>
        <w:rPr>
          <w:rFonts w:ascii="Amiri" w:hAnsi="Amiri" w:eastAsia="Amiri" w:cs="Amiri"/>
          <w:color w:val="111111"/>
          <w:sz w:val="28"/>
          <w:sz w:val="28"/>
          <w:szCs w:val="28"/>
          <w:rtl w:val="true"/>
          <w:lang w:bidi="ar-SA"/>
        </w:rPr>
        <w:t xml:space="preserve">على الباطل بإقامة البيّنة عليه كما فسّرت بها ، ومن يكون كذلك لا يكون لاهياً ، وهو وجه المناسبة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عبد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 باطل يقوم بإزاء الحقّ إلاّ غلب الحقّ الباطل ،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بِالْحَقِّ عَلَى الْبَاطِلِ فَيَدْمَغُهُ فَإِذَا هُوَ زَاهِقٌ</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يبعد أن تكون الرواية غير مرفوعة ؛ لأنّ يونس لاقى أبا عبداللّه علیه السلام</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يرو عنه وإن لاقاه</w:t>
      </w:r>
      <w:r>
        <w:rPr>
          <w:rFonts w:eastAsia="Amiri" w:cs="Amiri" w:ascii="Amiri" w:hAnsi="Amiri"/>
          <w:color w:val="111111"/>
          <w:sz w:val="28"/>
          <w:szCs w:val="28"/>
          <w:rtl w:val="true"/>
          <w:lang w:bidi="ar-SA"/>
        </w:rPr>
        <w:t>»</w:t>
      </w:r>
      <w:r>
        <w:rPr>
          <w:rStyle w:val="FootnoteAnchor"/>
          <w:rtl w:val="true"/>
        </w:rPr>
        <w:footnoteReference w:id="992"/>
      </w:r>
      <w:r>
        <w:rPr>
          <w:rFonts w:ascii="IRNazanin" w:hAnsi="IRNazanin" w:eastAsia="IRNazanin"/>
          <w:color w:val="111111"/>
          <w:sz w:val="28"/>
          <w:sz w:val="28"/>
          <w:szCs w:val="28"/>
          <w:rtl w:val="true"/>
          <w:lang w:bidi="fa-IR"/>
        </w:rPr>
        <w:t xml:space="preserve">، لكن مع ورود ما هو ظاهر في روايته عنه علیه السلام لا حجّة على كونها مرفوعة ، ولعلّ النجاشي لم يطّلع على </w:t>
      </w:r>
    </w:p>
    <w:p>
      <w:pPr>
        <w:pStyle w:val="BookText"/>
        <w:rPr/>
      </w:pPr>
      <w:r>
        <w:rPr>
          <w:rFonts w:ascii="IRNazanin" w:hAnsi="IRNazanin" w:eastAsia="IRNazanin"/>
          <w:color w:val="111111"/>
          <w:sz w:val="28"/>
          <w:sz w:val="28"/>
          <w:szCs w:val="28"/>
          <w:rtl w:val="true"/>
          <w:lang w:bidi="fa-IR"/>
        </w:rPr>
        <w:t>روايته عنه لندرتها ، كما أنّ ظاهر النجاشي أ نّه رأى أبا عبداللّه علیه السلام مرّة واحدة بين الصفا والمروة</w:t>
      </w:r>
      <w:r>
        <w:rPr>
          <w:rStyle w:val="FootnoteAnchor"/>
          <w:rtl w:val="true"/>
        </w:rPr>
        <w:footnoteReference w:id="993"/>
      </w:r>
      <w:r>
        <w:rPr>
          <w:rFonts w:ascii="Amiri" w:hAnsi="Amiri" w:eastAsia="Amiri" w:cs="Amiri"/>
          <w:color w:val="111111"/>
          <w:sz w:val="28"/>
          <w:sz w:val="28"/>
          <w:szCs w:val="28"/>
          <w:rtl w:val="true"/>
          <w:lang w:bidi="ar-SA"/>
        </w:rPr>
        <w:t xml:space="preserve">مع أ نّه في رواية العبيدي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عبد الرحمان</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عبداللّه علیه السلام يصلّي في الروضة بين القبر والمنبر ولم يمكنني أن أسأله عن شيء</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دلالة فيها أيضاً أ نّه لم يرو عنه مطلقاً ، ولعلّ مستند النجاشي على عدم</w:t>
      </w:r>
    </w:p>
    <w:p>
      <w:pPr>
        <w:pStyle w:val="BookText"/>
        <w:rPr/>
      </w:pPr>
      <w:r>
        <w:rPr>
          <w:rFonts w:ascii="Amiri" w:hAnsi="Amiri" w:eastAsia="Amiri" w:cs="Amiri"/>
          <w:color w:val="111111"/>
          <w:sz w:val="28"/>
          <w:sz w:val="28"/>
          <w:szCs w:val="28"/>
          <w:rtl w:val="true"/>
          <w:lang w:bidi="ar-SA"/>
        </w:rPr>
        <w:t xml:space="preserve">روايته قول البرقي في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أيّوب بن الحرّ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أيّوب ، ما من أحد إلاّ وقد يرد عليه الحقّ حتّى يصدع قلْبه ، قَبِلَه أم تركه ، وذلك</w:t>
      </w:r>
    </w:p>
    <w:p>
      <w:pPr>
        <w:pStyle w:val="BookText"/>
        <w:rPr/>
      </w:pPr>
      <w:r>
        <w:rPr>
          <w:rFonts w:ascii="Amiri" w:hAnsi="Amiri" w:eastAsia="Amiri" w:cs="Amiri"/>
          <w:color w:val="111111"/>
          <w:sz w:val="28"/>
          <w:sz w:val="28"/>
          <w:szCs w:val="28"/>
          <w:rtl w:val="true"/>
          <w:lang w:bidi="ar-SA"/>
        </w:rPr>
        <w:t xml:space="preserve">قول اللّه عزّ وجلّ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نَقْذِفُ </w:t>
      </w:r>
      <w:r>
        <w:rPr>
          <w:rFonts w:eastAsia="Amiri" w:cs="Amiri" w:ascii="Amiri" w:hAnsi="Amiri"/>
          <w:color w:val="111111"/>
          <w:sz w:val="28"/>
          <w:szCs w:val="28"/>
          <w:rtl w:val="true"/>
          <w:lang w:bidi="ar-SA"/>
        </w:rPr>
        <w:t>. .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أنّ الآيات الثلاث إخبار عن تنزّهه تعالى عن اللعب واللهو وأ نّه تعالى يقذف الحقّ والحجج الدالّة عليه على الباطل فيدمغه ، فلا يستفاد منها بحسب ظاهرها حرمة الغناء ولا اللهو والباطل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اللعب واللهو والباطل عناوين مختلفة لعلّ بينها عموماً من وجه ومعه لا يمكن الاستنتاج القياسي ، كما لا يخفى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يمكن أن يكون الاستشهاد لمجرّد مناسبة بين تنزيه اللّه تعالى عن عمل اللهو والباطل وتنزيه رسول اللّه‌ صلی الله علیه و آله وسلم  عن ترخيص الغناء ، فلا يصحّ </w:t>
      </w:r>
    </w:p>
    <w:p>
      <w:pPr>
        <w:pStyle w:val="BookText"/>
        <w:rPr/>
      </w:pPr>
      <w:r>
        <w:rPr>
          <w:rFonts w:ascii="Amiri" w:hAnsi="Amiri" w:eastAsia="Amiri" w:cs="Amiri"/>
          <w:color w:val="111111"/>
          <w:sz w:val="28"/>
          <w:sz w:val="28"/>
          <w:szCs w:val="28"/>
          <w:rtl w:val="true"/>
          <w:lang w:bidi="ar-SA"/>
        </w:rPr>
        <w:t xml:space="preserve">الاستدلال بها على حرمة مطلق اللهو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فيها إشعار على عدم ترخيصه مطلقه ، أو أنّ الغناء غير مرخّص فيه لكونه لهواً ، لكنّه ليس بحيث يمكن الاستناد إليه على حرمة مطلقه ؛ لاحتمال أن يراد بها أنّ الذي يبطل الباطل لا يرخّص الغناء وما هو بمنزلته ، وليس كلّ لهو وباطل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ابن المغيرة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لهو المؤمن باطل </w:t>
      </w:r>
      <w:r>
        <w:rPr>
          <w:rFonts w:eastAsia="Amiri" w:cs="Amiri" w:ascii="Amiri" w:hAnsi="Amiri"/>
          <w:color w:val="111111"/>
          <w:sz w:val="28"/>
          <w:szCs w:val="28"/>
          <w:rtl w:val="true"/>
          <w:lang w:bidi="ar-SA"/>
        </w:rPr>
        <w:t>. . .»</w:t>
      </w:r>
      <w:r>
        <w:rPr>
          <w:rStyle w:val="FootnoteAnchor"/>
          <w:rtl w:val="true"/>
        </w:rPr>
        <w:footnoteReference w:id="997"/>
      </w:r>
      <w:r>
        <w:rPr>
          <w:rFonts w:ascii="Amiri" w:hAnsi="Amiri" w:eastAsia="Amiri" w:cs="Amiri"/>
          <w:color w:val="111111"/>
          <w:sz w:val="28"/>
          <w:sz w:val="28"/>
          <w:szCs w:val="28"/>
          <w:rtl w:val="true"/>
          <w:lang w:bidi="ar-SA"/>
        </w:rPr>
        <w:t xml:space="preserve">، فهي مع الغضّ عن سندها من أدلّ الدليل على أنّ مطلق الباطل ليس بحرام ؛ لأ نّها دلّت بواسطة استثناء المذكورات على أنّ ما يترتّب عليها الأغراض العقلائية كتأديب الفرس لهو باطل ما سوى الثلاثة ، والضرورة قائمة بعدم حرمة أمثالها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بدّ من حملها على أنّ كلّ لهو المؤمن باطل حكماً ، وإلاّ فما له غاية عقلائية ليس بباطل موضوعاً ولا يمكن الحكم بالحرمة؛ لما عرفت ، فيكشف منها أنّ الباطل منه ما يكون محرّماً ، ومنه غير محرّم بل مكروه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ذكرناه من دلالة الروايات على مفروغية حرمة الباطل ولهذا استشهد لحرمة الشطرنج وغيره من أنحاء القمار والغناء بكونها باطلاً ، فبعد فرض التسليم لا بدّ من حملها على معهودية حرمة قسم خاصّ من الباطل ، وإلاّ فمطلقه لم يكن معهوداً حرمته بل كثير منه معهود حلّيته بلا شبهة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احتمال أن تكون الروايات الواردة في أنّ الشطرنج والسدَّر </w:t>
      </w:r>
    </w:p>
    <w:p>
      <w:pPr>
        <w:pStyle w:val="BookText"/>
        <w:rPr/>
      </w:pPr>
      <w:r>
        <w:rPr>
          <w:rFonts w:ascii="IRNazanin" w:hAnsi="IRNazanin" w:eastAsia="IRNazanin"/>
          <w:color w:val="111111"/>
          <w:sz w:val="28"/>
          <w:sz w:val="28"/>
          <w:szCs w:val="28"/>
          <w:rtl w:val="true"/>
          <w:lang w:bidi="fa-IR"/>
        </w:rPr>
        <w:t>ونحوهما باطل</w:t>
      </w:r>
      <w:r>
        <w:rPr>
          <w:rStyle w:val="FootnoteAnchor"/>
          <w:rtl w:val="true"/>
        </w:rPr>
        <w:footnoteReference w:id="998"/>
      </w:r>
      <w:r>
        <w:rPr>
          <w:rFonts w:ascii="Amiri" w:hAnsi="Amiri" w:eastAsia="Amiri" w:cs="Amiri"/>
          <w:color w:val="111111"/>
          <w:sz w:val="28"/>
          <w:sz w:val="28"/>
          <w:szCs w:val="28"/>
          <w:rtl w:val="true"/>
          <w:lang w:bidi="ar-SA"/>
        </w:rPr>
        <w:t xml:space="preserve">إشارة إلى انسلاكها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 xml:space="preserve">، كما يشعر به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فيه</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 xml:space="preserve">، وتشهد به جملة من الروايات المفسّرة للآية الكريمة بالقمار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زياد بن عيسى الحذّاء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 السلام عن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قريش تقامر الرجل بأهله وماله ، فنهاهم اللّه عزّ وجلّ عن ذلك</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اُخرى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بذلك القمار</w:t>
      </w:r>
      <w:r>
        <w:rPr>
          <w:rFonts w:eastAsia="IRNazanin" w:cs="IRNazanin"/>
          <w:color w:val="111111"/>
          <w:sz w:val="28"/>
          <w:szCs w:val="28"/>
          <w:rtl w:val="true"/>
          <w:lang w:bidi="fa-IR"/>
        </w:rPr>
        <w:t>»</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منها غيرها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 تلك الروايات على حرمة مطلق الباطل أو اللهو بل تدلّ إمّا على حرمة أكل المال به ، أو على حرمة نوع خاصّ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فرض قيام الدليل على حرمة الباطل ، لكن كون الغناء والأصوات اللهوية منه عرفاً محلّ إشكال ؛ لأنّ الباطل بمعنى الفاسد الذي لا يترتّب عليه </w:t>
      </w:r>
    </w:p>
    <w:p>
      <w:pPr>
        <w:pStyle w:val="BookText"/>
        <w:rPr/>
      </w:pPr>
      <w:r>
        <w:rPr>
          <w:rFonts w:ascii="Amiri" w:hAnsi="Amiri" w:eastAsia="Amiri" w:cs="Amiri"/>
          <w:color w:val="111111"/>
          <w:sz w:val="28"/>
          <w:sz w:val="28"/>
          <w:szCs w:val="28"/>
          <w:rtl w:val="true"/>
          <w:lang w:bidi="ar-SA"/>
        </w:rPr>
        <w:t xml:space="preserve">الأثر ، والذي لا مصرف له ، والذي لا غرض فيه ، وشيء منها لا ينطبق على الغناء ونحوه ممّا هو متعلّق الأغراض العقلائية ، ولولا منع الشارع الأقدس لما عدّ نحوه في الباطل والهزل واللغو ، فالاستدلال على حرمته بحرمة تلك العناوين على فرض ثبوتها غير 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w:t>
      </w:r>
      <w:r>
        <w:rPr>
          <w:rStyle w:val="FootnoteAnchor"/>
          <w:rtl w:val="true"/>
        </w:rPr>
        <w:footnoteReference w:id="1004"/>
      </w:r>
      <w:r>
        <w:rPr>
          <w:rFonts w:ascii="Amiri" w:hAnsi="Amiri" w:eastAsia="Amiri" w:cs="Amiri"/>
          <w:color w:val="111111"/>
          <w:sz w:val="28"/>
          <w:sz w:val="28"/>
          <w:szCs w:val="28"/>
          <w:rtl w:val="true"/>
          <w:lang w:bidi="ar-SA"/>
        </w:rPr>
        <w:t xml:space="preserve">على حرمة مطلق اللهو بجملة من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آدم علیه السلام شمت به إبليس وقابيل فاجتمعا في الأرض فجعل إبليس وقابيل المعازف والملاهي شماتة بآدم علیه السلام ، فكلّ ما كان في الأرض من هذا الضرب الذي يتلذّذ به الناس فإنّما هو من ذلك</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المعازف والملاهي ، فكأ نّه ضروب الملاهي والمعازف التي يتلذّذ بها الناس من ذلك ، والملاهي جمع الملهاة ، فلا تدلّ على حرمة مطلق اللهو ولا الغناء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محمّد الطوسي بسند ضعيف ، عن أبي الحسن علي بن موسى علیه السلام ، عن آبائه ، عن علي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ألهى عن ذكر اللّه فهو من الميسر</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يكتسب به ، الباب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بُعد أن يراد بالكلّية جميع صنوف الملهيّات وإلحاقها بالميسر حكماً ؛ لأنّ الإلحاق الحكمي بلسان الإلحاق الموضوعي غير مناسب للبلاغة ، ومجرّد اشتراكها في الإلهاء لا يصحّح الدعوى ، فلا يبعد أن يكون المراد بالكلّية صنوف المقامرة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قومر عليه فهو ميسر</w:t>
      </w:r>
      <w:r>
        <w:rPr>
          <w:rFonts w:eastAsia="Amiri" w:cs="Amiri" w:ascii="Amiri" w:hAnsi="Amiri"/>
          <w:color w:val="111111"/>
          <w:sz w:val="28"/>
          <w:szCs w:val="28"/>
          <w:rtl w:val="true"/>
          <w:lang w:bidi="ar-SA"/>
        </w:rPr>
        <w:t>»</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بالملهيّ عن ذكر اللّه ليس الغفلة عن التوجّه إليه تعالى بالضرورة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يبعد أن يكون المراد به ما يوجب الغفلة عنه تعالى بحيث لا يبالي بالدخول في المعاصي كما هو شأن المقامرات واستعمال الملاهي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 المراد غفلة خاصّة تحتاج إلى البيان من قبل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يظهر الكلام في رواية أعمش عن جعفر بن محمّد علیهما السلام في حديث شرائع الدين ، حيث عدّ فيها من جملة الكبائر الملاهي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والملاهي التي تصدّ عن ذكر اللّه عزّ وجلّ مكروهة كالغناء وضرب الأوتار</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التحريم ، أو تكون بالنصب ويكون المراد أ نّها تصدّ عن ذكر اللّه كرهاً واستلزاماً بلا إرادة من الفاعل ، تأمّل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التمثيل بالغناء وضرب الأوتار لإفادة سنخ ما يكون صادّاً عن ذكر اللّه تعالى ، فإنّ ضرب الأوتار والغناء ونحوه توجب في النفس حالة غفلة عن اللّه تعالى وأحكامه ، ويكون الاشتغال بها موجباً للوقوع في المعاصي ، كما ورد في </w:t>
      </w:r>
    </w:p>
    <w:p>
      <w:pPr>
        <w:pStyle w:val="BookText"/>
        <w:rPr/>
      </w:pPr>
      <w:r>
        <w:rPr>
          <w:rFonts w:ascii="Amiri" w:hAnsi="Amiri" w:eastAsia="Amiri" w:cs="Amiri"/>
          <w:color w:val="111111"/>
          <w:sz w:val="28"/>
          <w:sz w:val="28"/>
          <w:szCs w:val="28"/>
          <w:rtl w:val="true"/>
          <w:lang w:bidi="ar-SA"/>
        </w:rPr>
        <w:t xml:space="preserve">الغناء 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 الزنا</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 xml:space="preserve">، وفي البربط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ضرب في بيته أربعين صباحاً سلّط اللّه عليه شيطاناً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نزع منه الحياء ولم يبال ما قال ولا ما قيل فيه</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يكتسب به ، الباب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يغار بعدها حتّى تؤتى نساؤه فلا يغار</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وَالْبَغْضَاءَ فِى الْخَمْرِ وَالْمَيْسِرِ وَيَصُدَّكُمْ عَنْ ذِكْرِ اللّه‌ِ وَعَنِ الصَّلوةِ</w:t>
      </w:r>
      <w:r>
        <w:rPr>
          <w:rFonts w:eastAsia="Amiri" w:cs="Amiri" w:ascii="Amiri" w:hAnsi="Amiri"/>
          <w:color w:val="111111"/>
          <w:sz w:val="28"/>
          <w:szCs w:val="28"/>
          <w:rtl w:val="true"/>
          <w:lang w:bidi="ar-SA"/>
        </w:rPr>
        <w:t>(</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فيها على حرمة مطلق اللهو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الفضل بن شاذان المرويّة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حسنة أو صحيحة ببعض طرقها </w:t>
      </w:r>
      <w:r>
        <w:rPr>
          <w:rStyle w:val="FootnoteAnchor"/>
          <w:rtl w:val="true"/>
        </w:rPr>
        <w:footnoteReference w:id="1013"/>
      </w:r>
      <w:r>
        <w:rPr>
          <w:rFonts w:ascii="Amiri" w:hAnsi="Amiri" w:eastAsia="Amiri" w:cs="Amiri"/>
          <w:color w:val="111111"/>
          <w:sz w:val="28"/>
          <w:sz w:val="28"/>
          <w:szCs w:val="28"/>
          <w:rtl w:val="true"/>
          <w:lang w:bidi="ar-SA"/>
        </w:rPr>
        <w:t xml:space="preserve">، وفيها في عدّ الكبائر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والاشتغال بالملاهي</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منها آلات اللهو لا مطلق الملهيّات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ممّا هي دونها في الدلالة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ذلك عدم قيام دليل على حرمة مطلق اللهو ولا على مطلق الأصوات اللهوية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الأحوط الاجتناب عن بعض صنوف الأصوات اللهوية كالتصانيف الرائجة بألحان أهل الفسوق ؛ لاحتمال مساواتها مع الغناء في دخولها في الباطل الذي ورد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ميّز اللّه بين الحقّ والباطل فأين يكون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الريّان بن الصلت</w:t>
      </w:r>
      <w:r>
        <w:rPr>
          <w:rStyle w:val="FootnoteAnchor"/>
          <w:rtl w:val="true"/>
        </w:rPr>
        <w:footnoteReference w:id="1015"/>
      </w:r>
      <w:r>
        <w:rPr>
          <w:rFonts w:ascii="Amiri" w:hAnsi="Amiri" w:eastAsia="Amiri" w:cs="Amiri"/>
          <w:color w:val="111111"/>
          <w:sz w:val="28"/>
          <w:sz w:val="28"/>
          <w:szCs w:val="28"/>
          <w:rtl w:val="true"/>
          <w:lang w:bidi="ar-SA"/>
        </w:rPr>
        <w:t>، واحتمال إلغاء الخصوصية من الغناء وإلحاقها به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ودخولها في التي تصدّ عن ذكر اللّه وألهت عنه ، وإن كان للمناقشة فيها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بالحال </w:t>
      </w:r>
      <w:r>
        <w:rPr>
          <w:rFonts w:eastAsia="Amiri" w:cs="Amiri" w:ascii="Amiri" w:hAnsi="Amiri"/>
          <w:color w:val="111111"/>
          <w:sz w:val="28"/>
          <w:szCs w:val="28"/>
          <w:rtl w:val="true"/>
          <w:lang w:bidi="ar-SA"/>
        </w:rPr>
        <w:t xml:space="preserve">. </w:t>
      </w:r>
      <w:bookmarkStart w:id="381" w:name="pg15158_207180"/>
    </w:p>
    <w:p>
      <w:pPr>
        <w:pStyle w:val="Heading3"/>
        <w:numPr>
          <w:ilvl w:val="2"/>
          <w:numId w:val="1"/>
        </w:numPr>
        <w:rPr/>
      </w:pPr>
      <w:bookmarkStart w:id="382" w:name="__RefHeading___Toc1851680_2142443653"/>
      <w:bookmarkStart w:id="383" w:name="_Toc131"/>
      <w:bookmarkEnd w:id="381"/>
      <w:bookmarkEnd w:id="382"/>
      <w:r>
        <w:rPr>
          <w:rtl w:val="true"/>
        </w:rPr>
        <w:t xml:space="preserve">المسألة الثالثة </w:t>
      </w:r>
      <w:r>
        <w:rPr>
          <w:rtl w:val="true"/>
        </w:rPr>
        <w:t xml:space="preserve">: </w:t>
      </w:r>
      <w:r>
        <w:rPr>
          <w:rtl w:val="true"/>
        </w:rPr>
        <w:t>في حرمة الغيبة</w:t>
      </w:r>
      <w:bookmarkEnd w:id="383"/>
    </w:p>
    <w:p>
      <w:pPr>
        <w:pStyle w:val="Heading4"/>
        <w:numPr>
          <w:ilvl w:val="3"/>
          <w:numId w:val="1"/>
        </w:numPr>
        <w:rPr/>
      </w:pPr>
      <w:bookmarkStart w:id="384" w:name="__RefHeading___Toc1851682_2142443653"/>
      <w:bookmarkStart w:id="385" w:name="_Toc132"/>
      <w:bookmarkEnd w:id="384"/>
      <w:r>
        <w:rPr>
          <w:rtl w:val="true"/>
        </w:rPr>
        <w:t>في كون الغيبة من الكبائر</w:t>
      </w:r>
      <w:bookmarkEnd w:id="385"/>
    </w:p>
    <w:p>
      <w:pPr>
        <w:pStyle w:val="BookText"/>
        <w:rPr/>
      </w:pPr>
      <w:r>
        <w:rPr>
          <w:rFonts w:ascii="Amiri" w:hAnsi="Amiri" w:eastAsia="Amiri" w:cs="Amiri"/>
          <w:color w:val="111111"/>
          <w:sz w:val="28"/>
          <w:sz w:val="28"/>
          <w:szCs w:val="28"/>
          <w:rtl w:val="true"/>
          <w:lang w:bidi="ar-SA"/>
        </w:rPr>
        <w:t xml:space="preserve">الغيبة حرام بالأدلّة الأربعة ، والظاهر أ نّها من الكبائر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على كونها كبيرة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يَغْتَبْ بَعْضُكُمْ بَعْضاً أَ يُحِبُّ أَحَدُكُمْ أَنْ يَأْكُلَ لَحْمَ أَخِيهِ مَيْتاً فَكَرِهْتُمُوهُ</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ذيل الآية الكريمة تنبيه على تجسّم عمل المغتاب في الآخرة بصورة أكل لحم ميتة أخيه ، وهو إيعاد بالعذاب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تدلّ على أصل تجسّمها الآيات والأخبار الكثيرة ، وفي المورد بعض الروايات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ما عن النبي صلی الله علیه و آله وسلم  إنّه نظر في النار ليلة الإسراء فإذا بقوم يأكلون </w:t>
      </w:r>
    </w:p>
    <w:p>
      <w:pPr>
        <w:pStyle w:val="BookText"/>
        <w:rPr/>
      </w:pPr>
      <w:r>
        <w:rPr>
          <w:rFonts w:ascii="Amiri" w:hAnsi="Amiri" w:eastAsia="Amiri" w:cs="Amiri"/>
          <w:color w:val="111111"/>
          <w:sz w:val="28"/>
          <w:sz w:val="28"/>
          <w:szCs w:val="28"/>
          <w:rtl w:val="true"/>
          <w:lang w:bidi="ar-SA"/>
        </w:rPr>
        <w:t xml:space="preserve">الجيف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 ،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الذين يأكلون لحم الناس</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وتشعر به أو تدلّ عليه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الغيبة ، فإنّها إدام كلاب النار</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أ نّه تعرف الكبيرة بإيعاد اللّه العذاب عليها ولو لم يكن إيعاداً</w:t>
      </w:r>
    </w:p>
    <w:p>
      <w:pPr>
        <w:pStyle w:val="BookText"/>
        <w:rPr/>
      </w:pPr>
      <w:r>
        <w:rPr>
          <w:rFonts w:ascii="Amiri" w:hAnsi="Amiri" w:eastAsia="Amiri" w:cs="Amiri"/>
          <w:color w:val="111111"/>
          <w:sz w:val="28"/>
          <w:sz w:val="28"/>
          <w:szCs w:val="28"/>
          <w:rtl w:val="true"/>
          <w:lang w:bidi="ar-SA"/>
        </w:rPr>
        <w:t>بالنار صريحاً ، كما يظهر من صحيحة عبد العظيم الحسني المفصّلة التي فيها كثير من الكبائر</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كان المراد من ذيلها التنزيل الحكمي ؛ بمعنى أنّ الغيبة بمنزلة أكل لحم ميتة</w:t>
      </w:r>
    </w:p>
    <w:p>
      <w:pPr>
        <w:pStyle w:val="BookText"/>
        <w:rPr/>
      </w:pPr>
      <w:r>
        <w:rPr>
          <w:rFonts w:ascii="IRNazanin" w:hAnsi="IRNazanin" w:eastAsia="IRNazanin"/>
          <w:color w:val="111111"/>
          <w:sz w:val="28"/>
          <w:sz w:val="28"/>
          <w:szCs w:val="28"/>
          <w:rtl w:val="true"/>
          <w:lang w:bidi="fa-IR"/>
        </w:rPr>
        <w:t>الأخ في الحكم ، بناءً على أنّ أكل الميتة من الكبائر ، كما تدلّ عليه حسنة الفضل ابن شاذان عن الرضا علیه السلام في كتابه إلى المأمون ، وفيها عدّ أكل الميتة من الكبائر</w:t>
      </w:r>
      <w:r>
        <w:rPr>
          <w:rStyle w:val="FootnoteAnchor"/>
          <w:rtl w:val="true"/>
        </w:rPr>
        <w:footnoteReference w:id="1020"/>
      </w:r>
      <w:r>
        <w:rPr>
          <w:rFonts w:ascii="Amiri" w:hAnsi="Amiri" w:eastAsia="Amiri" w:cs="Amiri"/>
          <w:color w:val="111111"/>
          <w:sz w:val="28"/>
          <w:sz w:val="28"/>
          <w:szCs w:val="28"/>
          <w:rtl w:val="true"/>
          <w:lang w:bidi="ar-SA"/>
        </w:rPr>
        <w:t xml:space="preserve">، ومعلوم أنّ ميتة الآدمي إمّا داخلة في إطلاقها ، أو أكلها أعظم من ميتة غيرها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هذا الاحتمال بعض الروايات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ما عن تفسير الإمام العسكري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إعلموا أنّ غيبتكم لأخيكم المؤمن من شيعة آل محمّد صلی الله علیه و آله وسلم  أعظم في التحريم من الميتة ،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يَغْتَبْ بَعْضُكُمْ بَعْضاً </w:t>
      </w:r>
      <w:r>
        <w:rPr>
          <w:rFonts w:eastAsia="Amiri" w:cs="Amiri" w:ascii="Amiri" w:hAnsi="Amiri"/>
          <w:color w:val="111111"/>
          <w:sz w:val="28"/>
          <w:szCs w:val="28"/>
          <w:rtl w:val="true"/>
          <w:lang w:bidi="ar-SA"/>
        </w:rPr>
        <w:t>. . .(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في التحريم من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ما قلناه من أعظمية حرمة ميتة الإنسان سيّما الأخ من غيرها في ارتكاز المتشرّعة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أمكنت المناقشة في الاستدلال بالآية على كونها كبيرةً ، بل على أصل تحريمها بأنّ من المحتمل أن يكون المراد بذيلها تنظير الغيبة والتفكّه بأعراض الناس بأكل لحم ميتة الأخ في تنفّر الطباع السليمة عنه وانتقاص أعراضهم كأكل لحومهم ، فيكون إرشاداً إلى حكم العقل ، فلا تدلّ على التحريم فضلاً عن كونها 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هذا الاحتمال ؛ أي كونه تنظيراً وتشبيهاً موضوعاً ، جملة من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 نزول الآية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رجلين من أصحاب رسول اللّه‌ صلی الله علیه و آله وسلم  اغتابا رفيقهما وهو سلمان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أرى خضرة اللحم في أفواهكما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ما تناولنا يومنا هذا لحماً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ظللتم تأكلون لحم سلمان واُسامة</w:t>
      </w:r>
      <w:r>
        <w:rPr>
          <w:rFonts w:eastAsia="IRNazanin" w:cs="IRNazanin"/>
          <w:color w:val="111111"/>
          <w:sz w:val="28"/>
          <w:szCs w:val="28"/>
          <w:rtl w:val="true"/>
          <w:lang w:bidi="fa-IR"/>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 من زعم أ نّه ولد من حلال </w:t>
      </w:r>
    </w:p>
    <w:p>
      <w:pPr>
        <w:pStyle w:val="BookText"/>
        <w:rPr/>
      </w:pPr>
      <w:r>
        <w:rPr>
          <w:rFonts w:ascii="Amiri" w:hAnsi="Amiri" w:eastAsia="Amiri" w:cs="Amiri"/>
          <w:color w:val="111111"/>
          <w:sz w:val="28"/>
          <w:sz w:val="28"/>
          <w:szCs w:val="28"/>
          <w:rtl w:val="true"/>
          <w:lang w:bidi="ar-SA"/>
        </w:rPr>
        <w:t>وهو يأكل لحوم الناس بالغيبة</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القطب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صلی الله علیه و آله وسلم  بناس من أصحابه فقال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أكلنا لحماً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مرّ بكم فلان فوقعتم فيه</w:t>
      </w:r>
      <w:r>
        <w:rPr>
          <w:rFonts w:eastAsia="IRNazanin" w:cs="IRNazanin"/>
          <w:color w:val="111111"/>
          <w:sz w:val="28"/>
          <w:szCs w:val="28"/>
          <w:rtl w:val="true"/>
          <w:lang w:bidi="fa-IR"/>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الرضا علیه السلام ، عن أبيه ، عن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يبغض البيت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البيت اللحم البيت الذي تؤكل فيه لحوم الناس بالغيبة</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أن يكون الاحتمال الأخير أقرب إلى فهم العرف وإن كان إنكار دلالتها على أصل التحريم مكابرة ، فدلالتها على الحرمة غير قابلة للإنكار؛ لظهورها وسياقها وعدم فهم مجرّد الإرشاد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تدلّ على كونها كبيرة لما قلناه من أقربية الاحتمال الأخير ، ولا أقلّ في عدم ظهورها في أحد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على كونها كبيرة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فِى الَّذِينَ آمَنُوا لَهُمْ عَذَابٌ أَلِيمٌ</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بدعوى أنّ الغيبة ملازمة لحبّ شيوعها ، تأمّل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بدعوى أنّ المراد من حبّ شيوعها ولو بملاحظة ورود الآية في ذيل قضيّة الإفك</w:t>
      </w:r>
      <w:r>
        <w:rPr>
          <w:rStyle w:val="FootnoteAnchor"/>
          <w:rtl w:val="true"/>
        </w:rPr>
        <w:footnoteReference w:id="1027"/>
      </w:r>
      <w:r>
        <w:rPr>
          <w:rFonts w:ascii="Amiri" w:hAnsi="Amiri" w:eastAsia="Amiri" w:cs="Amiri"/>
          <w:color w:val="111111"/>
          <w:sz w:val="28"/>
          <w:sz w:val="28"/>
          <w:szCs w:val="28"/>
          <w:rtl w:val="true"/>
          <w:lang w:bidi="ar-SA"/>
        </w:rPr>
        <w:t xml:space="preserve">، هو نفس إشاعتها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 شيوعها إذا كان كذلك فنفس الإشاعة أولى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وبدعوى أنّ المراد بتشييع الفاحشة إظهارها وإفشاؤها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يكون المراد به حبّ شيوع نفس الفاحشة والمعصية بين المسلمين</w:t>
      </w:r>
      <w:r>
        <w:rPr>
          <w:rStyle w:val="FootnoteAnchor"/>
          <w:rtl w:val="true"/>
        </w:rPr>
        <w:footnoteReference w:id="1028"/>
      </w:r>
      <w:r>
        <w:rPr>
          <w:rFonts w:ascii="Amiri" w:hAnsi="Amiri" w:eastAsia="Amiri" w:cs="Amiri"/>
          <w:color w:val="111111"/>
          <w:sz w:val="28"/>
          <w:sz w:val="28"/>
          <w:szCs w:val="28"/>
          <w:rtl w:val="true"/>
          <w:lang w:bidi="ar-SA"/>
        </w:rPr>
        <w:t xml:space="preserve">، بعيد عن ظاهر اللفظ وسياق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الاستدلال بنفس الآية للمدّعى لا يخلو من تكلّف وتعسّف ، فالأولى الاستدلال بها بضميمة بعض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كمرسلة ابن أبي عمير عن أبي عبداللّه علیه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في مؤمن ما رأته عيناه وسمعته اُذناه فهو من الذين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فِى الَّذِينَ آمَنُوا لَهُمْ عَذَابٌ أَلِيمٌ</w:t>
      </w:r>
      <w:r>
        <w:rPr>
          <w:rFonts w:eastAsia="Amiri" w:cs="Amiri" w:ascii="Amiri" w:hAnsi="Amiri"/>
          <w:color w:val="111111"/>
          <w:sz w:val="28"/>
          <w:szCs w:val="28"/>
          <w:rtl w:val="true"/>
          <w:lang w:bidi="ar-SA"/>
        </w:rPr>
        <w:t>(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ومرسلاته بحكم الصحاح ، لكن في محكيّ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روايتها عن ابن أبي عمير، عن محمّد بن حمران، عنه علیه السلام</w:t>
      </w:r>
      <w:r>
        <w:rPr>
          <w:rStyle w:val="FootnoteAnchor"/>
          <w:rtl w:val="true"/>
        </w:rPr>
        <w:footnoteReference w:id="1030"/>
      </w:r>
      <w:r>
        <w:rPr>
          <w:rFonts w:ascii="Amiri" w:hAnsi="Amiri" w:eastAsia="Amiri" w:cs="Amiri"/>
          <w:color w:val="111111"/>
          <w:sz w:val="28"/>
          <w:sz w:val="28"/>
          <w:szCs w:val="28"/>
          <w:rtl w:val="true"/>
          <w:lang w:bidi="ar-SA"/>
        </w:rPr>
        <w:t>، وهو إمّا النهدي</w:t>
      </w:r>
      <w:r>
        <w:rPr>
          <w:rStyle w:val="FootnoteAnchor"/>
          <w:rtl w:val="true"/>
        </w:rPr>
        <w:footnoteReference w:id="1031"/>
      </w:r>
      <w:r>
        <w:rPr>
          <w:rFonts w:ascii="Amiri" w:hAnsi="Amiri" w:eastAsia="Amiri" w:cs="Amiri"/>
          <w:color w:val="111111"/>
          <w:sz w:val="28"/>
          <w:sz w:val="28"/>
          <w:szCs w:val="28"/>
          <w:rtl w:val="true"/>
          <w:lang w:bidi="ar-SA"/>
        </w:rPr>
        <w:t xml:space="preserve">الثقة، وهو الأقرب بناءً على أنّ ابن أبي عمير لا يرسل إلاّ عن ثقة ، والظاهر أ نّها عين المرسلة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من آل أعين ، وهو حسن لو لم يكن ثقة باعتبار عدّه ابن أبي عمير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من مشايخه مع أبان بن عثمان وهشام بن سالم</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يمكن الاستشهاد على وثاقته بإرسال ابن أبي عمير عنه على هذا الاحتمال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يحتمل أن يكون إرساله عن هشام كما في الرواية الآتية ولا بأس به بعد وثاقة هشام</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صحيحة دالّة على أنّ مطلق الغيبة داخل في الآية الكريمة ، فتدلّ على أنّ المراد بالآية ليس الحبّ فقط ولا الشياع بمعناه المعروف ، بل مطلق الإظهار وكشف الستر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المراد به الإلحاق الحكمي بلسان الإلحاق الموضوعي كما سنشير إليه في استماع الغيبة</w:t>
      </w:r>
      <w:r>
        <w:rPr>
          <w:rStyle w:val="FootnoteAnchor"/>
          <w:rtl w:val="true"/>
        </w:rPr>
        <w:footnoteReference w:id="1034"/>
      </w:r>
      <w:r>
        <w:rPr>
          <w:rFonts w:ascii="Amiri" w:hAnsi="Amiri" w:eastAsia="Amiri" w:cs="Amiri"/>
          <w:color w:val="111111"/>
          <w:sz w:val="28"/>
          <w:sz w:val="28"/>
          <w:szCs w:val="28"/>
          <w:rtl w:val="true"/>
          <w:lang w:bidi="ar-SA"/>
        </w:rPr>
        <w:t xml:space="preserve">فلا يضرّ بالاستدلال على المطلوب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علي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هشام ، عن أبي عبداللّه علیه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في مؤمن ما رأت عيناه وما سمعت اُذناه كان من الذين قال اللّه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فِى الَّذِينَ آمَنُوا لَهُمْ عَذَابٌ أَلِيمٌ فِى الدُّنْيَا وَالاْخِرَةِ</w:t>
      </w:r>
      <w:r>
        <w:rPr>
          <w:rFonts w:eastAsia="Amiri" w:cs="Amiri" w:ascii="Amiri" w:hAnsi="Amiri"/>
          <w:color w:val="111111"/>
          <w:sz w:val="28"/>
          <w:szCs w:val="28"/>
          <w:rtl w:val="true"/>
          <w:lang w:bidi="ar-SA"/>
        </w:rPr>
        <w:t>(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فيما صحّ عن هشام عن أبي عبداللّه علیه السلام</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فلا شبهة في كونها من الكبائر ولو فسّرت بما أوعد اللّه تعالى عليه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الاستدلال على كونها كبيرة بالأخبار الكثيرة البالغة حدّ التواتر إجمالاً المشتملة على الإيعاد على النار والعذاب من رسول اللّه‌ صلی الله علیه و آله وسلم  والأئمّة</w:t>
      </w:r>
    </w:p>
    <w:p>
      <w:pPr>
        <w:pStyle w:val="BookText"/>
        <w:rPr/>
      </w:pPr>
      <w:r>
        <w:rPr>
          <w:rFonts w:ascii="IRNazanin" w:hAnsi="IRNazanin" w:eastAsia="IRNazanin"/>
          <w:color w:val="111111"/>
          <w:sz w:val="28"/>
          <w:sz w:val="28"/>
          <w:szCs w:val="28"/>
          <w:rtl w:val="true"/>
          <w:lang w:bidi="fa-IR"/>
        </w:rPr>
        <w:t>الطاهرين علیهم السلام</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على أنّ إيعادهم عن رسول اللّه‌ صلی الله علیه و آله وسلم  كما دلّت عليه الروايات بل هو من الواضحات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على أنّ إيعاد رسول اللّه‌ صلی الله علیه و آله وسلم  بالعذاب والنار يكشف عن كون المعصية كبيرة ، كما يظهر من صحيحة عبدالعظيم الحسني ، حيث استدلّ أبو عبداللّه علیه السلامفيها على كون ترك الصلاة متعمّداً كبيرة بقول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الصلاة متعمّداً من غير علّة فقد برئ من ذمّة اللّه وذمّة رسوله</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فالخدشة في كونها كبيرة في غير محلّها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في رواية ضعيفة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صلی الله علیه و آله وسلم  في مسير فأتى </w:t>
      </w:r>
      <w:bookmarkStart w:id="386" w:name="pg15158_207187"/>
    </w:p>
    <w:p>
      <w:pPr>
        <w:pStyle w:val="BookText"/>
        <w:rPr/>
      </w:pPr>
      <w:bookmarkEnd w:id="386"/>
      <w:r>
        <w:rPr>
          <w:rFonts w:ascii="Amiri" w:hAnsi="Amiri" w:eastAsia="Amiri" w:cs="Amiri"/>
          <w:color w:val="111111"/>
          <w:sz w:val="28"/>
          <w:sz w:val="28"/>
          <w:szCs w:val="28"/>
          <w:rtl w:val="true"/>
          <w:lang w:bidi="ar-SA"/>
        </w:rPr>
        <w:t xml:space="preserve">على قبرين يعذَّب صاحبهما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إنّهما لا يعذَّبان في كبيرة ، أمّا أحدهما فكان يغتاب الناس </w:t>
      </w:r>
      <w:r>
        <w:rPr>
          <w:rFonts w:eastAsia="Amiri" w:cs="Amiri" w:ascii="Amiri" w:hAnsi="Amiri"/>
          <w:color w:val="111111"/>
          <w:sz w:val="28"/>
          <w:szCs w:val="28"/>
          <w:rtl w:val="true"/>
          <w:lang w:bidi="ar-SA"/>
        </w:rPr>
        <w:t>. . .»</w:t>
      </w:r>
      <w:r>
        <w:rPr>
          <w:rStyle w:val="FootnoteAnchor"/>
          <w:rtl w:val="true"/>
        </w:rPr>
        <w:footnoteReference w:id="1039"/>
      </w:r>
      <w:r>
        <w:rPr>
          <w:rFonts w:ascii="Amiri" w:hAnsi="Amiri" w:eastAsia="Amiri" w:cs="Amiri"/>
          <w:color w:val="111111"/>
          <w:sz w:val="28"/>
          <w:sz w:val="28"/>
          <w:szCs w:val="28"/>
          <w:rtl w:val="true"/>
          <w:lang w:bidi="ar-SA"/>
        </w:rPr>
        <w:t xml:space="preserve">غير صالحة لمعارضة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عن الصدوق</w:t>
      </w:r>
      <w:r>
        <w:rPr>
          <w:rStyle w:val="FootnoteAnchor"/>
          <w:rtl w:val="true"/>
        </w:rPr>
        <w:footnoteReference w:id="1040"/>
      </w:r>
      <w:r>
        <w:rPr>
          <w:rFonts w:ascii="Amiri" w:hAnsi="Amiri" w:eastAsia="Amiri" w:cs="Amiri"/>
          <w:color w:val="111111"/>
          <w:sz w:val="28"/>
          <w:sz w:val="28"/>
          <w:szCs w:val="28"/>
          <w:rtl w:val="true"/>
          <w:lang w:bidi="ar-SA"/>
        </w:rPr>
        <w:t>وغيره</w:t>
      </w:r>
      <w:r>
        <w:rPr>
          <w:rStyle w:val="FootnoteAnchor"/>
          <w:rtl w:val="true"/>
        </w:rPr>
        <w:footnoteReference w:id="1041"/>
      </w:r>
      <w:r>
        <w:rPr>
          <w:rFonts w:ascii="Amiri" w:hAnsi="Amiri" w:eastAsia="Amiri" w:cs="Amiri"/>
          <w:color w:val="111111"/>
          <w:sz w:val="28"/>
          <w:sz w:val="28"/>
          <w:szCs w:val="28"/>
          <w:rtl w:val="true"/>
          <w:lang w:bidi="ar-SA"/>
        </w:rPr>
        <w:t xml:space="preserve">بل عن الأصحاب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وعن الحلّي</w:t>
      </w:r>
      <w:r>
        <w:rPr>
          <w:rStyle w:val="FootnoteAnchor"/>
          <w:rtl w:val="true"/>
        </w:rPr>
        <w:footnoteReference w:id="1043"/>
      </w:r>
      <w:r>
        <w:rPr>
          <w:rFonts w:ascii="Amiri" w:hAnsi="Amiri" w:eastAsia="Amiri" w:cs="Amiri"/>
          <w:color w:val="111111"/>
          <w:sz w:val="28"/>
          <w:sz w:val="28"/>
          <w:szCs w:val="28"/>
          <w:rtl w:val="true"/>
          <w:lang w:bidi="ar-SA"/>
        </w:rPr>
        <w:t xml:space="preserve">أنّ الذنوب كلّها كبيرة وإنّما الصغر والكبر بالإضافة ، كأ نّه في غير محلّه ؛ لمخالفته للاعتبار والعقل والكتاب والروايات ، بل ما نسب إلى الأصحاب غير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للكبائر مراتب كما تشهد به الكتاب والسنّة والعقل ، وليس المقام محلّ تحقيق المسألة ، والعهدة على محلّه </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851684_2142443653"/>
      <w:bookmarkStart w:id="388" w:name="_Toc133"/>
      <w:bookmarkEnd w:id="387"/>
      <w:r>
        <w:rPr>
          <w:rtl w:val="true"/>
        </w:rPr>
        <w:t>اختصاص الحرمة بغيبة المؤمن</w:t>
      </w:r>
      <w:bookmarkEnd w:id="388"/>
    </w:p>
    <w:p>
      <w:pPr>
        <w:pStyle w:val="BookText"/>
        <w:rPr/>
      </w:pPr>
      <w:r>
        <w:rPr>
          <w:rFonts w:ascii="Amiri" w:hAnsi="Amiri" w:eastAsia="Amiri" w:cs="Amiri"/>
          <w:color w:val="111111"/>
          <w:sz w:val="28"/>
          <w:sz w:val="28"/>
          <w:szCs w:val="28"/>
          <w:rtl w:val="true"/>
          <w:lang w:bidi="ar-SA"/>
        </w:rPr>
        <w:t xml:space="preserve">ثمّ إنّ الظاهر اختصاص الحرمة بغيبة المؤمن ، فيجوز اغتياب المخالف إلاّ أن تقتضي التقيّة أو غيرها لزوم الكفّ عنها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لا لما أصرّ عليه المحدّث البحراني بأ نّهم كفّار ومشركون</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اغتراراً بظواهر الأخبار ، وقد استقصينا البحث معه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القول </w:t>
      </w:r>
    </w:p>
    <w:p>
      <w:pPr>
        <w:pStyle w:val="BookText"/>
        <w:rPr/>
      </w:pPr>
      <w:r>
        <w:rPr>
          <w:rFonts w:ascii="Amiri" w:hAnsi="Amiri" w:eastAsia="Amiri" w:cs="Amiri"/>
          <w:color w:val="111111"/>
          <w:sz w:val="28"/>
          <w:sz w:val="28"/>
          <w:szCs w:val="28"/>
          <w:rtl w:val="true"/>
          <w:lang w:bidi="ar-SA"/>
        </w:rPr>
        <w:t>بنجاسة المخالف</w:t>
      </w:r>
      <w:r>
        <w:rPr>
          <w:rStyle w:val="FootnoteAnchor"/>
          <w:rtl w:val="true"/>
        </w:rPr>
        <w:footnoteReference w:id="1045"/>
      </w:r>
      <w:r>
        <w:rPr>
          <w:rFonts w:ascii="IRNazanin" w:hAnsi="IRNazanin" w:eastAsia="IRNazanin"/>
          <w:color w:val="111111"/>
          <w:sz w:val="28"/>
          <w:sz w:val="28"/>
          <w:szCs w:val="28"/>
          <w:rtl w:val="true"/>
          <w:lang w:bidi="fa-IR"/>
        </w:rPr>
        <w:t xml:space="preserve">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الإسلام ليس إلاّ الشهادة بأن لا إله إلاّ اللّه وأنّ محمّداً رسول اللّه‌ صلی الله علیه و آله وسلم  ، وذكرنا الوجه في الأخبار الكثيرة الدالّة على أ نّهم كفّار أو 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لقصور أدلّة حرمة الغيبة عن إثباتها بالنسبة إليهم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مثل الآيتين المتقدّمتين فلأنّ الحكم فيهما معلّق على المؤمنين والخطاب متوجّه إليهم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وتوهّم أنّ اختلاف الإيمان والإسلام اصطلاح حادث في عصر الأئمّة علیهم السلام دون زمان نزول الآية الكريمة</w:t>
      </w:r>
      <w:r>
        <w:rPr>
          <w:rStyle w:val="FootnoteAnchor"/>
          <w:rtl w:val="true"/>
        </w:rPr>
        <w:footnoteReference w:id="1046"/>
      </w:r>
      <w:r>
        <w:rPr>
          <w:rFonts w:ascii="Amiri" w:hAnsi="Amiri" w:eastAsia="Amiri" w:cs="Amiri"/>
          <w:color w:val="111111"/>
          <w:sz w:val="28"/>
          <w:sz w:val="28"/>
          <w:szCs w:val="28"/>
          <w:rtl w:val="true"/>
          <w:lang w:bidi="ar-SA"/>
        </w:rPr>
        <w:t xml:space="preserve">، فاسد 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الأئمّة لا يقولون بما لا يقول به اللّه تعالى ورسوله صلی الله علیه و آله وسلم  ، كما هو من اُصول المذهب وتدلّ عليه الروايات ، فلا يكون الإيمان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رسوله صلی الله علیه و آله وسلم  غير ما عند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الإيمان كان قبل نصب رسول اللّه‌ صلی الله علیه و آله وسلم  علياً علیه السلام للولاية عبارة عن التصديق باللّه ورسوله ، ولم يكن قبل نصبه ، أو قبل وفاته على احتمال ، مورداً لتكليف الناس ومن الأركان المتوقّف على الاعتقاد بها الإيمان ؛ لعدم الموضوع له ، وأمّا بعد نصبه أو بعد وفاته صلی الله علیه و آله وسلم  صارت الولاية والإمامة من أركانه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1047"/>
      </w:r>
      <w:r>
        <w:rPr>
          <w:rFonts w:ascii="IRNazanin" w:hAnsi="IRNazanin" w:eastAsia="IRNazanin"/>
          <w:color w:val="111111"/>
          <w:sz w:val="28"/>
          <w:sz w:val="28"/>
          <w:szCs w:val="28"/>
          <w:rtl w:val="true"/>
          <w:lang w:bidi="fa-IR"/>
        </w:rPr>
        <w:t xml:space="preserve">هو جعل الاُخوّة بين المؤمنين الواقعيين ، غاية الأمر أنّ في زمان رسول اللّه‌ صلی الله علیه و آله وسلم  كان غير المنافق مؤمناً </w:t>
      </w:r>
    </w:p>
    <w:p>
      <w:pPr>
        <w:pStyle w:val="BookText"/>
        <w:rPr/>
      </w:pPr>
      <w:r>
        <w:rPr>
          <w:rFonts w:ascii="IRNazanin" w:hAnsi="IRNazanin" w:eastAsia="IRNazanin"/>
          <w:color w:val="111111"/>
          <w:sz w:val="28"/>
          <w:sz w:val="28"/>
          <w:szCs w:val="28"/>
          <w:rtl w:val="true"/>
          <w:lang w:bidi="fa-IR"/>
        </w:rPr>
        <w:t xml:space="preserve">واقعاً ؛ لإيمانه باللّه ورسوله صلی الله علیه و آله وسلم ، وبعد ذلك كان المؤمن الواقعي من قبل الولاية وصدقها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فيكون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المؤمنون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متوجّهاً إلى المؤمنين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وإن اختلفت أركانه بحسب الأزمان ، من غير أن يكون الخطاب من أوّل الأمر متوجّهاً إلى الشيعة حتّى يستبعد سيّما إذا كان المراد بالمؤمن، الشيعة الإمامية الاثني عشرية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فما اشتملت على المؤمن فكذلك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اشتملت على الأخ لا تشملهم أيضاً ؛ لعدم الاُخوّة بيننا وبينهم بعد وجوب البراءة عنهم وعن مذهبهم وعن أئمّتهم ، كما تدلّ عليه الأخبار</w:t>
      </w:r>
      <w:r>
        <w:rPr>
          <w:rStyle w:val="FootnoteAnchor"/>
          <w:rtl w:val="true"/>
        </w:rPr>
        <w:footnoteReference w:id="1048"/>
      </w:r>
      <w:r>
        <w:rPr>
          <w:rFonts w:ascii="IRNazanin" w:hAnsi="IRNazanin" w:eastAsia="IRNazanin"/>
          <w:color w:val="111111"/>
          <w:sz w:val="28"/>
          <w:sz w:val="28"/>
          <w:szCs w:val="28"/>
          <w:rtl w:val="true"/>
          <w:lang w:bidi="fa-IR"/>
        </w:rPr>
        <w:t xml:space="preserve">واقتضته اُصول المذهب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اشتملت على المسلم فالغالب منها مشتمل على ما يوجبه ظاهراً في المؤمن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كرواية سليمان بن خالد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من ائتمنه المؤمنون على أنفسهم وأموالهم ، والمسلم من سلم المسلمون من يده ولسانه ، والمهاجر من هجر السيّئات وترك ما حرّم اللّه ، والمؤمن حرام على المؤمن أن يظلمه أو يخذله أو يغتابه أو يدفعه دفعة</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الحرث بن المغيرة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أخو المسلم هو عينه ومرآته ودليله ، لا يخونه ولا يخدعه ولا يظلمه ولا يكذبه ولا يغتابه</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ورواية أبيذرّ عن النبي صلی الله علیه و آله وسلم  في 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 له ، وفيها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أباذرّ ، سباب المسلم فسوق ، وقتاله كفر ، وأكل لحمه من معاصي اللّه ، وحرمة ماله كحرمة دمه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الغيبة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ذكرك أخاك بما يكره</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الرواية كرواية عبداللّه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الغيبة أن تقول في أخيك ما قد ستره اللّه عليه</w:t>
      </w:r>
      <w:r>
        <w:rPr>
          <w:rFonts w:eastAsia="IRNazanin" w:cs="IRNazanin"/>
          <w:color w:val="111111"/>
          <w:sz w:val="28"/>
          <w:szCs w:val="28"/>
          <w:rtl w:val="true"/>
          <w:lang w:bidi="fa-IR"/>
        </w:rPr>
        <w:t>»</w:t>
      </w:r>
      <w:r>
        <w:rPr>
          <w:rStyle w:val="FootnoteAnchor"/>
          <w:rtl w:val="true"/>
        </w:rPr>
        <w:footnoteReference w:id="1052"/>
      </w:r>
      <w:r>
        <w:rPr>
          <w:rFonts w:ascii="Amiri" w:hAnsi="Amiri" w:eastAsia="Amiri" w:cs="Amiri"/>
          <w:color w:val="111111"/>
          <w:sz w:val="28"/>
          <w:sz w:val="28"/>
          <w:szCs w:val="28"/>
          <w:rtl w:val="true"/>
          <w:lang w:bidi="ar-SA"/>
        </w:rPr>
        <w:t xml:space="preserve">وغيرهما ممّا فسّرت الغيبة ، حاكمة على سائر الروايات ، فإنّها في مقام تفسيرها اعتبرت الاُخوّة فيها ، فغيرنا ليسوا بإخواننا وإن كانوا مسلمين ، فتكون تلك الروايات مفسّرة للمسلم المأخوذ في سائرها بأنّ حرمة الغيبة مخصوصة بمسلم له اُخوّة إسلامية وإيمانية مع الآخر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الكلام في رواية المناهي</w:t>
      </w:r>
      <w:r>
        <w:rPr>
          <w:rStyle w:val="FootnoteAnchor"/>
          <w:rtl w:val="true"/>
        </w:rPr>
        <w:footnoteReference w:id="1053"/>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والإنصاف أنّ الناظر في الروايات لا ينبغي أن يرتاب في قصورها عن إثبات حرمة غيبتهم ، بل لا ينبغي أن يرتاب في أنّ الظاهر من مجموعها اختصاصها بغيبة المؤمن الموالي لأئمّة الحقّ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 نّه لو سلّم إطلاق بعضها وغضّ النظر عن تحكيم الروايات التي في مقام التحديد عليها ، فلا شبهة في عدم احترامهم بل هو من ضروري المذهب كما قال المحقّقون</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الناظر في الأخبار الكثيرة في الأبواب المتفرّقة لا يرتاب في جواز هتكهم والوقيعة فيهم ، بل الأئمّة المعصومون أكثروا في الطعن واللعن عليهم وذكر مساوئهم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أبي حمزة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أصحابنا يفترون ويقذفون من خالفهم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الكفّ عنهم 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حمزة ، إنّ الناس كلّهم أولاد بغايا ما خلا شيعتنا </w:t>
      </w:r>
      <w:r>
        <w:rPr>
          <w:rFonts w:eastAsia="IRNazanin" w:cs="IRNazanin"/>
          <w:color w:val="111111"/>
          <w:sz w:val="28"/>
          <w:szCs w:val="28"/>
          <w:rtl w:val="true"/>
          <w:lang w:bidi="fa-IR"/>
        </w:rPr>
        <w:t>. .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منها جواز الافتراء والقذف عليهم لكن الكفّ أحسن وأجمل ، لكنّه مشكل إلاّ في بعض الأحيان ، مع أنّ السيرة أيضاً قائمة على غيبتهم ، فنعم ما قال 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طول الكلام في ذلك كما فعله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 العمر في الواضحات</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bookmarkStart w:id="389" w:name="pg15158_207192"/>
    </w:p>
    <w:p>
      <w:pPr>
        <w:pStyle w:val="Heading4"/>
        <w:numPr>
          <w:ilvl w:val="3"/>
          <w:numId w:val="1"/>
        </w:numPr>
        <w:rPr/>
      </w:pPr>
      <w:bookmarkStart w:id="390" w:name="__RefHeading___Toc1851686_2142443653"/>
      <w:bookmarkStart w:id="391" w:name="_Toc134"/>
      <w:bookmarkEnd w:id="389"/>
      <w:bookmarkEnd w:id="390"/>
      <w:r>
        <w:rPr>
          <w:rtl w:val="true"/>
        </w:rPr>
        <w:t>حرمة غيبة الصبيّ المميّز</w:t>
      </w:r>
      <w:bookmarkEnd w:id="391"/>
    </w:p>
    <w:p>
      <w:pPr>
        <w:pStyle w:val="BookText"/>
        <w:rPr/>
      </w:pPr>
      <w:r>
        <w:rPr>
          <w:rFonts w:ascii="Amiri" w:hAnsi="Amiri" w:eastAsia="Amiri" w:cs="Amiri"/>
          <w:color w:val="111111"/>
          <w:sz w:val="28"/>
          <w:sz w:val="28"/>
          <w:szCs w:val="28"/>
          <w:rtl w:val="true"/>
          <w:lang w:bidi="ar-SA"/>
        </w:rPr>
        <w:t xml:space="preserve">ثمّ إنّ الظاهر دخول الصبيّ المميّز المدرك للحسن والقبح المتأثّر عن ذكر معايبه فيها ؛ لإطلاق بعض الأدلّة وصدق الأخ عليه وكذا المؤمن والمسلم بعد كونه معتقداً بما اعتقد به المسلمون كما هو الغالب في المميّز 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اندراجه في الموضوع لو شكّ في الصدق بالآية الكريمة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وَيَسْئَلُونَكَ عَنِ الْيَتَامَى قُلْ إِصْلاَحٌ لَهُمْ خَيْرٌ وَإِنْ تُخَالِطُوهُمْ فَإِخْوَانُكُمْ</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الشكّ في غير محلّه والآية نزلت على طبق العرف واللغة وليس فيها تنزيل وتأويل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الأدلّة منصرفة عن غير المميّز وعن المجنون ، واللّه العالم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 xml:space="preserve">: </w:t>
      </w:r>
      <w:bookmarkStart w:id="392" w:name="pg15158_207193"/>
    </w:p>
    <w:p>
      <w:pPr>
        <w:pStyle w:val="Heading4"/>
        <w:numPr>
          <w:ilvl w:val="3"/>
          <w:numId w:val="1"/>
        </w:numPr>
        <w:rPr/>
      </w:pPr>
      <w:bookmarkStart w:id="393" w:name="__RefHeading___Toc1851688_2142443653"/>
      <w:bookmarkStart w:id="394" w:name="_Toc135"/>
      <w:bookmarkEnd w:id="392"/>
      <w:bookmarkEnd w:id="393"/>
      <w:r>
        <w:rPr>
          <w:rtl w:val="true"/>
        </w:rPr>
        <w:t xml:space="preserve">الأمر الأوّل </w:t>
      </w:r>
      <w:r>
        <w:rPr>
          <w:rtl w:val="true"/>
        </w:rPr>
        <w:t xml:space="preserve">: </w:t>
      </w:r>
      <w:r>
        <w:rPr>
          <w:rtl w:val="true"/>
        </w:rPr>
        <w:t>في تعريف الغيبة</w:t>
      </w:r>
      <w:bookmarkEnd w:id="394"/>
    </w:p>
    <w:p>
      <w:pPr>
        <w:pStyle w:val="BookText"/>
        <w:rPr/>
      </w:pPr>
      <w:r>
        <w:rPr>
          <w:rFonts w:ascii="Amiri" w:hAnsi="Amiri" w:eastAsia="Amiri" w:cs="Amiri"/>
          <w:color w:val="111111"/>
          <w:sz w:val="28"/>
          <w:sz w:val="28"/>
          <w:szCs w:val="28"/>
          <w:rtl w:val="true"/>
          <w:lang w:bidi="ar-SA"/>
        </w:rPr>
        <w:t xml:space="preserve">قد عرّفت الغيبة بتعاريف في كتب اللغة والفقه وفي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اغتابه اغتياباً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فيه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 وهو أن يتكلّم خلف إنسان مستور بما يغمّه لو سمعه ، فإن كان صدقاً سمّي غيبة ، وإن كان كذباً سمّي بهتاناً</w:t>
      </w:r>
      <w:r>
        <w:rPr>
          <w:rFonts w:eastAsia="Amiri" w:cs="Amiri" w:ascii="Amiri" w:hAnsi="Amiri"/>
          <w:color w:val="111111"/>
          <w:sz w:val="28"/>
          <w:szCs w:val="28"/>
          <w:rtl w:val="true"/>
          <w:lang w:bidi="ar-SA"/>
        </w:rPr>
        <w:t>»</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وغابه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وذكره بما فيه من السوء كاغتابه ، والغيبة فِعلة منه تكون حسنة أو قبيحة</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غابه غيبة واغتابه اغتياباً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وذكره بما فيه من السوء</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اغتابه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ذكره بما يكرهه من العيوب وهو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 فإن كان باطلاً فهو الغيبة في بهت</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أن يُذكر الإنسان في غيبته بسوء ممّا يكون فيه</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السوء خلف شخص وهي اسم </w:t>
      </w:r>
    </w:p>
    <w:p>
      <w:pPr>
        <w:pStyle w:val="BookText"/>
        <w:rPr/>
      </w:pPr>
      <w:r>
        <w:rPr>
          <w:rFonts w:ascii="Amiri" w:hAnsi="Amiri" w:eastAsia="Amiri" w:cs="Amiri"/>
          <w:color w:val="111111"/>
          <w:sz w:val="28"/>
          <w:sz w:val="28"/>
          <w:szCs w:val="28"/>
          <w:rtl w:val="true"/>
          <w:lang w:bidi="ar-SA"/>
        </w:rPr>
        <w:t>الاغتياب إن كان صدقاً ، وإن كان كذباً سمّي بهتاناً</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بعضهم اغتابه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غيابه بما</w:t>
      </w:r>
    </w:p>
    <w:p>
      <w:pPr>
        <w:pStyle w:val="BookText"/>
        <w:rPr/>
      </w:pPr>
      <w:r>
        <w:rPr>
          <w:rFonts w:ascii="Amiri" w:hAnsi="Amiri" w:eastAsia="Amiri" w:cs="Amiri"/>
          <w:color w:val="111111"/>
          <w:sz w:val="28"/>
          <w:sz w:val="28"/>
          <w:szCs w:val="28"/>
          <w:rtl w:val="true"/>
          <w:lang w:bidi="ar-SA"/>
        </w:rPr>
        <w:t>فيه من حسن أو عيب</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العيب بظهر الغيب على وجه تمنع الحكمة</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نبذة من كلمات اللغويين ، فقد ترى عدم توافقها واختلافها في جهات لا داعي في الخوض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الثاني في رسالته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بحسب الاصطلاح فلها تعريفان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 وهو ذكر الإنسان حال غيبته بما يكره نسبته إليه ممّا يعدّ نقصاناً في العرف بقصد الانتقاص والذمّ ، والثاني التنبيه على ما يكره نسبته إليه </w:t>
      </w:r>
      <w:r>
        <w:rPr>
          <w:rFonts w:eastAsia="Amiri" w:cs="Amiri" w:ascii="Amiri" w:hAnsi="Amiri"/>
          <w:color w:val="111111"/>
          <w:sz w:val="28"/>
          <w:szCs w:val="28"/>
          <w:rtl w:val="true"/>
          <w:lang w:bidi="ar-SA"/>
        </w:rPr>
        <w:t>. . .»</w:t>
      </w:r>
      <w:r>
        <w:rPr>
          <w:rStyle w:val="FootnoteAnchor"/>
          <w:rtl w:val="true"/>
        </w:rPr>
        <w:footnoteReference w:id="106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حدّ الغيبة على ما في الأخبار أن يقول في أخيه ما يكرهه لو سمعه ممّا فيه</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النراقي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الغيبة وهي أن يذكر الغير بما يكرهه لو بلغه</w:t>
      </w:r>
      <w:r>
        <w:rPr>
          <w:rFonts w:eastAsia="Amiri" w:cs="Amiri" w:ascii="Amiri" w:hAnsi="Amiri"/>
          <w:color w:val="111111"/>
          <w:sz w:val="28"/>
          <w:szCs w:val="28"/>
          <w:rtl w:val="true"/>
          <w:lang w:bidi="ar-SA"/>
        </w:rPr>
        <w:t>»</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عرّفت الغيبة بأ نّها التنبيه حال </w:t>
      </w:r>
    </w:p>
    <w:p>
      <w:pPr>
        <w:pStyle w:val="BookText"/>
        <w:rPr/>
      </w:pPr>
      <w:r>
        <w:rPr>
          <w:rFonts w:ascii="Amiri" w:hAnsi="Amiri" w:eastAsia="Amiri" w:cs="Amiri"/>
          <w:color w:val="111111"/>
          <w:sz w:val="28"/>
          <w:sz w:val="28"/>
          <w:szCs w:val="28"/>
          <w:rtl w:val="true"/>
          <w:lang w:bidi="ar-SA"/>
        </w:rPr>
        <w:t>غيبة الإنسان المعيّن أو بحكمه على ما يكره نسبته إليه ممّا هو حاصل فيه ويعدّ</w:t>
      </w:r>
    </w:p>
    <w:p>
      <w:pPr>
        <w:pStyle w:val="BookText"/>
        <w:rPr/>
      </w:pPr>
      <w:r>
        <w:rPr>
          <w:rFonts w:ascii="Amiri" w:hAnsi="Amiri" w:eastAsia="Amiri" w:cs="Amiri"/>
          <w:color w:val="111111"/>
          <w:sz w:val="28"/>
          <w:sz w:val="28"/>
          <w:szCs w:val="28"/>
          <w:rtl w:val="true"/>
          <w:lang w:bidi="ar-SA"/>
        </w:rPr>
        <w:t>نقصاناً بحسب العرف ، قولاً أو إشارة أو كناية ، تعريضاً أو تصريحاً</w:t>
      </w:r>
      <w:r>
        <w:rPr>
          <w:rFonts w:eastAsia="Amiri" w:cs="Amiri" w:ascii="Amiri" w:hAnsi="Amiri"/>
          <w:color w:val="111111"/>
          <w:sz w:val="28"/>
          <w:szCs w:val="28"/>
          <w:rtl w:val="true"/>
          <w:lang w:bidi="ar-SA"/>
        </w:rPr>
        <w:t>»</w:t>
      </w:r>
      <w:r>
        <w:rPr>
          <w:rStyle w:val="FootnoteAnchor"/>
          <w:rtl w:val="true"/>
        </w:rPr>
        <w:footnoteReference w:id="107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 أن يذكر الإنسان من خلفه بما فيه من السوء ، فلو لم يكن من خلفه لم يكن غيبة</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الشيخ عن بعض من قارب عصره وهو النراقي الأوّل ظاهراً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الإجماع والأخبار متطابقان على أنّ حقيقة الغيبة أن يذكر الغير بما يكرهه لو سمعه</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بأنّ تلك التعاريف أيضاً مختلفة لا ترجع إلى أمر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كلمات الفقهاء بل اللغويين غالباً مشوبة بمضامين الأخبار ومستفادة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ويشهد له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بعد تعريفه بما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وتصديق ذلك ما روي عن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حكى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أتدرون ما الغيبة </w:t>
      </w:r>
      <w:r>
        <w:rPr>
          <w:rFonts w:eastAsia="IRNazanin" w:cs="IRNazanin"/>
          <w:color w:val="111111"/>
          <w:sz w:val="28"/>
          <w:szCs w:val="28"/>
          <w:rtl w:val="true"/>
          <w:lang w:bidi="fa-IR"/>
        </w:rPr>
        <w:t>. .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فيشكل الاستناد إليها في تشخيص اللغة والعرف الساذج ، مع أنّ اختلافها بما ترى يمنع عن الاستناد إلى شيء منها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عطف النظر إلى ما يستفاد من أدلّة الباب من تشخيص القيود المعتبرة </w:t>
      </w:r>
    </w:p>
    <w:p>
      <w:pPr>
        <w:pStyle w:val="BookText"/>
        <w:rPr/>
      </w:pPr>
      <w:r>
        <w:rPr>
          <w:rFonts w:ascii="Amiri" w:hAnsi="Amiri" w:eastAsia="Amiri" w:cs="Amiri"/>
          <w:color w:val="111111"/>
          <w:sz w:val="28"/>
          <w:sz w:val="28"/>
          <w:szCs w:val="28"/>
          <w:rtl w:val="true"/>
          <w:lang w:bidi="ar-SA"/>
        </w:rPr>
        <w:t>في الموضوع المورد لتعلّق الحرمة عليه ، أو ما يمكن الاستناد إليه من فهم العرف</w:t>
      </w:r>
    </w:p>
    <w:p>
      <w:pPr>
        <w:pStyle w:val="BookText"/>
        <w:rPr/>
      </w:pPr>
      <w:r>
        <w:rPr>
          <w:rFonts w:ascii="Amiri" w:hAnsi="Amiri" w:eastAsia="Amiri" w:cs="Amiri"/>
          <w:color w:val="111111"/>
          <w:sz w:val="28"/>
          <w:sz w:val="28"/>
          <w:szCs w:val="28"/>
          <w:rtl w:val="true"/>
          <w:lang w:bidi="ar-SA"/>
        </w:rPr>
        <w:t xml:space="preserve">والعقلاء في مفهومها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شبهة في أنّ بعض القيود المأخوذة في الأخبار شرعية ، كاعتبار الاُخوّة الإيمانية بين المغتابين ، كما هو المذكور في جميع الروايات التي بصدد بيان حدّها وحقيقتها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وتحتمل شرعية بعض آخر أيضاً كاعتبار تحقّق العيب فيه مقابل البهتان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الظاهر عدم اعتباره في معناه اللغوي والعرفي كما هو ظاهر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باطلاً فهو الغيبة في 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وظاهر كلام الطبرسي المتقدّم ، والتعريف المحكيّ عن الشهيد الذي نسبه إلى المشهور وكذا تعريفه الآخر ، والظاهر منه حصر معنى الغيبة لدى الفقهاء بهما وأنّ عدم هذا القيد مفروغ عنه لديهم بل لدى غيرهم ، وظاهر معقد الإجماع المتقدّم ، وظاهر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تحريم اغتياب المؤمن ولو كان صدقاً</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لعلّه ظاهر جملة من كلمات اللغويين مثل الجوهري والطريحي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والاسم الغيبة وهو أن يتكلّم خلف إنسان مستور بما يغمّه لو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كونه بصدد بيان ماهية الغيبة ، فبعد بيان ماهيتها بذلك وبقوله قبله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اغتابه اغتياباً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قسّمها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يقال له الغيبة ، وقسم يقال</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البهتان ، فالمقسم غيبة ، والقسم كذلك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فالغيبة على ما هو ظاهر كلامه وكلام من عبّر بمثله لها معنىً عامّ مشترك بين البهتان والغيبة بالمعنى الخاصّ ، فيرجع كلامهم إلى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كالصريح في ذلك ، بل يمكن الاستظهار من كلام الجماعة أنّ هذا التقسيم للغيبة أمر حادث اصطلاحي ، فلو نوقش في الظهور فلا أقلّ من الاحتمال القريب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محتمل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حيث كان من دأبه ذكر المعاني المتعدّدة لشيء متعاقباً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وذكره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من</w:t>
      </w:r>
    </w:p>
    <w:p>
      <w:pPr>
        <w:pStyle w:val="BookText"/>
        <w:rPr/>
      </w:pPr>
      <w:r>
        <w:rPr>
          <w:rFonts w:ascii="Amiri" w:hAnsi="Amiri" w:eastAsia="Amiri" w:cs="Amiri"/>
          <w:color w:val="111111"/>
          <w:sz w:val="28"/>
          <w:sz w:val="28"/>
          <w:szCs w:val="28"/>
          <w:rtl w:val="true"/>
          <w:lang w:bidi="ar-SA"/>
        </w:rPr>
        <w:t xml:space="preserve">قبيل تعداد المعاني لا العطف التفسيري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العطف تفسيري ؛ لعدم جعل علامة التعداد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هو الظاهر من شأن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يَغْتَبْ بَعْضُكُمْ بَعْضاً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يَغْتَبْ بَعْضُكُمْ بَعْضاً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نزل في رجلين من أصحاب رسول اللّه‌ صلی الله علیه و آله وسلم ، اغتابا رفيقهما ، وهو سلمان بعثاه إلى رسول اللّه‌ صلی الله علیه و آله وسلم  ليأتي</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لهما بطعام ، فبعثه إلى اُسامة بن زيد خازن رسول اللّه‌ صلی الله علیه و آله وسلم  على رحله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عندي شيء فعاد إليهما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اُسامة ، وقالا لسلمان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بعثناه إلى بئر سميحة لغار ماؤها ، ثمّ انطلقا يتجسّسان عند اُسامة ما أمر لهما به رسول اللّه‌ صلی الله علیه و آله وسلم  فقال لهما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أرى خضرة اللحم في أفواهكما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ما تناولنا يومنا هذا لحماً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ظللتم تأكلون لحم سلمان واُسامة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الآية</w:t>
      </w:r>
      <w:r>
        <w:rPr>
          <w:rFonts w:eastAsia="IRNazanin" w:cs="IRNazanin"/>
          <w:color w:val="111111"/>
          <w:sz w:val="28"/>
          <w:szCs w:val="28"/>
          <w:rtl w:val="true"/>
          <w:lang w:bidi="fa-IR"/>
        </w:rPr>
        <w:t>»</w:t>
      </w:r>
      <w:r>
        <w:rPr>
          <w:rStyle w:val="FootnoteAnchor"/>
          <w:rtl w:val="true"/>
        </w:rPr>
        <w:footnoteReference w:id="1075"/>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ومعلوم أنّ سلمان واُسامة لم يكونا على ما وصفاهما ، فقد نزلت الآية حسب هذا النقل في مورد التهمة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الطبرسي الجزم بكون النزول لذلك ، ولا يخلو هذا النحو من الإرسال من مثله من نحو 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مقتضى إطلاق صحيحة هشام</w:t>
      </w:r>
      <w:r>
        <w:rPr>
          <w:rStyle w:val="FootnoteAnchor"/>
          <w:rtl w:val="true"/>
        </w:rPr>
        <w:footnoteReference w:id="1076"/>
      </w:r>
      <w:r>
        <w:rPr>
          <w:rFonts w:ascii="IRNazanin" w:hAnsi="IRNazanin" w:eastAsia="IRNazanin"/>
          <w:color w:val="111111"/>
          <w:sz w:val="28"/>
          <w:sz w:val="28"/>
          <w:szCs w:val="28"/>
          <w:rtl w:val="true"/>
          <w:lang w:bidi="fa-IR"/>
        </w:rPr>
        <w:t xml:space="preserve">ومرسلة ابن أبي عمير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في مؤمن ما رأته عيناه وسمعته اُذناه فهو من الذين قال اللّه </w:t>
      </w:r>
      <w:r>
        <w:rPr>
          <w:rFonts w:eastAsia="IRNazanin" w:cs="IRNazanin"/>
          <w:color w:val="111111"/>
          <w:sz w:val="28"/>
          <w:szCs w:val="28"/>
          <w:rtl w:val="true"/>
          <w:lang w:bidi="fa-IR"/>
        </w:rPr>
        <w:t>. . .»</w:t>
      </w:r>
      <w:r>
        <w:rPr>
          <w:rStyle w:val="FootnoteAnchor"/>
          <w:rtl w:val="true"/>
        </w:rPr>
        <w:footnoteReference w:id="1077"/>
      </w:r>
      <w:r>
        <w:rPr>
          <w:rFonts w:ascii="Amiri" w:hAnsi="Amiri" w:eastAsia="Amiri" w:cs="Amiri"/>
          <w:color w:val="111111"/>
          <w:sz w:val="28"/>
          <w:sz w:val="28"/>
          <w:szCs w:val="28"/>
          <w:rtl w:val="true"/>
          <w:lang w:bidi="ar-SA"/>
        </w:rPr>
        <w:t xml:space="preserve">، فإنّ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سمعته اُذناه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غير الموافق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الآية الكريمة واردة في قضيّة الإفك ومربوطة بها ، فراجع الكتاب العزيز وإن كان إطلاقها يشمل البهت وغيره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الظاهر من بعض الروايات ، مثل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عبداللّه علیه السلام ،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حدّثني أبي ، عن أبيه ، عن آبائه ، عن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اغتاب مؤمناً بما فيه لم يجمع اللّه بينهما في الجنّة أبداً ، ومن اغتاب مؤمناً بما ليس فيه فقد انقطعت العصمة بينهما وكان المغتاب في النار خالداً فيها وبئس المصير</w:t>
      </w:r>
      <w:r>
        <w:rPr>
          <w:rFonts w:eastAsia="IRNazanin" w:cs="IRNazanin"/>
          <w:color w:val="111111"/>
          <w:sz w:val="28"/>
          <w:szCs w:val="28"/>
          <w:rtl w:val="true"/>
          <w:lang w:bidi="fa-IR"/>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داود بن سرحان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يبعد الاعتماد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الغيبة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أن تقول لأخيك في دينه ما لم يفعل ، وتبثّ </w:t>
      </w:r>
    </w:p>
    <w:p>
      <w:pPr>
        <w:pStyle w:val="BookText"/>
        <w:rPr/>
      </w:pPr>
      <w:r>
        <w:rPr>
          <w:rFonts w:ascii="Amiri" w:hAnsi="Amiri" w:eastAsia="Amiri" w:cs="Amiri"/>
          <w:color w:val="111111"/>
          <w:sz w:val="28"/>
          <w:sz w:val="28"/>
          <w:szCs w:val="28"/>
          <w:rtl w:val="true"/>
          <w:lang w:bidi="ar-SA"/>
        </w:rPr>
        <w:t>عليه أمراً قد ستره اللّه عليه لم يقم عليه فيه حدّ</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المراد من صدرها أن تنسب إليه ما لم يفعل ممّا كان مقتضى الديانة تركه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فلان ، مع أ نّه لم يفعل ذلك ، كما هو ظاهره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المحكيّة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جبير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اغتاب مؤمناً بما فيه</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 xml:space="preserve">ثمّ ساق كما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الغيبة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ذكرك أخاك بما يكره</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البيهقي عن أبي هريرة عن النبي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ما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ذكرك أخاك بما يكره</w:t>
      </w:r>
      <w:r>
        <w:rPr>
          <w:rFonts w:eastAsia="IRNazanin" w:cs="IRNazanin"/>
          <w:color w:val="111111"/>
          <w:sz w:val="28"/>
          <w:szCs w:val="28"/>
          <w:rtl w:val="true"/>
          <w:lang w:bidi="fa-IR"/>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مقتضى كونه في مقام التحديد أن يكون مطلق ذكر الأخ بالمكروه غيبة ، كان فيه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 روايات لعلّها صارت منشأ توهّم اعتبار هذا القيد حتّى عند بعض أهل اللغة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وأخباره ، عن أبيذرّ في 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 ، سباب المسلم 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الغيبة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ذكرك أخاك بما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فإن كان فيه الذي يذكر به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 نّك إذا ذكرته بما فيه فقد اغتبته ، وإذا ذكرته بما ليس فيه فقد بهتّه</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أنّ مقتضى المقابلة بينهما أن يكونا عنوانين متباينين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جوابه عن السؤال عن ماهية الغيبة بأ 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ذكرك أخاك بما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التحديد أنّ ماهيتها عبارة عمّا ذكر ، كان فيه أم لا ، وكان سكوته عن ذكر القيد دليلاً على عدم دخالته فيها ، وكان عند أبيذرّ أيضاً مفروغاً عنه أنّ ذكره بما ليس فيه غيبة ، وإنّما سأل عن القسم الآخر هل هو غيبة أو لا ، وهو شاهد على أنّ ذكر ما لا يكون فيه داخل فيها عرفاً ، بل يكون دخوله أظهر ولم يحتج إلى السؤال ، فحينئذٍ لا يبقى ظهور لذيلها في مقابلتهما تقابل التباين لو سلّم ظهوره في نفسه ، بل الظاهر من الصدر والذيل أنّ ماهية الغيبة مطلق ذكر السوء ، وإذا لم يكن فيه يكون مع ذلك بهتاناً ، فيرجع إلى 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كان باطلاً فهو الغيبة في بهت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التحديد في الإطلاق أقوى من ظهور التقابل في كونه على نحو التباين ، مع أ نّه ليس بظهور بل إشعار لولا الاحتفاف بما ذكر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الرحمان بن سيابة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إليه صحيح وهو لا يخلو من مدح وحسن</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الغيبة أن تقول في أخيك </w:t>
      </w:r>
      <w:bookmarkStart w:id="395" w:name="pg15158_207201"/>
    </w:p>
    <w:p>
      <w:pPr>
        <w:pStyle w:val="BookText"/>
        <w:rPr/>
      </w:pPr>
      <w:bookmarkEnd w:id="395"/>
      <w:r>
        <w:rPr>
          <w:rFonts w:ascii="Amiri" w:hAnsi="Amiri" w:eastAsia="Amiri" w:cs="Amiri"/>
          <w:color w:val="111111"/>
          <w:sz w:val="28"/>
          <w:sz w:val="28"/>
          <w:szCs w:val="28"/>
          <w:rtl w:val="true"/>
          <w:lang w:bidi="ar-SA"/>
        </w:rPr>
        <w:t>ما ستره اللّه عليه ، وأمّا الأمر الظاهر مثل الحدّة والعجلة فلا ، والبهتان أن تقول فيه ما ليس فيه</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إلى احتمال أن تكون هي عين روايته الاُخرى عنه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الغيبة أن تقول في أخيك ما ستره اللّه عليه ، وإنّ من البهتان أن تقول في أخيك ما ليس فيه</w:t>
      </w:r>
      <w:r>
        <w:rPr>
          <w:rFonts w:eastAsia="IRNazanin" w:cs="IRNazanin"/>
          <w:color w:val="111111"/>
          <w:sz w:val="28"/>
          <w:szCs w:val="28"/>
          <w:rtl w:val="true"/>
          <w:lang w:bidi="fa-IR"/>
        </w:rPr>
        <w:t>»</w:t>
      </w:r>
      <w:r>
        <w:rPr>
          <w:rStyle w:val="FootnoteAnchor"/>
          <w:rtl w:val="true"/>
        </w:rPr>
        <w:footnoteReference w:id="1086"/>
      </w:r>
      <w:r>
        <w:rPr>
          <w:rFonts w:ascii="Amiri" w:hAnsi="Amiri" w:eastAsia="Amiri" w:cs="Amiri"/>
          <w:color w:val="111111"/>
          <w:sz w:val="28"/>
          <w:sz w:val="28"/>
          <w:szCs w:val="28"/>
          <w:rtl w:val="true"/>
          <w:lang w:bidi="ar-SA"/>
        </w:rPr>
        <w:t xml:space="preserve">الظاهرة في أنّ التعريف لقسم منهما، ولهما قسم أو أقسام اُخر، فتشعر أو تدلّ على أعمّيتها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منها أ نّه بصدد بيان أمر آخر وهو اعتبار كون ما يكره ممّا ستره اللّه عليه مقابل الأمر الظاهر كالحدّة ، لا بصدد</w:t>
      </w:r>
    </w:p>
    <w:p>
      <w:pPr>
        <w:pStyle w:val="BookText"/>
        <w:rPr/>
      </w:pPr>
      <w:r>
        <w:rPr>
          <w:rFonts w:ascii="Amiri" w:hAnsi="Amiri" w:eastAsia="Amiri" w:cs="Amiri"/>
          <w:color w:val="111111"/>
          <w:sz w:val="28"/>
          <w:sz w:val="28"/>
          <w:szCs w:val="28"/>
          <w:rtl w:val="true"/>
          <w:lang w:bidi="ar-SA"/>
        </w:rPr>
        <w:t xml:space="preserve">بيان ماهية الغيبة مطلقاً ، ومعه لا يستفاد منها اعتبار كونه فيه ، وذكر البهتان بما ذكر لا يدلّ على مقابلتهما بنحو التباين ، بل يصحّ ذلك ولو لاشتماله على زيادة هي الافتراء </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851690_2142443653"/>
      <w:bookmarkStart w:id="397" w:name="_Toc136"/>
      <w:bookmarkEnd w:id="396"/>
      <w:r>
        <w:rPr>
          <w:rtl w:val="true"/>
        </w:rPr>
        <w:t>النسبة بين الغيبة والبهتان</w:t>
      </w:r>
      <w:bookmarkEnd w:id="397"/>
    </w:p>
    <w:p>
      <w:pPr>
        <w:pStyle w:val="BookText"/>
        <w:rPr/>
      </w:pPr>
      <w:r>
        <w:rPr>
          <w:rFonts w:ascii="Amiri" w:hAnsi="Amiri" w:eastAsia="Amiri" w:cs="Amiri"/>
          <w:color w:val="111111"/>
          <w:sz w:val="28"/>
          <w:sz w:val="28"/>
          <w:szCs w:val="28"/>
          <w:rtl w:val="true"/>
          <w:lang w:bidi="ar-SA"/>
        </w:rPr>
        <w:t xml:space="preserve">بل التحقيق أنّ بين عنواني الغيبة والبهتان عموماً من وجه ، فإنّ الغيبة عرفاً ذكر السوء خلف المغتاب ، كان فيه أم لا ، والبهتان الافتراء عليه ، كان حاضراً أم غائباً ، فلا تقابل بينهما بالتباين ويصحّ التقابل بينهما لما ذكر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تدلّ الروايات على أنّ التقابل بالتباين ، فلا معارضة بينها وبين ما </w:t>
      </w:r>
    </w:p>
    <w:p>
      <w:pPr>
        <w:pStyle w:val="BookText"/>
        <w:rPr/>
      </w:pPr>
      <w:r>
        <w:rPr>
          <w:rFonts w:ascii="Amiri" w:hAnsi="Amiri" w:eastAsia="Amiri" w:cs="Amiri"/>
          <w:color w:val="111111"/>
          <w:sz w:val="28"/>
          <w:sz w:val="28"/>
          <w:szCs w:val="28"/>
          <w:rtl w:val="true"/>
          <w:lang w:bidi="ar-SA"/>
        </w:rPr>
        <w:t xml:space="preserve">تقدّمت ممّا هي في مقام تحديد الغيبة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يدفع توهّم عدم إمكان تعلّق حكمين وإرادتين على عنواني الأخصّ والأعمّ ؛ فإنّه على فرض صحّته إنّما هو في الأخصّ المطلق ، لا من وجه ، بل ولا مطلق الأخصّ المطلق ، بل فيما إذا أخذ عنوان الأعمّ في الأخصّ كالرقبة والرقبة المؤمنة ، لا فيما كانا كذلك بحسب الانطباق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 يظهر حال غيرها ممّا تشعر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كرواية منسوبة إلى يحيى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مجهول</w:t>
      </w:r>
      <w:r>
        <w:rPr>
          <w:rStyle w:val="FootnoteAnchor"/>
          <w:rtl w:val="true"/>
        </w:rPr>
        <w:footnoteReference w:id="1087"/>
      </w:r>
      <w:r>
        <w:rPr>
          <w:rFonts w:ascii="Amiri" w:hAnsi="Amiri" w:eastAsia="Amiri" w:cs="Amiri"/>
          <w:color w:val="111111"/>
          <w:sz w:val="28"/>
          <w:sz w:val="28"/>
          <w:szCs w:val="28"/>
          <w:rtl w:val="true"/>
          <w:lang w:bidi="ar-SA"/>
        </w:rPr>
        <w:t>، والرواية ضعيفة وإن كان الراوي عنه أبان وهو من أصحاب الإجماع ؛ لما قرّرناه في محلّه</w:t>
      </w:r>
      <w:r>
        <w:rPr>
          <w:rStyle w:val="FootnoteAnchor"/>
          <w:rtl w:val="true"/>
        </w:rPr>
        <w:footnoteReference w:id="1088"/>
      </w:r>
      <w:r>
        <w:rPr>
          <w:rFonts w:ascii="IRNazanin" w:hAnsi="IRNazanin" w:eastAsia="IRNazanin"/>
          <w:color w:val="111111"/>
          <w:sz w:val="28"/>
          <w:sz w:val="28"/>
          <w:szCs w:val="28"/>
          <w:rtl w:val="true"/>
          <w:lang w:bidi="fa-IR"/>
        </w:rPr>
        <w:t xml:space="preserve">من عدم تصحيح نقل أصحاب الإجماع من 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رجّحنا العمل بخصوص مرسلات ابن أبي عمير دون غيره ودون مسنداته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رجلاً من خلفه بما هو فيه ممّا عرفه الناس لم يغتبه ، ومن ذكره من خلفه بما هو فيه ممّا لا يعرفه الناس اغتابه ، ومن ذكره بما ليس فيه فقد بهتّه</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الغيبة أن تقول في أخيك ما ستره اللّه عليه ، وأمّا إذا قلت ما ليس فيه فذلك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احْتَمَلَ </w:t>
      </w:r>
      <w:bookmarkStart w:id="398" w:name="pg15158_207203"/>
    </w:p>
    <w:p>
      <w:pPr>
        <w:pStyle w:val="BookText"/>
        <w:rPr/>
      </w:pPr>
      <w:bookmarkEnd w:id="398"/>
      <w:r>
        <w:rPr>
          <w:rFonts w:ascii="Amiri" w:hAnsi="Amiri" w:eastAsia="Amiri" w:cs="Amiri"/>
          <w:color w:val="111111"/>
          <w:sz w:val="28"/>
          <w:sz w:val="28"/>
          <w:szCs w:val="28"/>
          <w:rtl w:val="true"/>
          <w:lang w:bidi="ar-SA"/>
        </w:rPr>
        <w:t xml:space="preserve">بُهْتَاناً وَإِثْماً مُبِيناً </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مرسلة الحسين بن سعيد عن أبي عبداللّه علیه السلام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في مؤمن ما ليس فيه حبسه اللّه في طينة خبال حتّى يخرج ممّا قال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الغيبة أن تقول في أخيك ما هو فيه ممّا ستره اللّه عزّ وجلّ ، فإذا قلت فيه ما ليس</w:t>
      </w:r>
    </w:p>
    <w:p>
      <w:pPr>
        <w:pStyle w:val="BookText"/>
        <w:rPr/>
      </w:pPr>
      <w:r>
        <w:rPr>
          <w:rFonts w:ascii="Amiri" w:hAnsi="Amiri" w:eastAsia="Amiri" w:cs="Amiri"/>
          <w:color w:val="111111"/>
          <w:sz w:val="28"/>
          <w:sz w:val="28"/>
          <w:szCs w:val="28"/>
          <w:rtl w:val="true"/>
          <w:lang w:bidi="ar-SA"/>
        </w:rPr>
        <w:t xml:space="preserve">فيه فذلك قول اللّه عزّ وجلّ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احْتَمَلَ بُهْتَاناً وَإِثْماً مُبِيناً </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مع إرسالها محمولة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جمعاً بينها وبين ما في مقام 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صِرف غيبته بلا انطباق عنوان آخر عليه ، وأمّا إذا لم يكن فيه فمشمول مع ذلك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احْتَمَلَ بُهْتَاناً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احتمال أن يكون فيها بصدد بيان قسم من الغيبة وهو الذي ستره اللّه عليه وكان فيه ، لا بصدد بيان ماهيتها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فالأظهر عدم اعتبار هذا القيد في عنوان الغيبة ، فلو كان لعنوانها أثر خاصّ ، يترتّب على من اغتاب مؤمناً بما ليس فيه ، كما لو قلنا بوجوب الاستحلال منه أو الاستغفار له </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851692_2142443653"/>
      <w:bookmarkStart w:id="400" w:name="_Toc137"/>
      <w:bookmarkEnd w:id="399"/>
      <w:r>
        <w:rPr>
          <w:rtl w:val="true"/>
        </w:rPr>
        <w:t>عدم اعتبار كراهة المغتاب في مفهوم الغيبة</w:t>
      </w:r>
      <w:bookmarkEnd w:id="400"/>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اعتبار كراهة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جملة من كتب اللغة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1092"/>
      </w:r>
      <w:r>
        <w:rPr>
          <w:rFonts w:ascii="Amiri" w:hAnsi="Amiri" w:eastAsia="Amiri" w:cs="Amiri"/>
          <w:color w:val="111111"/>
          <w:sz w:val="28"/>
          <w:sz w:val="28"/>
          <w:szCs w:val="28"/>
          <w:rtl w:val="true"/>
          <w:lang w:bidi="ar-SA"/>
        </w:rPr>
        <w:t xml:space="preserve">وجملة من </w:t>
      </w:r>
    </w:p>
    <w:p>
      <w:pPr>
        <w:pStyle w:val="BookText"/>
        <w:rPr/>
      </w:pPr>
      <w:r>
        <w:rPr>
          <w:rFonts w:ascii="Amiri" w:hAnsi="Amiri" w:eastAsia="Amiri" w:cs="Amiri"/>
          <w:color w:val="111111"/>
          <w:sz w:val="28"/>
          <w:sz w:val="28"/>
          <w:szCs w:val="28"/>
          <w:rtl w:val="true"/>
          <w:lang w:bidi="ar-SA"/>
        </w:rPr>
        <w:t>تعاريف الفقهاء</w:t>
      </w:r>
      <w:r>
        <w:rPr>
          <w:rStyle w:val="FootnoteAnchor"/>
          <w:rtl w:val="true"/>
        </w:rPr>
        <w:footnoteReference w:id="1093"/>
      </w:r>
      <w:r>
        <w:rPr>
          <w:rFonts w:ascii="Amiri" w:hAnsi="Amiri" w:eastAsia="Amiri" w:cs="Amiri"/>
          <w:color w:val="111111"/>
          <w:sz w:val="28"/>
          <w:sz w:val="28"/>
          <w:szCs w:val="28"/>
          <w:rtl w:val="true"/>
          <w:lang w:bidi="ar-SA"/>
        </w:rPr>
        <w:t xml:space="preserve">كالتعريفين المتقدّمين عن رسالة الشهيد الثاني والمحكيّ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البهائي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حقيقة الغيبة على ما في الأخبار أن تقول في أخيك ما يكرهه ممّا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المنقول المتقدّم</w:t>
      </w:r>
      <w:r>
        <w:rPr>
          <w:rStyle w:val="FootnoteAnchor"/>
          <w:rtl w:val="true"/>
        </w:rPr>
        <w:footnoteReference w:id="1094"/>
      </w:r>
      <w:r>
        <w:rPr>
          <w:rFonts w:ascii="IRNazanin" w:hAnsi="IRNazanin" w:eastAsia="IRNazanin"/>
          <w:color w:val="111111"/>
          <w:sz w:val="28"/>
          <w:sz w:val="28"/>
          <w:szCs w:val="28"/>
          <w:rtl w:val="true"/>
          <w:lang w:bidi="fa-IR"/>
        </w:rPr>
        <w:t xml:space="preserve">الذي حكاه شيخنا الأنصاري عن بعض من قارب عصره ولعلّه أوّل النراقيين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من تخلّل الاجتهاد ودعوى دلالة الروايات عليه ، كما صرّح به المحقّق الثاني في عبارته المتقدّمة ، وادّعى الشيخ الأنصاري دلالة جملة من الأخبار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التعريف دلّت جملة من الأخبار ، مثل قوله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سأله أبوذرّ عن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ذكرك أخاك بما يكرهه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نبوي آخر 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ما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ذكرك أخاك بما يكرهه</w:t>
      </w:r>
      <w:r>
        <w:rPr>
          <w:rFonts w:eastAsia="IRNazanin" w:cs="IRNazanin"/>
          <w:color w:val="111111"/>
          <w:sz w:val="28"/>
          <w:szCs w:val="28"/>
          <w:rtl w:val="true"/>
          <w:lang w:bidi="fa-IR"/>
        </w:rPr>
        <w:t>»</w:t>
      </w:r>
      <w:r>
        <w:rPr>
          <w:rStyle w:val="FootnoteAnchor"/>
          <w:rtl w:val="true"/>
        </w:rPr>
        <w:footnoteReference w:id="1095"/>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والأقوى عدم اعتباره في ماهية الغيبة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أثير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بعض أهل اللغة ، وهو صريح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في مفهومها العرفي ، وهو واضح ؛ لصدقها على ذكر السوء ولو لم يكرهه صاحبه ، ولهذا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كارهٍ لاغتيابه أو راضٍ به من غير تأوّل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بحسب الأخبار ؛ فإنّ مقتضى إطلاقها عدم اعتباره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كرواية داود بن سرحان وروايتي عبد الرحمان بن سيابة ورواية يحيى الأزرق وعبداللّه بن سنان المتقدّمات</w:t>
      </w:r>
      <w:r>
        <w:rPr>
          <w:rStyle w:val="FootnoteAnchor"/>
          <w:rtl w:val="true"/>
        </w:rPr>
        <w:footnoteReference w:id="1097"/>
      </w:r>
      <w:r>
        <w:rPr>
          <w:rFonts w:ascii="Amiri" w:hAnsi="Amiri" w:eastAsia="Amiri" w:cs="Amiri"/>
          <w:color w:val="111111"/>
          <w:sz w:val="28"/>
          <w:sz w:val="28"/>
          <w:szCs w:val="28"/>
          <w:rtl w:val="true"/>
          <w:lang w:bidi="ar-SA"/>
        </w:rPr>
        <w:t xml:space="preserve">، وغيرها ممّا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 بل ومرسلة ابن أبي عمير</w:t>
      </w:r>
      <w:r>
        <w:rPr>
          <w:rStyle w:val="FootnoteAnchor"/>
          <w:rtl w:val="true"/>
        </w:rPr>
        <w:footnoteReference w:id="1100"/>
      </w:r>
      <w:r>
        <w:rPr>
          <w:rFonts w:ascii="IRNazanin" w:hAnsi="IRNazanin" w:eastAsia="IRNazanin"/>
          <w:color w:val="111111"/>
          <w:sz w:val="28"/>
          <w:sz w:val="28"/>
          <w:szCs w:val="28"/>
          <w:rtl w:val="true"/>
          <w:lang w:bidi="fa-IR"/>
        </w:rPr>
        <w:t xml:space="preserve">، وصحيحة هشام 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في مؤمن ما رأته عيناه وسمعته اُذناه فهو من الذين قال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w:t>
      </w:r>
      <w:r>
        <w:rPr>
          <w:rFonts w:eastAsia="IRNazanin" w:cs="IRNazanin"/>
          <w:color w:val="111111"/>
          <w:sz w:val="28"/>
          <w:szCs w:val="28"/>
          <w:rtl w:val="true"/>
          <w:lang w:bidi="fa-IR"/>
        </w:rPr>
        <w:t>. .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مشى في عيب أخيه وكشف عورته كان أوّل خطوة خطاها وضعها في جهنّم ، وكشف اللّه عورته على رؤوس الخلائق</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أنّ المراد بما ذكر فيهما هو الغيبة ، لا عنوان آخر غيرها كما تمسّك بهما الفقهاء في حرمتها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النبويان المتقدّمان في كلام الشيخ</w:t>
      </w:r>
      <w:r>
        <w:rPr>
          <w:rStyle w:val="FootnoteAnchor"/>
          <w:rtl w:val="true"/>
        </w:rPr>
        <w:footnoteReference w:id="1104"/>
      </w:r>
      <w:r>
        <w:rPr>
          <w:rFonts w:ascii="Amiri" w:hAnsi="Amiri" w:eastAsia="Amiri" w:cs="Amiri"/>
          <w:color w:val="111111"/>
          <w:sz w:val="28"/>
          <w:sz w:val="28"/>
          <w:szCs w:val="28"/>
          <w:rtl w:val="true"/>
          <w:lang w:bidi="ar-SA"/>
        </w:rPr>
        <w:t xml:space="preserve">، فالنسخ التي عندنا 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110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110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107"/>
      </w:r>
      <w:r>
        <w:rPr>
          <w:rFonts w:ascii="Amiri" w:hAnsi="Amiri" w:eastAsia="Amiri" w:cs="Amiri"/>
          <w:color w:val="111111"/>
          <w:sz w:val="28"/>
          <w:sz w:val="28"/>
          <w:szCs w:val="28"/>
          <w:rtl w:val="true"/>
          <w:lang w:bidi="ar-SA"/>
        </w:rPr>
        <w:t>حاكي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110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للشهيد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جاء على المشهور قول النبي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فساق الحديث</w:t>
      </w:r>
      <w:r>
        <w:rPr>
          <w:rStyle w:val="FootnoteAnchor"/>
          <w:rtl w:val="true"/>
        </w:rPr>
        <w:footnoteReference w:id="1109"/>
      </w:r>
      <w:r>
        <w:rPr>
          <w:rFonts w:ascii="Amiri" w:hAnsi="Amiri" w:eastAsia="Amiri" w:cs="Amiri"/>
          <w:color w:val="111111"/>
          <w:sz w:val="28"/>
          <w:sz w:val="28"/>
          <w:szCs w:val="28"/>
          <w:rtl w:val="true"/>
          <w:lang w:bidi="ar-SA"/>
        </w:rPr>
        <w:t xml:space="preserve">، والمحكيّ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w:t>
      </w:r>
      <w:r>
        <w:rPr>
          <w:rStyle w:val="FootnoteAnchor"/>
          <w:rtl w:val="true"/>
        </w:rPr>
        <w:footnoteReference w:id="1110"/>
      </w:r>
      <w:r>
        <w:rPr>
          <w:rFonts w:ascii="Amiri" w:hAnsi="Amiri" w:eastAsia="Amiri" w:cs="Amiri"/>
          <w:color w:val="111111"/>
          <w:sz w:val="28"/>
          <w:sz w:val="28"/>
          <w:szCs w:val="28"/>
          <w:rtl w:val="true"/>
          <w:lang w:bidi="ar-SA"/>
        </w:rPr>
        <w:t xml:space="preserve">للنراقي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ذكرك أخاك بما يكره</w:t>
      </w:r>
      <w:r>
        <w:rPr>
          <w:rFonts w:eastAsia="Amiri" w:cs="Amiri" w:ascii="Amiri" w:hAnsi="Amiri"/>
          <w:color w:val="111111"/>
          <w:sz w:val="28"/>
          <w:szCs w:val="28"/>
          <w:rtl w:val="true"/>
          <w:lang w:bidi="ar-SA"/>
        </w:rPr>
        <w:t>»</w:t>
      </w:r>
      <w:r>
        <w:rPr>
          <w:rStyle w:val="FootnoteAnchor"/>
          <w:rtl w:val="true"/>
        </w:rPr>
        <w:footnoteReference w:id="1111"/>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نقل الشيخ</w:t>
      </w:r>
      <w:r>
        <w:rPr>
          <w:rStyle w:val="FootnoteAnchor"/>
          <w:rtl w:val="true"/>
        </w:rPr>
        <w:footnoteReference w:id="1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رواهما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113"/>
      </w:r>
      <w:r>
        <w:rPr>
          <w:rFonts w:ascii="Amiri" w:hAnsi="Amiri" w:eastAsia="Amiri" w:cs="Amiri"/>
          <w:color w:val="111111"/>
          <w:sz w:val="28"/>
          <w:sz w:val="28"/>
          <w:szCs w:val="28"/>
          <w:rtl w:val="true"/>
          <w:lang w:bidi="ar-SA"/>
        </w:rPr>
        <w:t xml:space="preserve">وهو من غلط النسخة أو سهو قلمه الشريف ، والنسخة الصحيحة ما نقلناه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والمظنون أن يكون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المجهول، فتساوق مع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قيل باحتمال كونها على صيغة المعلوم محذوفاً مفعولها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بُعده في الجملة ، إنّ غاية الأمر تكون مجملة لا تصلح لتقييد المطلقات المتقدّمة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واحتمال انصراف الأدلّة عمّا إذا رضي المغتاب أو لم يكرهه سيّما أنّ ترك الغيبة من حقوق الاُخوّة ومع عدم الكراهة أو الرضا بها يكون بمنزلة الإسقاط ، في غاية الوهن والضعف ؛ ضرورة أنّ إفشاء ما ستره اللّه تعالى على عباده من نحو المعاصي والقبائح والأعراض لا يجوز حتّى على الفاعل أو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أوجب هتكه وهتك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غيره ، وهو ليس من الحقوق التي جاز إسقاطها ، وليس كلّ ما سمّي حقّاً بين الأخوين جائز الإسقاط ، فإنّ عدم الخيانة أيضاً عدّ من الحقوق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الشارع لا يرضى بكشف ستر المؤمن مطلقاً ؛ رضي به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صونوا أعراضكم</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وظنّي ورود ما دلّت على عدم جواز هتك المؤمن عرضه ، وأنّ عرضه ليس بيده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أن يذلّ نفسه</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فوّض إلى المؤمن كلّ شيء إلاّ إذلال نفسه</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 xml:space="preserve">،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الانصراف لا وجه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الوجود لا توجب الانصراف، بل المناسبات تقتضي قوّة الإطلاق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أنّ رفع اليد عن إطلاق الآيات والروايات والتشديدات </w:t>
      </w:r>
    </w:p>
    <w:p>
      <w:pPr>
        <w:pStyle w:val="BookText"/>
        <w:rPr/>
      </w:pPr>
      <w:r>
        <w:rPr>
          <w:rFonts w:ascii="Amiri" w:hAnsi="Amiri" w:eastAsia="Amiri" w:cs="Amiri"/>
          <w:color w:val="111111"/>
          <w:sz w:val="28"/>
          <w:sz w:val="28"/>
          <w:szCs w:val="28"/>
          <w:rtl w:val="true"/>
          <w:lang w:bidi="ar-SA"/>
        </w:rPr>
        <w:t xml:space="preserve">والاهتمامات الواردة في حرمة غيبة المؤمن وإذاعة سرّه وهتكه وتعييبه وغير ذلك ، غير 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فالأظهر الأقوى عدم اعتبار هذا القيد ، وليس الكلام هاهنا في المتجاهر والمتهتّك الذي لا يبالي بما قيل أو يقال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ما ذكرناه من عدم اعتبار كراهته يسقط البحث عن أنّ المراد بكراهته كراهة وجوده أو كراهة ظهوره أو كراهة ذكره ، وأنّ المراد بالموصول هل هو نفس النقيصة أو الكلام الذي يذكر الشخص به ، إلى آخر ما قاله الشيخ الأنصاري</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مبنيّة على ثبوت الرواية بنحو ما نقلها ، أو ترجيح احتمال البناء للفاعل ، وكلاهما غير سديد ؛ أمّا الأوّل فقد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فالأرجح بالنظر البناء للمفعول ، فتكون الرواية مطابقة لسائر الأدلّة المستدلّ بها لحرمة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نوقش فيه فلا ترجيح للاحتمال الآخر ، فتكون مجملة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اعتبار مستورية العيب في مفهوم الغيبة</w:t>
      </w:r>
    </w:p>
    <w:p>
      <w:pPr>
        <w:pStyle w:val="BookText"/>
        <w:rPr/>
      </w:pPr>
      <w:r>
        <w:rPr>
          <w:rFonts w:ascii="Amiri" w:hAnsi="Amiri" w:eastAsia="Amiri" w:cs="Amiri"/>
          <w:color w:val="111111"/>
          <w:sz w:val="28"/>
          <w:sz w:val="28"/>
          <w:szCs w:val="28"/>
          <w:rtl w:val="true"/>
          <w:lang w:bidi="ar-SA"/>
        </w:rPr>
        <w:t xml:space="preserve">ثمّ إنّ قيد مستورية العيب أيضاً ليس من قيود موضوعها عرفاً ولغةً ، كما تشهد به جميع الكلمات المتقدّمة من اللغويين والتعاريف المتقدّمة من الفقهاء ، فإنّه ليس في واحد منها ذكر عن اعتباره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ربّما يقال بظهور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اعتباره ؛ </w:t>
      </w:r>
    </w:p>
    <w:p>
      <w:pPr>
        <w:pStyle w:val="BookText"/>
        <w:rPr/>
      </w:pPr>
      <w:r>
        <w:rPr>
          <w:rFonts w:ascii="Amiri" w:hAnsi="Amiri" w:eastAsia="Amiri" w:cs="Amiri"/>
          <w:color w:val="111111"/>
          <w:sz w:val="28"/>
          <w:sz w:val="28"/>
          <w:szCs w:val="28"/>
          <w:rtl w:val="true"/>
          <w:lang w:bidi="ar-SA"/>
        </w:rPr>
        <w:t xml:space="preserve">حيث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أن يتكلّم خلف إنسان مستور بما يغمّه لو سمعه</w:t>
      </w:r>
      <w:r>
        <w:rPr>
          <w:rFonts w:eastAsia="Amiri" w:cs="Amiri" w:ascii="Amiri" w:hAnsi="Amiri"/>
          <w:color w:val="111111"/>
          <w:sz w:val="28"/>
          <w:szCs w:val="28"/>
          <w:rtl w:val="true"/>
          <w:lang w:bidi="ar-SA"/>
        </w:rPr>
        <w:t>»</w:t>
      </w:r>
      <w:r>
        <w:rPr>
          <w:rStyle w:val="FootnoteAnchor"/>
          <w:rtl w:val="true"/>
        </w:rPr>
        <w:footnoteReference w:id="1119"/>
      </w:r>
      <w:r>
        <w:rPr>
          <w:rFonts w:ascii="Amiri" w:hAnsi="Amiri" w:eastAsia="Amiri" w:cs="Amiri"/>
          <w:color w:val="111111"/>
          <w:sz w:val="28"/>
          <w:sz w:val="28"/>
          <w:szCs w:val="28"/>
          <w:rtl w:val="true"/>
          <w:lang w:bidi="ar-SA"/>
        </w:rPr>
        <w:t xml:space="preserve">فإنّه ظاهر في التكلّم بشيء مستور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 فإنّ المراد بالإنسان المستور هو العفيف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ورجل مستور وستير ؛ أي عفيف والجارية ستيرة</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الستير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العفيف كالمستور</w:t>
      </w:r>
      <w:r>
        <w:rPr>
          <w:rFonts w:eastAsia="Amiri" w:cs="Amiri" w:ascii="Amiri" w:hAnsi="Amiri"/>
          <w:color w:val="111111"/>
          <w:sz w:val="28"/>
          <w:szCs w:val="28"/>
          <w:rtl w:val="true"/>
          <w:lang w:bidi="ar-SA"/>
        </w:rPr>
        <w:t>»</w:t>
      </w:r>
      <w:r>
        <w:rPr>
          <w:rStyle w:val="FootnoteAnchor"/>
          <w:rtl w:val="true"/>
        </w:rPr>
        <w:footnoteReference w:id="1121"/>
      </w:r>
      <w:r>
        <w:rPr>
          <w:rFonts w:ascii="Amiri" w:hAnsi="Amiri" w:eastAsia="Amiri" w:cs="Amiri"/>
          <w:color w:val="111111"/>
          <w:sz w:val="28"/>
          <w:sz w:val="28"/>
          <w:szCs w:val="28"/>
          <w:rtl w:val="true"/>
          <w:lang w:bidi="ar-SA"/>
        </w:rPr>
        <w:t xml:space="preserve">ونحوهما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هذا القيد في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الرواية المنقولة عن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ألقى جلباب الحياء عن وجهه فلا غيبة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القطب الراوندي</w:t>
      </w:r>
      <w:r>
        <w:rPr>
          <w:rStyle w:val="FootnoteAnchor"/>
          <w:rtl w:val="true"/>
        </w:rPr>
        <w:footnoteReference w:id="1123"/>
      </w:r>
      <w:r>
        <w:rPr>
          <w:rFonts w:ascii="IRNazanin" w:hAnsi="IRNazanin" w:eastAsia="IRNazanin"/>
          <w:color w:val="111111"/>
          <w:sz w:val="28"/>
          <w:sz w:val="28"/>
          <w:szCs w:val="28"/>
          <w:rtl w:val="true"/>
          <w:lang w:bidi="fa-IR"/>
        </w:rPr>
        <w:t xml:space="preserve">، ورواها الشهيد عن النبي صلی الله علیه و آله وسلم </w:t>
      </w:r>
      <w:r>
        <w:rPr>
          <w:rStyle w:val="FootnoteAnchor"/>
          <w:rtl w:val="true"/>
        </w:rPr>
        <w:footnoteReference w:id="1124"/>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البيهقي عنه صلی الله علیه و آله وسلم </w:t>
      </w:r>
      <w:r>
        <w:rPr>
          <w:rStyle w:val="FootnoteAnchor"/>
          <w:rtl w:val="true"/>
        </w:rPr>
        <w:footnoteReference w:id="1125"/>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المفيد عن أبي الحسن الرضا علیه السلام</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من كلمات اللغويين والفقهاء في مقام التحديد والتعريف </w:t>
      </w:r>
    </w:p>
    <w:p>
      <w:pPr>
        <w:pStyle w:val="BookText"/>
        <w:rPr/>
      </w:pPr>
      <w:r>
        <w:rPr>
          <w:rFonts w:ascii="Amiri" w:hAnsi="Amiri" w:eastAsia="Amiri" w:cs="Amiri"/>
          <w:color w:val="111111"/>
          <w:sz w:val="28"/>
          <w:sz w:val="28"/>
          <w:szCs w:val="28"/>
          <w:rtl w:val="true"/>
          <w:lang w:bidi="ar-SA"/>
        </w:rPr>
        <w:t xml:space="preserve">عدم اعتباره في مفهوم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الآية أو الآيات والروايات بإطلاقها على حرمتها في عيب مستور وغيره ، ولا بدّ في استثنائه ومقدار ذلك من التماس دليل صالح لتقييدها وكان الأولى ذكره وكذا ذكر بعض ما تقدّم في المستثنيات ، والأمر سهل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الروايات التي يمكن الاستدلال بها على الاستثناء رواية عبداللّه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الغيبة أن تقول في أخيك ما قد ستره اللّه عليه</w:t>
      </w:r>
      <w:r>
        <w:rPr>
          <w:rFonts w:eastAsia="IRNazanin" w:cs="IRNazanin"/>
          <w:color w:val="111111"/>
          <w:sz w:val="28"/>
          <w:szCs w:val="28"/>
          <w:rtl w:val="true"/>
          <w:lang w:bidi="fa-IR"/>
        </w:rPr>
        <w:t>»</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منها رواية عبدالرحمان بن سيابة</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المراد بما ستره اللّه عليه ما يكون مستوراً تكويناً مقابل المكشوف تكويناً ، فمثل العمى والبرص والعور وطول القامة وقصرها مكشوف ولو فرض ستره بساتر كالعمامة والقميص ونحوهما ، ومثل الجبن والبخل والحرص والطمع مستور ولو فرض كشفها بالآثار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ضعف هذا الاحتمال ولو بقرينة سائر الروايات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الأظهر أنّ المراد بها مستوريتها عن الناس مقابل مكشوفيتها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فالبرص المستور عن أعين الناس يكون ممّا ستره اللّه تعالى عليه ، والبخل المكشوف لديهم بآثاره ممّا كشفه اللّه تعالى وهو من العيب الظاهر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الموافق لسائر الروايات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كرواية داود بن سرحان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الغيبة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تقول لأخيك في دينه ما لم يفعل وتبثّ عليه أمراً قد ستره اللّه عليه لم يقم عليه فيه حدّ</w:t>
      </w:r>
      <w:r>
        <w:rPr>
          <w:rFonts w:eastAsia="IRNazanin" w:cs="IRNazanin"/>
          <w:color w:val="111111"/>
          <w:sz w:val="28"/>
          <w:szCs w:val="28"/>
          <w:rtl w:val="true"/>
          <w:lang w:bidi="fa-IR"/>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عبد الرحمان بن سيابة ، حيث مثّل فيها للأمر الظاهر بمثل الحدّة والعجلة</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وأوضح منهما رواية يحيى الأزرق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ذكر رجلاً من خلفه بما هو فيه ممّا عرفه الناس لم يغتبه ، ومن ذكره من خلفه بما هو فيه ممّا لا يعرفه الناس اغتابه</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فالميزان هو المستورية والمعروفية 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المعروفية بين جميع الناس ، بل المراد هو المعروفية العرفية ، كمن كان معروفاً في بلد أو طائفة وقبيلة بل عند جمع معتدّ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يقع الكلام في أنّ المعروفية في بلد مثلاً توجب جواز غيبته مطلقاً حتّى في بلد آخر ولدى أشخاص اُخر كان العيب مستوراً عنهم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الجواز مقصور بغيبته لدى العارفين ، فإذا صار معروفاً لدى الناس جازت عندهم 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أنّ الجواز وعدمه دائر مدار علم السامع وعدمه ولو لم يكن معروفاً لدى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المعروفية عند الناس عرفاً موضوعة للجواز مطلقاً ، أو لدى العارفين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الموضوع للجواز معلوميته لدى المستمع ، فتكون الغيبة المحرّمة عبارة عن كشف ستر المؤمن ؛ فمع علم السامع لم يكن ذكره كشفاً لستره ، ومع جهله يكون كشفاً ولو كان مكشوفاً لدى غيره بل في بلده ولدى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الأقرب بنظر العرف ولو بمناسبة الحكم والموضوع هو الأخير ؛ لصدق الستر عليه بالإضافة إلى هذا الشخص ، وليس المراد بالستر الستر من جميع الناس حتّى يكون الكشف عند واحد كافياً لجوازها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 نّه ليس المراد به الستر من جميع الناس كذلك ليس المراد</w:t>
      </w:r>
    </w:p>
    <w:p>
      <w:pPr>
        <w:pStyle w:val="BookText"/>
        <w:rPr/>
      </w:pPr>
      <w:r>
        <w:rPr>
          <w:rFonts w:ascii="Amiri" w:hAnsi="Amiri" w:eastAsia="Amiri" w:cs="Amiri"/>
          <w:color w:val="111111"/>
          <w:sz w:val="28"/>
          <w:sz w:val="28"/>
          <w:szCs w:val="28"/>
          <w:rtl w:val="true"/>
          <w:lang w:bidi="ar-SA"/>
        </w:rPr>
        <w:t xml:space="preserve">بمثل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ستره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الستر عن واحد واثنين مع مكشوفيته لدى أهل بلده ، ففي مثله لا يصدق أنّ ذلك ممّا ستره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إن كان مستوراً لدى الناس وقد علم به واحد أو اثنان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كشف عيبه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فالستر والكشف وإن لم يكونا هو الكشف والستر لدى جميع الناس لكنّهما لدى العرف عبارة عن حصولهما بنحو معتدّ به ؛ بحيث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معروف بذلك لدى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ستره اللّه عليه أو كشف اللّه ستره ، فلا يجوز ذكره حتّى لدى العارف به إلاّ مع معروفيته به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ولو بمناسبات يفهم من مثل الرواية أ نّه ليس لأحد </w:t>
      </w:r>
    </w:p>
    <w:p>
      <w:pPr>
        <w:pStyle w:val="BookText"/>
        <w:rPr/>
      </w:pPr>
      <w:r>
        <w:rPr>
          <w:rFonts w:ascii="Amiri" w:hAnsi="Amiri" w:eastAsia="Amiri" w:cs="Amiri"/>
          <w:color w:val="111111"/>
          <w:sz w:val="28"/>
          <w:sz w:val="28"/>
          <w:szCs w:val="28"/>
          <w:rtl w:val="true"/>
          <w:lang w:bidi="ar-SA"/>
        </w:rPr>
        <w:t xml:space="preserve">كشف ما ستره اللّه على عبده ، ولا ذكره ولو لم يكن كشفاً ولم يكن مستوراً ، وأ نّه تعالى نهى عن بثّ الفاحشة وإشاعتها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للذكر أثر في الطرف ويكون ذكره وعدم ذكره سواء بالنسبة إلى كشف الستر والعورة ، فالرواية قاصرة عن إثبات حرمته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منها أنّ العبد لا بدّ في ذلك أن يكون تابعاً للّه تعالى في أصل الستر ومقداره ؛ فإن ستره اللّه مطلقاً ستره كذلك وإن كشفه كشفه بمقداره ، لا أزيد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مشكل بعد إطلاق الكتاب والسنّة وبعد أخذ عناوين في الروايات المجوّزة ممّا يرى العرف عناية القائل بها ،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ستره اللّه عليه لم يقم عليه فيه حدّ</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أنّ المراد بعدم قيام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بيان تحديد مقدار الانتشار ، وأ نّه إذا صار محدوداً يصير لا محالة معروفاً بذلك وانتشر عيبه فلا يكون ذكره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منه العناية بذكر التحديد ، وليس قيام الحدّ وعدمه موضوعاً ، كما لا يخفى ، سيّما مع قرينية سائر الروايات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الأمر الظاهر مثل الحدّة والعجلة فلا</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 xml:space="preserve">، ظاهر بمؤونة المثال في أنّ الميزان انتشار صفته كانتشار عجلته وحدّته ، فإنّهما لا يخفيان على نوع من عاشره </w:t>
      </w:r>
      <w:r>
        <w:rPr>
          <w:rFonts w:eastAsia="Amiri" w:cs="Amiri" w:ascii="Amiri" w:hAnsi="Amiri"/>
          <w:color w:val="111111"/>
          <w:sz w:val="28"/>
          <w:szCs w:val="28"/>
          <w:rtl w:val="true"/>
          <w:lang w:bidi="ar-SA"/>
        </w:rPr>
        <w:t xml:space="preserve">. </w:t>
      </w:r>
      <w:bookmarkStart w:id="401" w:name="pg15158_207214"/>
    </w:p>
    <w:p>
      <w:pPr>
        <w:pStyle w:val="BookText"/>
        <w:rPr/>
      </w:pPr>
      <w:bookmarkEnd w:id="401"/>
      <w:r>
        <w:rPr>
          <w:rFonts w:ascii="Amiri" w:hAnsi="Amiri" w:eastAsia="Amiri" w:cs="Amiri"/>
          <w:color w:val="111111"/>
          <w:sz w:val="28"/>
          <w:sz w:val="28"/>
          <w:szCs w:val="28"/>
          <w:rtl w:val="true"/>
          <w:lang w:bidi="ar-SA"/>
        </w:rPr>
        <w:t>وأوضح منهما رواية الأزرق التي علّق فيها الحكم على معرفة الناس</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فإلغاء الخصوصية من تلك الروايات مشكل بل ممنوع </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851694_2142443653"/>
      <w:bookmarkStart w:id="403" w:name="_Toc138"/>
      <w:bookmarkEnd w:id="402"/>
      <w:r>
        <w:rPr>
          <w:rtl w:val="true"/>
        </w:rPr>
        <w:t>معنى الستر الوارد في رواية العيّاشي</w:t>
      </w:r>
      <w:bookmarkEnd w:id="403"/>
    </w:p>
    <w:p>
      <w:pPr>
        <w:pStyle w:val="BookText"/>
        <w:rPr/>
      </w:pPr>
      <w:r>
        <w:rPr>
          <w:rFonts w:ascii="Amiri" w:hAnsi="Amiri" w:eastAsia="Amiri" w:cs="Amiri"/>
          <w:color w:val="111111"/>
          <w:sz w:val="28"/>
          <w:sz w:val="28"/>
          <w:szCs w:val="28"/>
          <w:rtl w:val="true"/>
          <w:lang w:bidi="ar-SA"/>
        </w:rPr>
        <w:t xml:space="preserve">وملخّص القول في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رواية العيّاشي</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الجزم بعدم كون المراد ممّا ستره اللّه عليه الستر التكويني كما تقدّم احتماله ، وبعد معلومية أنّ المراد المستورية أو المكشوفية لدى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الستر المطلق موضوعاً للحرمة مقابل الكشف في الجملة ؛ فإذا كان العيب مستوراً عن الناس مطلقاً يكون ذكره غيبة محرّمة ، وإذا لم يكن كذلك ولو بظهوره عند بعض الناس لا يكون ذكره غيبة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ذلك ، وهو أن يكون الستر في الجملة موضوعاً لها مقابل الكشف المطلق لا بمعنى كشفه لدى جميع الناس بل بمعنى كشفه عند من يعرف هذا الرجل ، بمعنى أنّ كلّ من يعرفه ، يعرفه بهذا العيب ، فإذا كان مستوراً عند بعض يكون ذكره غيبة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بالستر ومقابله ، الستر والكشف العرفي ؛ أي الستر بمقدار يقال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مستور عن الناس ، والكشف كذلك ، فلا ينافي علم بعض ولا جهله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الأخير أقرب الاحتمالات ، بل هو المتعيّن بملاحظة سائر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رواية داود بن سرحان</w:t>
      </w:r>
      <w:r>
        <w:rPr>
          <w:rStyle w:val="FootnoteAnchor"/>
          <w:rtl w:val="true"/>
        </w:rPr>
        <w:footnoteReference w:id="1136"/>
      </w:r>
      <w:r>
        <w:rPr>
          <w:rFonts w:ascii="Amiri" w:hAnsi="Amiri" w:eastAsia="Amiri" w:cs="Amiri"/>
          <w:color w:val="111111"/>
          <w:sz w:val="28"/>
          <w:sz w:val="28"/>
          <w:szCs w:val="28"/>
          <w:rtl w:val="true"/>
          <w:lang w:bidi="ar-SA"/>
        </w:rPr>
        <w:t xml:space="preserve">كالصريحة في هذا الاحتمال ؛ ضرورة أنّ قبل قيام الحدّ كان العيب معلوماً عند بعض كالقاضي والشهود بل ومأمور الإجراء ، فيظهر منها عدم الاكتفاء بهذا القدر من المعلومية ، بل لا بدّ من انتشار نحو انتشاره بجريان الحدّ ، كما أنّ هذا النحو من الانتشار ليس انتشاراً مطلقاً ولا مقابله مستورية مطلقة وكذا الحال في سائر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منها هو الانتشار والاستتار العرفيان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المتيقّن منها أ نّه عند الانتشار والمعروفية عند الناس عرفاً لا يكون غيبة عند العارفين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مقتضى إطلاقها جوازها لدى غيرهم ، لكنّه لا يخلو من إشكال ؛ لعدم الإطلاق في مفهوم رواية عبداللّه بن سنان</w:t>
      </w:r>
      <w:r>
        <w:rPr>
          <w:rStyle w:val="FootnoteAnchor"/>
          <w:rtl w:val="true"/>
        </w:rPr>
        <w:footnoteReference w:id="1137"/>
      </w:r>
      <w:r>
        <w:rPr>
          <w:rFonts w:ascii="Amiri" w:hAnsi="Amiri" w:eastAsia="Amiri" w:cs="Amiri"/>
          <w:color w:val="111111"/>
          <w:sz w:val="28"/>
          <w:sz w:val="28"/>
          <w:szCs w:val="28"/>
          <w:rtl w:val="true"/>
          <w:lang w:bidi="ar-SA"/>
        </w:rPr>
        <w:t xml:space="preserve">إن قلنا بأصل المفهوم ؛ لكونها في مقام تحديد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إطلاقه بالنسبة إلى العارف وغيره فغير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رواية عبد الرحمان بن سيابة بطريق الحسن بن محبوب ، بل هي أولى بعدم المفهوم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الغيبة أن تقول </w:t>
      </w:r>
      <w:r>
        <w:rPr>
          <w:rFonts w:eastAsia="Amiri" w:cs="Amiri" w:ascii="Amiri" w:hAnsi="Amiri"/>
          <w:color w:val="111111"/>
          <w:sz w:val="28"/>
          <w:szCs w:val="28"/>
          <w:rtl w:val="true"/>
          <w:lang w:bidi="ar-SA"/>
        </w:rPr>
        <w:t>. . .»</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رواية داود بن سرحان</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إطلاق في مفاهيم هذه الروايات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ورواية الأزرق</w:t>
      </w:r>
      <w:r>
        <w:rPr>
          <w:rStyle w:val="FootnoteAnchor"/>
          <w:rtl w:val="true"/>
        </w:rPr>
        <w:footnoteReference w:id="1140"/>
      </w:r>
      <w:r>
        <w:rPr>
          <w:rFonts w:ascii="Amiri" w:hAnsi="Amiri" w:eastAsia="Amiri" w:cs="Amiri"/>
          <w:color w:val="111111"/>
          <w:sz w:val="28"/>
          <w:sz w:val="28"/>
          <w:szCs w:val="28"/>
          <w:rtl w:val="true"/>
          <w:lang w:bidi="ar-SA"/>
        </w:rPr>
        <w:t xml:space="preserve">مع ضعفها لا يبعد أن يقال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رجلاً من خلفه بما هو فيه ممّا عرفه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 عندهم ، كما أنّ المراد بالجملة الثانية أن يذكره عند غير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فإطلاقها أيضاً 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رواية واحدة هي رواية عبد الرحمان بن سيابة بطريق يونس</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 تسليم إطلاقها وعدم القول بانصرافها إلى ذكره عند من يعرفه بذلك ، لا يمكن رفع اليد عن إطلاق الآيات والروايات الكثيرة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كون الراوي عن يونس بن عبد الرحمان ، محمّد بن عيسى ، وقد استثناه ابن الوليد من رجال يونس وتبعه الصدوق وضعّفه جمع</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وإن لم نقل بضعفه لكن العمل برواياته في خصوص مورد الاستثناء مشكل سيّما في مثل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ورود توثيق ممّن يعتمد على توثيقاته في عبد الرحمان بن سيابة ، بل رماه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حكي</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بالجهالة</w:t>
      </w:r>
      <w:r>
        <w:rPr>
          <w:rStyle w:val="FootnoteAnchor"/>
          <w:rtl w:val="true"/>
        </w:rPr>
        <w:footnoteReference w:id="1144"/>
      </w:r>
      <w:r>
        <w:rPr>
          <w:rFonts w:ascii="Amiri" w:hAnsi="Amiri" w:eastAsia="Amiri" w:cs="Amiri"/>
          <w:color w:val="111111"/>
          <w:sz w:val="28"/>
          <w:sz w:val="28"/>
          <w:szCs w:val="28"/>
          <w:rtl w:val="true"/>
          <w:lang w:bidi="ar-SA"/>
        </w:rPr>
        <w:t xml:space="preserve">، وإن لا يخلو من مدحٍ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تقييد الإطلاقات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مشكلة ، والأحوط ما ذكر بل لا يخلو من قوّة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ما هو المتيقّن من مضمون الروايات لا بأس بالعمل به </w:t>
      </w:r>
      <w:r>
        <w:rPr>
          <w:rFonts w:eastAsia="Amiri" w:cs="Amiri" w:ascii="Amiri" w:hAnsi="Amiri"/>
          <w:color w:val="111111"/>
          <w:sz w:val="28"/>
          <w:szCs w:val="28"/>
          <w:rtl w:val="true"/>
          <w:lang w:bidi="ar-SA"/>
        </w:rPr>
        <w:t xml:space="preserve">. </w:t>
      </w:r>
      <w:bookmarkStart w:id="404" w:name="pg15158_207217"/>
    </w:p>
    <w:p>
      <w:pPr>
        <w:pStyle w:val="Heading4"/>
        <w:numPr>
          <w:ilvl w:val="3"/>
          <w:numId w:val="1"/>
        </w:numPr>
        <w:rPr/>
      </w:pPr>
      <w:bookmarkStart w:id="405" w:name="__RefHeading___Toc1851696_2142443653"/>
      <w:bookmarkStart w:id="406" w:name="_Toc139"/>
      <w:bookmarkEnd w:id="404"/>
      <w:bookmarkEnd w:id="405"/>
      <w:r>
        <w:rPr>
          <w:rtl w:val="true"/>
        </w:rPr>
        <w:t>اعتبار قصد الانتقاص في مفهوم الغيبة</w:t>
      </w:r>
      <w:bookmarkEnd w:id="406"/>
    </w:p>
    <w:p>
      <w:pPr>
        <w:pStyle w:val="BookText"/>
        <w:rPr/>
      </w:pPr>
      <w:r>
        <w:rPr>
          <w:rFonts w:ascii="Amiri" w:hAnsi="Amiri" w:eastAsia="Amiri" w:cs="Amiri"/>
          <w:color w:val="111111"/>
          <w:sz w:val="28"/>
          <w:sz w:val="28"/>
          <w:szCs w:val="28"/>
          <w:rtl w:val="true"/>
          <w:lang w:bidi="ar-SA"/>
        </w:rPr>
        <w:t xml:space="preserve">وأمّا قصد الانتقاص فالظاهر اعتباره في مفهومها عرفاً ؛ فمن ذكر عيب مريض عند الطبيب ليعالجه من غير قصد التعييب والانتقاص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اغتابه في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 كلمات كثير من اللغويين</w:t>
      </w:r>
      <w:r>
        <w:rPr>
          <w:rStyle w:val="FootnoteAnchor"/>
          <w:rtl w:val="true"/>
        </w:rPr>
        <w:footnoteReference w:id="1145"/>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اغتابه اغتياباً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معنى وقع فيه وقيعة أن يذكره بسوء ؛</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وقع في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سبّه وعابه واغتابه</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 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أثير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في ذيله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والغيبة فِعلة منه تكون حسنة أو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صدره ؛ لاحتمال أن يكون مراده تقسيم الغيبة إليهما فتكون الحسنة غيبة المتجاهر بقصد المنع عن المنكر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أن يكون هذا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يرجع إلى كلام الطبرسي ؛ حيث قيّد ذكر العيب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بوجه تمنع الحكمة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أن يكون مراده أنّ لها معني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تعييبه وذكره بالسوء ، وثانيهما ذكره بما فيه من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مراده أنّ الغيبة عبارة عن تعييب غيره سواء كان التعييب بشيء قبيح أو حسن ، فإذا عابه بشيء ولو كان حسناً واقعاً اغتابه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لعلّ الاعتبار مقتضى كلام كلّ من قيّده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حيث ملازمة </w:t>
      </w:r>
    </w:p>
    <w:p>
      <w:pPr>
        <w:pStyle w:val="BookText"/>
        <w:rPr/>
      </w:pPr>
      <w:r>
        <w:rPr>
          <w:rFonts w:ascii="Amiri" w:hAnsi="Amiri" w:eastAsia="Amiri" w:cs="Amiri"/>
          <w:color w:val="111111"/>
          <w:sz w:val="28"/>
          <w:sz w:val="28"/>
          <w:szCs w:val="28"/>
          <w:rtl w:val="true"/>
          <w:lang w:bidi="ar-SA"/>
        </w:rPr>
        <w:t xml:space="preserve">الإكراه نوعاً للذكر في مقام الانتقاص ، وعدمه نوعاً في غيره كمقام التلطّف والترحّم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صريح التعريفين في رسالة الشهيد والمحكيّ عن البهائي</w:t>
      </w:r>
      <w:r>
        <w:rPr>
          <w:rStyle w:val="FootnoteAnchor"/>
          <w:rtl w:val="true"/>
        </w:rPr>
        <w:footnoteReference w:id="1147"/>
      </w:r>
      <w:r>
        <w:rPr>
          <w:rFonts w:ascii="Amiri" w:hAnsi="Amiri" w:eastAsia="Amiri" w:cs="Amiri"/>
          <w:color w:val="111111"/>
          <w:sz w:val="28"/>
          <w:sz w:val="28"/>
          <w:szCs w:val="28"/>
          <w:rtl w:val="true"/>
          <w:lang w:bidi="ar-SA"/>
        </w:rPr>
        <w:t xml:space="preserve">، بل مقتضى سائر التعاريف بناءً على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من الغيبة اعتبار هذا القيد في مفهومها ، فيكون جميع الأدلّة التي علّق فيها الحكم على عنوانها ظاهرة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ظهور جلّها لولا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اعتباره ، كآية</w:t>
      </w:r>
    </w:p>
    <w:p>
      <w:pPr>
        <w:pStyle w:val="BookText"/>
        <w:rPr/>
      </w:pPr>
      <w:r>
        <w:rPr>
          <w:rFonts w:ascii="Amiri" w:hAnsi="Amiri" w:eastAsia="Amiri" w:cs="Amiri"/>
          <w:color w:val="111111"/>
          <w:sz w:val="28"/>
          <w:sz w:val="28"/>
          <w:szCs w:val="28"/>
          <w:rtl w:val="true"/>
          <w:lang w:bidi="ar-SA"/>
        </w:rPr>
        <w:t xml:space="preserve">تحريمها </w:t>
      </w:r>
      <w:r>
        <w:rPr>
          <w:rStyle w:val="FootnoteAnchor"/>
          <w:rtl w:val="true"/>
        </w:rPr>
        <w:footnoteReference w:id="1148"/>
      </w:r>
      <w:r>
        <w:rPr>
          <w:rFonts w:ascii="Amiri" w:hAnsi="Amiri" w:eastAsia="Amiri" w:cs="Amiri"/>
          <w:color w:val="111111"/>
          <w:sz w:val="28"/>
          <w:sz w:val="28"/>
          <w:szCs w:val="28"/>
          <w:rtl w:val="true"/>
          <w:lang w:bidi="ar-SA"/>
        </w:rPr>
        <w:t xml:space="preserve">بمناسبة ذيلها ؛ فإنّ الظاهر من أكل لحم الأخ هو ذكره على سبيل الانتقاص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جميع الروايات الواردة بهذا المضمون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فإنّ ذكر السوء والجهر به عبارة اُخرى عن التعي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 سيّما مع استثناء مَن ظلم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 كما عن أهل اللغة والتفسير</w:t>
      </w:r>
      <w:r>
        <w:rPr>
          <w:rStyle w:val="FootnoteAnchor"/>
          <w:rtl w:val="true"/>
        </w:rPr>
        <w:footnoteReference w:id="1151"/>
      </w:r>
      <w:r>
        <w:rPr>
          <w:rFonts w:ascii="Amiri" w:hAnsi="Amiri" w:eastAsia="Amiri" w:cs="Amiri"/>
          <w:color w:val="111111"/>
          <w:sz w:val="28"/>
          <w:sz w:val="28"/>
          <w:szCs w:val="28"/>
          <w:rtl w:val="true"/>
          <w:lang w:bidi="ar-SA"/>
        </w:rPr>
        <w:t xml:space="preserve">والمتفاهم منهما عرفاً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يُحِبُّونَ أَنْ تَشِيعَ الْفَاحِشَةُ </w:t>
      </w:r>
      <w:r>
        <w:rPr>
          <w:rFonts w:eastAsia="Amiri" w:cs="Amiri" w:ascii="Amiri" w:hAnsi="Amiri"/>
          <w:color w:val="111111"/>
          <w:sz w:val="28"/>
          <w:szCs w:val="28"/>
          <w:rtl w:val="true"/>
          <w:lang w:bidi="ar-SA"/>
        </w:rPr>
        <w:t>. .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المتفاهم من جلّ الروايات لفظاً وسياقاً وبمناسبات الحكم والموضوع ، </w:t>
      </w:r>
    </w:p>
    <w:p>
      <w:pPr>
        <w:pStyle w:val="BookText"/>
        <w:rPr/>
      </w:pPr>
      <w:r>
        <w:rPr>
          <w:rFonts w:ascii="Amiri" w:hAnsi="Amiri" w:eastAsia="Amiri" w:cs="Amiri"/>
          <w:color w:val="111111"/>
          <w:sz w:val="28"/>
          <w:sz w:val="28"/>
          <w:szCs w:val="28"/>
          <w:rtl w:val="true"/>
          <w:lang w:bidi="ar-SA"/>
        </w:rPr>
        <w:t>فراجع ما وردت في حرمتها وما وردت في وجوب ردّها تجد صدق ما ذكرناه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هنا بعض روايات يمكن أن يكون منشأ توهّم عدم اعتباره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 عن أبي الحسن موسى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الرجل من إخواني يبلغني عنه الشيء الذي أكرهه ، فأسأله عنه فينكر ذلك وقد أخبرني عنه قوم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 كذِّب سمعك وبصرك عن أخيك ، فإن شهد عندك خمسون قسامة وقال لك قولاً فصدِّقه وكذِّبهم ، ولا تذيعنّ عليه شيئاً تشينه به وتهدم به مروءته ، فتكون من الذين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يُحِبُّونَ أَنْ تَشِيعَ الْفَاحِشَةُ فِى الَّذِينَ آمَنُوا لَهُمْ عَذَابٌ أَلِيمٌ فِى الدُّنْيَا وَالاْخِرَةِ </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في صدد بيان حرمة الغيبة ، ومقتضى إطلاق صدرها أنّ مجرّد ما يوجب شياع الفاحشة حرام وداخل في مفاد الآية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 عدم كونها في مقام بيان حرمة الغيبة لكنّها في مقام بيان حرمة إذاعة الفاحشة ، ومقتضى إطلاق صدرها حرمة ذكر عيب الغير سواء كان بقصد الانتقاص أم لا ، فيكشف من إطلاق الرواية إطلاق الآية والمعنى المراد منها ، وهو أنّ المراد بإشاعتها مطلق فعل ما يوجب شياعها ، سيّما مع ذكر الآية </w:t>
      </w:r>
    </w:p>
    <w:p>
      <w:pPr>
        <w:pStyle w:val="BookText"/>
        <w:rPr/>
      </w:pPr>
      <w:r>
        <w:rPr>
          <w:rFonts w:ascii="Amiri" w:hAnsi="Amiri" w:eastAsia="Amiri" w:cs="Amiri"/>
          <w:color w:val="111111"/>
          <w:sz w:val="28"/>
          <w:sz w:val="28"/>
          <w:szCs w:val="28"/>
          <w:rtl w:val="true"/>
          <w:lang w:bidi="ar-SA"/>
        </w:rPr>
        <w:t xml:space="preserve">بنحو التفريع على الرواية، والمتفرّع على شيء يتبعه في الإطلاق والتقييد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أن يقال بقيام قرينة عقلية على التعميم ، وهي أن لا فائدة في التنبيه</w:t>
      </w:r>
    </w:p>
    <w:p>
      <w:pPr>
        <w:pStyle w:val="BookText"/>
        <w:rPr/>
      </w:pPr>
      <w:r>
        <w:rPr>
          <w:rFonts w:ascii="Amiri" w:hAnsi="Amiri" w:eastAsia="Amiri" w:cs="Amiri"/>
          <w:color w:val="111111"/>
          <w:sz w:val="28"/>
          <w:sz w:val="28"/>
          <w:szCs w:val="28"/>
          <w:rtl w:val="true"/>
          <w:lang w:bidi="ar-SA"/>
        </w:rPr>
        <w:t xml:space="preserve">على دخول القاصد لإشاعة الفاحشة في عموم الآية ، وإنّما يحسن التنبيه على أنّ قاصد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 ما يوجب إشاعة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 لإشاعتها بالحمل الشائع وإن لم يكن قاصداً لها بالحمل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فمطلق ذكر عيب الغير سواء كان بقصد الانتقاص أم لا بل ولو كان بقصد الترحّم والتلطّف داخل في إطلاق الصدر ، وإطلاقه كاشف عن معنى الآية ، سمّي غيبة أم لا</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 ما رُمناه في المقام هو تحصيل مفهوم الغيبة عرفاً أو ما</w:t>
      </w:r>
    </w:p>
    <w:p>
      <w:pPr>
        <w:pStyle w:val="BookText"/>
        <w:rPr/>
      </w:pPr>
      <w:r>
        <w:rPr>
          <w:rFonts w:ascii="IRNazanin" w:hAnsi="IRNazanin" w:eastAsia="IRNazanin"/>
          <w:color w:val="111111"/>
          <w:sz w:val="28"/>
          <w:sz w:val="28"/>
          <w:szCs w:val="28"/>
          <w:rtl w:val="true"/>
          <w:lang w:bidi="fa-IR"/>
        </w:rPr>
        <w:t xml:space="preserve">يعتبر في عنوانها بدليل شرعي ليترتّب عليه أحكامها الخاصّة ، وقد علمت أنّ الرواية ولو مع استشهادها بالآية قاصرة عن إثبات عنوانها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 صدرها لما لم يقصد الانتقاص ممنوع ؛ فإنّ الظاهر من مجموع الرواية سيّما قوله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تذيعنّ عليه شيئاً تشينه به وتهدم به مروءته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متعلّق بذكر عيوبه لشينه وهدم مروءته ، ولا أقلّ من أن يكون ذكره ملازماً له ، ومعه لا ينفكّ قصده عن قصد التعييب ولو بالحمل الشائع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تشمل ما إذا كان قصده من ذكره عدم التعييب ، بل ذكره عند الطبيب لعلاجه ، وعند الغنيّ للترحّم عليه ، وعند الحاكم لدفع الظلم عنه ؛ لعدم صدق أ نّه شانه وهدم مروءته واغتابه وعابه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المراد من قصد الانتقاص قصد عنوانه ، ولا من حبّ شيوع الفاحشة </w:t>
      </w:r>
    </w:p>
    <w:p>
      <w:pPr>
        <w:pStyle w:val="BookText"/>
        <w:rPr/>
      </w:pPr>
      <w:r>
        <w:rPr>
          <w:rFonts w:ascii="Amiri" w:hAnsi="Amiri" w:eastAsia="Amiri" w:cs="Amiri"/>
          <w:color w:val="111111"/>
          <w:sz w:val="28"/>
          <w:sz w:val="28"/>
          <w:szCs w:val="28"/>
          <w:rtl w:val="true"/>
          <w:lang w:bidi="ar-SA"/>
        </w:rPr>
        <w:t xml:space="preserve">في الآية حبّ عنوانه جزماً ، بل المراد حبّ شيوع ما هو فاحشة بالحمل الشائع وقصد الانتقاص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ينبغي الإشكال في أنّ الظاهر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ذكر عيب الغير وأذاعه وشانه وهدم مروءته داخل في الآية ، كما لا شبهة في أنّ مفاد الآية ليس إلاّ حرمة إفشاء الفاحشة ، وهو الظاهر عرفاً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أن تشيع الفاحشة في فلان أو في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يكون ما في الرواية داخلاً في الآية من غير تصرّف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اُفيد من القرينة العقلية ومن تفريع الآية على الرواية وتبعيتها في الإطلاق</w:t>
      </w:r>
      <w:r>
        <w:rPr>
          <w:rStyle w:val="FootnoteAnchor"/>
          <w:rtl w:val="true"/>
        </w:rPr>
        <w:footnoteReference w:id="1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وجيه ؛ لأنّ ذكر الآية إنّما هو لإخافة المكلّف عن العذاب الأليم الموعود لمن يشيع الفاحشة في المؤمن ، لا التنبيه على أنّ قاصد السبب قاصد للمسبّب ، وليس ذكر الآية تفريعاً على نحو سائر التفريعات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في الإطلاق ، بل الظاهر أنّ ذكرها لمجرّد التنبيه على إيعاد اللّه تعالى والتذكير بأنّ</w:t>
      </w:r>
    </w:p>
    <w:p>
      <w:pPr>
        <w:pStyle w:val="BookText"/>
        <w:rPr/>
      </w:pPr>
      <w:r>
        <w:rPr>
          <w:rFonts w:ascii="Amiri" w:hAnsi="Amiri" w:eastAsia="Amiri" w:cs="Amiri"/>
          <w:color w:val="111111"/>
          <w:sz w:val="28"/>
          <w:sz w:val="28"/>
          <w:szCs w:val="28"/>
          <w:rtl w:val="true"/>
          <w:lang w:bidi="ar-SA"/>
        </w:rPr>
        <w:t xml:space="preserve">إذاعة عيب الناس موجبة للعذاب الأليم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أنّ الرواية بعيدة عن إفهام ما ذكر من الوجه العلمي والفنّي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ابن أبي عمير</w:t>
      </w:r>
      <w:r>
        <w:rPr>
          <w:rStyle w:val="FootnoteAnchor"/>
          <w:rtl w:val="true"/>
        </w:rPr>
        <w:footnoteReference w:id="1157"/>
      </w:r>
      <w:r>
        <w:rPr>
          <w:rFonts w:ascii="IRNazanin" w:hAnsi="IRNazanin" w:eastAsia="IRNazanin"/>
          <w:color w:val="111111"/>
          <w:sz w:val="28"/>
          <w:sz w:val="28"/>
          <w:szCs w:val="28"/>
          <w:rtl w:val="true"/>
          <w:lang w:bidi="fa-IR"/>
        </w:rPr>
        <w:t>عن أبي عبداللّه علیه السلام ، وصحيحة هشام</w:t>
      </w:r>
      <w:r>
        <w:rPr>
          <w:rStyle w:val="FootnoteAnchor"/>
          <w:rtl w:val="true"/>
        </w:rPr>
        <w:footnoteReference w:id="1158"/>
      </w:r>
      <w:r>
        <w:rPr>
          <w:rFonts w:ascii="IRNazanin" w:hAnsi="IRNazanin" w:eastAsia="IRNazanin"/>
          <w:color w:val="111111"/>
          <w:sz w:val="28"/>
          <w:sz w:val="28"/>
          <w:szCs w:val="28"/>
          <w:rtl w:val="true"/>
          <w:lang w:bidi="fa-IR"/>
        </w:rPr>
        <w:t xml:space="preserve">عنه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في مؤمن ما رأته عيناه أو سمعته اُذناه فهو من الذين </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يُحِبُّونَ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بالتقريب المتقدّم</w:t>
      </w:r>
      <w:r>
        <w:rPr>
          <w:rStyle w:val="FootnoteAnchor"/>
          <w:rtl w:val="true"/>
        </w:rPr>
        <w:footnoteReference w:id="1159"/>
      </w:r>
      <w:r>
        <w:rPr>
          <w:rFonts w:ascii="Amiri" w:hAnsi="Amiri" w:eastAsia="Amiri" w:cs="Amiri"/>
          <w:color w:val="111111"/>
          <w:sz w:val="28"/>
          <w:sz w:val="28"/>
          <w:szCs w:val="28"/>
          <w:rtl w:val="true"/>
          <w:lang w:bidi="ar-SA"/>
        </w:rPr>
        <w:t xml:space="preserve">من أنّ ظاهر إطلاق الصدر شموله لكلّ قول في مؤمن ، ومن إطلاقه يكشف أنّ المراد بالآية معنىً أعمّ ممّا هو ظاهرها ؛ أي مطلق ذكر الغير بالعيب بأيّ قصد كان ، ولا يأتي في هذه الرواية ما في الرواية المتقدّمة وهو دعوى ظهورها في تعييب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فيها 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بقوله ذلك إلحاق القائل في مؤمن بالآية موضوعاً ، كما هو ظاهر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من الذين قال اللّه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فيدور الأمر حينئذٍ بين التصرّف في ظاهر الآية بما يشمل مطلق الذكر ولولا لحبّ شيوع الفاحشة ولو بالحمل الشائع وحفظ إطلاق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القول بقرينية الآية للمراد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في مؤمن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بأنّ من اغتاب مؤمناً أو من عيّب مؤمناً فكذا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شبهة في رجحان الثاني ؛ فإنّه ظهور لفظي حافّ بالكلام مانع عن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التصرّف في الآية بما ذكر من أبعد التصرّفات بل مناقض لظهورها بخلاف حمل الصدر على الاغتياب والتعييب ، بل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في مؤمن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ظاهر في نفسه فيه فضلاً عن محفوفيته بالآية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الإلحاق الحكمي ، وعليه أيضاً لا يراد إلحاق مطلق القول في مؤمن بل بمقتضى المناسبة بين الملحق والملحق به يراد إلحاق اغتياب المؤمن وتعييبه به حكماً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أنّ الإلحاق الحكمي خلاف ظاهر الرواية كما أشرنا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تفسير الغيبة ؛ كرواية عبد الرحمان بن سيابة</w:t>
      </w:r>
      <w:r>
        <w:rPr>
          <w:rStyle w:val="FootnoteAnchor"/>
          <w:rtl w:val="true"/>
        </w:rPr>
        <w:footnoteReference w:id="1160"/>
      </w:r>
      <w:r>
        <w:rPr>
          <w:rFonts w:ascii="IRNazanin" w:hAnsi="IRNazanin" w:eastAsia="IRNazanin"/>
          <w:color w:val="111111"/>
          <w:sz w:val="28"/>
          <w:sz w:val="28"/>
          <w:szCs w:val="28"/>
          <w:rtl w:val="true"/>
          <w:lang w:bidi="fa-IR"/>
        </w:rPr>
        <w:t>، وداود بن سرحان</w:t>
      </w:r>
      <w:r>
        <w:rPr>
          <w:rStyle w:val="FootnoteAnchor"/>
          <w:rtl w:val="true"/>
        </w:rPr>
        <w:footnoteReference w:id="1161"/>
      </w:r>
      <w:r>
        <w:rPr>
          <w:rFonts w:ascii="IRNazanin" w:hAnsi="IRNazanin" w:eastAsia="IRNazanin"/>
          <w:color w:val="111111"/>
          <w:sz w:val="28"/>
          <w:sz w:val="28"/>
          <w:szCs w:val="28"/>
          <w:rtl w:val="true"/>
          <w:lang w:bidi="fa-IR"/>
        </w:rPr>
        <w:t>، وعبداللّه بن سنان</w:t>
      </w:r>
      <w:r>
        <w:rPr>
          <w:rStyle w:val="FootnoteAnchor"/>
          <w:rtl w:val="true"/>
        </w:rPr>
        <w:footnoteReference w:id="1162"/>
      </w:r>
      <w:r>
        <w:rPr>
          <w:rFonts w:ascii="Amiri" w:hAnsi="Amiri" w:eastAsia="Amiri" w:cs="Amiri"/>
          <w:color w:val="111111"/>
          <w:sz w:val="28"/>
          <w:sz w:val="28"/>
          <w:szCs w:val="28"/>
          <w:rtl w:val="true"/>
          <w:lang w:bidi="ar-SA"/>
        </w:rPr>
        <w:t>، ومرسلة أبان</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مقتضى إطلاقها عدم الفرق بين قصد الانتقاص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ظاهرها أ نّها بصدد بيان أنّ المستور غيبة دون غير المستور ، لا بصدد بيان أنّ المستور كذلك مطلقاً ،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بصدد بيان حكم آخر ، وهو أنّ ما ستره اللّه غيبة لا ما هو أمر ظاهر ، وأمّا أنّ ما ستره اللّه مطلقاً أو بقيد يكون كذلك فليست في مقام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بصدد بيان إدخال ما ليس بغيبة عرفاً ولغةً فيها تعبّداً ، بل بصدد بيان إخراج قسم منها عنها ، فلا إطلاق لها في الجهة المنظورة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عن النبي صلی الله علیه و آله وسلم  أ 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ذكرك أخاك بما يكره</w:t>
      </w:r>
      <w:r>
        <w:rPr>
          <w:rFonts w:eastAsia="IRNazanin" w:cs="IRNazanin"/>
          <w:color w:val="111111"/>
          <w:sz w:val="28"/>
          <w:szCs w:val="28"/>
          <w:rtl w:val="true"/>
          <w:lang w:bidi="fa-IR"/>
        </w:rPr>
        <w:t>»</w:t>
      </w:r>
      <w:r>
        <w:rPr>
          <w:rStyle w:val="FootnoteAnchor"/>
          <w:rtl w:val="true"/>
        </w:rPr>
        <w:footnoteReference w:id="1164"/>
      </w:r>
      <w:r>
        <w:rPr>
          <w:rFonts w:ascii="Amiri" w:hAnsi="Amiri" w:eastAsia="Amiri" w:cs="Amiri"/>
          <w:color w:val="111111"/>
          <w:sz w:val="28"/>
          <w:sz w:val="28"/>
          <w:szCs w:val="28"/>
          <w:rtl w:val="true"/>
          <w:lang w:bidi="ar-SA"/>
        </w:rPr>
        <w:t xml:space="preserve">؛ فالظاهر منه بناءً على البناء للمجهول أنّ الغيبة ذكر السوء ، والمتفاهم منه عرفاً هو تعييب الغير كما هو المتفاهم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البناء للمعلوم منصرف إلى التعييب والانتقاص ؛ لأنّ ذكره على غير جهته كذكره عند الطبيب ونحوه لا يكون ممّا يكرهه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نادراً كراهته فالرواية منصرفة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أنّ اعتبار هذا القيد آيةً وروايةً وعرفاً ممّا لا ينبغي أن ينكر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انصراف الأدلّة عن الذكر عند النفس بلا سامع</w:t>
      </w:r>
    </w:p>
    <w:p>
      <w:pPr>
        <w:pStyle w:val="BookText"/>
        <w:rPr/>
      </w:pPr>
      <w:r>
        <w:rPr>
          <w:rFonts w:ascii="Amiri" w:hAnsi="Amiri" w:eastAsia="Amiri" w:cs="Amiri"/>
          <w:color w:val="111111"/>
          <w:sz w:val="28"/>
          <w:sz w:val="28"/>
          <w:szCs w:val="28"/>
          <w:rtl w:val="true"/>
          <w:lang w:bidi="ar-SA"/>
        </w:rPr>
        <w:t xml:space="preserve">ثمّ إنّ الظاهر انصراف الأدلّة وكلمات الأصحاب واللغويين عن الذكر عند نفسه بلا مخاطب أو سامع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قوله في تفسير الغيبة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ذكرك أخاك بما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ذكرته بما فيه فقد اغتبته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w:t>
      </w:r>
      <w:r>
        <w:rPr>
          <w:rStyle w:val="FootnoteAnchor"/>
          <w:rtl w:val="true"/>
        </w:rPr>
        <w:footnoteReference w:id="1166"/>
      </w:r>
      <w:r>
        <w:rPr>
          <w:rFonts w:ascii="Amiri" w:hAnsi="Amiri" w:eastAsia="Amiri" w:cs="Amiri"/>
          <w:color w:val="111111"/>
          <w:sz w:val="28"/>
          <w:sz w:val="28"/>
          <w:szCs w:val="28"/>
          <w:rtl w:val="true"/>
          <w:lang w:bidi="ar-SA"/>
        </w:rPr>
        <w:t xml:space="preserve">، من قبيل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حسن</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 xml:space="preserve">؛ فكما لا يعتبر في ذكر اللّه أن يكون عند مخاطب كذلك في المقام، ودعوى أنّ نكتة حرمة الغيبة هي الفساد المترتّب عليها؛ من كشف ستر المؤمن ، وحصول العداوة بين الأحبّة ونحوهما، غير ثابتة؛ لإمكان النهي عنها مضافاً إلى ذلك لحفظ لسان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اعتياده بالفحش والتعييب، وتنزيه نفسه عن التفكّه بأعراض الناس ، فلا مانع من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 ضرورة أنّ المتفاهم من جميع الأدلّة بل وكلمات القوم هو الذكر عند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w:t>
      </w:r>
    </w:p>
    <w:p>
      <w:pPr>
        <w:pStyle w:val="BookText"/>
        <w:rPr/>
      </w:pPr>
      <w:r>
        <w:rPr>
          <w:rFonts w:ascii="Amiri" w:hAnsi="Amiri" w:eastAsia="Amiri" w:cs="Amiri"/>
          <w:color w:val="111111"/>
          <w:sz w:val="28"/>
          <w:sz w:val="28"/>
          <w:szCs w:val="28"/>
          <w:rtl w:val="true"/>
          <w:lang w:bidi="ar-SA"/>
        </w:rPr>
        <w:t xml:space="preserve">بذكر اللّه الذي بين العبد وخالقه مع الفارق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أ نّه مع خلوّ الأذهان عن الاحتمالات العقلية والمناقشات العلمية لا ينقدح فيها من الأدلّة إلاّ التعييب عند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اعتبار هذا القيد في مفهومها العرفي ؛ فلا يقال لمن ذكر غيره عند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اغتابه وعابه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شيخنا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الأكثر دخول ذكره عند نفسه في تعريف الغيبة ، وحكى عن بعض معاصريه التصريح به</w:t>
      </w:r>
      <w:r>
        <w:rPr>
          <w:rStyle w:val="FootnoteAnchor"/>
          <w:rtl w:val="true"/>
        </w:rPr>
        <w:footnoteReference w:id="1168"/>
      </w:r>
      <w:r>
        <w:rPr>
          <w:rFonts w:ascii="Amiri" w:hAnsi="Amiri" w:eastAsia="Amiri" w:cs="Amiri"/>
          <w:color w:val="111111"/>
          <w:sz w:val="28"/>
          <w:sz w:val="28"/>
          <w:szCs w:val="28"/>
          <w:rtl w:val="true"/>
          <w:lang w:bidi="ar-SA"/>
        </w:rPr>
        <w:t xml:space="preserve">، غير ظاهر ؛ فإنّ التعاريف المتقدّمة وكلمات اللغويين منصرفة عنه ، بل بعضها ظاهر في عدم الدخول ، كما أنّ الأدلّة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مع الغضّ عن الانصراف أو الظهور المذكور فالظاهر الدخول ؛ لما تقدّم من عدم دليل على أ نّها عبارة عن هتك ستر مستور</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غير رواية داود بن سرحان ؛ أي روايتي ابني سنان وسيابة ورواية يحيى الأزرق فلما تقدّم من أنّ الستر في مقابل الكشف النفسي المطلق لكن بنظر العرف</w:t>
      </w:r>
      <w:r>
        <w:rPr>
          <w:rStyle w:val="FootnoteAnchor"/>
          <w:rtl w:val="true"/>
        </w:rPr>
        <w:footnoteReference w:id="1170"/>
      </w:r>
      <w:r>
        <w:rPr>
          <w:rFonts w:ascii="Amiri" w:hAnsi="Amiri" w:eastAsia="Amiri" w:cs="Amiri"/>
          <w:color w:val="111111"/>
          <w:sz w:val="28"/>
          <w:sz w:val="28"/>
          <w:szCs w:val="28"/>
          <w:rtl w:val="true"/>
          <w:lang w:bidi="ar-SA"/>
        </w:rPr>
        <w:t xml:space="preserve">، فعليه إذا قال في أخيه ما يكون مستوراً عند الناس يكون مشمولاً للموضوع المأخوذ فيها ؛ لصدق أ نّه قال في أخيه وذكر أخاه ، فإنّ الذكر والقول لا يتوقّف صدقهما على وجود سامع ومخاطب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رواية داود وإن اشتملت على البثّ وهو النشر والإذاعة الغير الصادقين على ذكره لدى نفسه ، فربّما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 نّها في مقام التحديد تدلّ على الحصر ، سيّما مع ضمير الفصل وتعريف المسند إليه</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الظاهر أ نّه ليس فيها العناية بعنوان البثّ والنشر ، بل العناية بعنوان ما قد ستره اللّه عليه ، ولهذا ذكر فيها مقدار الستر وهو ما لم يقم عليه 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كان اللازم منه أن يكون البثّ والإذاعة محرّماً ، وهو لا يصدق مع الذكر عند واحد أو اثنين أو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أ نّه بدليل آخر ، كما ترى ؛ فإنّها لو كانت في مقام بيان حدّها بجميع جهاتها كانت حاكمة على سائر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 نّها متعرّضة للأفعال المحرّمة بل ما تكون موجبة للحدّ ، فلو كانت في مقام التحديد من جميع الجهات كان لازمه قصرها بها ومعارضتها لسائر الأدلّة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صدر الرواية غير مذكور فلا يعلم أ نّه سأله ما الغيبة مثلاً ، أو كان سؤاله بنحو لم يفهم منه القصر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إرجاع الضمير المذكّر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فالقول الفصل هو ما تقدّم من الانصراف والظهور </w:t>
      </w:r>
      <w:r>
        <w:rPr>
          <w:rFonts w:eastAsia="IRNazanin" w:cs="IRNazanin"/>
          <w:color w:val="111111"/>
          <w:sz w:val="28"/>
          <w:szCs w:val="28"/>
          <w:rtl w:val="true"/>
          <w:lang w:bidi="fa-IR"/>
        </w:rPr>
        <w:t xml:space="preserve">. </w:t>
      </w:r>
      <w:bookmarkStart w:id="407" w:name="pg15158_207227"/>
    </w:p>
    <w:p>
      <w:pPr>
        <w:pStyle w:val="Heading4"/>
        <w:numPr>
          <w:ilvl w:val="3"/>
          <w:numId w:val="1"/>
        </w:numPr>
        <w:rPr/>
      </w:pPr>
      <w:bookmarkStart w:id="408" w:name="__RefHeading___Toc1851698_2142443653"/>
      <w:bookmarkStart w:id="409" w:name="_Toc140"/>
      <w:bookmarkEnd w:id="407"/>
      <w:bookmarkEnd w:id="408"/>
      <w:r>
        <w:rPr>
          <w:rtl w:val="true"/>
        </w:rPr>
        <w:t>في اعتبار تعيين المغتاب</w:t>
      </w:r>
      <w:bookmarkEnd w:id="409"/>
    </w:p>
    <w:p>
      <w:pPr>
        <w:pStyle w:val="BookText"/>
        <w:rPr/>
      </w:pPr>
      <w:r>
        <w:rPr>
          <w:rFonts w:ascii="Amiri" w:hAnsi="Amiri" w:eastAsia="Amiri" w:cs="Amiri"/>
          <w:color w:val="111111"/>
          <w:sz w:val="28"/>
          <w:sz w:val="28"/>
          <w:szCs w:val="28"/>
          <w:rtl w:val="true"/>
          <w:lang w:bidi="ar-SA"/>
        </w:rPr>
        <w:t>فهل يعتبر فيها أن يكون المغتاب مذكوراً بنحو التعيين ، فلا يكون ذكر أحد الشخصين بنحو الإبهام غيبة ، فضلاً عن ذكر مبهم في غير محصور ؟</w:t>
      </w:r>
    </w:p>
    <w:p>
      <w:pPr>
        <w:pStyle w:val="BookText"/>
        <w:rPr/>
      </w:pPr>
      <w:r>
        <w:rPr>
          <w:rFonts w:ascii="Amiri" w:hAnsi="Amiri" w:eastAsia="Amiri" w:cs="Amiri"/>
          <w:color w:val="111111"/>
          <w:sz w:val="28"/>
          <w:sz w:val="28"/>
          <w:szCs w:val="28"/>
          <w:rtl w:val="true"/>
          <w:lang w:bidi="ar-SA"/>
        </w:rPr>
        <w:t xml:space="preserve">والتفصيل أنّ المذكور بنحو الإبهام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كذا أو واحد من التجّار كذا ، إمّا أن يكون معيّناً بحسب الواقع أو لا ، وعلى الأوّل إمّا أن يكون معلوماً عند القائل أو عند المخاطب أو عندهما ، أو ليس معلوماً عند واحد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شمول الأدلّة لجميع صور المعيّن واقعاً حتّى المجهول عندهما ؛ فإنّه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كذا وكذا ، وكان مشتبهاً في غير محصور ، يصدق أ نّه ذكره أخاه بما يكره ؛ فإنّ صدق ذكره لا يتوقّف على عدم كونه من أطراف الشبهة ولا على علم المخاطب والمتكلّم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قاتل زيد، لعن عليه ؛ كان في أطراف المشتبه أم لا ، معلوماً لدى القائل أم لا ، كذلك لو ذكره بسوء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انصراف الأدلّة عن بعض الصور ، ناشئة من دعوى أنّ الغيبة عبارة عن هتك ستر مستور كما عليه شيخنا الأنصاري</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 عدم مقبولية الدعوى الثانية تدفع الاُولى أيضاً ، وقد تقدّم ما في الثانية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شبهة في عدم حرمة غيبة من يكون مشتبهاً مطلقاً أو في غير محصور عند السامع ، فضلاً عن مجهوليته عندهما ، لا لقصور الإطلاقات أو كون الغيبة </w:t>
      </w:r>
    </w:p>
    <w:p>
      <w:pPr>
        <w:pStyle w:val="BookText"/>
        <w:rPr/>
      </w:pPr>
      <w:r>
        <w:rPr>
          <w:rFonts w:ascii="Amiri" w:hAnsi="Amiri" w:eastAsia="Amiri" w:cs="Amiri"/>
          <w:color w:val="111111"/>
          <w:sz w:val="28"/>
          <w:sz w:val="28"/>
          <w:szCs w:val="28"/>
          <w:rtl w:val="true"/>
          <w:lang w:bidi="ar-SA"/>
        </w:rPr>
        <w:t xml:space="preserve">بمعنى كشف الستر ، بل لقيام السيرة على عدم الاجتناب عنها وورود نحوها في الأخبار وآثار الأخيار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بعدم الحصر ليس ما يقال في أطراف العلم الإجمالي بل الأمر في المقام أوسع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 المعيّن واقعاً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بخيل ، وكانا بخيلين أو كانا غير بخيلين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توقّف صدق الغيبة على اتّصاف المغتاب بالمذكور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يكون غيبة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على كلّ واحد من المعيّنين بنحو ، ولهذا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أحدهما ، يكون ضرب كلّ واحد منهما امتثالاً ، فلو لم ينطبق عليه لما يكون كذلك ، فيصدق عليه أ نّه ذكر أخاه بما يكره ؛ لعدم الفرق بين ذكره تعييناً ، أو أخذ عنوان في موضوع الكلام منطبق عليه ، بل يكون مغتاباً لكلّ منهما لانطباق العنوان عليهما ، تأمّل ، أو لا يكون غيبة ؛ لعدم ذكر هذا بعينه ، ولا ذاك بعينه، بل اغتاب أحدهما لا بعينه وهو غير مشمول للأدلّة ؟</w:t>
      </w:r>
    </w:p>
    <w:p>
      <w:pPr>
        <w:pStyle w:val="BookText"/>
        <w:rPr/>
      </w:pPr>
      <w:r>
        <w:rPr>
          <w:rFonts w:ascii="Amiri" w:hAnsi="Amiri" w:eastAsia="Amiri" w:cs="Amiri"/>
          <w:color w:val="111111"/>
          <w:sz w:val="28"/>
          <w:sz w:val="28"/>
          <w:szCs w:val="28"/>
          <w:rtl w:val="true"/>
          <w:lang w:bidi="ar-SA"/>
        </w:rPr>
        <w:t xml:space="preserve">وجهان ، لا يبعد ترجيح عدم الجواز في المحصور ولو بإلغاء الخصوصيات والمناسبات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 مشكلة وهي أ نّه لا شبهة في شمول الأدلّة للاغتياب بنحو العامّ الاستغراقي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بلد كذا ، أو طائفة كذائية كذا ، فإنّه ينحلّ إلى ذكر كلّ</w:t>
      </w:r>
    </w:p>
    <w:p>
      <w:pPr>
        <w:pStyle w:val="BookText"/>
        <w:rPr/>
      </w:pPr>
      <w:r>
        <w:rPr>
          <w:rFonts w:ascii="Amiri" w:hAnsi="Amiri" w:eastAsia="Amiri" w:cs="Amiri"/>
          <w:color w:val="111111"/>
          <w:sz w:val="28"/>
          <w:sz w:val="28"/>
          <w:szCs w:val="28"/>
          <w:rtl w:val="true"/>
          <w:lang w:bidi="ar-SA"/>
        </w:rPr>
        <w:t xml:space="preserve">واحد من أهل البلد والطائفة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ورد في روايات كثيرة في أبواب متفرّقة تعييب طوائف وأهل بلدان</w:t>
      </w:r>
      <w:r>
        <w:rPr>
          <w:rStyle w:val="FootnoteAnchor"/>
          <w:rtl w:val="true"/>
        </w:rPr>
        <w:footnoteReference w:id="117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ممّا يكون ظاهرها الاستغراق والعموم والإطلاق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 ضعف كثير منها محمولة على محامل ، ككون النظر إلى أهل بلدان وطوائف في تلك الأعصار التي كانت أهاليها من الكفّار أو المخالفين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على أمر اقتضائي ، كقوله في بعض الطوائف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لهم عرقاً يدعوهم إلى غير الوفاء</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كانت الصفة ظاهرة فيهم ، كما ورد في طائفة أ نّهم خلق مشوّه</w:t>
      </w:r>
      <w:r>
        <w:rPr>
          <w:rStyle w:val="FootnoteAnchor"/>
          <w:rtl w:val="true"/>
        </w:rPr>
        <w:footnoteReference w:id="1175"/>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المحامل </w:t>
      </w:r>
      <w:r>
        <w:rPr>
          <w:rFonts w:eastAsia="Amiri" w:cs="Amiri" w:ascii="Amiri" w:hAnsi="Amiri"/>
          <w:color w:val="111111"/>
          <w:sz w:val="28"/>
          <w:szCs w:val="28"/>
          <w:rtl w:val="true"/>
          <w:lang w:bidi="ar-SA"/>
        </w:rPr>
        <w:t xml:space="preserve">. </w:t>
      </w:r>
      <w:bookmarkStart w:id="410" w:name="pg15158_207230"/>
    </w:p>
    <w:p>
      <w:pPr>
        <w:pStyle w:val="Heading4"/>
        <w:numPr>
          <w:ilvl w:val="3"/>
          <w:numId w:val="1"/>
        </w:numPr>
        <w:rPr/>
      </w:pPr>
      <w:bookmarkStart w:id="411" w:name="__RefHeading___Toc1851700_2142443653"/>
      <w:bookmarkStart w:id="412" w:name="_Toc141"/>
      <w:bookmarkEnd w:id="410"/>
      <w:bookmarkEnd w:id="411"/>
      <w:r>
        <w:rPr>
          <w:rtl w:val="true"/>
        </w:rPr>
        <w:t xml:space="preserve">الأمر الثاني </w:t>
      </w:r>
      <w:r>
        <w:rPr>
          <w:rtl w:val="true"/>
        </w:rPr>
        <w:t xml:space="preserve">: </w:t>
      </w:r>
      <w:r>
        <w:rPr>
          <w:rtl w:val="true"/>
        </w:rPr>
        <w:t>فيما استثني من الغيبة وحكم بجوازها بالمعنى الأعمّ</w:t>
      </w:r>
      <w:bookmarkEnd w:id="412"/>
    </w:p>
    <w:p>
      <w:pPr>
        <w:pStyle w:val="Heading4"/>
        <w:numPr>
          <w:ilvl w:val="3"/>
          <w:numId w:val="1"/>
        </w:numPr>
        <w:rPr/>
      </w:pPr>
      <w:bookmarkStart w:id="413" w:name="__RefHeading___Toc1851702_2142443653"/>
      <w:bookmarkStart w:id="414" w:name="_Toc142"/>
      <w:bookmarkEnd w:id="413"/>
      <w:r>
        <w:rPr>
          <w:rtl w:val="true"/>
        </w:rPr>
        <w:t>في عدم ضابط عامّ للاستثناء</w:t>
      </w:r>
      <w:bookmarkEnd w:id="414"/>
    </w:p>
    <w:p>
      <w:pPr>
        <w:pStyle w:val="BookText"/>
        <w:rPr/>
      </w:pPr>
      <w:r>
        <w:rPr>
          <w:rFonts w:ascii="Amiri" w:hAnsi="Amiri" w:eastAsia="Amiri" w:cs="Amiri"/>
          <w:color w:val="111111"/>
          <w:sz w:val="28"/>
          <w:sz w:val="28"/>
          <w:szCs w:val="28"/>
          <w:rtl w:val="true"/>
          <w:lang w:bidi="ar-SA"/>
        </w:rPr>
        <w:t xml:space="preserve">قال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الريبة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اعلم أنّ المرخِّص في ذكر مساءة الغير هو غرض صحيح في الشرع لا يمكن التوصّل إليه إلاّ به ، فيدفع ذلك إثم الغيبة</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ضابط الغيبة المحرّمة كلّ فعل يقصد به هتك عرض المؤمن أو التفكّه به أو إضحاك الناس منه ، فأمّا ما كان لغرض صحيح فلا يحرم كنصح المستشير ، والتظلّم وسماعه ، والجرح والتعديل ، وردّ من ادّعى نسباً ليس له ، والقدح في مقالة أو دعوى باطلة خصوصاً في الدين</w:t>
      </w:r>
      <w:r>
        <w:rPr>
          <w:rFonts w:eastAsia="Amiri" w:cs="Amiri" w:ascii="Amiri" w:hAnsi="Amiri"/>
          <w:color w:val="111111"/>
          <w:sz w:val="28"/>
          <w:szCs w:val="28"/>
          <w:rtl w:val="true"/>
          <w:lang w:bidi="ar-SA"/>
        </w:rPr>
        <w:t>»</w:t>
      </w:r>
      <w:r>
        <w:rPr>
          <w:rStyle w:val="FootnoteAnchor"/>
          <w:rtl w:val="true"/>
        </w:rPr>
        <w:footnoteReference w:id="117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أرادا بما ذكرا من الضابط قصور إطلاق أدلّة الغيبة عن شمول مورد يكون للمغتاب غرض صحيح ، أو انصرافها عنه كما هو محتمل كلام الثاني وإن كان بعيداً عن ظاهر الأوّل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منع ؛ لعدم قصور في الآية الكريمة بل سائر الآيات وكثير من الروايات</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إطلاق من غير انصراف عن المورد المدّعى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لا ينصرف أدلّة سائر المحرّمات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الْمَيْتَةُ </w:t>
      </w:r>
      <w:r>
        <w:rPr>
          <w:rFonts w:eastAsia="Amiri" w:cs="Amiri" w:ascii="Amiri" w:hAnsi="Amiri"/>
          <w:color w:val="111111"/>
          <w:sz w:val="28"/>
          <w:szCs w:val="28"/>
          <w:rtl w:val="true"/>
          <w:lang w:bidi="ar-SA"/>
        </w:rPr>
        <w:t>. . .(</w:t>
      </w:r>
      <w:r>
        <w:rPr>
          <w:rStyle w:val="FootnoteAnchor"/>
          <w:rtl w:val="true"/>
        </w:rPr>
        <w:footnoteReference w:id="117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الْخَمْرُ وَالْمَيْسِرُ </w:t>
      </w:r>
      <w:r>
        <w:rPr>
          <w:rFonts w:eastAsia="Amiri" w:cs="Amiri" w:ascii="Amiri" w:hAnsi="Amiri"/>
          <w:color w:val="111111"/>
          <w:sz w:val="28"/>
          <w:szCs w:val="28"/>
          <w:rtl w:val="true"/>
          <w:lang w:bidi="ar-SA"/>
        </w:rPr>
        <w:t>. . .(</w:t>
      </w:r>
      <w:r>
        <w:rPr>
          <w:rStyle w:val="FootnoteAnchor"/>
          <w:rtl w:val="true"/>
        </w:rPr>
        <w:footnoteReference w:id="1180"/>
      </w:r>
      <w:r>
        <w:rPr>
          <w:rFonts w:ascii="IRNazanin" w:hAnsi="IRNazanin" w:eastAsia="IRNazanin"/>
          <w:color w:val="111111"/>
          <w:sz w:val="28"/>
          <w:sz w:val="28"/>
          <w:szCs w:val="28"/>
          <w:rtl w:val="true"/>
          <w:lang w:bidi="fa-IR"/>
        </w:rPr>
        <w:t xml:space="preserve">عن موارد الصلاح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أرادا أنّ مصلحة احترام المؤمن أو مفسدة حرمة الغيبة لا تزاحم سائر المصالح مطلقاً ؛ لكون مصلحة حرمة المؤمن ومفسدة الغيبة ضعيفة لا تقاوم سائر المصالح المزاحمة كما هو ظاهر الشهيد ومحتمل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ففيه منع كلّية ذلك ؛ لأنّ الغيبة من كبائر الذنوب كما تقدّم</w:t>
      </w:r>
      <w:r>
        <w:rPr>
          <w:rStyle w:val="FootnoteAnchor"/>
          <w:rtl w:val="true"/>
        </w:rPr>
        <w:footnoteReference w:id="1181"/>
      </w:r>
      <w:r>
        <w:rPr>
          <w:rFonts w:ascii="Amiri" w:hAnsi="Amiri" w:eastAsia="Amiri" w:cs="Amiri"/>
          <w:color w:val="111111"/>
          <w:sz w:val="28"/>
          <w:sz w:val="28"/>
          <w:szCs w:val="28"/>
          <w:rtl w:val="true"/>
          <w:lang w:bidi="ar-SA"/>
        </w:rPr>
        <w:t xml:space="preserve">، وقد علم اهتمام الشارع بتركها من أدلّة الباب والتعبيرات الواردة فيها وفي حرمة المؤمن ، كما هو أحد الطرق إلى كشف أهمّية الأحكام ، فلا شبهة في أنّ مفسدتها أهمّ من كثير من المصالح سواء رجعت إلى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أو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ثابت في الجملة ، فلا بدّ من النظر في الموارد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أرادا أنّ الدليل قائم على استثناء مطلق موارد يكون للمغتاب فيها غرض صحيح ، فالظاهر فقدان ذلك بهذا العنوان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وردت روايات وأدلّة في موارد خاصّة ، لكن لا يمكن إلغاء الخصوصية عنها إلى كلّ ذي مصلحة وملاك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عمدة ما وردت فيها الأدلّة المرخِّصة ، المتجاهر بالفسق والمتظلّم ، والترخيص فيهما ليس للتزاحم وتقديم جانب المقتضى ظاهراً ، فلا وجه لاحتمال إلغاء الخصوصية </w:t>
      </w:r>
      <w:r>
        <w:rPr>
          <w:rFonts w:eastAsia="Amiri" w:cs="Amiri" w:ascii="Amiri" w:hAnsi="Amiri"/>
          <w:color w:val="111111"/>
          <w:sz w:val="28"/>
          <w:szCs w:val="28"/>
          <w:rtl w:val="true"/>
          <w:lang w:bidi="ar-SA"/>
        </w:rPr>
        <w:t xml:space="preserve">. </w:t>
      </w:r>
      <w:bookmarkStart w:id="415" w:name="pg15158_207232"/>
    </w:p>
    <w:p>
      <w:pPr>
        <w:pStyle w:val="BookText"/>
        <w:rPr/>
      </w:pPr>
      <w:bookmarkEnd w:id="415"/>
      <w:r>
        <w:rPr>
          <w:rFonts w:ascii="Amiri" w:hAnsi="Amiri" w:eastAsia="Amiri" w:cs="Amiri"/>
          <w:color w:val="111111"/>
          <w:sz w:val="28"/>
          <w:sz w:val="28"/>
          <w:szCs w:val="28"/>
          <w:rtl w:val="true"/>
          <w:lang w:bidi="ar-SA"/>
        </w:rPr>
        <w:t xml:space="preserve">فالأولى صرف الكلام إلى موارد الاستثناء ، وكذا موارد يقال أو يحتمل أن يقال بترجيح مقتضاها على مقتضى الغيبة بعد ما لم يكن في الباب ملاك كلّي وضابط عامّ ، كما يظهر من العلمين المتقدّمين من دعوى الكلّية </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1851704_2142443653"/>
      <w:bookmarkStart w:id="417" w:name="_Toc143"/>
      <w:bookmarkEnd w:id="416"/>
      <w:r>
        <w:rPr>
          <w:rtl w:val="true"/>
        </w:rPr>
        <w:t>الأوّل</w:t>
      </w:r>
      <w:r>
        <w:rPr>
          <w:rtl w:val="true"/>
        </w:rPr>
        <w:t xml:space="preserve">: </w:t>
      </w:r>
      <w:r>
        <w:rPr>
          <w:rtl w:val="true"/>
        </w:rPr>
        <w:t>فيما يستثنى بالأدلّة الخاصّة</w:t>
      </w:r>
      <w:bookmarkEnd w:id="417"/>
    </w:p>
    <w:p>
      <w:pPr>
        <w:pStyle w:val="Heading5"/>
        <w:numPr>
          <w:ilvl w:val="4"/>
          <w:numId w:val="1"/>
        </w:numPr>
        <w:rPr/>
      </w:pPr>
      <w:bookmarkStart w:id="418" w:name="__RefHeading___Toc1851706_2142443653"/>
      <w:bookmarkStart w:id="419" w:name="_Toc144"/>
      <w:bookmarkEnd w:id="418"/>
      <w:r>
        <w:rPr>
          <w:rtl w:val="true"/>
        </w:rPr>
        <w:t>استثناء غيبة المتجاهر بالفسق في الجملة</w:t>
      </w:r>
      <w:bookmarkEnd w:id="419"/>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المغتاب متجاهراً بالفسق ، وهذا في الجملة لا إشكال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روايات كثيرة ، كالمستفيضة المتقدّمة الدالّة على أنّ الغيبة أن تقول في أخيك ما ستره اللّه عليه</w:t>
      </w:r>
      <w:r>
        <w:rPr>
          <w:rStyle w:val="FootnoteAnchor"/>
          <w:rtl w:val="true"/>
        </w:rPr>
        <w:footnoteReference w:id="1182"/>
      </w:r>
      <w:r>
        <w:rPr>
          <w:rFonts w:ascii="Amiri" w:hAnsi="Amiri" w:eastAsia="Amiri" w:cs="Amiri"/>
          <w:color w:val="111111"/>
          <w:sz w:val="28"/>
          <w:sz w:val="28"/>
          <w:szCs w:val="28"/>
          <w:rtl w:val="true"/>
          <w:lang w:bidi="ar-SA"/>
        </w:rPr>
        <w:t>، وأنّ ما يعرفه الناس والأمر الظاهر ممّا فيه فليس بغيبة ؛ فإنّها غير مختصّة بالعيوب الخلقية كالشلل والعور ، كما يظهر من رواية داود بن سرحان</w:t>
      </w:r>
      <w:r>
        <w:rPr>
          <w:rStyle w:val="FootnoteAnchor"/>
          <w:rtl w:val="true"/>
        </w:rPr>
        <w:footnoteReference w:id="1183"/>
      </w:r>
      <w:r>
        <w:rPr>
          <w:rFonts w:ascii="Amiri" w:hAnsi="Amiri" w:eastAsia="Amiri" w:cs="Amiri"/>
          <w:color w:val="111111"/>
          <w:sz w:val="28"/>
          <w:sz w:val="28"/>
          <w:szCs w:val="28"/>
          <w:rtl w:val="true"/>
          <w:lang w:bidi="ar-SA"/>
        </w:rPr>
        <w:t xml:space="preserve">ويدلّ عليه إطلاق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بالمتجاهر بالفسق والفاسق المعلن بفسقه أن يتجاهر به بمرأى من الناس وعند جماعة معتدّ بها ، والجهر عند أخصّائه وأصحابه ليس مراداً إلاّ إذا كانوا عدداً كثيراً معتدّاً به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 نّه ليس المراد التجاهر عند جميع أهل البلد بل إذا جهر بملأ من الناس يصدق أ نّه معلن ومتجاهر ، فإذا شرب الخمر في السوق بمرأى من العابرين </w:t>
      </w:r>
    </w:p>
    <w:p>
      <w:pPr>
        <w:pStyle w:val="BookText"/>
        <w:rPr/>
      </w:pPr>
      <w:r>
        <w:rPr>
          <w:rFonts w:ascii="Amiri" w:hAnsi="Amiri" w:eastAsia="Amiri" w:cs="Amiri"/>
          <w:color w:val="111111"/>
          <w:sz w:val="28"/>
          <w:sz w:val="28"/>
          <w:szCs w:val="28"/>
          <w:rtl w:val="true"/>
          <w:lang w:bidi="ar-SA"/>
        </w:rPr>
        <w:t xml:space="preserve">يكون متجاهراً فتشمله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ستره اللّه عليه ، لم يقم عليه فيه حدّ</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هارون بن الجهم بأحمد بن هارون عن الصادق جعفر بن محمّد علیهما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جاهر الفاسق بفسقه فلا حرمة له ولا غيبة</w:t>
      </w:r>
      <w:r>
        <w:rPr>
          <w:rFonts w:eastAsia="IRNazanin" w:cs="IRNazanin"/>
          <w:color w:val="111111"/>
          <w:sz w:val="28"/>
          <w:szCs w:val="28"/>
          <w:rtl w:val="true"/>
          <w:lang w:bidi="fa-IR"/>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أبي البختري عنه عن أبيه علیهما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ليس لهم 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هوىً مبتدع ، والإمام الجائر ، والفاسق المعلن بالفسق</w:t>
      </w:r>
      <w:r>
        <w:rPr>
          <w:rFonts w:eastAsia="IRNazanin" w:cs="IRNazanin"/>
          <w:color w:val="111111"/>
          <w:sz w:val="28"/>
          <w:szCs w:val="28"/>
          <w:rtl w:val="true"/>
          <w:lang w:bidi="fa-IR"/>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عن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ألقى جلباب الحياء فلا غيبة له</w:t>
      </w:r>
      <w:r>
        <w:rPr>
          <w:rFonts w:eastAsia="IRNazanin" w:cs="IRNazanin"/>
          <w:color w:val="111111"/>
          <w:sz w:val="28"/>
          <w:szCs w:val="28"/>
          <w:rtl w:val="true"/>
          <w:lang w:bidi="fa-IR"/>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القطب الراوندي عن النبي صلی الله علیه و آله وسلم  مثله</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عن السيّد فضل اللّه الراوندي بإسناده عن رسول اللّه‌ صلی الله علیه و آله وسلم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أربعة ليس غيبتهم 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الفاسق المعلن بفسقه ، والإمام الكذّاب إن أحسنت لم يشكر وإن أسأت لم يغفر ، والمتفكّهون بالاُمّهات ، والخارج من الجماعة </w:t>
      </w:r>
    </w:p>
    <w:p>
      <w:pPr>
        <w:pStyle w:val="BookText"/>
        <w:rPr/>
      </w:pPr>
      <w:r>
        <w:rPr>
          <w:rFonts w:ascii="Amiri" w:hAnsi="Amiri" w:eastAsia="Amiri" w:cs="Amiri"/>
          <w:color w:val="111111"/>
          <w:sz w:val="28"/>
          <w:sz w:val="28"/>
          <w:szCs w:val="28"/>
          <w:rtl w:val="true"/>
          <w:lang w:bidi="ar-SA"/>
        </w:rPr>
        <w:t>الطاعن على اُمّتي الشاهر عليها بسيفه</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عن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في أخيه المؤمن ممّا فيه ممّا قد استتر به عن الناس فقد اغتابه</w:t>
      </w:r>
      <w:r>
        <w:rPr>
          <w:rFonts w:eastAsia="IRNazanin" w:cs="IRNazanin"/>
          <w:color w:val="111111"/>
          <w:sz w:val="28"/>
          <w:szCs w:val="28"/>
          <w:rtl w:val="true"/>
          <w:lang w:bidi="fa-IR"/>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ممّا له أدنى دلالة على المقصود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كموثّقة سماعة بن مهران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عامل الناس فلم يظلمهم وحدّثهم فلم يكذبهم ووعدهم فلم يخلفهم كان ممّن حرمت غيبته وكملت مروءته وظهر عدله ووجبت اُخوّته</w:t>
      </w:r>
      <w:r>
        <w:rPr>
          <w:rFonts w:eastAsia="IRNazanin" w:cs="IRNazanin"/>
          <w:color w:val="111111"/>
          <w:sz w:val="28"/>
          <w:szCs w:val="28"/>
          <w:rtl w:val="true"/>
          <w:lang w:bidi="fa-IR"/>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دلالتها على المقصود مبنيّة على أن يكون المفهوم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الفقرات ، هو الإيجاب الكلّي حتّى ينطبق على من لم يبال في دينه والمجاهر بالفسق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أنّ الجزاء كلّ واحد من الفقرات الأربع مستقلاًّ حتّى يكون مفاد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جاهر بفسقه لا تحرم غيبته ولم تكمل مروءته </w:t>
      </w:r>
      <w:r>
        <w:rPr>
          <w:rFonts w:eastAsia="Amiri" w:cs="Amiri" w:ascii="Amiri" w:hAnsi="Amiri"/>
          <w:color w:val="111111"/>
          <w:sz w:val="28"/>
          <w:szCs w:val="28"/>
          <w:rtl w:val="true"/>
          <w:lang w:bidi="ar-SA"/>
        </w:rPr>
        <w:t>. . .»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كان المفهوم منها الإيجاب الجزئي ، أو كان الجزاء مجموع الاُمور الأربعة حتّى يكون المفهوم سلب المجموع الصادق على ثبوت بعضها فلا دلالة لها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ودفع الإشكال الأوّل بأنّ شمولها لمطلق الفاسق غير مضرّ بعد خروج غير المعلن بالأخبار والإجماع</w:t>
      </w:r>
      <w:r>
        <w:rPr>
          <w:rStyle w:val="FootnoteAnchor"/>
          <w:rtl w:val="true"/>
        </w:rPr>
        <w:footnoteReference w:id="1192"/>
      </w:r>
      <w:r>
        <w:rPr>
          <w:rFonts w:ascii="Amiri" w:hAnsi="Amiri" w:eastAsia="Amiri" w:cs="Amiri"/>
          <w:color w:val="111111"/>
          <w:sz w:val="28"/>
          <w:sz w:val="28"/>
          <w:szCs w:val="28"/>
          <w:rtl w:val="true"/>
          <w:lang w:bidi="ar-SA"/>
        </w:rPr>
        <w:t xml:space="preserve">، مدفوع بأ نّه موجب لخروج الفرد الشائع الكثير وإبقاء النادر القليل ولو بالنسبة ، 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وصحيحة ابن أبي يعفور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بما تعرف عدالة الرجل بين المسلمين 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والدلالة على ذلك كلّه أن يكون ساتراً لجميع عيوبه حتّى يحرم على المسلمين ما وراء ذلك من عثراته وعيوبه وتفتيش ما وراء ذلك ويجب عليهم تزكيته وإظهار عدالته في الناس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19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119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1195"/>
      </w:r>
      <w:r>
        <w:rPr>
          <w:rFonts w:ascii="Amiri" w:hAnsi="Amiri" w:eastAsia="Amiri" w:cs="Amiri"/>
          <w:color w:val="111111"/>
          <w:sz w:val="28"/>
          <w:sz w:val="28"/>
          <w:szCs w:val="28"/>
          <w:rtl w:val="true"/>
          <w:lang w:bidi="ar-SA"/>
        </w:rPr>
        <w:t xml:space="preserve">وعن 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يحرم على المسلمين تفتيش ما وراء ذلك من عثراته وعيوبه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نقلها الشيخ الأنصاري أيضاً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هذه النسخة لا ربط لها بما نحن بصدده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بحرمة عثراته وعيوبه على المسلمين حرمة إظهارهما وذكرهما كما يحرم عليهم تفتيش سائر عيوبه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مفهوم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ساتراً لجميع 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كاشف بجميعها أو بعضها ينطبق على المتجاهر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الأظهر أنّ المقابل للساتر لجميع عيوبه الذي لا يصدق إلاّ على الساتر عن جميع الناس ، عدم الساتر كذلك ، فينطبق على الأعمّ من المتجاهر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وتخصيصه بالمتجاهر بالدليل يأتي فيه الإشكال المتقدّم ، مع أنّ الالتزام بجواز تفتيش عثرات المتجاهر مشكل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علقمة بن محمّد عن الصادق علیه السلام ،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تره بعينك يرتكب ذنباً أو لم يشهد عليه بذلك شاهدان فهو من أهل العدالة والستر ، وشهادته مقبولة وإن كان في نفسه مذنباً ، ومن اغتابه بما فيه فهو خارج من ولاية اللّه تعالى ذكره داخل في ولاية الشيطان</w:t>
      </w:r>
      <w:r>
        <w:rPr>
          <w:rFonts w:eastAsia="IRNazanin" w:cs="IRNazanin"/>
          <w:color w:val="111111"/>
          <w:sz w:val="28"/>
          <w:szCs w:val="28"/>
          <w:rtl w:val="true"/>
          <w:lang w:bidi="fa-IR"/>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ترتّب عدم جواز الاغتياب على كونه من أهل الستر ، فإذا لم يكن كذلك بل كان متجاهراً بذنبه يجوز غيبته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بعد تسليم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الجزاء وتسليم ترتّب هذه الجملة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وتسليم أنّ مقابل أهل الستر المتجاهر بالفسق ، لا تدلّ على المقصود ؛ لأنّ مفادها أنّ من كان كذلك تكون غيبته موجبة للخروج عن ولاية اللّه والدخول في ولاية الشيطان وبانتفائه ينتفي هذا الحكم ؛ أي كون غيبته بهذا الحدّ من العظمة ؛ بحيث يخرج مغتابه عن ولاية اللّه ويدخل في ولاية الشيطان ، ومع انتفائه لا يلزم ثبوت جواز الغيبة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نظير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شتم فقيهاً يخرج عن ولاية اللّه ، حيث لا يدلّ على </w:t>
      </w:r>
    </w:p>
    <w:p>
      <w:pPr>
        <w:pStyle w:val="BookText"/>
        <w:rPr/>
      </w:pPr>
      <w:r>
        <w:rPr>
          <w:rFonts w:ascii="Amiri" w:hAnsi="Amiri" w:eastAsia="Amiri" w:cs="Amiri"/>
          <w:color w:val="111111"/>
          <w:sz w:val="28"/>
          <w:sz w:val="28"/>
          <w:szCs w:val="28"/>
          <w:rtl w:val="true"/>
          <w:lang w:bidi="ar-SA"/>
        </w:rPr>
        <w:t xml:space="preserve">جواز شتم غير الفقيه ، بل غاية ما يدلّ انتفاء هذه الخاصّة عند انتفاء الفقاهة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المستند في جواز غيبة المتجاهر بالفسق مثل حسنة هارون بن الجهم ورواية أبي البختري</w:t>
      </w:r>
      <w:r>
        <w:rPr>
          <w:rStyle w:val="FootnoteAnchor"/>
          <w:rtl w:val="true"/>
        </w:rPr>
        <w:footnoteReference w:id="1198"/>
      </w:r>
      <w:r>
        <w:rPr>
          <w:rFonts w:ascii="Amiri" w:hAnsi="Amiri" w:eastAsia="Amiri" w:cs="Amiri"/>
          <w:color w:val="111111"/>
          <w:sz w:val="28"/>
          <w:sz w:val="28"/>
          <w:szCs w:val="28"/>
          <w:rtl w:val="true"/>
          <w:lang w:bidi="ar-SA"/>
        </w:rPr>
        <w:t xml:space="preserve">وما بمضمونهما يشكل الحكم بالجواز بمجرّد الإجهار بفسق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لاحتمال أن يكون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جاهر الفاسق بفسقه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الفاسق المعلن بالفسق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لم يستتر فجوره ولا يبالي بظهور كلّ فسق ، سيّما مع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المصدر المضاف يفيد العموم بناءً على أنّ الفسق مصدر أو اسم مصدر وكان بحكمه فيه ، 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المفرد المحلّى أيضاً كذلك ، ولا أقلّ أن يكونا بحكم المطلق ، فيكونان مساوقين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ألقى جلباب الحياء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ارتكاب فسق واحد علناً مع الاستحياء عن سائر الفسوق ، لا يوجب إلقاء جلباب الحياء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عرفاً 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جاهر الفاسق بفسق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 المعلن بفسق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ما في الروايتين ، فإنّ ذلك لا يصدق مع إجهار فسق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 يتوقّف على إجهار جميع فجوره بنحو الاستغراق وإن كان ذلك مقتضى ما تقدّم من العموم أو الإطلاق ، 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يتوقّف على أن لا يعتني بالناس في ذنوبه وألقى جلباب الحياء عن وجهه ، فحينئذٍ تصدق العناوين عليه عرفاً من غير توقّف على الإجهار بالجميع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كان المستند فيه المستفيضة المتقدّمة المفسّرة لها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bookmarkStart w:id="420" w:name="pg15158_207238"/>
    </w:p>
    <w:p>
      <w:pPr>
        <w:pStyle w:val="BookText"/>
        <w:rPr/>
      </w:pPr>
      <w:bookmarkEnd w:id="420"/>
      <w:r>
        <w:rPr>
          <w:rFonts w:ascii="Amiri" w:hAnsi="Amiri" w:eastAsia="Amiri" w:cs="Amiri"/>
          <w:color w:val="111111"/>
          <w:sz w:val="28"/>
          <w:sz w:val="28"/>
          <w:szCs w:val="28"/>
          <w:rtl w:val="true"/>
          <w:lang w:bidi="ar-SA"/>
        </w:rPr>
        <w:t>أن تقول لأخيك في دينه ما لم يفعل، وتبثّ عليه أمراً قد ستره اللّه عليه لم يقم عليه فيه حدّ</w:t>
      </w:r>
      <w:r>
        <w:rPr>
          <w:rFonts w:eastAsia="Amiri" w:cs="Amiri" w:ascii="Amiri" w:hAnsi="Amiri"/>
          <w:color w:val="111111"/>
          <w:sz w:val="28"/>
          <w:szCs w:val="28"/>
          <w:rtl w:val="true"/>
          <w:lang w:bidi="ar-SA"/>
        </w:rPr>
        <w:t>»</w:t>
      </w:r>
      <w:r>
        <w:rPr>
          <w:rStyle w:val="FootnoteAnchor"/>
          <w:rtl w:val="true"/>
        </w:rPr>
        <w:footnoteReference w:id="1199"/>
      </w:r>
      <w:r>
        <w:rPr>
          <w:rFonts w:ascii="Amiri" w:hAnsi="Amiri" w:eastAsia="Amiri" w:cs="Amiri"/>
          <w:color w:val="111111"/>
          <w:sz w:val="28"/>
          <w:sz w:val="28"/>
          <w:szCs w:val="28"/>
          <w:rtl w:val="true"/>
          <w:lang w:bidi="ar-SA"/>
        </w:rPr>
        <w:t xml:space="preserve">وغيره ممّا مرّ ، يكون الجهر بفسق ما موجباً لصدق عدم كونه مستوراً وكونه ممّا يعرفه الناس </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851708_2142443653"/>
      <w:bookmarkStart w:id="422" w:name="_Toc145"/>
      <w:bookmarkEnd w:id="421"/>
      <w:r>
        <w:rPr>
          <w:rtl w:val="true"/>
        </w:rPr>
        <w:t>الجمع بين الروايات في المقام</w:t>
      </w:r>
      <w:bookmarkEnd w:id="422"/>
    </w:p>
    <w:p>
      <w:pPr>
        <w:pStyle w:val="BookText"/>
        <w:rPr/>
      </w:pPr>
      <w:r>
        <w:rPr>
          <w:rFonts w:ascii="Amiri" w:hAnsi="Amiri" w:eastAsia="Amiri" w:cs="Amiri"/>
          <w:color w:val="111111"/>
          <w:sz w:val="28"/>
          <w:sz w:val="28"/>
          <w:szCs w:val="28"/>
          <w:rtl w:val="true"/>
          <w:lang w:bidi="ar-SA"/>
        </w:rPr>
        <w:t xml:space="preserve">ثمّ إنّ مقتضى إطلاق الأدلّة مثل حسنة هارون بن الجهم وغيرها جواز اغتياب المتجاهر في غير ما تجاهر به ، لكنّها معارضة بالمستفيضة المتقدّمة تعارض العامّين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أن تقول لأخيك ما ستره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بإطلاقه شامل لمن تجاهر في فسق آخر ، ومع تعارضهما فالترجيح للمستفيضة ؛ لكونها موافقة للكتاب والسنّة المعلومة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بعدم التعارض بينهما ؛ فإنّ العرف ولو بملاحظة ارتكازاته ومناسبات الحكم والموضوع يجمع بين الطائفتين بأنّ المتجاهر يجوز غيبته فيما تجاهر به دون ما استتر به ، ولا ينقدح في الأذهان التنافي بينهما وإن كانت النسبة العموم من وجه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المفصّلة بين الأمر الظاهر والمستتر أقوى ظهوراً من المطلقات في الإطلاق ، بل لأحد إنكار إطلاقها ، أو دعوى انصرافها إلى الجواز فيما تجاهر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تجويزها كأ نّه معلول هتك عرض نفسه فإذا كان هاتكاً له لا يجب على غيره الكفّ عنه ، دون ما إذا كان مستتراً </w:t>
      </w:r>
      <w:bookmarkStart w:id="423" w:name="pg15158_207239"/>
    </w:p>
    <w:p>
      <w:pPr>
        <w:pStyle w:val="BookText"/>
        <w:rPr/>
      </w:pPr>
      <w:bookmarkEnd w:id="423"/>
      <w:r>
        <w:rPr>
          <w:rFonts w:ascii="Amiri" w:hAnsi="Amiri" w:eastAsia="Amiri" w:cs="Amiri"/>
          <w:color w:val="111111"/>
          <w:sz w:val="28"/>
          <w:sz w:val="28"/>
          <w:szCs w:val="28"/>
          <w:rtl w:val="true"/>
          <w:lang w:bidi="ar-SA"/>
        </w:rPr>
        <w:t xml:space="preserve">غير هاتك فلا يجوز لغيره هتكه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الأظهر عدم جوازها فيما لم يجاهر به ، من غير فرق بين ما كان أدون ممّا جاهر به أو لا ، فما أفاده الشيخ الأنصاري</w:t>
      </w:r>
      <w:r>
        <w:rPr>
          <w:rStyle w:val="FootnoteAnchor"/>
          <w:rtl w:val="true"/>
        </w:rPr>
        <w:footnoteReference w:id="1200"/>
      </w:r>
      <w:r>
        <w:rPr>
          <w:rFonts w:ascii="Amiri" w:hAnsi="Amiri" w:eastAsia="Amiri" w:cs="Amiri"/>
          <w:color w:val="111111"/>
          <w:sz w:val="28"/>
          <w:sz w:val="28"/>
          <w:szCs w:val="28"/>
          <w:rtl w:val="true"/>
          <w:lang w:bidi="ar-SA"/>
        </w:rPr>
        <w:t xml:space="preserve">من إلحاق الأدون به غير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تجوز فيما جاهر به في محيط لم يجاهر به وكان متستّراً عنه فيه ؟ الأحوط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دعوى انصراف الأدلّة عنه ولو بمناسبات مغروسة في الأذهان ، وبملاحظة الروايات المستفيضة الواردة في الاهتمام بأعراض المسلمين وحرمتها وعدم جواز إذاعة سرّهم واحتقارهم وإهانتهم </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851710_2142443653"/>
      <w:bookmarkStart w:id="425" w:name="_Toc146"/>
      <w:bookmarkEnd w:id="424"/>
      <w:r>
        <w:rPr>
          <w:rtl w:val="true"/>
        </w:rPr>
        <w:t>في المراد بالمتجاهر بالفسق</w:t>
      </w:r>
      <w:bookmarkEnd w:id="425"/>
    </w:p>
    <w:p>
      <w:pPr>
        <w:pStyle w:val="BookText"/>
        <w:rPr/>
      </w:pPr>
      <w:r>
        <w:rPr>
          <w:rFonts w:ascii="Amiri" w:hAnsi="Amiri" w:eastAsia="Amiri" w:cs="Amiri"/>
          <w:color w:val="111111"/>
          <w:sz w:val="28"/>
          <w:sz w:val="28"/>
          <w:szCs w:val="28"/>
          <w:rtl w:val="true"/>
          <w:lang w:bidi="ar-SA"/>
        </w:rPr>
        <w:t xml:space="preserve">ثمّ المراد بالمتجاهر من كان متجاهراً بالفسق غير مبالٍ عن ظهوره لدى الناس ، فمن جاهر بفسق مع توجيهه لدى الناس بوجه يمكن صحّته ولو بعيداً ، لم يكن متجاهراً جائز الغيبة ولو علم كذبه في محمله ، فضلاً عمّا إذا احتملت صحّته ولو بعيداً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في الحكم بالجواز من إحراز كونه متجاهراً بالفسق بما هو فسق ، من غير احتمال الصحّة أو احتمال اعتذاره بعذر غير معلوم الفساد ؛ لما علم من طريق العقل والنقل احترام المسلم والاهتمام بشأنه وأنّ عرضه كدمه لا بدّ فيه من الاحتياط </w:t>
      </w:r>
      <w:r>
        <w:rPr>
          <w:rFonts w:eastAsia="Amiri" w:cs="Amiri" w:ascii="Amiri" w:hAnsi="Amiri"/>
          <w:color w:val="111111"/>
          <w:sz w:val="28"/>
          <w:szCs w:val="28"/>
          <w:rtl w:val="true"/>
          <w:lang w:bidi="ar-SA"/>
        </w:rPr>
        <w:t xml:space="preserve">. </w:t>
      </w:r>
      <w:bookmarkStart w:id="426" w:name="pg15158_207240"/>
    </w:p>
    <w:p>
      <w:pPr>
        <w:pStyle w:val="BookText"/>
        <w:rPr/>
      </w:pPr>
      <w:bookmarkEnd w:id="426"/>
      <w:r>
        <w:rPr>
          <w:rFonts w:ascii="Amiri" w:hAnsi="Amiri" w:eastAsia="Amiri" w:cs="Amiri"/>
          <w:color w:val="111111"/>
          <w:sz w:val="28"/>
          <w:sz w:val="28"/>
          <w:szCs w:val="28"/>
          <w:rtl w:val="true"/>
          <w:lang w:bidi="ar-SA"/>
        </w:rPr>
        <w:t xml:space="preserve">ولا يجوز التمسّك بالاُصول في جواز الوقيعة فيه ، بدعوى أ نّه مع احتمال كونه متجاهراً بالفسق تكون الشبهة في العمومات مصداقية ومعها يكون الأصل البراءة ؛ فإنّه مخالف لمذاق الشارع الأقدس ، ولما يستفاد من الأخبار الكثيرة من كثرة الاهتمام بأعراض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الأصل عدم كونه متجاهراً ، أو عدم تحقّق موضوع الجواز ، فإنّ الجهر به حادث مسبوق بالعدم فيحرز به موضوع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تسويلات الشياطين، وحفظنا وإيّاكم من الوقيعة في أعراض المسلمين </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851712_2142443653"/>
      <w:bookmarkStart w:id="428" w:name="_Toc147"/>
      <w:bookmarkEnd w:id="427"/>
      <w:r>
        <w:rPr>
          <w:rtl w:val="true"/>
        </w:rPr>
        <w:t>حكم الفاسق الغير المتجاهر</w:t>
      </w:r>
      <w:bookmarkEnd w:id="428"/>
    </w:p>
    <w:p>
      <w:pPr>
        <w:pStyle w:val="BookText"/>
        <w:rPr/>
      </w:pPr>
      <w:r>
        <w:rPr>
          <w:rFonts w:ascii="Amiri" w:hAnsi="Amiri" w:eastAsia="Amiri" w:cs="Amiri"/>
          <w:color w:val="111111"/>
          <w:sz w:val="28"/>
          <w:sz w:val="28"/>
          <w:szCs w:val="28"/>
          <w:rtl w:val="true"/>
          <w:lang w:bidi="ar-SA"/>
        </w:rPr>
        <w:t xml:space="preserve">ثمّ إنّ مقتضى إطلاق الأدلّة آية ورواية حرمة غيبة الفاسق الغير المتجاهر ولو كان مصرّاً بفسقه ، خلافاً للطريحي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فجوّز غيبته متمسّكاً بعدم عموم في الغيبة من طرقنا، والعمومات كلّها من طرق العامّة ، وبجملة من الروايات الدالّة على اختصاص التحريم بمن يتّصف بصفات مخصوصة ، كصحيحة ابن أبي يعفور ، وموثّقة سماعة بن مهران المتقدّمتين</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يظهر منه أنّ الحكم بالجواز معروف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وبما ذكرناه يظهر أنّ المنع من غيبة الفاسق 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يميل إليه كلام بعض من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بالوجه</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وربّما يؤيّد</w:t>
      </w:r>
      <w:r>
        <w:rPr>
          <w:rStyle w:val="FootnoteAnchor"/>
          <w:rtl w:val="true"/>
        </w:rPr>
        <w:footnoteReference w:id="1203"/>
      </w:r>
      <w:r>
        <w:rPr>
          <w:rFonts w:ascii="IRNazanin" w:hAnsi="IRNazanin" w:eastAsia="IRNazanin"/>
          <w:color w:val="111111"/>
          <w:sz w:val="28"/>
          <w:sz w:val="28"/>
          <w:szCs w:val="28"/>
          <w:rtl w:val="true"/>
          <w:lang w:bidi="fa-IR"/>
        </w:rPr>
        <w:t xml:space="preserve">كلامه ببعض الروايات الضعيفة ، كالمرويّ عن النبي 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غيبة 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فاسق</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في الفاسق ما فيه كي تحذره الناس</w:t>
      </w:r>
      <w:r>
        <w:rPr>
          <w:rFonts w:eastAsia="IRNazanin" w:cs="IRNazanin"/>
          <w:color w:val="111111"/>
          <w:sz w:val="28"/>
          <w:szCs w:val="28"/>
          <w:rtl w:val="true"/>
          <w:lang w:bidi="fa-IR"/>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سيّما في إنكاره العموم من طرقنا ؛ فإنّ الآيات الكريمة المتقدّمة لا قصور في إطلاقها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يَغْتَبْ بَعْضُكُمْ بَعْضاً</w:t>
      </w:r>
      <w:r>
        <w:rPr>
          <w:rFonts w:eastAsia="Amiri" w:cs="Amiri" w:ascii="Amiri" w:hAnsi="Amiri"/>
          <w:color w:val="111111"/>
          <w:sz w:val="28"/>
          <w:szCs w:val="28"/>
          <w:rtl w:val="true"/>
          <w:lang w:bidi="ar-SA"/>
        </w:rPr>
        <w:t>(</w:t>
      </w:r>
      <w:r>
        <w:rPr>
          <w:rStyle w:val="FootnoteAnchor"/>
          <w:rtl w:val="true"/>
        </w:rPr>
        <w:footnoteReference w:id="1206"/>
      </w:r>
      <w:r>
        <w:rPr>
          <w:rFonts w:ascii="Amiri" w:hAnsi="Amiri" w:eastAsia="Amiri" w:cs="Amiri"/>
          <w:color w:val="111111"/>
          <w:sz w:val="28"/>
          <w:sz w:val="28"/>
          <w:szCs w:val="28"/>
          <w:rtl w:val="true"/>
          <w:lang w:bidi="ar-SA"/>
        </w:rPr>
        <w:t xml:space="preserve">مطلق في مقام البيان بلا ريب ، كما أنّ جملة من الروايات التي من طرقنا مطلقة يظهر للمتأمّل المراجع ، ولا ضير في نفي العموم الاصطلاحي ، ومراده أعمّ من الإطلاق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صحيحة ابن أبي يعفور</w:t>
      </w:r>
      <w:r>
        <w:rPr>
          <w:rStyle w:val="FootnoteAnchor"/>
          <w:rtl w:val="true"/>
        </w:rPr>
        <w:footnoteReference w:id="1207"/>
      </w:r>
      <w:r>
        <w:rPr>
          <w:rFonts w:ascii="Amiri" w:hAnsi="Amiri" w:eastAsia="Amiri" w:cs="Amiri"/>
          <w:color w:val="111111"/>
          <w:sz w:val="28"/>
          <w:sz w:val="28"/>
          <w:szCs w:val="28"/>
          <w:rtl w:val="true"/>
          <w:lang w:bidi="ar-SA"/>
        </w:rPr>
        <w:t xml:space="preserve">فمع اختلاف النسخ في نقلها ولعلّ الأصحّ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Style w:val="FootnoteAnchor"/>
          <w:rtl w:val="true"/>
        </w:rPr>
        <w:footnoteReference w:id="1208"/>
      </w:r>
      <w:r>
        <w:rPr>
          <w:rFonts w:ascii="Amiri" w:hAnsi="Amiri" w:eastAsia="Amiri" w:cs="Amiri"/>
          <w:color w:val="111111"/>
          <w:sz w:val="28"/>
          <w:sz w:val="28"/>
          <w:szCs w:val="28"/>
          <w:rtl w:val="true"/>
          <w:lang w:bidi="ar-SA"/>
        </w:rPr>
        <w:t xml:space="preserve">لا تدلّ على جواز غيبته ، بل تدلّ على جواز تفتيش عثراته ، وهو عنوان آخر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الالتزام بجواز تفتيش عثرات المتجاهر في غاية الإشكال ، مضافاً إلى احتمال أن يكون مقابل ساتر عيوبه كاشف عيوبه أو كاشف بعضها ، وهو منطبق على المتجاهر لا الفاسق المصرّ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ودلالة موثّقة سماعة</w:t>
      </w:r>
      <w:r>
        <w:rPr>
          <w:rStyle w:val="FootnoteAnchor"/>
          <w:rtl w:val="true"/>
        </w:rPr>
        <w:footnoteReference w:id="1209"/>
      </w:r>
      <w:r>
        <w:rPr>
          <w:rFonts w:ascii="Amiri" w:hAnsi="Amiri" w:eastAsia="Amiri" w:cs="Amiri"/>
          <w:color w:val="111111"/>
          <w:sz w:val="28"/>
          <w:sz w:val="28"/>
          <w:szCs w:val="28"/>
          <w:rtl w:val="true"/>
          <w:lang w:bidi="ar-SA"/>
        </w:rPr>
        <w:t>مبنيّة على أن يكون كلّ من الجمل الثلاث في الشرط مستقلاًّ ، ويكون المقابل لكلّ جملة إيجاباً جزئياً ، ويكون كلّ جملة من الجمل الأربع في الجزاء مستقلاًّ ولا يكون المجموع جزاءً واحداً، وكلّ ذلك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 نّه على فرض تمامية دلالتها معارضة بحسنة داود بن سرحان بل وروايتي عبد الرحمان بن سيابة</w:t>
      </w:r>
      <w:r>
        <w:rPr>
          <w:rStyle w:val="FootnoteAnchor"/>
          <w:rtl w:val="true"/>
        </w:rPr>
        <w:footnoteReference w:id="1210"/>
      </w:r>
      <w:r>
        <w:rPr>
          <w:rFonts w:ascii="Amiri" w:hAnsi="Amiri" w:eastAsia="Amiri" w:cs="Amiri"/>
          <w:color w:val="111111"/>
          <w:sz w:val="28"/>
          <w:sz w:val="28"/>
          <w:szCs w:val="28"/>
          <w:rtl w:val="true"/>
          <w:lang w:bidi="ar-SA"/>
        </w:rPr>
        <w:t xml:space="preserve">وغيرها ، والترجيح لهذه الطائفة لموافقتها للكتاب، أو المرجع إطلاقه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الكلام في سائر الروايات المتشبّث بها ، مضافاً إلى ضعفها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عدم جواز غيبة الفاسق ولو كان مصرّاً بفسقه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يتمسّك لجواز غيبة الفاسق أو المتجاهر برواية ابن أبي يعفور بطريق الشيخ وهو ضعيف ،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غيبة إلاّ لمن صلّى في بيته ورغب عن جماعتنا ، ومن رغب عن جماعة المسلمين وجب على المسلمين غيبته وسقطت بينهم عدالته ووجب هجرانه </w:t>
      </w:r>
      <w:r>
        <w:rPr>
          <w:rFonts w:eastAsia="IRNazanin" w:cs="IRNazanin"/>
          <w:color w:val="111111"/>
          <w:sz w:val="28"/>
          <w:szCs w:val="28"/>
          <w:rtl w:val="true"/>
          <w:lang w:bidi="fa-IR"/>
        </w:rPr>
        <w:t>. .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كما ترى أوجبت الغيبة في ترك المستحبّ أو فعل الحرام إن كان الإعراض حراماً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مفادها غير المطلوب ؛ لعدم التزامهم بوجوب غيبة الفاسق أو المتجاهر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محمولة على المورد الذي كان الإعراض عن </w:t>
      </w:r>
      <w:bookmarkStart w:id="429" w:name="pg15158_207243"/>
    </w:p>
    <w:p>
      <w:pPr>
        <w:pStyle w:val="BookText"/>
        <w:rPr/>
      </w:pPr>
      <w:bookmarkEnd w:id="429"/>
      <w:r>
        <w:rPr>
          <w:rFonts w:ascii="Amiri" w:hAnsi="Amiri" w:eastAsia="Amiri" w:cs="Amiri"/>
          <w:color w:val="111111"/>
          <w:sz w:val="28"/>
          <w:sz w:val="28"/>
          <w:szCs w:val="28"/>
          <w:rtl w:val="true"/>
          <w:lang w:bidi="ar-SA"/>
        </w:rPr>
        <w:t xml:space="preserve">جماعة المسلمين مخالفة لإمام المسلمين أو في مظنّتها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الحكم سياسي ؛ لأنّ الظاهر أنّ الإعراض عن جماعة المسلمين في عصر رسول اللّه‌ صلی الله علیه و آله وسلم  أو ما قاربه كان إعراضاً عن والي المسلمين ومظنّة للتوطئة على ضدّ الإسلام ، وفي مثله يجب على المسلمين الوقيعة في المعرض وهجرانه ونحو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ذكر وإن لا يلائم بعض فقرات الحديث لكن لا محيص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 نّه منقول بطريق صحيح مع خلوّه عن هذه الزيادة</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1851714_2142443653"/>
      <w:bookmarkStart w:id="431" w:name="_Toc148"/>
      <w:bookmarkEnd w:id="430"/>
      <w:r>
        <w:rPr>
          <w:rtl w:val="true"/>
        </w:rPr>
        <w:t>استثناء تظلّم المظلوم</w:t>
      </w:r>
      <w:bookmarkEnd w:id="431"/>
    </w:p>
    <w:p>
      <w:pPr>
        <w:pStyle w:val="BookText"/>
        <w:rPr/>
      </w:pPr>
      <w:r>
        <w:rPr>
          <w:rFonts w:ascii="IRNazanin" w:hAnsi="IRNazanin" w:eastAsia="IRNazanin"/>
          <w:color w:val="111111"/>
          <w:sz w:val="28"/>
          <w:sz w:val="28"/>
          <w:szCs w:val="28"/>
          <w:rtl w:val="true"/>
          <w:lang w:bidi="fa-IR"/>
        </w:rPr>
        <w:t xml:space="preserve">ومنه تظلّم المظلوم وإظهار ما فعل به الظالم وإن كان متستّراً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الجملة ممّا لا إشكال فيه بل جوازه في الجملة من الواضحات ؛ ضرورة أنّ نصب الوالي والقاضي في البلاد من قبل رسول اللّه‌ صلی الله علیه و آله وسلم  وأمير المؤمنين علیه السلام</w:t>
      </w:r>
    </w:p>
    <w:p>
      <w:pPr>
        <w:pStyle w:val="BookText"/>
        <w:rPr/>
      </w:pPr>
      <w:r>
        <w:rPr>
          <w:rFonts w:ascii="Amiri" w:hAnsi="Amiri" w:eastAsia="Amiri" w:cs="Amiri"/>
          <w:color w:val="111111"/>
          <w:sz w:val="28"/>
          <w:sz w:val="28"/>
          <w:szCs w:val="28"/>
          <w:rtl w:val="true"/>
          <w:lang w:bidi="ar-SA"/>
        </w:rPr>
        <w:t xml:space="preserve">للانتصاف من الظالم ورفع الظلم عن المظلوم وعدم تضييع حقوق الناس ، ولا زال رفع الناس أمرهم وشكواهم إلى ولاة الأمر والقضاة من غير نكير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رفع الأنصاري شكواه من سمرة بن جندب إلى رسول اللّه‌ صلی الله علیه و آله وسلم واغتابه عنده في دخوله في داره بلا استئذان ومع كون نسوته على حال غير مناسب لدخوله عليهنّ ، ولم يمنعه عن اغتيابه وذكره بالسوء</w:t>
      </w:r>
      <w:r>
        <w:rPr>
          <w:rStyle w:val="FootnoteAnchor"/>
          <w:rtl w:val="true"/>
        </w:rPr>
        <w:footnoteReference w:id="1213"/>
      </w:r>
      <w:r>
        <w:rPr>
          <w:rFonts w:ascii="Amiri" w:hAnsi="Amiri" w:eastAsia="Amiri" w:cs="Amiri"/>
          <w:color w:val="111111"/>
          <w:sz w:val="28"/>
          <w:sz w:val="28"/>
          <w:szCs w:val="28"/>
          <w:rtl w:val="true"/>
          <w:lang w:bidi="ar-SA"/>
        </w:rPr>
        <w:t xml:space="preserve">، تأمّل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ورفع الناس أمرهم وشكواهم إلى أمير المؤمنين علیه السلام إلى ما شاء اللّه‌</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رفع الأمر إلى الولاة والقضاة في دفع الظلامة مستلزم غالباً لاطّلاع حواشيهما وأصحابهما عليه ولم يعهد المنع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أوجب اللّه تعالى أداء الشهادة وحرّم كتمانها </w:t>
      </w:r>
      <w:r>
        <w:rPr>
          <w:rStyle w:val="FootnoteAnchor"/>
          <w:rtl w:val="true"/>
        </w:rPr>
        <w:footnoteReference w:id="1215"/>
      </w:r>
      <w:r>
        <w:rPr>
          <w:rFonts w:ascii="Amiri" w:hAnsi="Amiri" w:eastAsia="Amiri" w:cs="Amiri"/>
          <w:color w:val="111111"/>
          <w:sz w:val="28"/>
          <w:sz w:val="28"/>
          <w:szCs w:val="28"/>
          <w:rtl w:val="true"/>
          <w:lang w:bidi="ar-SA"/>
        </w:rPr>
        <w:t xml:space="preserve">، وهو مستلزم في كثير من الموارد لكشف ستر الناس واغتيابهم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القدر ممّا لا شبهة في جوازه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والإشكال في جوازها مطلقاً عند الحاكم وغيره للانتصاف من الظالم أو لا ، وفي مورد الظلامة وغيره في سائر عيوبه ، إلى غير ذلك من الموارد المشتبهة التي لا بدّ من التماس دليل على تسويغها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w:t>
      </w:r>
      <w:r>
        <w:rPr>
          <w:rStyle w:val="FootnoteAnchor"/>
          <w:rtl w:val="true"/>
        </w:rPr>
        <w:footnoteReference w:id="1216"/>
      </w:r>
      <w:r>
        <w:rPr>
          <w:rFonts w:ascii="IRNazanin" w:hAnsi="IRNazanin" w:eastAsia="IRNazanin"/>
          <w:color w:val="111111"/>
          <w:sz w:val="28"/>
          <w:sz w:val="28"/>
          <w:szCs w:val="28"/>
          <w:rtl w:val="true"/>
          <w:lang w:bidi="fa-IR"/>
        </w:rPr>
        <w:t xml:space="preserve">على المطلوب بل على إطلاقه باُمور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 وَكَانَ اللّه‌ُ سَمِيعاً عَلِيماً</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به لأصل المطلوب يتوقّف على كون الاستثناء متّصلاً وكون الاستثناء من الجهر بالسوء ، وكان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اللّه الجهر إلاّ جهر من ظلم ، فيكون بقرينة الاستثناء في مقام بيان الجهر بالسوء ، فيؤخذ بإطلاقه لأنواع الجهر بالسوء ، كالشتم والدعاء بالسوء والغيبة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ويتوقّف إطلاق المطلوب على إحراز كونه في مقام بيان عقد الاستثناء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الخدشة في جميع ذلك ؛ لعدم دافع لاحتمال كون الاستثناء منقطعاً ، سيّما مع عدم إمكان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ظاهر الكلام فيحتاج إلى 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الاستثناء الاتّصال، إن لم يرجع إلى ظهور في الكلام لا يتّبع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دعوى الظهور في المقام بعد كون الاتّصال متوقّفاً على التقدير وهو خلاف الأصل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 عن ابن الجنّي أ نّه منقطع</w:t>
      </w:r>
      <w:r>
        <w:rPr>
          <w:rStyle w:val="FootnoteAnchor"/>
          <w:rtl w:val="true"/>
        </w:rPr>
        <w:footnoteReference w:id="1218"/>
      </w:r>
      <w:r>
        <w:rPr>
          <w:rFonts w:ascii="Amiri" w:hAnsi="Amiri" w:eastAsia="Amiri" w:cs="Amiri"/>
          <w:color w:val="111111"/>
          <w:sz w:val="28"/>
          <w:sz w:val="28"/>
          <w:szCs w:val="28"/>
          <w:rtl w:val="true"/>
          <w:lang w:bidi="ar-SA"/>
        </w:rPr>
        <w:t xml:space="preserve">، وعن ابن عبّاس وجماعة اُخرى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w:t>
      </w:r>
      <w:r>
        <w:rPr>
          <w:rStyle w:val="FootnoteAnchor"/>
          <w:rtl w:val="true"/>
        </w:rPr>
        <w:footnoteReference w:id="1219"/>
      </w:r>
      <w:r>
        <w:rPr>
          <w:rFonts w:ascii="Amiri" w:hAnsi="Amiri" w:eastAsia="Amiri" w:cs="Amiri"/>
          <w:color w:val="111111"/>
          <w:sz w:val="28"/>
          <w:sz w:val="28"/>
          <w:szCs w:val="28"/>
          <w:rtl w:val="true"/>
          <w:lang w:bidi="ar-SA"/>
        </w:rPr>
        <w:t xml:space="preserve">وعليه يكون منقطعاً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ظَلَم</w:t>
      </w:r>
    </w:p>
    <w:p>
      <w:pPr>
        <w:pStyle w:val="BookText"/>
        <w:rPr/>
      </w:pPr>
      <w:r>
        <w:rPr>
          <w:rFonts w:ascii="Amiri" w:hAnsi="Amiri" w:eastAsia="Amiri" w:cs="Amiri"/>
          <w:color w:val="111111"/>
          <w:sz w:val="28"/>
          <w:sz w:val="28"/>
          <w:szCs w:val="28"/>
          <w:rtl w:val="true"/>
          <w:lang w:bidi="ar-SA"/>
        </w:rPr>
        <w:t xml:space="preserve">لا يخفى أمره على اللّه تعالى ،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سَمِيعاً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ظلم جهر بظلامته ومن ظلم جهر بظلمه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دليل على أنّ الاستثناء يكون من الجهر،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جهر من ظلم ؛ لاحتمال كون التقدير في المستثنى منه ويكون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اللّه الجهر من أحد بالسوء إلاّ من ظلم ، أو جهر أحد إلاّ من ظلم ، فيكون في مقام بيان الأشخاص لا الأقوال كما هو ظاهر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من أحد الجهر إلاّ ممّن ظلم ، وأمّا أنّ كلّ جهر لا يجوز فلا إطلاق لإثباته ، بل في مقام الإهمال من هذه الجهة ، فلا تدلّ الآية على حرمة الغيبة حتّى يتشبّث بالاستثناء لتجويزها ، ولو سلّم الإطلاق في </w:t>
      </w:r>
    </w:p>
    <w:p>
      <w:pPr>
        <w:pStyle w:val="BookText"/>
        <w:rPr/>
      </w:pPr>
      <w:r>
        <w:rPr>
          <w:rFonts w:ascii="Amiri" w:hAnsi="Amiri" w:eastAsia="Amiri" w:cs="Amiri"/>
          <w:color w:val="111111"/>
          <w:sz w:val="28"/>
          <w:sz w:val="28"/>
          <w:szCs w:val="28"/>
          <w:rtl w:val="true"/>
          <w:lang w:bidi="ar-SA"/>
        </w:rPr>
        <w:t xml:space="preserve">المستثنى منه كما لا تبعد دعوى الفهم العرفي على تأمّل ، فلا يسلّم في المستثنى ؛ لعدم إحراز كونه في مقام البيان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دلّت على أنّ كلّ من ظلم يجوز له الجهر بالسوء لا تدلّ على جواز التقوّل بكلّ سوء والإجهار بكلّ قول وعند كلّ أحد ومع معلومية الظالم وذكره باسمه ؛ لعدم إطلاق في عقد الاستثناء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لعلّه يشهد له ما 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معناه 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 اللّه الشتم في الانتصار إلاّ من ظلم ، فلا بأس له</w:t>
      </w:r>
    </w:p>
    <w:p>
      <w:pPr>
        <w:pStyle w:val="BookText"/>
        <w:rPr/>
      </w:pPr>
      <w:r>
        <w:rPr>
          <w:rFonts w:ascii="Amiri" w:hAnsi="Amiri" w:eastAsia="Amiri" w:cs="Amiri"/>
          <w:color w:val="111111"/>
          <w:sz w:val="28"/>
          <w:sz w:val="28"/>
          <w:szCs w:val="28"/>
          <w:rtl w:val="true"/>
          <w:lang w:bidi="ar-SA"/>
        </w:rPr>
        <w:t xml:space="preserve">أن ينتصر ممّن ظلمه بما يجوز الانتصار به في الدين ، عن الحسن والسدي ، وهو المرويّ عن 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وَانْتَصَرُوا مِنْ بَعْدِ مَا ظُلِمُوا</w:t>
      </w:r>
      <w:r>
        <w:rPr>
          <w:rFonts w:eastAsia="Amiri" w:cs="Amiri" w:ascii="Amiri" w:hAnsi="Amiri"/>
          <w:color w:val="111111"/>
          <w:sz w:val="28"/>
          <w:szCs w:val="28"/>
          <w:rtl w:val="true"/>
          <w:lang w:bidi="ar-SA"/>
        </w:rPr>
        <w:t>(</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للرجل إذا قيل له يا زاني أن يقابل له بمثل ذلك من أنواع الشتم</w:t>
      </w:r>
      <w:r>
        <w:rPr>
          <w:rFonts w:eastAsia="Amiri" w:cs="Amiri" w:ascii="Amiri" w:hAnsi="Amiri"/>
          <w:color w:val="111111"/>
          <w:sz w:val="28"/>
          <w:szCs w:val="28"/>
          <w:rtl w:val="true"/>
          <w:lang w:bidi="ar-SA"/>
        </w:rPr>
        <w:t>»</w:t>
      </w:r>
      <w:r>
        <w:rPr>
          <w:rStyle w:val="FootnoteAnchor"/>
          <w:rtl w:val="true"/>
        </w:rPr>
        <w:footnoteReference w:id="1222"/>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مبنيّ على عدم إطلاق فيها لا في المستثنى منه ولا في المستثنى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ظاهر رواية العيّاشي عن أبي عبداللّه علیه 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أضاف قوماً فأساء ضيافتهم</w:t>
      </w:r>
    </w:p>
    <w:p>
      <w:pPr>
        <w:pStyle w:val="BookText"/>
        <w:rPr/>
      </w:pPr>
      <w:r>
        <w:rPr>
          <w:rFonts w:ascii="Amiri" w:hAnsi="Amiri" w:eastAsia="Amiri" w:cs="Amiri"/>
          <w:color w:val="111111"/>
          <w:sz w:val="28"/>
          <w:sz w:val="28"/>
          <w:szCs w:val="28"/>
          <w:rtl w:val="true"/>
          <w:lang w:bidi="ar-SA"/>
        </w:rPr>
        <w:t>فهو ممّن ظلم ، فلا جناح عليهم فيما قالوا فيه</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الطبرسي في مجمعه عنه علیه السلام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الضيف ينزل </w:t>
      </w:r>
    </w:p>
    <w:p>
      <w:pPr>
        <w:pStyle w:val="BookText"/>
        <w:rPr/>
      </w:pPr>
      <w:r>
        <w:rPr>
          <w:rFonts w:ascii="Amiri" w:hAnsi="Amiri" w:eastAsia="Amiri" w:cs="Amiri"/>
          <w:color w:val="111111"/>
          <w:sz w:val="28"/>
          <w:sz w:val="28"/>
          <w:szCs w:val="28"/>
          <w:rtl w:val="true"/>
          <w:lang w:bidi="ar-SA"/>
        </w:rPr>
        <w:t>بالرجل فلا يحسن ضيافته فلا جناح عليه في أن يذكره بسوء ما فعله</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إطلاق الآية وشمولها لأنواع الظلم وجواز غيبة الظالم مطلقاً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لكنّهما مع ضعفهما معارضتان بما عن أبي جعفر علیه السلامآنفاً ، فإنّ الظاهر منها عدم جواز غيبة الظالم ، وإنّما يجوز الانتصار منه بما يجوز في الدين ، 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وَلَمَنِ انْتَصَرَ بَعْدَ ظُلْمِهِ فَأُوْلَئِكَ مَا عَلَيْهِمْ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السَّبِيلُ عَلَى الَّذِينَ يَظْلِمُونَ النَّاسَ وَيَبْغُونَ فِى اْلأَرْضِ بِغَيْرِ الْحَقِّ</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أوضح دلالة وأشمل مفاداً من الآية المتقدّمة ، سواء كان المراد من الانتصار طلب النصر كما هو أحد معانيه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انتصر على خصمه إذا استظهر ، أو الانتقام من الظالم</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على الأوّل فلأنّ مقتضى إطلاقه جواز الاستنصار وطلب النصر من كلّ من يرجو منه ذلك ، والياً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جواز ذكر مساءة الظالم وغيبته عند من يرجو منه النصر ، كان الظالم متجاهراً أم لا ، والسامع عالماً بمساءته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فلأنّ جواز الانتقام من الظالم مستلزم لجواز الانتصار من الغير ، وإلاّ فقلّما يكون المظلوم بنفسه يمكنه الانتقام من ظالمه ، والانتصار ملازم</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لذكر مساءة الظالم كما مرّ ، ولا أقلّ من أنّ إطلاق الانتصار يقتضي جواز انتقامه بمعاونة الغير كعشيرته وقبيلته إذا لم يمكنه بنفسه وهو ملازم للغيبة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مقتضى ظاهر الآية جواز إعانة الغير إذا استعانه المظلوم لدفع ظلامته والانتقام من الظالم ، فإذا جاز للمظلوم الانتقام من الظالم وتوقّف نوعاً على الاستعانة بغيره كعشيرته وأحبّته وغيرهما جاز لهم نصره بظاهر الآية ولو بملازمة 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يجوز لهم التعرّض للظالم بأغراضهم لا لكونهم آلة ووسيلة للانتقام للمظلوم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المعنى الثاني ، وأمّا على المعنى الأوّل فالأمر أوضح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إطلاق في الآية من جهة كيفية الانتصار ، بل هي بصدد بيان أنّ لكلّ مظلوم يجوز الانتصار</w:t>
      </w:r>
      <w:r>
        <w:rPr>
          <w:rStyle w:val="FootnoteAnchor"/>
          <w:rtl w:val="true"/>
        </w:rPr>
        <w:footnoteReference w:id="1227"/>
      </w:r>
      <w:r>
        <w:rPr>
          <w:rFonts w:ascii="Amiri" w:hAnsi="Amiri" w:eastAsia="Amiri" w:cs="Amiri"/>
          <w:color w:val="111111"/>
          <w:sz w:val="28"/>
          <w:sz w:val="28"/>
          <w:szCs w:val="28"/>
          <w:rtl w:val="true"/>
          <w:lang w:bidi="ar-SA"/>
        </w:rPr>
        <w:t xml:space="preserve">، والمتيقّن منه جواز الاستنصار من الوالي والقاضي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سيقت لبيان جواز الانتصار بعد الظلم مقابل الظلم الابتدائي ، فلا إشكال في إطلاقها من هذه الحيثية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بصدد بيان عدم السبيل للمظلوم دون الظالم ، وبيان صرف مقابلتهما ، فلا إطلاق فيها من جهة كيفية الانتصار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أيضاً غير وجيه ؛ لأنّ الظاهر منها أ نّها بصدد بيان الجملة الاُولى كما تشهد به الآيات المتقدّمة عليها وإنّما ذكرت الجملة الثانية تطفّلاً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قرّرناه يمكن الاستدلال عليه بمثل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122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أَصَابَهُمُ الْبَغْىُ هُمْ يَنْتَصِرُونَ</w:t>
      </w:r>
      <w:r>
        <w:rPr>
          <w:rFonts w:eastAsia="Amiri" w:cs="Amiri" w:ascii="Amiri" w:hAnsi="Amiri"/>
          <w:color w:val="111111"/>
          <w:sz w:val="28"/>
          <w:szCs w:val="28"/>
          <w:rtl w:val="true"/>
          <w:lang w:bidi="ar-SA"/>
        </w:rPr>
        <w:t>(</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على كلام وتأمّل وإشكال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تجويز الانتصار والانتقام للمظلوم بنفسه من الظالم يوجب الهرج والمرج ، وإنّما نصب الوالي والقاضي للانتصاف والانتصار وتنظيم اُمور الناس ، ومعه كيف يطلق ذلك للناس بأنفسهم ؟</w:t>
      </w:r>
    </w:p>
    <w:p>
      <w:pPr>
        <w:pStyle w:val="BookText"/>
        <w:rPr/>
      </w:pPr>
      <w:r>
        <w:rPr>
          <w:rFonts w:ascii="Amiri" w:hAnsi="Amiri" w:eastAsia="Amiri" w:cs="Amiri"/>
          <w:color w:val="111111"/>
          <w:sz w:val="28"/>
          <w:sz w:val="28"/>
          <w:szCs w:val="28"/>
          <w:rtl w:val="true"/>
          <w:lang w:bidi="ar-SA"/>
        </w:rPr>
        <w:t>لكنّه اعتبار ضعيف مخالف للإطلاق بل والاعتبار الصحيح ، وقد وقع نظيره في الشرع كتجويز التقاصّ للدائن</w:t>
      </w:r>
      <w:r>
        <w:rPr>
          <w:rStyle w:val="FootnoteAnchor"/>
          <w:rtl w:val="true"/>
        </w:rPr>
        <w:footnoteReference w:id="1230"/>
      </w:r>
      <w:r>
        <w:rPr>
          <w:rFonts w:ascii="Amiri" w:hAnsi="Amiri" w:eastAsia="Amiri" w:cs="Amiri"/>
          <w:color w:val="111111"/>
          <w:sz w:val="28"/>
          <w:sz w:val="28"/>
          <w:szCs w:val="28"/>
          <w:rtl w:val="true"/>
          <w:lang w:bidi="ar-SA"/>
        </w:rPr>
        <w:t>، وتجويز الدفاع عن النفس والعرض والمال</w:t>
      </w:r>
      <w:r>
        <w:rPr>
          <w:rStyle w:val="FootnoteAnchor"/>
          <w:rtl w:val="true"/>
        </w:rPr>
        <w:footnoteReference w:id="1231"/>
      </w:r>
      <w:r>
        <w:rPr>
          <w:rFonts w:ascii="Amiri" w:hAnsi="Amiri" w:eastAsia="Amiri" w:cs="Amiri"/>
          <w:color w:val="111111"/>
          <w:sz w:val="28"/>
          <w:sz w:val="28"/>
          <w:szCs w:val="28"/>
          <w:rtl w:val="true"/>
          <w:lang w:bidi="ar-SA"/>
        </w:rPr>
        <w:t>، ودفع المشرف على بيت الرجل</w:t>
      </w:r>
      <w:r>
        <w:rPr>
          <w:rStyle w:val="FootnoteAnchor"/>
          <w:rtl w:val="true"/>
        </w:rPr>
        <w:footnoteReference w:id="1232"/>
      </w:r>
      <w:r>
        <w:rPr>
          <w:rFonts w:ascii="IRNazanin" w:hAnsi="IRNazanin" w:eastAsia="IRNazanin"/>
          <w:color w:val="111111"/>
          <w:sz w:val="28"/>
          <w:sz w:val="28"/>
          <w:szCs w:val="28"/>
          <w:rtl w:val="true"/>
          <w:lang w:bidi="fa-IR"/>
        </w:rPr>
        <w:t>، وقتل من سبّ النبي صلی الله علیه و آله وسلم أو أحد</w:t>
      </w:r>
    </w:p>
    <w:p>
      <w:pPr>
        <w:pStyle w:val="BookText"/>
        <w:rPr/>
      </w:pPr>
      <w:r>
        <w:rPr>
          <w:rFonts w:ascii="IRNazanin" w:hAnsi="IRNazanin" w:eastAsia="IRNazanin"/>
          <w:color w:val="111111"/>
          <w:sz w:val="28"/>
          <w:sz w:val="28"/>
          <w:szCs w:val="28"/>
          <w:rtl w:val="true"/>
          <w:lang w:bidi="fa-IR"/>
        </w:rPr>
        <w:t>الأئمّة علیهم السلام</w:t>
      </w:r>
      <w:r>
        <w:rPr>
          <w:rStyle w:val="FootnoteAnchor"/>
          <w:rtl w:val="true"/>
        </w:rPr>
        <w:footnoteReference w:id="1233"/>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ترى من نفسك وجوب القعود عن دفع السارق المهاجم على عرض الرجل وماله وعدم جواز دفعه ثمّ بعد فعله ما فعل يقال للمظلوم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الرجوع إلى المحاكم الصالحة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لا وجه للاستبعاد بعد قيام الدليل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المؤيّدات التي ذكرها الشيخ الأنصاري كدليل نفي الحرج ، وأنّ في تشريع الجواز مظنّة الردع ، وغيرهما </w:t>
      </w:r>
      <w:r>
        <w:rPr>
          <w:rStyle w:val="FootnoteAnchor"/>
          <w:rtl w:val="true"/>
        </w:rPr>
        <w:footnoteReference w:id="1234"/>
      </w:r>
      <w:r>
        <w:rPr>
          <w:rFonts w:ascii="Amiri" w:hAnsi="Amiri" w:eastAsia="Amiri" w:cs="Amiri"/>
          <w:color w:val="111111"/>
          <w:sz w:val="28"/>
          <w:sz w:val="28"/>
          <w:szCs w:val="28"/>
          <w:rtl w:val="true"/>
          <w:lang w:bidi="ar-SA"/>
        </w:rPr>
        <w:t xml:space="preserve">فلا يخفى ما فيها؛ من عدم صلاحيتها للخروج عن إطلاق أدلّة التحريم كما اعترف به </w:t>
      </w:r>
      <w:r>
        <w:rPr>
          <w:rFonts w:eastAsia="Amiri" w:cs="Amiri" w:ascii="Amiri" w:hAnsi="Amiri"/>
          <w:color w:val="111111"/>
          <w:sz w:val="28"/>
          <w:szCs w:val="28"/>
          <w:rtl w:val="true"/>
          <w:lang w:bidi="ar-SA"/>
        </w:rPr>
        <w:t xml:space="preserve">. </w:t>
      </w:r>
      <w:bookmarkStart w:id="432" w:name="pg15158_207250"/>
    </w:p>
    <w:p>
      <w:pPr>
        <w:pStyle w:val="Heading4"/>
        <w:numPr>
          <w:ilvl w:val="3"/>
          <w:numId w:val="1"/>
        </w:numPr>
        <w:rPr/>
      </w:pPr>
      <w:bookmarkStart w:id="433" w:name="__RefHeading___Toc1851716_2142443653"/>
      <w:bookmarkStart w:id="434" w:name="_Toc149"/>
      <w:bookmarkEnd w:id="432"/>
      <w:bookmarkEnd w:id="433"/>
      <w:r>
        <w:rPr>
          <w:rtl w:val="true"/>
        </w:rPr>
        <w:t>عدم استثناء غيبة تارك الأولى</w:t>
      </w:r>
      <w:bookmarkEnd w:id="434"/>
    </w:p>
    <w:p>
      <w:pPr>
        <w:pStyle w:val="BookText"/>
        <w:rPr/>
      </w:pPr>
      <w:r>
        <w:rPr>
          <w:rFonts w:ascii="Amiri" w:hAnsi="Amiri" w:eastAsia="Amiri" w:cs="Amiri"/>
          <w:color w:val="111111"/>
          <w:sz w:val="28"/>
          <w:sz w:val="28"/>
          <w:szCs w:val="28"/>
          <w:rtl w:val="true"/>
          <w:lang w:bidi="ar-SA"/>
        </w:rPr>
        <w:t xml:space="preserve">كما لا يجوز غيبة من ترك الأولى بالنسبة إلى شخص ، كما لو ترك بعض مراتب الضيافة ما لم يصل إلى الهتك والتحقير والإهانة ، أو استقضى حقّه وكان الأولى تركه ، فضلاً عن تارك الأولى الذي غير مربوط به كالغيبة في ترك المستحبّ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أمكن الاستدلال على الجواز بروايات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علیه 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أضاف قوماً فأساء</w:t>
      </w:r>
    </w:p>
    <w:p>
      <w:pPr>
        <w:pStyle w:val="BookText"/>
        <w:rPr/>
      </w:pPr>
      <w:r>
        <w:rPr>
          <w:rFonts w:ascii="Amiri" w:hAnsi="Amiri" w:eastAsia="Amiri" w:cs="Amiri"/>
          <w:color w:val="111111"/>
          <w:sz w:val="28"/>
          <w:sz w:val="28"/>
          <w:szCs w:val="28"/>
          <w:rtl w:val="true"/>
          <w:lang w:bidi="ar-SA"/>
        </w:rPr>
        <w:t>ضيافتهم فهو ممّن ظلم ، فلا جناح عليهم فيما قالوا فيه</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باختلافٍ مرسلة الطبرسي</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دائر بين أحد التصرّفين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التصرّف في الرواية وحمل إطلاقها على ما إذا ظلم المضيف ضيفه، وحفظ ظهور عنوان الظلم في الآية ، فإنّ إساءة الضيافة أعمّ من وقوعها على نحو الظلم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التصرّف في الآية وحمل الظلم فيها على الأعمّ ممّا هو المتفاهم عرفاً، وحفظ إطلاق الرواية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أولى ؛ لأنّ ظهور المفسّر حاكم على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من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الإلحاق الحكمي بلسان الإلحاق الموضوعي ، وإلاّ فمفهوم الظلم غير محتاج إلى البيان ، فالرواية بلسانها مفسّرة للآية ومنقّحة للموضوع أو ملحقة لمطلق الإساءة في الضيافة بالظلم ، ويتمّ المطلوب بدعوى إلغاء الخصوصية عن الضيافة وإسراء الحكم إلى سائر ما يكون إساءة ولو بنحو ترك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والحمل على مورد الظلم حتّى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توضيح الواضح فبعيد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الخروج عن الأدلّة المحكمة بمثل هذه المرسلة الضعيفة غير ممكن ، 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إساءة الضيافة أخصّ من ترك الأولى ، بل لعلّها لا تنطبق إلاّ على الضيافة بنحو توهين وتحقير، وهو ظلم وليس تطبيقه على ذلك توضيح الواضح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حمّاد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على أبي عبداللّه علیه السلامفشكا</w:t>
      </w:r>
    </w:p>
    <w:p>
      <w:pPr>
        <w:pStyle w:val="BookText"/>
        <w:rPr/>
      </w:pPr>
      <w:r>
        <w:rPr>
          <w:rFonts w:ascii="IRNazanin" w:hAnsi="IRNazanin" w:eastAsia="IRNazanin"/>
          <w:color w:val="111111"/>
          <w:sz w:val="28"/>
          <w:sz w:val="28"/>
          <w:szCs w:val="28"/>
          <w:rtl w:val="true"/>
          <w:lang w:bidi="fa-IR"/>
        </w:rPr>
        <w:t xml:space="preserve">إليه رجلاً من أصحابه ، فلم يلبث أن جاء المشكوّ ، فقال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لفلان يشكوك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يشكوني أ نّي استقضيت منه حقّي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أبو عبداللّه علیه السلام مغضباً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 نّك إذا استقضيت حقّك لم تسئ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أرأيتك ما</w:t>
      </w:r>
    </w:p>
    <w:p>
      <w:pPr>
        <w:pStyle w:val="BookText"/>
        <w:rPr/>
      </w:pPr>
      <w:r>
        <w:rPr>
          <w:rFonts w:ascii="Amiri" w:hAnsi="Amiri" w:eastAsia="Amiri" w:cs="Amiri"/>
          <w:color w:val="111111"/>
          <w:sz w:val="28"/>
          <w:sz w:val="28"/>
          <w:szCs w:val="28"/>
          <w:rtl w:val="true"/>
          <w:lang w:bidi="ar-SA"/>
        </w:rPr>
        <w:t xml:space="preserve">حكى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 نّهم خافوا اللّه أن يجور عليهم ؟ لا واللّه ، ما خافوا إلاّ الاستقضاء فسمّاه اللّه عزّ وجلّ سوء الحساب ، فمن استقضى فقد أساء</w:t>
      </w:r>
      <w:r>
        <w:rPr>
          <w:rFonts w:eastAsia="Amiri" w:cs="Amiri" w:ascii="Amiri" w:hAnsi="Amiri"/>
          <w:color w:val="111111"/>
          <w:sz w:val="28"/>
          <w:szCs w:val="28"/>
          <w:rtl w:val="true"/>
          <w:lang w:bidi="ar-SA"/>
        </w:rPr>
        <w:t>»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123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نقل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القديمة بالصاد المهملة في الموضعين</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المهملة في جميع المواضع</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 كونه بالضاد المعجمة في الموضعين الأوّلين ؛ لأنّ الدائن في مقام الدفاع عن الشكوى لا يناسب أن يقرّ بالاستقصاء وسوء المطالبة ، بل المناسب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استقضيت حقّي فلا وجه لشكواه، وقول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 نّك إذا استقضيت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يناسب المعجمة طبقاً لمقالة الدائن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لمّا كان الاستقضاء على كيفيتين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بلا استقصاء وثانيتهما معه ، 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كلّ استقضاء غير سوء ، بل منه ما ينطبق عليه سوء الحساب وهو الاستقصاء فيه ، فمن استقصى فقد أساء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فالمناسب للموضع الأخير بل لما قبله المهملة ، ويؤيّده أنّ مطلق الاستقضاء ليس إساءة، كما هو واضح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للرواية على المقصود ؛ أي جواز الغيبة في ترك الأولى ؛</w:t>
      </w:r>
    </w:p>
    <w:p>
      <w:pPr>
        <w:pStyle w:val="BookText"/>
        <w:rPr/>
      </w:pPr>
      <w:r>
        <w:rPr>
          <w:rFonts w:ascii="Amiri" w:hAnsi="Amiri" w:eastAsia="Amiri" w:cs="Amiri"/>
          <w:color w:val="111111"/>
          <w:sz w:val="28"/>
          <w:sz w:val="28"/>
          <w:szCs w:val="28"/>
          <w:rtl w:val="true"/>
          <w:lang w:bidi="ar-SA"/>
        </w:rPr>
        <w:t>لأنّ الشكوى إن كان بمعنى تظلّم المظلوم وذكر سوء ما فعل به كما فسّر به في اللغة</w:t>
      </w:r>
      <w:r>
        <w:rPr>
          <w:rStyle w:val="FootnoteAnchor"/>
          <w:rtl w:val="true"/>
        </w:rPr>
        <w:footnoteReference w:id="1240"/>
      </w:r>
      <w:r>
        <w:rPr>
          <w:rFonts w:ascii="IRNazanin" w:hAnsi="IRNazanin" w:eastAsia="IRNazanin"/>
          <w:color w:val="111111"/>
          <w:sz w:val="28"/>
          <w:sz w:val="28"/>
          <w:szCs w:val="28"/>
          <w:rtl w:val="true"/>
          <w:lang w:bidi="fa-IR"/>
        </w:rPr>
        <w:t xml:space="preserve">، فالظاهر منه كون المطالبة كانت مقرونة للظلم كالإهانة والتحقير وغيرهما ، فتدلّ على جواز غيبة الظالم عند مثل أبي عبداللّه علیه السلام الذي يرجى منه دفع الظالم وظلمه سيّما أنّ المشكوّ كان من أصحابه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أعمّ فلا دلالة فيها على أنّ الشاكي اغتابه ؛ لإمكان الشكوى </w:t>
      </w:r>
    </w:p>
    <w:p>
      <w:pPr>
        <w:pStyle w:val="BookText"/>
        <w:rPr/>
      </w:pPr>
      <w:r>
        <w:rPr>
          <w:rFonts w:ascii="Amiri" w:hAnsi="Amiri" w:eastAsia="Amiri" w:cs="Amiri"/>
          <w:color w:val="111111"/>
          <w:sz w:val="28"/>
          <w:sz w:val="28"/>
          <w:szCs w:val="28"/>
          <w:rtl w:val="true"/>
          <w:lang w:bidi="ar-SA"/>
        </w:rPr>
        <w:t xml:space="preserve">عنه بما لا يرجع إلى الانتقاص والغيبة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أنّ الظاهر من سياق الرواية وغضب أبي عبداللّه علیه السلام وتطبيق الآية أنّ مطالبته كانت بوجه منطبق عليه عنوان الظلم ، كالاستقصاء من الفاقد، الموجب لخجلته وهتكه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ذكرناه من معنى الشكاية والاحتمالين فيها يظهر النظر في الاستدلال بمرسلة ثعلبة بن ميمون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عنده قوم يحدّثهم إذ ذكر رجل منهم رجلاً فوقع فيه وشكاه ، فقال له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 نّى لك بأخيك كلّه ؟ وأيّ الرجال المهذّب ؟</w:t>
      </w:r>
      <w:r>
        <w:rPr>
          <w:rFonts w:eastAsia="IRNazanin" w:cs="IRNazanin"/>
          <w:color w:val="111111"/>
          <w:sz w:val="28"/>
          <w:szCs w:val="28"/>
          <w:rtl w:val="true"/>
          <w:lang w:bidi="fa-IR"/>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اغتابه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ظاهراً حينئذٍ في تظلّمه وذكر سوء ما فعل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يدلّ ذيله على أنّ شكواه كان في ترك الأولى ؛ لأنّ حقوق الاُخوّة بين واجبات ومستحبّات ، وترك شيء منهما مخالف للاُخوّة وكون الرجل مهذّباً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يخلو نحو تعبيره من إشعار بترك الأولى لكنّه لا يصل إلى حدّ الدلالة والظهور المتّبع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دليل على أنّ الرجل المذكور عنده كان معروفاً لدى الحضّار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فلعلّه شكا رجلاً مجهولاً للتشفّي أو لدعاء أبي عبداللّه علیه السلام له في دفع صنيعته به أو لعلّه كان متجاهراً بالفسق والظلم </w:t>
      </w:r>
      <w:r>
        <w:rPr>
          <w:rFonts w:eastAsia="IRNazanin" w:cs="IRNazanin"/>
          <w:color w:val="111111"/>
          <w:sz w:val="28"/>
          <w:szCs w:val="28"/>
          <w:rtl w:val="true"/>
          <w:lang w:bidi="fa-IR"/>
        </w:rPr>
        <w:t xml:space="preserve">. </w:t>
      </w:r>
      <w:bookmarkStart w:id="435" w:name="pg15158_207254"/>
    </w:p>
    <w:p>
      <w:pPr>
        <w:pStyle w:val="Heading4"/>
        <w:numPr>
          <w:ilvl w:val="3"/>
          <w:numId w:val="1"/>
        </w:numPr>
        <w:rPr/>
      </w:pPr>
      <w:bookmarkStart w:id="436" w:name="__RefHeading___Toc1851718_2142443653"/>
      <w:bookmarkStart w:id="437" w:name="_Toc150"/>
      <w:bookmarkEnd w:id="435"/>
      <w:bookmarkEnd w:id="436"/>
      <w:r>
        <w:rPr>
          <w:rtl w:val="true"/>
        </w:rPr>
        <w:t>الثاني</w:t>
      </w:r>
      <w:r>
        <w:rPr>
          <w:rtl w:val="true"/>
        </w:rPr>
        <w:t xml:space="preserve">: </w:t>
      </w:r>
      <w:r>
        <w:rPr>
          <w:rtl w:val="true"/>
        </w:rPr>
        <w:t>فيما لا يكون من قبيل الاستثناء بل كان من باب التزاحم</w:t>
      </w:r>
      <w:bookmarkEnd w:id="437"/>
    </w:p>
    <w:p>
      <w:pPr>
        <w:pStyle w:val="BookText"/>
        <w:rPr/>
      </w:pPr>
      <w:r>
        <w:rPr>
          <w:rFonts w:ascii="Amiri" w:hAnsi="Amiri" w:eastAsia="Amiri" w:cs="Amiri"/>
          <w:color w:val="111111"/>
          <w:sz w:val="28"/>
          <w:sz w:val="28"/>
          <w:szCs w:val="28"/>
          <w:rtl w:val="true"/>
          <w:lang w:bidi="ar-SA"/>
        </w:rPr>
        <w:t xml:space="preserve">ومن الثاني ؛ أي ما لا يكون من قبيل الاستثناء وكان من باب التزاحم أو يحتمل فيه ذلك ، موارد كثيرة ذكرها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فيها أ نّه لا بدّ في الحكم بالجواز في كلّ مورد من إحراز كونه من باب التزاحم بإحراز المقتضي والملاك في الطرفين ، وإحراز أهمّية مقتضي المقابل لعنوان الغيبة عن مقتضيها أو إحراز التساوي بينهما أو احتمال الأهمّية أو التساوي في مقتضي المقابل لها ، وعدم احتمال الأهمّية في الطرف؛ أي في مقتضي الغيبة مع فقد احتمالها في مقابلها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يحكم العقل بجواز ارتكابها ، لا لما أفاده الشيخ الأنصاري ومن تبعه</w:t>
      </w:r>
    </w:p>
    <w:p>
      <w:pPr>
        <w:pStyle w:val="BookText"/>
        <w:rPr/>
      </w:pPr>
      <w:r>
        <w:rPr>
          <w:rFonts w:ascii="Amiri" w:hAnsi="Amiri" w:eastAsia="Amiri" w:cs="Amiri"/>
          <w:color w:val="111111"/>
          <w:sz w:val="28"/>
          <w:sz w:val="28"/>
          <w:szCs w:val="28"/>
          <w:rtl w:val="true"/>
          <w:lang w:bidi="ar-SA"/>
        </w:rPr>
        <w:t>من تبعية الحكم لأقوى المصلحتين وعدم حرمة الغيبة شرعاً في مورد أهمّية الغير</w:t>
      </w:r>
      <w:r>
        <w:rPr>
          <w:rStyle w:val="FootnoteAnchor"/>
          <w:rtl w:val="true"/>
        </w:rPr>
        <w:footnoteReference w:id="1242"/>
      </w:r>
      <w:r>
        <w:rPr>
          <w:rFonts w:ascii="Amiri" w:hAnsi="Amiri" w:eastAsia="Amiri" w:cs="Amiri"/>
          <w:color w:val="111111"/>
          <w:sz w:val="28"/>
          <w:sz w:val="28"/>
          <w:szCs w:val="28"/>
          <w:rtl w:val="true"/>
          <w:lang w:bidi="ar-SA"/>
        </w:rPr>
        <w:t xml:space="preserve">، فإنّه خلاف التحقيق في باب التزاحم في مقام 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الحكمين المتزاحمين في مقامه بقيا على فعليتهما مطلقاً ، إلاّ أنّ العقل يحكم بمعذورية الفاعل والمكلّف عن ترك المهمّ بالاشتغال بالأهمّ أو ترك أحد المتساويين بالاشتغال بالآخر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فترك الحكم الفعلي ومخالفته قد يكون لعذر ، فلا يعاقب عليه ، وقد يكون لا لعذر ، فيعاقب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لو ترك المتزاحمين فيما يمكن له تركهما استحقّ العقوبة على ترك كلّ واحد لمخالفته الحكم الفعلي بلا عذر مع قدرته على إتيانه</w:t>
      </w:r>
      <w:r>
        <w:rPr>
          <w:rFonts w:eastAsia="Amiri" w:cs="Amiri" w:ascii="Amiri" w:hAnsi="Amiri"/>
          <w:color w:val="111111"/>
          <w:sz w:val="28"/>
          <w:szCs w:val="28"/>
          <w:rtl w:val="true"/>
          <w:lang w:bidi="ar-SA"/>
        </w:rPr>
        <w:t xml:space="preserve">. </w:t>
      </w:r>
      <w:bookmarkStart w:id="438" w:name="pg15158_207255"/>
    </w:p>
    <w:p>
      <w:pPr>
        <w:pStyle w:val="BookText"/>
        <w:rPr/>
      </w:pPr>
      <w:bookmarkEnd w:id="438"/>
      <w:r>
        <w:rPr>
          <w:rFonts w:ascii="Amiri" w:hAnsi="Amiri" w:eastAsia="Amiri" w:cs="Amiri"/>
          <w:color w:val="111111"/>
          <w:sz w:val="28"/>
          <w:sz w:val="28"/>
          <w:szCs w:val="28"/>
          <w:rtl w:val="true"/>
          <w:lang w:bidi="ar-SA"/>
        </w:rPr>
        <w:t>والتفصيل ورفع الإشكالات المتوهّمة يطلب من محلّه</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ما ذكرناه من فعلية المتزاحمين لا بدّ في ارتكاب كلّ من إحراز العذر فيه ، ومع احتمال الأهمّية في أحدهما يكون ارتكابه بعذر محرز دون مقابله؛ لعدم إحرازه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إحراز الأهمّية في الموارد الخاصّة أو احتمالها قد يكون بحكم العقل كأهمّية دم المؤمن من الوقيعة فيه ، وقد يكون بالنقل كما لو دلّت الأدلّة على أنّ فلاناً أشدّ من فلان ، أو يحرز من اهتمام الشارع بشيء أكثر من الآخر بحسب لسان الأدلّة وكيفية التعبير فيها أو بعدّه في الكبائر دون الآخر ، إلى غير ذلك </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1851720_2142443653"/>
      <w:bookmarkStart w:id="440" w:name="_Toc151"/>
      <w:bookmarkEnd w:id="439"/>
      <w:r>
        <w:rPr>
          <w:rtl w:val="true"/>
        </w:rPr>
        <w:t>جواز الغيبة في نصح المستشير</w:t>
      </w:r>
      <w:bookmarkEnd w:id="440"/>
    </w:p>
    <w:p>
      <w:pPr>
        <w:pStyle w:val="BookText"/>
        <w:rPr/>
      </w:pPr>
      <w:r>
        <w:rPr>
          <w:rFonts w:ascii="Amiri" w:hAnsi="Amiri" w:eastAsia="Amiri" w:cs="Amiri"/>
          <w:color w:val="111111"/>
          <w:sz w:val="28"/>
          <w:sz w:val="28"/>
          <w:szCs w:val="28"/>
          <w:rtl w:val="true"/>
          <w:lang w:bidi="ar-SA"/>
        </w:rPr>
        <w:t xml:space="preserve">ثمّ إنّهم تعرّضوا لموارد لا بأس بذكر مورد منها؛ لورود روايات فيها ، وهو نصح المستشير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وجوازها في مورده بنحو الإجمال والإيجاب الجزئي ثابت ، كما لو اُحرز في مورد أهمّية النصح من الوقيعة في المؤمن ، كما لو فرض أنّ في تركها يبتلى المؤمن بمفسدة عظيمة ، بل في بعض الموارد يجب النصح ولو لم يستشره، ولعلّه مراد الشيخ الأنصاري أيضاً </w:t>
      </w:r>
      <w:r>
        <w:rPr>
          <w:rStyle w:val="FootnoteAnchor"/>
          <w:rtl w:val="true"/>
        </w:rPr>
        <w:footnoteReference w:id="1244"/>
      </w:r>
      <w:r>
        <w:rPr>
          <w:rFonts w:ascii="Amiri" w:hAnsi="Amiri" w:eastAsia="Amiri" w:cs="Amiri"/>
          <w:color w:val="111111"/>
          <w:sz w:val="28"/>
          <w:sz w:val="28"/>
          <w:szCs w:val="28"/>
          <w:rtl w:val="true"/>
          <w:lang w:bidi="ar-SA"/>
        </w:rPr>
        <w:t xml:space="preserve">وإن أوهم ذيل كلامه بخلافه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الحكم بجوازها في مطلق موارد النصح ، أو مطلق نصح المستشير من إحراز وجوب النصح مطلقاً ، أو مع الاستشارة وعدم جواز ردّ </w:t>
      </w:r>
    </w:p>
    <w:p>
      <w:pPr>
        <w:pStyle w:val="BookText"/>
        <w:rPr/>
      </w:pPr>
      <w:r>
        <w:rPr>
          <w:rFonts w:ascii="Amiri" w:hAnsi="Amiri" w:eastAsia="Amiri" w:cs="Amiri"/>
          <w:color w:val="111111"/>
          <w:sz w:val="28"/>
          <w:sz w:val="28"/>
          <w:szCs w:val="28"/>
          <w:rtl w:val="true"/>
          <w:lang w:bidi="ar-SA"/>
        </w:rPr>
        <w:t xml:space="preserve">الاستشارة وترك النصح ولو بالسكوت ، وإحراز كونهما من باب التزاحم وإحراز أهمّية النصح من الوقيعة في المؤمن أو احتمالها على نحو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بين الدليلين التعارض فالظاهر عدم جواز الغيبة ، سواء قلنا باندراج العامّين من وجه في باب العلاج أم لا ؛ لأنّ عموم الكتاب مرجّح لأدلّة حرمة الغيبة على الأوّل ، ومرجع مع سقوط الدليلين على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تعارض الأخبار الكتاب وإن كان بينهما عموم من وجه ، ولا يسقط العامّ الكتابي بالمعارضة معها ؛ لأ نّه مع كونه مخالفاً لارتكاز المتشرّعة ولبناء الفقهاء</w:t>
      </w:r>
    </w:p>
    <w:p>
      <w:pPr>
        <w:pStyle w:val="BookText"/>
        <w:rPr/>
      </w:pPr>
      <w:r>
        <w:rPr>
          <w:rFonts w:ascii="Amiri" w:hAnsi="Amiri" w:eastAsia="Amiri" w:cs="Amiri"/>
          <w:color w:val="111111"/>
          <w:sz w:val="28"/>
          <w:sz w:val="28"/>
          <w:szCs w:val="28"/>
          <w:rtl w:val="true"/>
          <w:lang w:bidi="ar-SA"/>
        </w:rPr>
        <w:t>ظاهراً يمكن استفادته من أدلّة العلاج كرواية الميثمي</w:t>
      </w:r>
      <w:r>
        <w:rPr>
          <w:rStyle w:val="FootnoteAnchor"/>
          <w:rtl w:val="true"/>
        </w:rPr>
        <w:footnoteReference w:id="1245"/>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الواردة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قول ربّنا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نقله</w:t>
      </w:r>
      <w:r>
        <w:rPr>
          <w:rFonts w:eastAsia="Amiri" w:cs="Amiri" w:ascii="Amiri" w:hAnsi="Amiri"/>
          <w:color w:val="111111"/>
          <w:sz w:val="28"/>
          <w:szCs w:val="28"/>
          <w:rtl w:val="true"/>
          <w:lang w:bidi="ar-SA"/>
        </w:rPr>
        <w:t>»</w:t>
      </w:r>
      <w:r>
        <w:rPr>
          <w:rStyle w:val="FootnoteAnchor"/>
          <w:rtl w:val="true"/>
        </w:rPr>
        <w:footnoteReference w:id="1246"/>
      </w:r>
      <w:r>
        <w:rPr>
          <w:rFonts w:ascii="Amiri" w:hAnsi="Amiri" w:eastAsia="Amiri" w:cs="Amiri"/>
          <w:color w:val="111111"/>
          <w:sz w:val="28"/>
          <w:sz w:val="28"/>
          <w:szCs w:val="28"/>
          <w:rtl w:val="true"/>
          <w:lang w:bidi="ar-SA"/>
        </w:rPr>
        <w:t xml:space="preserve">شاملة للعامّين من وجه في مورد تعارضهما ، وإنّما الخارج منها ما يكون بينهما جمع 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يخرج موضوعاً عن مخالفته في محيط التشريع على ما ذكرناه في ميزان المعارضة ومحلّها ومحطّها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في المتعارضين متعلّق بالطبائع والعناوين ، والتعارض بينهما بالعرض ، وهو خارج عن الأدلّة الدالّة على أنّ ما خالف قول ربّنا كذا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الظاهر دخوله فيها ولو بإلغاء الخصوصية أو المناط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سلّم ذلك لكن المستفاد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بمناسبات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w:t>
      </w:r>
      <w:bookmarkStart w:id="441" w:name="pg15158_207257"/>
    </w:p>
    <w:p>
      <w:pPr>
        <w:pStyle w:val="BookText"/>
        <w:rPr/>
      </w:pPr>
      <w:bookmarkEnd w:id="441"/>
      <w:r>
        <w:rPr>
          <w:rFonts w:ascii="Amiri" w:hAnsi="Amiri" w:eastAsia="Amiri" w:cs="Amiri"/>
          <w:color w:val="111111"/>
          <w:sz w:val="28"/>
          <w:sz w:val="28"/>
          <w:szCs w:val="28"/>
          <w:rtl w:val="true"/>
          <w:lang w:bidi="ar-SA"/>
        </w:rPr>
        <w:t xml:space="preserve">لا يعارض الكتاب ولا يسقط عموم الكتاب بمعارضته ،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الظاهر أنّ المورد من باب تزاحم المقتضيين وتحقّقه في كلّ من العنوانين مطلقاً </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1851722_2142443653"/>
      <w:bookmarkStart w:id="443" w:name="_Toc152"/>
      <w:bookmarkEnd w:id="442"/>
      <w:r>
        <w:rPr>
          <w:rtl w:val="true"/>
        </w:rPr>
        <w:t>في وجوب نصح المستشير</w:t>
      </w:r>
      <w:bookmarkEnd w:id="443"/>
    </w:p>
    <w:p>
      <w:pPr>
        <w:pStyle w:val="BookText"/>
        <w:rPr/>
      </w:pPr>
      <w:r>
        <w:rPr>
          <w:rFonts w:ascii="Amiri" w:hAnsi="Amiri" w:eastAsia="Amiri" w:cs="Amiri"/>
          <w:color w:val="111111"/>
          <w:sz w:val="28"/>
          <w:sz w:val="28"/>
          <w:szCs w:val="28"/>
          <w:rtl w:val="true"/>
          <w:lang w:bidi="ar-SA"/>
        </w:rPr>
        <w:t xml:space="preserve">لكن الشأن في أصل وجوب نصح المستشير أو نصح المؤمن مطلقاً ، وعلى فرض وجوبه في أهمّيته من الغيبة ، وفي كليهما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فلعدم الدليل عليه إلاّ روايات قاصرة الدلالة عن إثباته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كصحيحة عيسى بن أبي منصور 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للمؤمن على المؤمن أن يناصحه</w:t>
      </w:r>
      <w:r>
        <w:rPr>
          <w:rFonts w:eastAsia="IRNazanin" w:cs="IRNazanin"/>
          <w:color w:val="111111"/>
          <w:sz w:val="28"/>
          <w:szCs w:val="28"/>
          <w:rtl w:val="true"/>
          <w:lang w:bidi="fa-IR"/>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صحيحة الحذّاء</w:t>
      </w:r>
      <w:r>
        <w:rPr>
          <w:rStyle w:val="FootnoteAnchor"/>
          <w:rtl w:val="true"/>
        </w:rPr>
        <w:footnoteReference w:id="1249"/>
      </w:r>
      <w:r>
        <w:rPr>
          <w:rFonts w:ascii="Amiri" w:hAnsi="Amiri" w:eastAsia="Amiri" w:cs="Amiri"/>
          <w:color w:val="111111"/>
          <w:sz w:val="28"/>
          <w:sz w:val="28"/>
          <w:szCs w:val="28"/>
          <w:rtl w:val="true"/>
          <w:lang w:bidi="ar-SA"/>
        </w:rPr>
        <w:t>، وصحيحة معاوية بن وهب</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منها ثبوت حقّ للمؤمن على المؤمن ، فإنّ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 عليه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 ذلك شرعاً على نحو الوجوب والإلزام فلا دلالة عليه ، فهو كسائر الحقوق الثابتة للمؤمن على المؤمن ، ومادّة الوجوب لو كانت ظاهرة في </w:t>
      </w:r>
    </w:p>
    <w:p>
      <w:pPr>
        <w:pStyle w:val="BookText"/>
        <w:rPr/>
      </w:pPr>
      <w:r>
        <w:rPr>
          <w:rFonts w:ascii="Amiri" w:hAnsi="Amiri" w:eastAsia="Amiri" w:cs="Amiri"/>
          <w:color w:val="111111"/>
          <w:sz w:val="28"/>
          <w:sz w:val="28"/>
          <w:szCs w:val="28"/>
          <w:rtl w:val="true"/>
          <w:lang w:bidi="ar-SA"/>
        </w:rPr>
        <w:t xml:space="preserve">الوجوب الاصطلاحي لكن في مثل هذا التركيب ظاهرة في الثبوت ، ففرق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كذا،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للمؤمن على المؤمن كذا ، فإنّ الثاني غير ظاهر في الإلزام ، مع أنّ ظهور المادّة في الوجوب مطلقاً محلّ كلام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وكرواية جابر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لينصح الرجل منكم أخاه كنصيحته لنفسه</w:t>
      </w:r>
      <w:r>
        <w:rPr>
          <w:rFonts w:eastAsia="IRNazanin" w:cs="IRNazanin"/>
          <w:color w:val="111111"/>
          <w:sz w:val="28"/>
          <w:szCs w:val="28"/>
          <w:rtl w:val="true"/>
          <w:lang w:bidi="fa-IR"/>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دلالتها على الوجوب بعد الغضّ عن ضعف سندها </w:t>
      </w:r>
      <w:r>
        <w:rPr>
          <w:rStyle w:val="FootnoteAnchor"/>
          <w:rtl w:val="true"/>
        </w:rPr>
        <w:footnoteReference w:id="1252"/>
      </w:r>
      <w:r>
        <w:rPr>
          <w:rFonts w:ascii="Amiri" w:hAnsi="Amiri" w:eastAsia="Amiri" w:cs="Amiri"/>
          <w:color w:val="111111"/>
          <w:sz w:val="28"/>
          <w:sz w:val="28"/>
          <w:szCs w:val="28"/>
          <w:rtl w:val="true"/>
          <w:lang w:bidi="ar-SA"/>
        </w:rPr>
        <w:t xml:space="preserve">نظر ؛ لأ نّها في مقام بيان مقدار النصيحة وكيفيتها بعد الفراغ عن حكمها فلا تدلّ على وجوبها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تميم الداري الضعيفة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 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ولرسوله ولأئمّة الدين ولجماعة المسلمين</w:t>
      </w:r>
      <w:r>
        <w:rPr>
          <w:rFonts w:eastAsia="IRNazanin" w:cs="IRNazanin"/>
          <w:color w:val="111111"/>
          <w:sz w:val="28"/>
          <w:szCs w:val="28"/>
          <w:rtl w:val="true"/>
          <w:lang w:bidi="fa-IR"/>
        </w:rPr>
        <w:t>»</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فعل المعروف ،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بعدم دلالتها على الوجوب بل سياقها سياق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طائفة اُخرى بلسان آخر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كموثّقة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مؤمن مشى في حاجة أخيه فلم يناصحه فقد خان اللّه ورسوله</w:t>
      </w:r>
      <w:r>
        <w:rPr>
          <w:rFonts w:eastAsia="IRNazanin" w:cs="IRNazanin"/>
          <w:color w:val="111111"/>
          <w:sz w:val="28"/>
          <w:szCs w:val="28"/>
          <w:rtl w:val="true"/>
          <w:lang w:bidi="fa-IR"/>
        </w:rPr>
        <w:t>»</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روايات</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وهي لا تدلّ على وجوب النصيحة مطلقاً أو عند الاستشارة ، بل على أ نّه لو مشى في حاجته يجب عليه نصحه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وجوب المشي في حاجته أو وجوب نصيحته فلا ، ولعلّه مع علمه بابتلائه بالمعصية كالغيبة لا يجوز له المشي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ورد في خصوص المستشير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استشاره أخوه المؤمن فلم يمحضه النصيحة سلبه اللّه لبّه</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يدلّ على الوجوب بل ظاهره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ما وردت في نحو هذا المساق ممّا لوحظ فيها حال جماعة المسلمين وجمعيتهم لا إطلاق فيها لحال وقوع ضرر أو حرج أو هتك ونحوها على بعض آخر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فوجوب نصح المسلم على فرضه حكم حيثي لا إطلاق له لحال إيقاع هتك لمسلم آخر بعد كون الملحوظ فيه حال المؤمنين وعدم ترجيح بعض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سلّم دلالتها على الوجوب وإطلاقها ومزاحمة المقتضيين لكن الظاهر من أدلّة الغيبة ومثل التعبيرات الواردة فيها أنّ ملاكها أقوى من ملاك النصح ، ولا أقلّ من أنّ ذلك الاهتمام صار موجباً لاحتمال أهمّية ملاكها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ملاحظة الموارد ؛ ففي كلّ مورد تحرز أهمّية النصح أو تحتمل كما أشرنا إليه يحكم بجوازها دون مطلق الموارد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ذكرناه وفصّلناه يظهر حال سائر الموارد التي استثني منها ، فلا داعي لتطويل الكلام بذكرها ، واللّه الهادي </w:t>
      </w:r>
      <w:r>
        <w:rPr>
          <w:rFonts w:eastAsia="Amiri" w:cs="Amiri" w:ascii="Amiri" w:hAnsi="Amiri"/>
          <w:color w:val="111111"/>
          <w:sz w:val="28"/>
          <w:szCs w:val="28"/>
          <w:rtl w:val="true"/>
          <w:lang w:bidi="ar-SA"/>
        </w:rPr>
        <w:t xml:space="preserve">. </w:t>
      </w:r>
      <w:bookmarkStart w:id="444" w:name="pg15158_207260"/>
    </w:p>
    <w:p>
      <w:pPr>
        <w:pStyle w:val="Heading4"/>
        <w:numPr>
          <w:ilvl w:val="3"/>
          <w:numId w:val="1"/>
        </w:numPr>
        <w:rPr/>
      </w:pPr>
      <w:bookmarkStart w:id="445" w:name="__RefHeading___Toc1851724_2142443653"/>
      <w:bookmarkStart w:id="446" w:name="_Toc153"/>
      <w:bookmarkEnd w:id="444"/>
      <w:bookmarkEnd w:id="445"/>
      <w:r>
        <w:rPr>
          <w:rtl w:val="true"/>
        </w:rPr>
        <w:t>الأمر الثالث حرمة استماع الغيبة</w:t>
      </w:r>
      <w:bookmarkEnd w:id="446"/>
    </w:p>
    <w:p>
      <w:pPr>
        <w:pStyle w:val="BookText"/>
        <w:rPr/>
      </w:pPr>
      <w:r>
        <w:rPr>
          <w:rFonts w:ascii="Amiri" w:hAnsi="Amiri" w:eastAsia="Amiri" w:cs="Amiri"/>
          <w:color w:val="111111"/>
          <w:sz w:val="28"/>
          <w:sz w:val="28"/>
          <w:szCs w:val="28"/>
          <w:rtl w:val="true"/>
          <w:lang w:bidi="ar-SA"/>
        </w:rPr>
        <w:t xml:space="preserve">يحرم استماع الغيبة بلا خلاف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5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المرتضى</w:t>
      </w:r>
      <w:r>
        <w:rPr>
          <w:rStyle w:val="FootnoteAnchor"/>
          <w:rtl w:val="true"/>
        </w:rPr>
        <w:footnoteReference w:id="1258"/>
      </w:r>
      <w:r>
        <w:rPr>
          <w:rFonts w:ascii="Amiri" w:hAnsi="Amiri" w:eastAsia="Amiri" w:cs="Amiri"/>
          <w:color w:val="111111"/>
          <w:sz w:val="28"/>
          <w:sz w:val="28"/>
          <w:szCs w:val="28"/>
          <w:rtl w:val="true"/>
          <w:lang w:bidi="ar-SA"/>
        </w:rPr>
        <w:t xml:space="preserve">، وإن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الأصحاب تركوا ذكره لظهوره</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جملة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كالنبوي المعروف المنقول عن تفسير أبي الفتوح الرازي 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السامع للغيبة أحد المغتابين</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الشهيد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الريبة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المستمع أحد المغتابين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السامع للغيبة أحد المغتابين</w:t>
      </w:r>
      <w:r>
        <w:rPr>
          <w:rFonts w:eastAsia="IRNazanin" w:cs="IRNazanin"/>
          <w:color w:val="111111"/>
          <w:sz w:val="28"/>
          <w:szCs w:val="28"/>
          <w:rtl w:val="true"/>
          <w:lang w:bidi="fa-IR"/>
        </w:rPr>
        <w:t>»</w:t>
      </w:r>
      <w:r>
        <w:rPr>
          <w:rStyle w:val="FootnoteAnchor"/>
          <w:rtl w:val="true"/>
        </w:rPr>
        <w:footnoteReference w:id="1261"/>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الغزالي عن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المستمع أحد المغتابين</w:t>
      </w:r>
      <w:r>
        <w:rPr>
          <w:rFonts w:eastAsia="IRNazanin" w:cs="IRNazanin"/>
          <w:color w:val="111111"/>
          <w:sz w:val="28"/>
          <w:szCs w:val="28"/>
          <w:rtl w:val="true"/>
          <w:lang w:bidi="fa-IR"/>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المناهي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الغيبة والاستماع إليها</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عمِر مجلس بالغيبة إلاّ خرب من الدين ، فتنزّهوا </w:t>
      </w:r>
      <w:r>
        <w:rPr>
          <w:rStyle w:val="FootnoteAnchor"/>
          <w:rtl w:val="true"/>
        </w:rPr>
        <w:footnoteReference w:id="1264"/>
      </w:r>
      <w:r>
        <w:rPr>
          <w:rFonts w:ascii="Amiri" w:hAnsi="Amiri" w:eastAsia="Amiri" w:cs="Amiri"/>
          <w:color w:val="111111"/>
          <w:sz w:val="28"/>
          <w:sz w:val="28"/>
          <w:szCs w:val="28"/>
          <w:rtl w:val="true"/>
          <w:lang w:bidi="ar-SA"/>
        </w:rPr>
        <w:t>أسماعكم من استماع الغيبة ، فإنّ القائل والمستمع لها شريكان في الإثم</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إن كانت من مرسلات الصدوق فلا تخلو من اعتبار ، ولكن من المحتمل بل الظاهر أن تكون عطفاً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جبير ، فتكون من غير المرسلات المعتمدة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الغيبة كفر والمستمع لها والراضي بها مشرك</w:t>
      </w:r>
      <w:r>
        <w:rPr>
          <w:rFonts w:eastAsia="IRNazanin" w:cs="IRNazanin"/>
          <w:color w:val="111111"/>
          <w:sz w:val="28"/>
          <w:szCs w:val="28"/>
          <w:rtl w:val="true"/>
          <w:lang w:bidi="fa-IR"/>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الشيخ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أمير المؤمنين علیه السلام أ نّه نظر إلى رجل يغتاب رجلاً عند الحسن علیه السلام ابنه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 نزِّه سمعك عن مثل هذا ، فإنّه نظر إلى أخبث ما في وعائه فأفرغه في وعائك</w:t>
      </w:r>
      <w:r>
        <w:rPr>
          <w:rFonts w:eastAsia="IRNazanin" w:cs="IRNazanin"/>
          <w:color w:val="111111"/>
          <w:sz w:val="28"/>
          <w:szCs w:val="28"/>
          <w:rtl w:val="true"/>
          <w:lang w:bidi="fa-IR"/>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تحريم اغتياب المؤمن</w:t>
      </w:r>
      <w:r>
        <w:rPr>
          <w:rStyle w:val="FootnoteAnchor"/>
          <w:rtl w:val="true"/>
        </w:rPr>
        <w:footnoteReference w:id="1268"/>
      </w:r>
      <w:r>
        <w:rPr>
          <w:rFonts w:ascii="Amiri" w:hAnsi="Amiri" w:eastAsia="Amiri" w:cs="Amiri"/>
          <w:color w:val="111111"/>
          <w:sz w:val="28"/>
          <w:sz w:val="28"/>
          <w:szCs w:val="28"/>
          <w:rtl w:val="true"/>
          <w:lang w:bidi="ar-SA"/>
        </w:rPr>
        <w:t xml:space="preserve">، ولكن فيه في باب </w:t>
      </w:r>
    </w:p>
    <w:p>
      <w:pPr>
        <w:pStyle w:val="BookText"/>
        <w:rPr/>
      </w:pPr>
      <w:r>
        <w:rPr>
          <w:rFonts w:ascii="IRNazanin" w:hAnsi="IRNazanin" w:eastAsia="IRNazanin"/>
          <w:color w:val="111111"/>
          <w:sz w:val="28"/>
          <w:sz w:val="28"/>
          <w:szCs w:val="28"/>
          <w:rtl w:val="true"/>
          <w:lang w:bidi="fa-IR"/>
        </w:rPr>
        <w:t xml:space="preserve">وجوب ردّ غيبة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أميرالمؤمنين علیه السلام </w:t>
      </w:r>
      <w:r>
        <w:rPr>
          <w:rFonts w:eastAsia="IRNazanin" w:cs="IRNazanin"/>
          <w:color w:val="111111"/>
          <w:sz w:val="28"/>
          <w:szCs w:val="28"/>
          <w:rtl w:val="true"/>
          <w:lang w:bidi="fa-IR"/>
        </w:rPr>
        <w:t>. .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أصل الرواية ما في باب الاغتياب وإنّما أسقط عنها في الباب المتأخّر ، فتكون مرسلة غير معتمدة ؛ لعدم انتسابه إلى الإمام علیه السلام</w:t>
      </w:r>
    </w:p>
    <w:p>
      <w:pPr>
        <w:pStyle w:val="BookText"/>
        <w:rPr/>
      </w:pPr>
      <w:r>
        <w:rPr>
          <w:rFonts w:ascii="Amiri" w:hAnsi="Amiri" w:eastAsia="Amiri" w:cs="Amiri"/>
          <w:color w:val="111111"/>
          <w:sz w:val="28"/>
          <w:sz w:val="28"/>
          <w:szCs w:val="28"/>
          <w:rtl w:val="true"/>
          <w:lang w:bidi="ar-SA"/>
        </w:rPr>
        <w:t xml:space="preserve">جزماً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أنّ إرسال المفيد جزماً غير إرسال الصدوق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نستبعد الاعتماد على مرسلاته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المفيد كان من أهل النظر والاجتهاد ، ولعلّ انتسابه جزماً مبنيّ على اجتهاده ، بخلاف طريقة الصدوق وأبيه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المرسلة معتمدة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في متنها إشكالاً ؛ لأنّ نهيه علیه السلام</w:t>
      </w:r>
    </w:p>
    <w:p>
      <w:pPr>
        <w:pStyle w:val="BookText"/>
        <w:rPr/>
      </w:pPr>
      <w:r>
        <w:rPr>
          <w:rFonts w:ascii="IRNazanin" w:hAnsi="IRNazanin" w:eastAsia="IRNazanin"/>
          <w:color w:val="111111"/>
          <w:sz w:val="28"/>
          <w:sz w:val="28"/>
          <w:szCs w:val="28"/>
          <w:rtl w:val="true"/>
          <w:lang w:bidi="fa-IR"/>
        </w:rPr>
        <w:t xml:space="preserve">ابنه علیه السلام إن كان من استماع الغيبة المحرّمة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الرواية</w:t>
      </w:r>
    </w:p>
    <w:p>
      <w:pPr>
        <w:pStyle w:val="BookText"/>
        <w:rPr/>
      </w:pPr>
      <w:r>
        <w:rPr>
          <w:rFonts w:ascii="IRNazanin" w:hAnsi="IRNazanin" w:eastAsia="IRNazanin"/>
          <w:color w:val="111111"/>
          <w:sz w:val="28"/>
          <w:sz w:val="28"/>
          <w:szCs w:val="28"/>
          <w:rtl w:val="true"/>
          <w:lang w:bidi="fa-IR"/>
        </w:rPr>
        <w:t xml:space="preserve">مخالفة لاُصول المذهب ؛ ضرورة أنّ الحسن بن علي علیه السلام لا يستمع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من الاستماع الجائز فلا تدلّ على المقصود ، فهي مطروحة أو غير دالّة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الشيخ ورّام بن أبي فراس 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رجم رسول اللّه‌ صلی الله علیه و آله وسلم  الرجل في الزنا قال رجل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عقص كما يعقص الكلب ، فمرّ النبي صلی الله علیه و آله وسلم معهما بجيفة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انهشا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ننهش جيفة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أصبتما من أخيكما أنتن من هذه</w:t>
      </w:r>
      <w:r>
        <w:rPr>
          <w:rFonts w:eastAsia="IRNazanin" w:cs="IRNazanin"/>
          <w:color w:val="111111"/>
          <w:sz w:val="28"/>
          <w:szCs w:val="28"/>
          <w:rtl w:val="true"/>
          <w:lang w:bidi="fa-IR"/>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الشيخ أبي الفتوح في تفسيره عن ابن عمّ أبي هريرة نحوها بنحو أبسط</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تلك الروايات مع كثرتها ومعروفية الحكم ودعوى المشايخ عدم الخلاف ووضوح الحكم، كافية في ثبوت أصل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الاستدلال عليها بجملة من الروايات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هتك ستر المؤمن وكشف عورته وسوءته وإذاعة سرّه محرّم و مبغوض ذاتاً ، وأنّ النهي عن الغيبة إنّما هو بلحاظ مراعاته وحفظ عرضه ومستوريته عن الكشف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حرمتها مقصورة عليه ، 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جملة من الروايات ، كما وردت في تفسير الغيبة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تقول في أخيك ما قد ستره اللّه عليه</w:t>
      </w:r>
      <w:r>
        <w:rPr>
          <w:rFonts w:eastAsia="Amiri" w:cs="Amiri" w:ascii="Amiri" w:hAnsi="Amiri"/>
          <w:color w:val="111111"/>
          <w:sz w:val="28"/>
          <w:szCs w:val="28"/>
          <w:rtl w:val="true"/>
          <w:lang w:bidi="ar-SA"/>
        </w:rPr>
        <w:t>»</w:t>
      </w:r>
      <w:r>
        <w:rPr>
          <w:rStyle w:val="FootnoteAnchor"/>
          <w:rtl w:val="true"/>
        </w:rPr>
        <w:footnoteReference w:id="1272"/>
      </w:r>
      <w:r>
        <w:rPr>
          <w:rFonts w:ascii="Amiri" w:hAnsi="Amiri" w:eastAsia="Amiri" w:cs="Amiri"/>
          <w:color w:val="111111"/>
          <w:sz w:val="28"/>
          <w:sz w:val="28"/>
          <w:szCs w:val="28"/>
          <w:rtl w:val="true"/>
          <w:lang w:bidi="ar-SA"/>
        </w:rPr>
        <w:t xml:space="preserve">، وكذا ممّا دلّت على حرمة إذاعة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عبداللّه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المؤمن على المؤمن حرام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سفلته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حيث تذهب ، إنّما هو إذاعة سرّه</w:t>
      </w:r>
      <w:r>
        <w:rPr>
          <w:rFonts w:eastAsia="Amiri" w:cs="Amiri" w:ascii="Amiri" w:hAnsi="Amiri"/>
          <w:color w:val="111111"/>
          <w:sz w:val="28"/>
          <w:szCs w:val="28"/>
          <w:rtl w:val="true"/>
          <w:lang w:bidi="ar-SA"/>
        </w:rPr>
        <w:t>»</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منصور بن حازم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أذاع الفاحشة كان كمبتدئها</w:t>
      </w:r>
      <w:r>
        <w:rPr>
          <w:rFonts w:eastAsia="Amiri" w:cs="Amiri" w:ascii="Amiri" w:hAnsi="Amiri"/>
          <w:color w:val="111111"/>
          <w:sz w:val="28"/>
          <w:szCs w:val="28"/>
          <w:rtl w:val="true"/>
          <w:lang w:bidi="ar-SA"/>
        </w:rPr>
        <w:t>»</w:t>
      </w:r>
      <w:r>
        <w:rPr>
          <w:rStyle w:val="FootnoteAnchor"/>
          <w:rtl w:val="true"/>
        </w:rPr>
        <w:footnoteReference w:id="1274"/>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نرى من اهتمام الشارع الأقدس بشأن المؤمن وعرضه أكيداً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هتكه وكشف سرّه مبغوض ذاتاً ، وأنّ النهي عن الغيبة وإذاعة السرّ لمبغوضيته الذاتية لا لصدوره من مكلّف ، فإذا كان كذلك كان الاستماع إليها محرّماً إذا لزم منه إذاعة سرّه وكشف ستره لدى المستمع ، فإنّ كشف السرّ كما يتقوّم بالذكر ونحوه يتقوّم بالاستماع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هتك ستره مبغوضاً ، وحفظ عرضه مطلوباً ذاتاً كحفظ دمه كما هو مستفاد من الروايات الواردة في الأبواب المختلفة</w:t>
      </w:r>
      <w:r>
        <w:rPr>
          <w:rStyle w:val="FootnoteAnchor"/>
          <w:rtl w:val="true"/>
        </w:rPr>
        <w:footnoteReference w:id="1275"/>
      </w:r>
      <w:r>
        <w:rPr>
          <w:rFonts w:ascii="Amiri" w:hAnsi="Amiri" w:eastAsia="Amiri" w:cs="Amiri"/>
          <w:color w:val="111111"/>
          <w:sz w:val="28"/>
          <w:sz w:val="28"/>
          <w:szCs w:val="28"/>
          <w:rtl w:val="true"/>
          <w:lang w:bidi="ar-SA"/>
        </w:rPr>
        <w:t xml:space="preserve">، فهو ملازم لمبغوضية الذكر والسماع جميعاً ؛ لأنّ الكشف قائم بالتكلّم والاستماع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علم السامع أنّ المتكلّم يريد كشف الستر المبغوض وجوده ذاتاً في الخارج ، وكان المبغوض قائماً بطرفين وأمكن له دفع تحقّقه وجب عليه ذلك وحرم عليه الاستماع ؛ لأنّ المفروض أنّ المبغوض ليس صدوره من المكلّف ، بل وجوده في الخارج نحو قتل النفس المحترمة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الالتزام بوجوب منع المؤمن عن إفشاء سرّ نفسه وهتك عرضه ، ووجوب منع الطفل عن هتك ستر المؤمن وكشف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على هذا الوجه لا تثبت حرمة مطلق استماع الغيبة بناءً على ما تقدّم من أنّ حرمتها لا تختصّ بمورد كشف الستر ، إلاّ أنّ الظاه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 التفصيل بينهما ، تأمّل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لا يكفي لإثبات الحرمة لعنوان الاستماع ، فإنّه </w:t>
      </w:r>
    </w:p>
    <w:p>
      <w:pPr>
        <w:pStyle w:val="BookText"/>
        <w:rPr/>
      </w:pPr>
      <w:r>
        <w:rPr>
          <w:rFonts w:ascii="Amiri" w:hAnsi="Amiri" w:eastAsia="Amiri" w:cs="Amiri"/>
          <w:color w:val="111111"/>
          <w:sz w:val="28"/>
          <w:sz w:val="28"/>
          <w:szCs w:val="28"/>
          <w:rtl w:val="true"/>
          <w:lang w:bidi="ar-SA"/>
        </w:rPr>
        <w:t xml:space="preserve">سبب أو ملازم للمحرّم ، وما هو محرّم كشف الستر اختياراً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الكشف المبغوض صار سبباً لجعل الحكم على الغيبة والاستماع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التحليل والتجزئة عقلي ، والعرف يفهم من الأدلّة حرمة الاغتياب والاستماع المتّحدين مع الكشف ، 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للحرمة بل لكونه كبيرة بمرسلة ابن أبي عمير المنقولة مستندة أيضاً بسند صحيح ، وآخر حسن أو صحيح</w:t>
      </w:r>
      <w:r>
        <w:rPr>
          <w:rStyle w:val="FootnoteAnchor"/>
          <w:rtl w:val="true"/>
        </w:rPr>
        <w:footnoteReference w:id="1276"/>
      </w:r>
      <w:r>
        <w:rPr>
          <w:rFonts w:ascii="IRNazanin" w:hAnsi="IRNazanin" w:eastAsia="IRNazanin"/>
          <w:color w:val="111111"/>
          <w:sz w:val="28"/>
          <w:sz w:val="28"/>
          <w:szCs w:val="28"/>
          <w:rtl w:val="true"/>
          <w:lang w:bidi="fa-IR"/>
        </w:rPr>
        <w:t>عن أبي عبداللّه علیه 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في مؤمن ما رأته عيناه وسمعته اُذناه فهو من الذين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فِى الَّذِينَ آمَنُوا لَهُمْ عَذَابٌ أَلِيمٌ</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من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أنّ المغتاب مصداق حقيقي للآية الكريمة ، والتنزيل الموضوعي بلحاظ الحكم خلاف ظاهره ؛ لأ نّه مجاز يحتاج إلى التأوّل والدعوى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فتكون الرواية مفسّرة للآية بتعميم الحبّ للعمل الناشئ من الرضا والإرادة وتعميم الشياع لمطلق النشو والنشر الشاملين للذكر عند واحد كما هو مقتضى إطلاق الرواية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فيصير مفاد الآية شاملاً لكلّ عمل اختياري موجب لنشو الفاحشة ورفع الستر عنها في الجملة ، فتشمل السامع كما تشمل المغتاب بلا افتراق بينهما ؛ لأنّ </w:t>
      </w:r>
      <w:bookmarkStart w:id="447" w:name="pg15158_207266"/>
    </w:p>
    <w:p>
      <w:pPr>
        <w:pStyle w:val="BookText"/>
        <w:rPr/>
      </w:pPr>
      <w:bookmarkEnd w:id="447"/>
      <w:r>
        <w:rPr>
          <w:rFonts w:ascii="Amiri" w:hAnsi="Amiri" w:eastAsia="Amiri" w:cs="Amiri"/>
          <w:color w:val="111111"/>
          <w:sz w:val="28"/>
          <w:sz w:val="28"/>
          <w:szCs w:val="28"/>
          <w:rtl w:val="true"/>
          <w:lang w:bidi="ar-SA"/>
        </w:rPr>
        <w:t xml:space="preserve">السامع أيضاً عمل بفعله الاختياري وهو الاستماع ما هو موجب لنشو الفاحشة ورفع الستر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مفاد الآية حرمة إشاعة الفاحشة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الإشاعة عرفاً من فعل المغتاب ، بل مفادها حبّ شيوعها وهو أعمّ من الإشاعة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تحكيم الرواية على الآية تفسيراً وتوضيحاً ، تدلّ الآية على حرمة الاستماع وكونه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يناقش فيه بأنّ الظاهر من الرواية وإن كان الاندراج الحقيقي لكن حمل الآية على ما ذكر والتصرّف في الحبّ والشياع بما ذكر خلاف ظاهر بل ظاهرين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فدار الأمر بين ارتكاب خلاف ظاهر واحد شائع في الشرع والعرف وهو التنزيل الحكمي بلسان الاندراج الموضوعي مع قيام قرينة عقلية عليه وهو عدم كون الاغتياب داخلاً في مفادها وجداناً ، وبين ارتكاب خلاف ظاهرين بعيدين عن الأفهام غريبين عن الأذهان بلا قيام قرينة في نفس الآية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شبهة في تعيّن الأوّل ، فعليه يكون مفاد الرواية تنزيل المغتاب منزلة الذين يحبّون أن تشيع الفاحشة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مقتضى إطلاقها كون الغيبة كبيرة دون استماعها </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851726_2142443653"/>
      <w:bookmarkStart w:id="449" w:name="_Toc154"/>
      <w:bookmarkEnd w:id="448"/>
      <w:r>
        <w:rPr>
          <w:rtl w:val="true"/>
        </w:rPr>
        <w:t>حول كلام المحقّق الشيرازي في المقام</w:t>
      </w:r>
      <w:bookmarkEnd w:id="449"/>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المحقّق التقيّ في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حرمته بفحوى الأخبار الكثيرة الدالّة على حرمة الرضا بوقوع المحرّم وأنّ على الداخل إثمين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إثم الرضا وإثم الدخول ، فإنّ المراد في المقام حرمة الاستماع على وجه الرضا</w:t>
      </w:r>
    </w:p>
    <w:p>
      <w:pPr>
        <w:pStyle w:val="BookText"/>
        <w:rPr/>
      </w:pPr>
      <w:r>
        <w:rPr>
          <w:rFonts w:ascii="IRNazanin" w:hAnsi="IRNazanin" w:eastAsia="IRNazanin"/>
          <w:color w:val="111111"/>
          <w:sz w:val="28"/>
          <w:sz w:val="28"/>
          <w:szCs w:val="28"/>
          <w:rtl w:val="true"/>
          <w:lang w:bidi="fa-IR"/>
        </w:rPr>
        <w:t>بفعل المغتاب</w:t>
      </w:r>
      <w:r>
        <w:rPr>
          <w:rStyle w:val="FootnoteAnchor"/>
          <w:rtl w:val="true"/>
        </w:rPr>
        <w:footnoteReference w:id="1278"/>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تمّ ما أفاده أمكن الاستدلال عليها بكونه من الكبائر ؛ لأنّ قوله في صحيحة أبي الصلت الهروي عن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رضي شيئاً كان كمن أتاه</w:t>
      </w:r>
      <w:r>
        <w:rPr>
          <w:rFonts w:eastAsia="IRNazanin" w:cs="IRNazanin"/>
          <w:color w:val="111111"/>
          <w:sz w:val="28"/>
          <w:szCs w:val="28"/>
          <w:rtl w:val="true"/>
          <w:lang w:bidi="fa-IR"/>
        </w:rPr>
        <w:t>»</w:t>
      </w:r>
      <w:r>
        <w:rPr>
          <w:rStyle w:val="FootnoteAnchor"/>
          <w:rtl w:val="true"/>
        </w:rPr>
        <w:footnoteReference w:id="1279"/>
      </w:r>
      <w:r>
        <w:rPr>
          <w:rFonts w:ascii="IRNazanin" w:hAnsi="IRNazanin" w:eastAsia="IRNazanin"/>
          <w:color w:val="111111"/>
          <w:sz w:val="28"/>
          <w:sz w:val="28"/>
          <w:szCs w:val="28"/>
          <w:rtl w:val="true"/>
          <w:lang w:bidi="fa-IR"/>
        </w:rPr>
        <w:t xml:space="preserve">وما 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الراضي بفعل قوم كالداخل معهم فيه</w:t>
      </w:r>
      <w:r>
        <w:rPr>
          <w:rFonts w:eastAsia="IRNazanin" w:cs="IRNazanin"/>
          <w:color w:val="111111"/>
          <w:sz w:val="28"/>
          <w:szCs w:val="28"/>
          <w:rtl w:val="true"/>
          <w:lang w:bidi="fa-IR"/>
        </w:rPr>
        <w:t>»</w:t>
      </w:r>
      <w:r>
        <w:rPr>
          <w:rStyle w:val="FootnoteAnchor"/>
          <w:rtl w:val="true"/>
        </w:rPr>
        <w:footnoteReference w:id="1280"/>
      </w:r>
      <w:r>
        <w:rPr>
          <w:rFonts w:ascii="Amiri" w:hAnsi="Amiri" w:eastAsia="Amiri" w:cs="Amiri"/>
          <w:color w:val="111111"/>
          <w:sz w:val="28"/>
          <w:sz w:val="28"/>
          <w:szCs w:val="28"/>
          <w:rtl w:val="true"/>
          <w:lang w:bidi="ar-SA"/>
        </w:rPr>
        <w:t xml:space="preserve">يدلاّن على كونه من الكبائر بإطلاق التنزيل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الشأن في دلالتها ، فإنّ الظاهر منها أنّ المحرّم عنوان الرضا بفعل محرّم ، وهو شامل للرضا الذي له مظهر كما فيما نحن فيه ، ولا تدلّ على حرمة عنوان آخر مغاير له وهو الاستماع ولو كان على وجه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الاستماع كذلك ينحلّ إلى الرضا الذي هو أمر قلبي والاستماع الذي من عمل الجوارح ، ولا تقتضي حرمة العنوان الأوّل حرمة الثاني ، لا باللفظ ولا بالفحوى ، ولا ملازمة بين حرمة الرضا بالغيبة مع حرمة استماعها على وجه الرضا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تمّ ما ذكره يكون على الداخل ثلاثة آثام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 أصل الدخول والعمل ، وإثم نفس الرضا حسب الروايات ، وإثم الدخول على وجه الرضا بالفحوى المدّعى ، وهو كما ترى مخالف للروايات </w:t>
      </w:r>
      <w:r>
        <w:rPr>
          <w:rFonts w:eastAsia="Amiri" w:cs="Amiri" w:ascii="Amiri" w:hAnsi="Amiri"/>
          <w:color w:val="111111"/>
          <w:sz w:val="28"/>
          <w:szCs w:val="28"/>
          <w:rtl w:val="true"/>
          <w:lang w:bidi="ar-SA"/>
        </w:rPr>
        <w:t xml:space="preserve">. </w:t>
      </w:r>
      <w:bookmarkStart w:id="450" w:name="pg15158_207268"/>
    </w:p>
    <w:p>
      <w:pPr>
        <w:pStyle w:val="BookText"/>
        <w:rPr/>
      </w:pPr>
      <w:bookmarkEnd w:id="450"/>
      <w:r>
        <w:rPr>
          <w:rFonts w:ascii="Amiri" w:hAnsi="Amiri" w:eastAsia="Amiri" w:cs="Amiri"/>
          <w:color w:val="111111"/>
          <w:sz w:val="28"/>
          <w:sz w:val="28"/>
          <w:szCs w:val="28"/>
          <w:rtl w:val="true"/>
          <w:lang w:bidi="ar-SA"/>
        </w:rPr>
        <w:t xml:space="preserve">مع أنّ ما ذكره من أنّ المراد في المقام حرمة الاستماع على وجه الرضا بفعل المغتاب غير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المراد في المقام حرمة الاستماع مطلقاً ولو استمع مع انزجاره عن فعل المغتاب وكراهته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الغيبة محرّمة مطلقاً ولو مع التنفّر عنها ، كذلك الاستماع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بالرضا هو الإرادة والاختيار وغيرهما من مبادي الفعل الاختياري ، كما لا يخفى على المتأمّل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روايات وجوب ردّ الغيبة فهي أجنبيّة عن الدلالة على حرمة الاستماع ، كما هي أجنبيّة عن الدلالة على جوازها ، بل تدلّ على أ نّه لو سمع الغيبة يجب عليه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قلنا في بعض المسائل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أدلّة النهي عن المنكر الدفع عن المنكر الذي علم بإشرافه على الوجود</w:t>
      </w:r>
      <w:r>
        <w:rPr>
          <w:rStyle w:val="FootnoteAnchor"/>
          <w:rtl w:val="true"/>
        </w:rPr>
        <w:footnoteReference w:id="1281"/>
      </w:r>
      <w:r>
        <w:rPr>
          <w:rFonts w:ascii="Amiri" w:hAnsi="Amiri" w:eastAsia="Amiri" w:cs="Amiri"/>
          <w:color w:val="111111"/>
          <w:sz w:val="28"/>
          <w:sz w:val="28"/>
          <w:szCs w:val="28"/>
          <w:rtl w:val="true"/>
          <w:lang w:bidi="ar-SA"/>
        </w:rPr>
        <w:t xml:space="preserve">، فكيف يجوز تمكين المغتاب على الغيبة وكشف ستر المؤمن بعذر إرادة الردّ ؟ </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851728_2142443653"/>
      <w:bookmarkStart w:id="452" w:name="_Toc155"/>
      <w:bookmarkEnd w:id="451"/>
      <w:r>
        <w:rPr>
          <w:rtl w:val="true"/>
        </w:rPr>
        <w:t>في كون استماع الغيبة من الكبائر</w:t>
      </w:r>
      <w:bookmarkEnd w:id="452"/>
    </w:p>
    <w:p>
      <w:pPr>
        <w:pStyle w:val="BookText"/>
        <w:rPr/>
      </w:pPr>
      <w:r>
        <w:rPr>
          <w:rFonts w:ascii="Amiri" w:hAnsi="Amiri" w:eastAsia="Amiri" w:cs="Amiri"/>
          <w:color w:val="111111"/>
          <w:sz w:val="28"/>
          <w:sz w:val="28"/>
          <w:szCs w:val="28"/>
          <w:rtl w:val="true"/>
          <w:lang w:bidi="ar-SA"/>
        </w:rPr>
        <w:t xml:space="preserve">وقد استدلّ شيخنا الأنصاري على كونه من الكبائر بالنبوي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السامع للغيبة أحد المغتابين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ضعف سنده</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يظهر بعد ذكر محتملات الرواية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المغتابين على صيغة الجمع ، وكأنّ القائل بصدد إدراج السامع في المغتابين حكماً بلسان الإدراج الموضوعي وتنزيله منزلة المغتاب ، </w:t>
      </w:r>
    </w:p>
    <w:p>
      <w:pPr>
        <w:pStyle w:val="BookText"/>
        <w:rPr/>
      </w:pPr>
      <w:r>
        <w:rPr>
          <w:rFonts w:ascii="Amiri" w:hAnsi="Amiri" w:eastAsia="Amiri" w:cs="Amiri"/>
          <w:color w:val="111111"/>
          <w:sz w:val="28"/>
          <w:sz w:val="28"/>
          <w:szCs w:val="28"/>
          <w:rtl w:val="true"/>
          <w:lang w:bidi="ar-SA"/>
        </w:rPr>
        <w:t xml:space="preserve">فيكون المراد أ نّه واحد منهم حكماً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أحد العلماء مع فرض عدم كونه عالماً ، فكأ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السامع بمنزلة المغتاب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الفرض تمّت دلالتها ؛ لإطلاق التنزيل ، إلاّ على إشكال مشترك بين الاحتمالات تأتي الإشارة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بعيد؛ لعدم فائدة في ذكر الجمع لإفادة هذا المعنى ، بل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السامع</w:t>
      </w:r>
    </w:p>
    <w:p>
      <w:pPr>
        <w:pStyle w:val="BookText"/>
        <w:rPr/>
      </w:pPr>
      <w:r>
        <w:rPr>
          <w:rFonts w:ascii="Amiri" w:hAnsi="Amiri" w:eastAsia="Amiri" w:cs="Amiri"/>
          <w:color w:val="111111"/>
          <w:sz w:val="28"/>
          <w:sz w:val="28"/>
          <w:szCs w:val="28"/>
          <w:rtl w:val="true"/>
          <w:lang w:bidi="ar-SA"/>
        </w:rPr>
        <w:t xml:space="preserve">مغتاب كان أولى وأدلّ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الفقّاع خمر</w:t>
      </w:r>
      <w:r>
        <w:rPr>
          <w:rFonts w:eastAsia="Amiri" w:cs="Amiri" w:ascii="Amiri" w:hAnsi="Amiri"/>
          <w:color w:val="111111"/>
          <w:sz w:val="28"/>
          <w:szCs w:val="28"/>
          <w:rtl w:val="true"/>
          <w:lang w:bidi="ar-SA"/>
        </w:rPr>
        <w:t>»</w:t>
      </w:r>
      <w:r>
        <w:rPr>
          <w:rStyle w:val="FootnoteAnchor"/>
          <w:rtl w:val="true"/>
        </w:rPr>
        <w:footnoteReference w:id="128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صيغة التثنية ، ويراد به تنزيل السامع منزلة المتكلّم بالغيبة ، سواء اُريد به أ نّه بمنزلة القائل بتلك الغيبة التي سمعها ، أو اُريد أ نّه بمنزلة المتكلّم بها وأنّ السامع كأ نّه المتكلّم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أيضاً تمّت الدلالة ، لكن هذا اللسان كأ نّه ينافي التنزيل بلسان إثبات الموضوع ؛ لأنّ لسان إثباته يقتضي أن يكون بإيقاع الهوهوية لا الاثنينية والتغاير، كما في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جعل العدل للمغتاب ، فكأ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السامع مغتاب آخر عدل المغتاب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أيضاً لا تبعد تمامية دلالته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العدلية يقتضي الاشتراك في جميع الآثار والأحكام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بهذا الكلام الحكاية عن تنزيل سابق عليه ، فإذا كان السامع </w:t>
      </w:r>
    </w:p>
    <w:p>
      <w:pPr>
        <w:pStyle w:val="BookText"/>
        <w:rPr/>
      </w:pPr>
      <w:r>
        <w:rPr>
          <w:rFonts w:ascii="Amiri" w:hAnsi="Amiri" w:eastAsia="Amiri" w:cs="Amiri"/>
          <w:color w:val="111111"/>
          <w:sz w:val="28"/>
          <w:sz w:val="28"/>
          <w:szCs w:val="28"/>
          <w:rtl w:val="true"/>
          <w:lang w:bidi="ar-SA"/>
        </w:rPr>
        <w:t xml:space="preserve">منزّلاً منزلة المغتاب يصير المغتاب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 والتنزيلي ، والسامع أحدهما ، وهو الفرد التنزيلي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الاحتمال يشكل الاستدلال ؛ لعدم وقوفنا على دليل التنزيل وكيفية دلالته حتّى نتمسّك بإطلاقه ، ويكفي في الحكاية التنزيل ببعض الآثار كأصل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حكاية العدلية بقول مطلق كاشف عن التنزيل كذلك ، وهو لا يخلو من وجه ، كما لا يخلو من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التنبيه على أنّ الغيبة كما يتوقّف تحقّقها على المغتاب يتوقّف على السامع وهو شريكه في الإثم ، وليس حال السامع حال المضروب المتوقّف تحقّق الضرب عليه ، بل هو دخيل في كشف ستر المؤمن وهتكه ، وهو أحد المغتابين بهذا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لا يكون في مقام بيان التنزيل حتّى نتمسّك بإطلاقه على كونه من الكبائر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كونه في مقام بيان كونه شريكاً فيتمسّك بإطلاق الشركة في الإثم على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يناقش بأ نّه ليس في مقام بيان الشركة في الإثم أيضاً ، بل بصدد بيان سرّ كونه مأثوماً بأ نّه باستماعه مأثوم ، والمغتاب بكلامه ، فهو في مقام بيان أصل المأثومية مقابل عدم الإثم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غير بعيد عن ظاهر اللفظ والاعتبار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 عدم ظهور الرواية في التنزيل المطلق ، حتّى يستفاد </w:t>
      </w:r>
    </w:p>
    <w:p>
      <w:pPr>
        <w:pStyle w:val="BookText"/>
        <w:rPr/>
      </w:pPr>
      <w:r>
        <w:rPr>
          <w:rFonts w:ascii="Amiri" w:hAnsi="Amiri" w:eastAsia="Amiri" w:cs="Amiri"/>
          <w:color w:val="111111"/>
          <w:sz w:val="28"/>
          <w:sz w:val="28"/>
          <w:szCs w:val="28"/>
          <w:rtl w:val="true"/>
          <w:lang w:bidi="ar-SA"/>
        </w:rPr>
        <w:t xml:space="preserve">منها كون الاستماع من الكبائر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ورود إشكال آخر ، وهو أنّ عمدة ما دلّت على كون الغيبة كبيرة مرسلة ابن أبي عمير المتقدّمة</w:t>
      </w:r>
      <w:r>
        <w:rPr>
          <w:rStyle w:val="FootnoteAnchor"/>
          <w:rtl w:val="true"/>
        </w:rPr>
        <w:footnoteReference w:id="1285"/>
      </w:r>
      <w:r>
        <w:rPr>
          <w:rFonts w:ascii="Amiri" w:hAnsi="Amiri" w:eastAsia="Amiri" w:cs="Amiri"/>
          <w:color w:val="111111"/>
          <w:sz w:val="28"/>
          <w:sz w:val="28"/>
          <w:szCs w:val="28"/>
          <w:rtl w:val="true"/>
          <w:lang w:bidi="ar-SA"/>
        </w:rPr>
        <w:t>، وقد عرفت أنّ الأظهر فيها تنزيل المغتاب منزلة الذين يحبّون أن تشيع الفاحشة</w:t>
      </w:r>
      <w:r>
        <w:rPr>
          <w:rStyle w:val="FootnoteAnchor"/>
          <w:rtl w:val="true"/>
        </w:rPr>
        <w:footnoteReference w:id="1286"/>
      </w:r>
      <w:r>
        <w:rPr>
          <w:rFonts w:ascii="Amiri" w:hAnsi="Amiri" w:eastAsia="Amiri" w:cs="Amiri"/>
          <w:color w:val="111111"/>
          <w:sz w:val="28"/>
          <w:sz w:val="28"/>
          <w:szCs w:val="28"/>
          <w:rtl w:val="true"/>
          <w:lang w:bidi="ar-SA"/>
        </w:rPr>
        <w:t xml:space="preserve">، ومقتضى التنزيل المذكور أ نّها كبيرة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يمكن أن يناقش في دلالة ما يدلّ على تنزيل المستمع منزلة المغتاب على كون الاستماع معصية كبيرة ،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التنزيل في لسان رسول اللّه‌ صلی الله علیه و آله وسلم  بأنّ المستمع أحد المغتابين يصحّ مع اشتراك المستمع للمغتاب في أحكام حال التنزيل ، ومقتضى إطلاقه اشتراكهما في جميع الأحكام في حال الدعوى والتنزيل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يقتضي اشتراكهما في الأحكام النازلة المتعلّقة بالمغتاب بعد التنزيل والدعوى ، فإنّ صحّة الدعوى وإطلاق التنزيل لا تقتضيان أزيد من ثبوت جميع الأحكام حال التنزيل ، ومن المحتمل أن يكون تنزيل المغتاب منزلة الذين يحبّون أن تشيع الفاحشة ، وإثبات حكم حبّ شياعها عليه بعد تنزيل المستمع منزلة المغتاب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الغيبة لو كانت كبيرة كانت كذلك من أوّل الأمر ، ولا يمكن انفكاك الكبيرة عن أصل المعصية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غير ثابت ؛ لأنّ الأحكام مجعولة وضعاً وتكليفاً ، ويمكن أن تكون الغيبة ذات مفسدة ضعيفة في أوّل البعثة ، فجعلت محرّمة ، ثمّ حدثت فيها مفاسد اُخرى </w:t>
      </w:r>
    </w:p>
    <w:p>
      <w:pPr>
        <w:pStyle w:val="BookText"/>
        <w:rPr/>
      </w:pPr>
      <w:r>
        <w:rPr>
          <w:rFonts w:ascii="Amiri" w:hAnsi="Amiri" w:eastAsia="Amiri" w:cs="Amiri"/>
          <w:color w:val="111111"/>
          <w:sz w:val="28"/>
          <w:sz w:val="28"/>
          <w:szCs w:val="28"/>
          <w:rtl w:val="true"/>
          <w:lang w:bidi="ar-SA"/>
        </w:rPr>
        <w:t xml:space="preserve">شديدة ، كالمفاسد الاجتماعية ، فجعلت كبيرة واُوعد عليها النار الأليم ، فدعوى عدم إمكان التفكيك تحتاج إلى بيّنة مفقودة في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وسلم  العالم بالأحكام الآتية لا محالة ينزّل الشيء منزلة الآخر في جميع الأحكام السابقة واللاحقة ، فالإطلاق يقتضي ترتّبها عليه مطلقاً ، غير سديدة ؛ لأنّ طريق علمه الوحي الإلهي ، والمفروض عدم الإيحاء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قلنا بأ نّه عالم بها لإحاطته باللوح المحفوظ فهو علم غير عادي ليس مناط جعل الأحكام في ظاهر الشريعة ، ولا شبهة في تدريجية الأحكام نزولاً وإجراءً وفعلية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الدعوى عدم الإطلاق بالنسبة إلى الأحكام المفقودة حال التنزيل وعدم ثبوته إلاّ في الأحكام المحرزة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أثبتناه بحكم الإطلاق في قبال مدّعي كفاية التنزيل بلحاظ أظهر الآثار أنّ جميع الأحكام الثابتة للمنزّل عليه ثابت للمنزّل ، وأنّ أظهرية الآثار لا توجب رفع اليد عن الإطلاق إلاّ مع الانصراف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الإطلاق يقتضي ثبوت أحكام غير ثابتة للمنزّل عليه حال التنزيل للمنزّل في ظرف ثبوتها للمنزّل عليه فلا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يمكن الإشكال في التنزيلات الواردة في لسان الأئمّة علیهم السلام بناءً على كشفها عن تنزيل رسول اللّه‌ صلی الله علیه و آله وسلم  بعين ما تقدّم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كان التنزيل منهم ، والدعوى والمجاز منهم ، لا كاشفاً عن تنزيله صلی الله علیه و آله وسلم  يؤخذ بإطلاقه ، ولا ينظر إلى كيفية ثبوت الأحكام للمنزّل عليه ، ووجهه واضح </w:t>
      </w:r>
      <w:r>
        <w:rPr>
          <w:rFonts w:eastAsia="IRNazanin" w:cs="IRNazanin"/>
          <w:color w:val="111111"/>
          <w:sz w:val="28"/>
          <w:szCs w:val="28"/>
          <w:rtl w:val="true"/>
          <w:lang w:bidi="fa-IR"/>
        </w:rPr>
        <w:t xml:space="preserve">. </w:t>
      </w:r>
      <w:bookmarkStart w:id="453" w:name="pg15158_207273"/>
    </w:p>
    <w:p>
      <w:pPr>
        <w:pStyle w:val="BookText"/>
        <w:rPr/>
      </w:pPr>
      <w:bookmarkEnd w:id="453"/>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التنزيل بنحو الإطلاق في لسان الأئمّة المتأخّرين عن</w:t>
      </w:r>
    </w:p>
    <w:p>
      <w:pPr>
        <w:pStyle w:val="BookText"/>
        <w:rPr/>
      </w:pPr>
      <w:r>
        <w:rPr>
          <w:rFonts w:ascii="IRNazanin" w:hAnsi="IRNazanin" w:eastAsia="IRNazanin"/>
          <w:color w:val="111111"/>
          <w:sz w:val="28"/>
          <w:sz w:val="28"/>
          <w:szCs w:val="28"/>
          <w:rtl w:val="true"/>
          <w:lang w:bidi="fa-IR"/>
        </w:rPr>
        <w:t xml:space="preserve">عصر الوحي يكشف عن التنزيل المطلق في لسان رسول اللّه‌ صلی الله علیه و آله وسلم  ولو قلنا بالكشف ؛ لأنّ التنزيل لو كان في بعض الأحكام لكان عليهم البيان بعد كون النقل لبيان الحكم الشرعي ، فمع تمامية مقدّمات الإطلاق يؤخذ بإطلاق الكاشف ويكشف إطلاق المنكشف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فبقي الإشكال فيما إذا نقل تنزيل من رسول اللّه‌ صلی الله علیه و آله وسلم  من غير طريقهم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فتحصّل من جميع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 بالنبوي لكون الاستماع كبيرة غير وجيه بوجوه </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851730_2142443653"/>
      <w:bookmarkStart w:id="455" w:name="_Toc156"/>
      <w:bookmarkEnd w:id="454"/>
      <w:r>
        <w:rPr>
          <w:rtl w:val="true"/>
        </w:rPr>
        <w:t>في تبعية حرمة الاستماع لحرمة الغيبة</w:t>
      </w:r>
      <w:bookmarkEnd w:id="455"/>
    </w:p>
    <w:p>
      <w:pPr>
        <w:pStyle w:val="BookText"/>
        <w:rPr/>
      </w:pPr>
      <w:r>
        <w:rPr>
          <w:rFonts w:ascii="Amiri" w:hAnsi="Amiri" w:eastAsia="Amiri" w:cs="Amiri"/>
          <w:color w:val="111111"/>
          <w:sz w:val="28"/>
          <w:sz w:val="28"/>
          <w:szCs w:val="28"/>
          <w:rtl w:val="true"/>
          <w:lang w:bidi="ar-SA"/>
        </w:rPr>
        <w:t>ثمّ إنّ المحرّم هل هو استماع الغيبة المحرّمة ، فتكون حرمته تابعة لحرمتها ، أو هو محرّم مستقلّ في قبال الغيبة ، من غيرتبعية لها في الحكم ؟</w:t>
      </w:r>
    </w:p>
    <w:p>
      <w:pPr>
        <w:pStyle w:val="BookText"/>
        <w:rPr/>
      </w:pPr>
      <w:r>
        <w:rPr>
          <w:rFonts w:ascii="Amiri" w:hAnsi="Amiri" w:eastAsia="Amiri" w:cs="Amiri"/>
          <w:color w:val="111111"/>
          <w:sz w:val="28"/>
          <w:sz w:val="28"/>
          <w:szCs w:val="28"/>
          <w:rtl w:val="true"/>
          <w:lang w:bidi="ar-SA"/>
        </w:rPr>
        <w:t xml:space="preserve">يمكن الاستدلال على استقلاله وعدم تبعيته بأخبار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المناهي ،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 آله وسلم  نهى عن الغيبة والاستماع إليها ، ونهى عن النميمة والاستماع إليها</w:t>
      </w:r>
      <w:r>
        <w:rPr>
          <w:rFonts w:eastAsia="IRNazanin" w:cs="IRNazanin"/>
          <w:color w:val="111111"/>
          <w:sz w:val="28"/>
          <w:szCs w:val="28"/>
          <w:rtl w:val="true"/>
          <w:lang w:bidi="fa-IR"/>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أنّ النهي متعلّق باستماع طبيعة الغيبة ، لا الغيبة </w:t>
      </w:r>
    </w:p>
    <w:p>
      <w:pPr>
        <w:pStyle w:val="BookText"/>
        <w:rPr/>
      </w:pPr>
      <w:r>
        <w:rPr>
          <w:rFonts w:ascii="Amiri" w:hAnsi="Amiri" w:eastAsia="Amiri" w:cs="Amiri"/>
          <w:color w:val="111111"/>
          <w:sz w:val="28"/>
          <w:sz w:val="28"/>
          <w:szCs w:val="28"/>
          <w:rtl w:val="true"/>
          <w:lang w:bidi="ar-SA"/>
        </w:rPr>
        <w:t xml:space="preserve">المنهيّ عنها كما أنّ النهي عن الغيبة لم يتعلّق بالغيبة المنهيّ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أنّ متعلّق النهي في الأوّل ومتعلّق المتعلّق في الثاني شيء واحد ، وهو نفس طبيعتها ، وكما أنّ مقتضى الإطلاق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عن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حرمتها سواء حرم استماعها على المستمع أم لا فكذلك مقتضى إطلاق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والاستماع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حرمته سواء حرمت الغيبة على المغتاب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يعلم عدم تبعيته لها في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يناقش في إطلاق حديث المناهي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نفس مناهي الرسول صلی الله علیه و آله وسلم  ليست بأيدينا حتّى يمكن الأخذ بإطلاقها ، والرواية الحاكية عنها إنّما جمع فيها شتات الأحاديث والنواهي الواردة بألفاظ غير مذكورة فيها ، وإنّما هي في مقام عدّها بنحو الإجمال والإهمال ، وليس فيها إطلاق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إطلاق في الحاكي؛ لكونه في مقام عدّ أصل المناهي بنحو الإهمال ، ولا أقلّ من عدم إحراز كونه في مقام بيان كلّ عنوان بخصوصياتها ، ولا علم لنا بالمحكيّ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جبير ، 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عمر مجلس بالغيبة إلاّ خرب من الدين ، فتنزّهوا أسماعكم من استماع الغيبة ، فإنّ القائل والمستمع لها شريكان في الإثم</w:t>
      </w:r>
      <w:r>
        <w:rPr>
          <w:rFonts w:eastAsia="IRNazanin" w:cs="IRNazanin"/>
          <w:color w:val="111111"/>
          <w:sz w:val="28"/>
          <w:szCs w:val="28"/>
          <w:rtl w:val="true"/>
          <w:lang w:bidi="fa-IR"/>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فتنزّهوا أسماعكم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عدم جواز الاستماع مطلقاً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وكونه تفريعاً على الجملة السابقة المذكورة فيها الغيبة المحرّمة لا يوجب التقييد أو الانصراف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القائل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هو بصدد بيان أنّ طبيعة المغتاب والمستمع شريكتان في الإثم ، لا أنّ كلّ مستمع شريك مع من اغتاب عنده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المفروض جواز اغتياب المغتاب ومعه لا إثم عليه حتّى يشترك السامع معه ، فتكون هذه الفقرة قاصرة عن إثبات الحرمة في الفرض لا دالّة على جوازها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بقوله ذلك دفع توهّم أنّ السامع لا يكون مغتاباً فلا إثم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الإثم كما هو ثابت للمغتاب ثابت للسامع أيضاً فهما شريكان في الإثم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يناقش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المتفاهم من صدرها وذيلها والتفريع المذكور أ نّها متعرّضة للغيبة المحرّمة ولا إطلاق لها يشمل المحلّلة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القائل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فيه 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مغتاب شريك مع من يستمع غيبته في الإثم ، ولا ينافي ذلك تعلّق الحكم بالطبائع ؛ لأنّ من يستمع غيبة المغتاب أيضاً من الطبائع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فرض أن تكون الرواية بصدد دفع التوهّم المتقدّم لا إطلاق فيها ، فإنّها حينئذٍ بصدد بيان ذلك ، لا حكم الموضوع حتّى يكون لها إطلاق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أبي عبداللّه علیه السلام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الغيبة كفر والمستمع لها والراضي بها مشرك</w:t>
      </w:r>
      <w:r>
        <w:rPr>
          <w:rFonts w:eastAsia="IRNazanin" w:cs="IRNazanin"/>
          <w:color w:val="111111"/>
          <w:sz w:val="28"/>
          <w:szCs w:val="28"/>
          <w:rtl w:val="true"/>
          <w:lang w:bidi="fa-IR"/>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بدعوى إطلاق المستمع للغيبة المحلّلة واختصاص الراضي بها بالغيبة المحرّمة لقيام القرينة ، ولم تقم في المستمع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عطف الراضي بها على المستمع لها وحمل محمول واحد عليهما قرينة على وحدة المراد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إطلاق في الروايات ؛ فإنّها بين مهملة ومنصرفة إلى المحرّمة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النبوي المتقدّم فقد عرفت أ نّه محتمل لمعانٍ</w:t>
      </w:r>
      <w:r>
        <w:rPr>
          <w:rStyle w:val="FootnoteAnchor"/>
          <w:rtl w:val="true"/>
        </w:rPr>
        <w:footnoteReference w:id="1290"/>
      </w:r>
      <w:r>
        <w:rPr>
          <w:rFonts w:ascii="Amiri" w:hAnsi="Amiri" w:eastAsia="Amiri" w:cs="Amiri"/>
          <w:color w:val="111111"/>
          <w:sz w:val="28"/>
          <w:sz w:val="28"/>
          <w:szCs w:val="28"/>
          <w:rtl w:val="true"/>
          <w:lang w:bidi="ar-SA"/>
        </w:rPr>
        <w:t xml:space="preserve">، فعلى بعضها يدلّ على جواز الاستماع للغيبة المحلّلة ، وعلى بعضها يدلّ على عدم الجواز ، وعلى بعضها لا يدلّ على شيء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الجمع ، وقلنا بأنّ الظاهر منه عدم تنزيل</w:t>
      </w:r>
    </w:p>
    <w:p>
      <w:pPr>
        <w:pStyle w:val="BookText"/>
        <w:rPr/>
      </w:pPr>
      <w:r>
        <w:rPr>
          <w:rFonts w:ascii="Amiri" w:hAnsi="Amiri" w:eastAsia="Amiri" w:cs="Amiri"/>
          <w:color w:val="111111"/>
          <w:sz w:val="28"/>
          <w:sz w:val="28"/>
          <w:szCs w:val="28"/>
          <w:rtl w:val="true"/>
          <w:lang w:bidi="ar-SA"/>
        </w:rPr>
        <w:t xml:space="preserve">المستمع منزلة غيره بل تنزيل استماعه منزلة تكلّمه كما لا يبعد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قلنا بأ نّه على صيغة التثنية لكن جعل السامع عدلاً للمغتاب ، والعدلية باعتبار أنّ استماعه بمنزلة تكلّمه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قلنا بأ نّه كاشف عن تنزيل آخر وهو تنزيل استماعه منزلة تكلّمه ، تدلّ الرواية على حرمة الاستماع إلاّ في مورد جاز له الاغتياب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بتنزيل المستمع منزلة المغتاب وباقتضاء الإطلاق التنزيل في المحرّم والمحلّل ، تدلّ على جواز الاستماع إذا جاز للمغتاب الاغتياب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بصدد بيان أصل الاشتراك ، ودفع توهّم اختصاص الحرمة </w:t>
      </w:r>
    </w:p>
    <w:p>
      <w:pPr>
        <w:pStyle w:val="BookText"/>
        <w:rPr/>
      </w:pPr>
      <w:r>
        <w:rPr>
          <w:rFonts w:ascii="Amiri" w:hAnsi="Amiri" w:eastAsia="Amiri" w:cs="Amiri"/>
          <w:color w:val="111111"/>
          <w:sz w:val="28"/>
          <w:sz w:val="28"/>
          <w:szCs w:val="28"/>
          <w:rtl w:val="true"/>
          <w:lang w:bidi="ar-SA"/>
        </w:rPr>
        <w:t xml:space="preserve">بالمغتاب ، فلا تدلّ على شيء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مجملة من حيث اللفظ والمعنى ، وإن كان الأرجح تثنية الصيغة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على حرمة استماع الغيبة المحلّلة فيما إذا لزم منه كشف ستر المؤمن وإذاعة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السامع جاهلاً بالعيب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w:t>
      </w:r>
      <w:r>
        <w:rPr>
          <w:rStyle w:val="FootnoteAnchor"/>
          <w:rtl w:val="true"/>
        </w:rPr>
        <w:footnoteReference w:id="1291"/>
      </w:r>
      <w:r>
        <w:rPr>
          <w:rFonts w:ascii="Amiri" w:hAnsi="Amiri" w:eastAsia="Amiri" w:cs="Amiri"/>
          <w:color w:val="111111"/>
          <w:sz w:val="28"/>
          <w:sz w:val="28"/>
          <w:szCs w:val="28"/>
          <w:rtl w:val="true"/>
          <w:lang w:bidi="ar-SA"/>
        </w:rPr>
        <w:t xml:space="preserve">من أنّ المستفاد من طوائف من الروايات حرمة عرض المؤمن ومبغوضية انهتاكه ذاتاً ، ولو كان مسلوب الإضافة عن الفاعل المختار والمكلّف العاقل ، وكما أنّ المغتاب لا يجوز عليه هتك المؤمن بقوله ، كذلك لا يجوز للسامع كشف ستره باستماعه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جاز ذلك على القائل لا يلزم أن يكون جائزاً على المستمع ؛ لعدم رفع احترام المؤمن بنحو الإطلاق ، ولهذا لا يجوز لسائر الناس اغتيابه بمجرّد جوازه لواحد منهم ، فالمرفوع احترامه بالإضافة لا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تجويز الشارع اغتياب أحد للمغتاب ، تجويز استماعه وإلاّ كان ذلك لغواً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ملازمة بينهما ؛ لإمكان أن يغتاب عند من جاز له استماع غيبته ، بل له إسماع الغير بغير اختياره كما يتّفق ذلك كثيراً ، فله أن يسمع غيره فجأة ، والمقصود في المقام إثبات جواز الاستماع اختياراً ، فلا ملازمة بين جواز الغيبة وجواز الاستماع الاختياري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الأخير أوجه ما في المقام في حرمة استماعها مطلقاً ، لكنّه أيضاً لا يخلو من إشكال ؛ لعدم إحراز حرمة من أجاز الشارع غيبته ، والقدر المتيقّن </w:t>
      </w:r>
      <w:bookmarkStart w:id="456" w:name="pg15158_207278"/>
    </w:p>
    <w:p>
      <w:pPr>
        <w:pStyle w:val="BookText"/>
        <w:rPr/>
      </w:pPr>
      <w:bookmarkEnd w:id="456"/>
      <w:r>
        <w:rPr>
          <w:rFonts w:ascii="Amiri" w:hAnsi="Amiri" w:eastAsia="Amiri" w:cs="Amiri"/>
          <w:color w:val="111111"/>
          <w:sz w:val="28"/>
          <w:sz w:val="28"/>
          <w:szCs w:val="28"/>
          <w:rtl w:val="true"/>
          <w:lang w:bidi="ar-SA"/>
        </w:rPr>
        <w:t xml:space="preserve">من الأخبار المشار إليها هو مبغوضية هتك غير من أجاز المولى هتكه ولو في الجملة ، ولا دليل على حرمة هتكه ذاتاً بنحو الإطلاق ، ولا يستفاد ذلك من الأخبار المتقدّمة ؛ لأنّ المستند لما ذكرناه ليس إطلاق دليل أو عمومه ، بل هو مستفاد من مجموع الأخبار استنقاذاً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جواز غيبته لغير من اُجيز فلإطلاق أدلّة حرمة الغيبة من غير مقيّد ، لا لهذا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دليل معتمد على حرمة استماع الغيبة المحلّلة </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1851732_2142443653"/>
      <w:bookmarkStart w:id="458" w:name="_Toc157"/>
      <w:bookmarkEnd w:id="457"/>
      <w:r>
        <w:rPr>
          <w:rtl w:val="true"/>
        </w:rPr>
        <w:t>حكم ما لو شكّ في أنّ الاغتياب كان على وجه الحلال أو الحرام</w:t>
      </w:r>
      <w:bookmarkEnd w:id="458"/>
    </w:p>
    <w:p>
      <w:pPr>
        <w:pStyle w:val="BookText"/>
        <w:rPr/>
      </w:pPr>
      <w:r>
        <w:rPr>
          <w:rFonts w:ascii="Amiri" w:hAnsi="Amiri" w:eastAsia="Amiri" w:cs="Amiri"/>
          <w:color w:val="111111"/>
          <w:sz w:val="28"/>
          <w:sz w:val="28"/>
          <w:szCs w:val="28"/>
          <w:rtl w:val="true"/>
          <w:lang w:bidi="ar-SA"/>
        </w:rPr>
        <w:t xml:space="preserve">ثمّ لو شككنا في أنّ الاغتياب كان على وجه الحلال أو الحرام ،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أصالة الصحّة في قول المغتاب عدم جواز ردّه وردعه ، بل بمقتضى أماريتها تكشف عن جوازها واقعاً ، فيجوز للسامع استماعها ؛ لأنّ من آثار جوازها واقعاً جواز الاستماع أو من آثار عدم حرمتها واقعاً عدم حرمة استماعها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على فرض الترتّب بين الحكمين الواقعيين ، وعلى فرض عدم إحرازه تجري أصالة الصحّة ومعه لا تجري الاستصحابات الموضوعية أو الحكمية الحاكمة بعدم جواز الاستماع على فرض جريانها ؛ لحكومتها عليها ومعه لا مانع من جريان أصل البراءة عن الاستماع</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bookmarkStart w:id="459" w:name="pg15158_207279"/>
    </w:p>
    <w:p>
      <w:pPr>
        <w:pStyle w:val="Heading4"/>
        <w:numPr>
          <w:ilvl w:val="3"/>
          <w:numId w:val="1"/>
        </w:numPr>
        <w:rPr/>
      </w:pPr>
      <w:bookmarkStart w:id="460" w:name="__RefHeading___Toc1851734_2142443653"/>
      <w:bookmarkStart w:id="461" w:name="_Toc158"/>
      <w:bookmarkEnd w:id="459"/>
      <w:bookmarkEnd w:id="460"/>
      <w:r>
        <w:rPr>
          <w:rtl w:val="true"/>
        </w:rPr>
        <w:t>حول جريان أصالة الصحّة في المقام</w:t>
      </w:r>
      <w:bookmarkEnd w:id="461"/>
    </w:p>
    <w:p>
      <w:pPr>
        <w:pStyle w:val="BookText"/>
        <w:rPr/>
      </w:pPr>
      <w:r>
        <w:rPr>
          <w:rFonts w:ascii="Amiri" w:hAnsi="Amiri" w:eastAsia="Amiri" w:cs="Amiri"/>
          <w:color w:val="111111"/>
          <w:sz w:val="28"/>
          <w:sz w:val="28"/>
          <w:szCs w:val="28"/>
          <w:rtl w:val="true"/>
          <w:lang w:bidi="ar-SA"/>
        </w:rPr>
        <w:t>لكن في جريان أصالة الصحّة في مثل المقام إشكال ؛ لأنّ الدليل على الأصل المذكور ليس إلاّ بناء العقلاء أو هو مع سيرة المتشرّعة ، والقدر المتيقّن منهما هو</w:t>
      </w:r>
    </w:p>
    <w:p>
      <w:pPr>
        <w:pStyle w:val="BookText"/>
        <w:rPr/>
      </w:pPr>
      <w:r>
        <w:rPr>
          <w:rFonts w:ascii="Amiri" w:hAnsi="Amiri" w:eastAsia="Amiri" w:cs="Amiri"/>
          <w:color w:val="111111"/>
          <w:sz w:val="28"/>
          <w:sz w:val="28"/>
          <w:szCs w:val="28"/>
          <w:rtl w:val="true"/>
          <w:lang w:bidi="ar-SA"/>
        </w:rPr>
        <w:t xml:space="preserve">الأفعال التي لها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صحّة وضعية ووجه فساد كذلك ، أعمّ من العقود والإيقاعات وسائر الأفعال كالصلاة والصوم وتجهيز الموتى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مطلق الأفعال كما لو دار الأمر بين كون الفعل الصادر مباحاً أو لا ، أو القول الكذائي مباحاً أو لا ، أو قبيحاً أو لا ، فلم يثبت بناء العقلاء أو المتشرّعة</w:t>
      </w:r>
    </w:p>
    <w:p>
      <w:pPr>
        <w:pStyle w:val="BookText"/>
        <w:rPr/>
      </w:pPr>
      <w:r>
        <w:rPr>
          <w:rFonts w:ascii="Amiri" w:hAnsi="Amiri" w:eastAsia="Amiri" w:cs="Amiri"/>
          <w:color w:val="111111"/>
          <w:sz w:val="28"/>
          <w:sz w:val="28"/>
          <w:szCs w:val="28"/>
          <w:rtl w:val="true"/>
          <w:lang w:bidi="ar-SA"/>
        </w:rPr>
        <w:t xml:space="preserve">على الحمل على الحلال الواقعي وترتيب آثاره عليه ، سيّما في مثل المقام الذي قد يستلزم الحمل على المباح الواقعي لحمل فعل مسلم آخر على الفساد والحرمة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ظلمني زيد أو جاهر بالفسق يكون حمل قوله على الصحّة واقعاً مستلزماً للبناء على ظلمه أو جهره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الحمل على الصحّة في المقام حمل عليها باعتقاده ، لا على الصحّة الواقعية أو على الصحّة من حيث ، وهو لا ينافي البناء على صحّة عمل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التفكيك بين اللوازم في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كما ترى مخالفان لحجّية أصالة الصحّة ببناء العقلاء ؛ لعدم التفكيك في بنائهم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شبهة في أنّ بناءهم في العقود والإيقاعات ونحوهما ممّا لها وجه صحّة وفساد وضعاً على الحمل على الصحّة الواقعية لا الاعتقادية وترتيب الآثار </w:t>
      </w:r>
    </w:p>
    <w:p>
      <w:pPr>
        <w:pStyle w:val="BookText"/>
        <w:rPr/>
      </w:pPr>
      <w:r>
        <w:rPr>
          <w:rFonts w:ascii="Amiri" w:hAnsi="Amiri" w:eastAsia="Amiri" w:cs="Amiri"/>
          <w:color w:val="111111"/>
          <w:sz w:val="28"/>
          <w:sz w:val="28"/>
          <w:szCs w:val="28"/>
          <w:rtl w:val="true"/>
          <w:lang w:bidi="ar-SA"/>
        </w:rPr>
        <w:t xml:space="preserve">الواقعية لا الاعتقادية ، والحمل على الصحّة الاعتقادية في مورد والواقعية في آخر تفكيك في بنائهم بلا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والتفكيك في اللوازم وإن كان لا مانع منه ونحن بنينا على عدم حجّية مثبتات أصالة الصحّة</w:t>
      </w:r>
      <w:r>
        <w:rPr>
          <w:rStyle w:val="FootnoteAnchor"/>
          <w:rtl w:val="true"/>
        </w:rPr>
        <w:footnoteReference w:id="1293"/>
      </w:r>
      <w:r>
        <w:rPr>
          <w:rFonts w:ascii="Amiri" w:hAnsi="Amiri" w:eastAsia="Amiri" w:cs="Amiri"/>
          <w:color w:val="111111"/>
          <w:sz w:val="28"/>
          <w:sz w:val="28"/>
          <w:szCs w:val="28"/>
          <w:rtl w:val="true"/>
          <w:lang w:bidi="ar-SA"/>
        </w:rPr>
        <w:t xml:space="preserve">لكن التفكيك في المقام مشكل ، فإنّ البناء على صحّة قول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متجاهر بالفسق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والبناء على عدم تجاهره واقعاً كأ نّهما لا يجتمعان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العقلاء أو سيرة المتشرّعة في مثل المورد غير محرزين وإن نفى الشيخ الأنصاري في الرسالة الإشكال عن جريانها في الأقوال ، واختار الجريان في الاعتقادات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فيها تكون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 حيث كونه حركة من حركات المكلّف فيكون الشكّ من حيث كونه مباحاً أو محرّماً ، ولا إشكال في الحمل على الصحّة من هذه الحيثية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الوجه الثاني والوجوه التي فيه وتمسّك في بعضها بأصالة الصحّة مع أنّ الظاهر عدم ابتنائه عليها ، فراجع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الشكّ في أنّ اعتقاده ناشٍ عن مدرك صحيح من دون تقصير عنه في مقدّماته أو من مدرك فاسد لتقصير منه في مقدّماته فالظاهر وجوب الحمل على الصحيح ؛ لظاهر بعض ما مرّ من وجوب حمل اُمور المسلمين على الحسن دون القبيح</w:t>
      </w:r>
      <w:r>
        <w:rPr>
          <w:rStyle w:val="FootnoteAnchor"/>
          <w:rtl w:val="true"/>
        </w:rPr>
        <w:footnoteReference w:id="1294"/>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وأشار ببعض ما مرّ إلى أدلّة لفظية ناقش فيها  رحمه الله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المحقّق التقيّ في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يظهر ممّا ذكروه في تصرّف بائع الأمة ذي الخيار في أمته المبيعة باللمس ونحوه من أ نّه يحمل على الفسخ حملاً لتصرّفه على المباح ، فإنّ التصرّف في المبيع مع عدم الفسخ محرّم ، بل يحكم بفسخه قبل اللمس آناً ما ؛ لأنّ إرادة الفسخ باللمس تقتضي وقوع الجزء الأوّل منه محرّماً وهو منافٍ لظهور حال المسلم في كون عمله سائغاً جائزاً مع أنّ الأصل عدم الفسخ ، فيعلم من ذلك كون أصالة الصحّة معتبرة عندهم من باب الأمارية المقتضي للتقدّم على الاُصول</w:t>
      </w:r>
      <w:r>
        <w:rPr>
          <w:rStyle w:val="FootnoteAnchor"/>
          <w:rtl w:val="true"/>
        </w:rPr>
        <w:footnoteReference w:id="1295"/>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النقل لا يصلح لإثبات حجّية أصالة الصحّة ؛ لعدم ثبوت إجماع أو شهرة به ، وقد عرفت حال بناء العقلاء والسيرة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حجّية هذا النحو من المثبتات كأ نّها مقطوعة الفساد ، وهذا نظير إثبات دخول الوقت بأصالة الصحّة إذا شكّ في صحّة صلاته لأجل الشكّ في دخوله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استدلّ المحقّق المذكور في مورد آخر على وجوب حمل فعل المسلم على السائغ بقوله تعالى في قضيّة الإفك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إِذْ سَمِعْتُمُوهُ ظَنَّ الْمُؤمِنُونَ وَالْمُؤمِنَاتُ بِأَنْفُسِهِمْ خَيْراً وَقَالُوا هَذَا إِفْكٌ مُبِينٌ</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علیه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ما عبّرعنه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لَيْسَ لَكُمْ بِهِ عِلْمٌ</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 xml:space="preserve">في الآية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بمقتضى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التنديم </w:t>
      </w:r>
    </w:p>
    <w:p>
      <w:pPr>
        <w:pStyle w:val="BookText"/>
        <w:rPr/>
      </w:pPr>
      <w:r>
        <w:rPr>
          <w:rFonts w:ascii="Amiri" w:hAnsi="Amiri" w:eastAsia="Amiri" w:cs="Amiri"/>
          <w:color w:val="111111"/>
          <w:sz w:val="28"/>
          <w:sz w:val="28"/>
          <w:szCs w:val="28"/>
          <w:rtl w:val="true"/>
          <w:lang w:bidi="ar-SA"/>
        </w:rPr>
        <w:t>والتوبيخ على أنّ المساءة التي تنسب إلى الغير ممّا ليس للمخاطب به علم يجب</w:t>
      </w:r>
    </w:p>
    <w:p>
      <w:pPr>
        <w:pStyle w:val="BookText"/>
        <w:rPr/>
      </w:pPr>
      <w:r>
        <w:rPr>
          <w:rFonts w:ascii="Amiri" w:hAnsi="Amiri" w:eastAsia="Amiri" w:cs="Amiri"/>
          <w:color w:val="111111"/>
          <w:sz w:val="28"/>
          <w:sz w:val="28"/>
          <w:szCs w:val="28"/>
          <w:rtl w:val="true"/>
          <w:lang w:bidi="ar-SA"/>
        </w:rPr>
        <w:t xml:space="preserve">الحكم بكونه إفكاً وكذباً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دلالة على كون أصالة الصحّة في فعل المسلم من باب الظنّ النوعي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 لَمْ يَأْتُوا بِالشُّهَدَاءِ فَأُولَئِكَ عِنْدَ اللّه‌ِ هُمُ الْكَاذِبُونَ</w:t>
      </w:r>
      <w:r>
        <w:rPr>
          <w:rFonts w:eastAsia="Amiri" w:cs="Amiri" w:ascii="Amiri" w:hAnsi="Amiri"/>
          <w:color w:val="111111"/>
          <w:sz w:val="28"/>
          <w:szCs w:val="28"/>
          <w:rtl w:val="true"/>
          <w:lang w:bidi="ar-SA"/>
        </w:rPr>
        <w:t>(</w:t>
      </w:r>
      <w:r>
        <w:rPr>
          <w:rStyle w:val="FootnoteAnchor"/>
          <w:rtl w:val="true"/>
        </w:rPr>
        <w:footnoteReference w:id="1298"/>
      </w:r>
      <w:r>
        <w:rPr>
          <w:rFonts w:ascii="Amiri" w:hAnsi="Amiri" w:eastAsia="Amiri" w:cs="Amiri"/>
          <w:color w:val="111111"/>
          <w:sz w:val="28"/>
          <w:sz w:val="28"/>
          <w:szCs w:val="28"/>
          <w:rtl w:val="true"/>
          <w:lang w:bidi="ar-SA"/>
        </w:rPr>
        <w:t xml:space="preserve">دلّ على أنّ المدّعين محكومون بالكذب ما لم يعلم صدقهم بإقامة الشهود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إِذْ سَمِعْتُمُوهُ قُلْتُمْ مَا يَكُونُ لَنَا أَنْ نَتَكَلَّمَ بِهَذَا سُبْحَانَكَ هَذَا بُهْتَانٌ عَظِيمٌ</w:t>
      </w:r>
      <w:r>
        <w:rPr>
          <w:rFonts w:eastAsia="Amiri" w:cs="Amiri" w:ascii="Amiri" w:hAnsi="Amiri"/>
          <w:color w:val="111111"/>
          <w:sz w:val="28"/>
          <w:szCs w:val="28"/>
          <w:rtl w:val="true"/>
          <w:lang w:bidi="ar-SA"/>
        </w:rPr>
        <w:t>(</w:t>
      </w:r>
      <w:r>
        <w:rPr>
          <w:rStyle w:val="FootnoteAnchor"/>
          <w:rtl w:val="true"/>
        </w:rPr>
        <w:footnoteReference w:id="1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سَمِعْتُمُوهُ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راجع إلى المرجع في الآية السابقة ، فيقتضي الحكم بكون ما ليس للإنسان به علم ممّا ينسب إلى غيره بهتاناً</w:t>
      </w:r>
      <w:r>
        <w:rPr>
          <w:rFonts w:eastAsia="Amiri" w:cs="Amiri" w:ascii="Amiri" w:hAnsi="Amiri"/>
          <w:color w:val="111111"/>
          <w:sz w:val="28"/>
          <w:szCs w:val="28"/>
          <w:rtl w:val="true"/>
          <w:lang w:bidi="ar-SA"/>
        </w:rPr>
        <w:t>»</w:t>
      </w:r>
      <w:r>
        <w:rPr>
          <w:rStyle w:val="FootnoteAnchor"/>
          <w:rtl w:val="true"/>
        </w:rPr>
        <w:footnoteReference w:id="130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الآيات الشريفة غير مربوطة بحمل فعل المسلم على الصحّة بناءً على ما هو المعروف من أ نّها واردة في عائشة</w:t>
      </w:r>
      <w:r>
        <w:rPr>
          <w:rStyle w:val="FootnoteAnchor"/>
          <w:rtl w:val="true"/>
        </w:rPr>
        <w:footnoteReference w:id="1301"/>
      </w:r>
      <w:r>
        <w:rPr>
          <w:rFonts w:ascii="Amiri" w:hAnsi="Amiri" w:eastAsia="Amiri" w:cs="Amiri"/>
          <w:color w:val="111111"/>
          <w:sz w:val="28"/>
          <w:sz w:val="28"/>
          <w:szCs w:val="28"/>
          <w:rtl w:val="true"/>
          <w:lang w:bidi="ar-SA"/>
        </w:rPr>
        <w:t xml:space="preserve">، فإنّ مورد أصالة الصحّة ما إذا وقع فعل من فاعل ولم يعلم أ نّه وقع على وجه الصحيح أو الفاسد ، وفي المقام لم يقع فعل مردّد بينهما بل كان الانتساب إفكاً وكذباً وكان السامع شاكّاً في صدور الفعل منها لا في صحّة فعلها بعد صدوره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فالتعيير والتوبيخ إنّما هو على انتساب فاحشة إلى الغير بلا علم ، بل لعلّ مجرّد انتساب قبيح إلى الغير بلا علم داخل في الافتراء والإفك أو ملحق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فالآيات الكريمة واردة في توبيخ من أشاع الفاحشة في المسلم بلا حجّة وعلم ، فهي غير مربوطة بأصل الصحّة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كانت القضيّة مربوطة بمارية القبطية زوجة رسول اللّه‌ صلی الله علیه و آله وسلم  وكانت عائشة آفكة</w:t>
      </w:r>
      <w:r>
        <w:rPr>
          <w:rStyle w:val="FootnoteAnchor"/>
          <w:rtl w:val="true"/>
        </w:rPr>
        <w:footnoteReference w:id="1302"/>
      </w:r>
      <w:r>
        <w:rPr>
          <w:rFonts w:ascii="Amiri" w:hAnsi="Amiri" w:eastAsia="Amiri" w:cs="Amiri"/>
          <w:color w:val="111111"/>
          <w:sz w:val="28"/>
          <w:sz w:val="28"/>
          <w:szCs w:val="28"/>
          <w:rtl w:val="true"/>
          <w:lang w:bidi="ar-SA"/>
        </w:rPr>
        <w:t xml:space="preserve">لم تدلّ الآيات على وجوب حمل فعل المسلم على الصحّة أيضاً ، بل واردة فيما ذكرناه ، إذ لم يصدر فعل منها مردّداً بين الصحيح والفاسد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الإفك في مارية راجع إلى مبدأ ولدها ، وهو مردّد بينهما ، والتوبيخ لأجل عدم حمل فعلها على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عن ظاهر الآيات كما لا يخفى ؛ فإنّ الظاهر منها أنّ القول بلا علم وحجّة افتراء وإفك ، وأنّ التوبيخ ورد لذلك ، لا على القول مع الحجّة والعلم على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يحتمل أن يكون مبنى التوبيخ قيام الاستصحاب العقلائي أو الشرعي على عدم صدور القبيح ، بناءً على أنّ البناء على العدم كافٍ في إثبات كون النسبة إفكاً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تدلّ على عدم حجّية أصالة الصحّة في الأقوال ، وإلاّ فمقتضى جريانها فيها وأماريتها على الواقع ثبوت الواقع بها ، فيخرج الموضوع عن الافتراء ، ولا وقع للتوبيخ مع حجّيتها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قلنا بجريان أصالة الصحّة في الأقوال والأفعال مطلقاً ، فالقدر الثابت منها ومن بناء العقلاء هو البناء على الصحّة الواقعية وترتيب آثارها في خصوص </w:t>
      </w:r>
    </w:p>
    <w:p>
      <w:pPr>
        <w:pStyle w:val="BookText"/>
        <w:rPr/>
      </w:pPr>
      <w:r>
        <w:rPr>
          <w:rFonts w:ascii="Amiri" w:hAnsi="Amiri" w:eastAsia="Amiri" w:cs="Amiri"/>
          <w:color w:val="111111"/>
          <w:sz w:val="28"/>
          <w:sz w:val="28"/>
          <w:szCs w:val="28"/>
          <w:rtl w:val="true"/>
          <w:lang w:bidi="ar-SA"/>
        </w:rPr>
        <w:t xml:space="preserve">مورد المشكوك فيه ومورد جريان الأصل ، فإذا شكّ في صحّة الصلاة وفسادها تحمل على الصحّة واقعاً ويترتّب عليها آثارها ، وأمّا لو كانت صحّتها ملازمة لعنوان آخر فلا يثبت بها ، فلو صلّى وشكّ في صحّتها من أجل دخول الوقت وعدمه تحمل على الصحّة الواقعية لكن لا يثبت بها دخوله ولا كون المصلّي على طهر أو لباسه من محلّل اللحم لو شكّ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 لا يترتّب على صحّة قول المغتاب جواز الاستماع ؛ لأنّ جريان أصالة الصحّة في قوله بما أ نّه فعل صادر منه وحركة من حركاته ، فيحمل على أ نّه مباح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يثبت بها أنّ مقوله موافق للواقع وأنّ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الغيبة أو متجاهر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جواز الاستماع مترتّب على كون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الغيبة أو على كون قوله كاشفاً عن كون غيبة المغتاب من مستثنيات حرمتها ، وليس مترتّباً على صحّة فعل المغتاب وليس من آثار صحّة فعله بما أ نّه حركة من حركاته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المستثنى من حرمة استماع الغيبة ولو لفقد الدليل على حرمته هو موارد الاستثناء من حرمة الاغتياب واقعاً ، وبجريان أصالة الصحّة لا يثبت الاستثناء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جواز الاستماع مترتّب على جواز الاغتياب واقعاً، وأصالة الصحّة في قول المغتاب تثبت إباحة اغتيابه ؛ لأنّ مقتضى أصالة الصحّة فرضاً إباحة الاغتياب واقعاً، فيترتّب عليه جواز الاستماع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مدفوع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لا دليل على ترتّب جواز الاستماع على عنوان جواز الغيبة وإباحتها ، بل الثابت أنّ في موارد استثناء الغيبة يستثنى الاستماع بناءً على </w:t>
      </w:r>
      <w:bookmarkStart w:id="462" w:name="pg15158_207285"/>
    </w:p>
    <w:p>
      <w:pPr>
        <w:pStyle w:val="BookText"/>
        <w:rPr/>
      </w:pPr>
      <w:bookmarkEnd w:id="462"/>
      <w:r>
        <w:rPr>
          <w:rFonts w:ascii="Amiri" w:hAnsi="Amiri" w:eastAsia="Amiri" w:cs="Amiri"/>
          <w:color w:val="111111"/>
          <w:sz w:val="28"/>
          <w:sz w:val="28"/>
          <w:szCs w:val="28"/>
          <w:rtl w:val="true"/>
          <w:lang w:bidi="ar-SA"/>
        </w:rPr>
        <w:t>أنّ المستمع بمنزلة المغتاب ، ومفاد التنزيل أنّ كلّ مورد جازت الغيبة للمغتاب</w:t>
      </w:r>
    </w:p>
    <w:p>
      <w:pPr>
        <w:pStyle w:val="BookText"/>
        <w:rPr/>
      </w:pPr>
      <w:r>
        <w:rPr>
          <w:rFonts w:ascii="Amiri" w:hAnsi="Amiri" w:eastAsia="Amiri" w:cs="Amiri"/>
          <w:color w:val="111111"/>
          <w:sz w:val="28"/>
          <w:sz w:val="28"/>
          <w:szCs w:val="28"/>
          <w:rtl w:val="true"/>
          <w:lang w:bidi="ar-SA"/>
        </w:rPr>
        <w:t xml:space="preserve">جاز استماعها ، لا أنّ جواز الاستماع مترتّب على عنوان الإباحة ، ولا تصلح أصالة الصحّة لإثبات كون المورد من موارد الاستثناء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جاهر الفاسق بفسقه فلا حرمة له ولا غيبة</w:t>
      </w:r>
      <w:r>
        <w:rPr>
          <w:rFonts w:eastAsia="Amiri" w:cs="Amiri" w:ascii="Amiri" w:hAnsi="Amiri"/>
          <w:color w:val="111111"/>
          <w:sz w:val="28"/>
          <w:szCs w:val="28"/>
          <w:rtl w:val="true"/>
          <w:lang w:bidi="ar-SA"/>
        </w:rPr>
        <w:t>»</w:t>
      </w:r>
      <w:r>
        <w:rPr>
          <w:rStyle w:val="FootnoteAnchor"/>
          <w:rtl w:val="true"/>
        </w:rPr>
        <w:footnoteReference w:id="1303"/>
      </w:r>
      <w:r>
        <w:rPr>
          <w:rFonts w:ascii="Amiri" w:hAnsi="Amiri" w:eastAsia="Amiri" w:cs="Amiri"/>
          <w:color w:val="111111"/>
          <w:sz w:val="28"/>
          <w:sz w:val="28"/>
          <w:szCs w:val="28"/>
          <w:rtl w:val="true"/>
          <w:lang w:bidi="ar-SA"/>
        </w:rPr>
        <w:t>لا يدلّ على أنّ حرمة الاستماع مترتّبة على حرمة الغيبة ، بل ظاهرها أنّ المتجاهر لا غيبة له ولا يكون استماع ذمّه استماع الغيبة لو قلنا باستفادة ذلك منه أيضاً ، وأمّا استفادة</w:t>
      </w:r>
    </w:p>
    <w:p>
      <w:pPr>
        <w:pStyle w:val="BookText"/>
        <w:rPr/>
      </w:pPr>
      <w:r>
        <w:rPr>
          <w:rFonts w:ascii="Amiri" w:hAnsi="Amiri" w:eastAsia="Amiri" w:cs="Amiri"/>
          <w:color w:val="111111"/>
          <w:sz w:val="28"/>
          <w:sz w:val="28"/>
          <w:szCs w:val="28"/>
          <w:rtl w:val="true"/>
          <w:lang w:bidi="ar-SA"/>
        </w:rPr>
        <w:t xml:space="preserve">ترتّب حكم على حكم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قد اتّضح فيما مرّ</w:t>
      </w:r>
      <w:r>
        <w:rPr>
          <w:rStyle w:val="FootnoteAnchor"/>
          <w:rtl w:val="true"/>
        </w:rPr>
        <w:footnoteReference w:id="1304"/>
      </w:r>
      <w:r>
        <w:rPr>
          <w:rFonts w:ascii="Amiri" w:hAnsi="Amiri" w:eastAsia="Amiri" w:cs="Amiri"/>
          <w:color w:val="111111"/>
          <w:sz w:val="28"/>
          <w:sz w:val="28"/>
          <w:szCs w:val="28"/>
          <w:rtl w:val="true"/>
          <w:lang w:bidi="ar-SA"/>
        </w:rPr>
        <w:t xml:space="preserve">أنّ الحكم بجواز الاستماع في موارد جواز الاغتياب إنّما هو لأجل عدم الدليل على حرمته فتجري أصالة البراءة والإباحة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أنّ جريان أصالة الصحّة في فعل المغتاب لا يفيد في إحراز موضوع جريانهما ، وليس جريانهما من الآثار الشرعية للإباحة الواقعية، كما لا يخفى </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851736_2142443653"/>
      <w:bookmarkStart w:id="464" w:name="_Toc159"/>
      <w:bookmarkEnd w:id="463"/>
      <w:r>
        <w:rPr>
          <w:rtl w:val="true"/>
        </w:rPr>
        <w:t>حول جريان الاستصحاب الموضوعي</w:t>
      </w:r>
      <w:bookmarkEnd w:id="464"/>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فرض عدم جريان أصالة الصحّة أو معارضتها لأصالة الصحّة في فعل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بجريانها ، فالظاهر جريان الاستصحاب الموضوعي في بعض الأحيان كاستصحاب عدم كون المغتاب متجاهراً أو ظالماً ؛ لأنّ الاستثناءات من الغيبة اُمور مستقلّة غير مرتبط بعضها ببعض ، فمع معلومية عدم كون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سائر المستثنيات وشكّ في كونه </w:t>
      </w:r>
    </w:p>
    <w:p>
      <w:pPr>
        <w:pStyle w:val="BookText"/>
        <w:rPr/>
      </w:pPr>
      <w:r>
        <w:rPr>
          <w:rFonts w:ascii="Amiri" w:hAnsi="Amiri" w:eastAsia="Amiri" w:cs="Amiri"/>
          <w:color w:val="111111"/>
          <w:sz w:val="28"/>
          <w:sz w:val="28"/>
          <w:szCs w:val="28"/>
          <w:rtl w:val="true"/>
          <w:lang w:bidi="ar-SA"/>
        </w:rPr>
        <w:t>من مورد منها كما لو شكّ في كونه متجاهراً وعلم بعدم كونه داخلاً في سائرها</w:t>
      </w:r>
    </w:p>
    <w:p>
      <w:pPr>
        <w:pStyle w:val="BookText"/>
        <w:rPr/>
      </w:pPr>
      <w:r>
        <w:rPr>
          <w:rFonts w:ascii="Amiri" w:hAnsi="Amiri" w:eastAsia="Amiri" w:cs="Amiri"/>
          <w:color w:val="111111"/>
          <w:sz w:val="28"/>
          <w:sz w:val="28"/>
          <w:szCs w:val="28"/>
          <w:rtl w:val="true"/>
          <w:lang w:bidi="ar-SA"/>
        </w:rPr>
        <w:t xml:space="preserve">يجري استصحاب عدم كونه متجاهراً ، ويحرز موضوع عدم جواز اغتيابه وسماع غيبته بالأصل والوجدان ، فيحكم بحرمتهما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أثر مترتّباً على حرمته يترتّب عليها ، كوجوب الردّ إن قلنا إنّه مترتّب على الغيبة المحرّمة وقلنا بوجوبه ، فباستصحاب عدم كونه متجاهراً يحرز حرمة غيبته فيحكم بلزوم ردّها بالأدلّة الدالّة على لزوم ردّ الغيبة المحرّمة ؛ لترتّب الآثار الشرعية مع الواسطة</w:t>
      </w:r>
    </w:p>
    <w:p>
      <w:pPr>
        <w:pStyle w:val="BookText"/>
        <w:rPr/>
      </w:pPr>
      <w:r>
        <w:rPr>
          <w:rFonts w:ascii="Amiri" w:hAnsi="Amiri" w:eastAsia="Amiri" w:cs="Amiri"/>
          <w:color w:val="111111"/>
          <w:sz w:val="28"/>
          <w:sz w:val="28"/>
          <w:szCs w:val="28"/>
          <w:rtl w:val="true"/>
          <w:lang w:bidi="ar-SA"/>
        </w:rPr>
        <w:t>على الموضوع ، لا بالاستصحاب فقط ، بل به وبالأدلّة الاجتهادية المترتّبة بعضها على بعض كما قرّر في محلّه</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يجوز أو يجب نهيه عن الغيبة بأدلّة النهي عن المنكر باستصحاب عدم كون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متجاهراً مثلاً أو لا ؟</w:t>
      </w:r>
    </w:p>
    <w:p>
      <w:pPr>
        <w:pStyle w:val="BookText"/>
        <w:rPr/>
      </w:pPr>
      <w:r>
        <w:rPr>
          <w:rFonts w:ascii="Amiri" w:hAnsi="Amiri" w:eastAsia="Amiri" w:cs="Amiri"/>
          <w:color w:val="111111"/>
          <w:sz w:val="28"/>
          <w:sz w:val="28"/>
          <w:szCs w:val="28"/>
          <w:rtl w:val="true"/>
          <w:lang w:bidi="ar-SA"/>
        </w:rPr>
        <w:t xml:space="preserve">لا إشكال في أنّ مجرّد استصحاب عدم كونه متجاهراً لا يترتّب عليه وجوب النهي عن المنكر ؛ لأنّ موضوعه صدور فعل منكر صادر عن فاعل على وجه المنكر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لا يجب النهي في موارد اختلاف الاجتهادات أو الاختلاف في تشخيص الموضوعات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فباستصحاب عدم كونه متجاهراً أو استصحاب كونها محرّمة عليه لا يثبت كونه منكراً عنده حتّى يترتّب عليه حكمه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الاستصحاب التعليقي في القول الصادر منه بأ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bookmarkStart w:id="465" w:name="pg15158_207287"/>
    </w:p>
    <w:p>
      <w:pPr>
        <w:pStyle w:val="BookText"/>
        <w:rPr/>
      </w:pPr>
      <w:bookmarkEnd w:id="465"/>
      <w:r>
        <w:rPr>
          <w:rFonts w:ascii="Amiri" w:hAnsi="Amiri" w:eastAsia="Amiri" w:cs="Amiri"/>
          <w:color w:val="111111"/>
          <w:sz w:val="28"/>
          <w:sz w:val="28"/>
          <w:szCs w:val="28"/>
          <w:rtl w:val="true"/>
          <w:lang w:bidi="ar-SA"/>
        </w:rPr>
        <w:t xml:space="preserve">صادراً منه قبل تجاهره بالفسق بنظر القائل وعدم مسوّغ آخر كان منكراً عنده والآن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جريان الاستصحاب التعليقي في غير التعليقات الشرعية ممنوع</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إجراء الاستصحاب التنجيزي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غيبة فلان كان منكراً لدى القائل في زمان والآن كذلك فيحرز به موضوع وجوب النهي عن المنكر ، بناءً على أنّ وجوب النهي عنه متعلّق بالعنوان الكلّي وأعمّ من الرفع والدفع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وجوبه مقصوراً على رفع المنكر الموجود لا يصحّ استصحاب العنوان الكلّي لإثبات منكرية الوجود الخاصّ إلاّ بالأصل المثبت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كون الغيبة منكرة يفيد على فرض وجوب النهي عن طبيعة المنكر ، سواء صارت قطعة منها أو فرد منها موجودة أم كانت في معرض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جرى استصحاب كون الغيبة الكذائية منكرة ، وعلمنا بوجود طبيعة الغيبة أو بمعرضيتها للوجود ، يترتّب عليها وجوب النهي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الأقوى ، كما ذكرناه فيما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القواعد العامّة وإن لا يخلو الاستصحاب المذكور من كلام </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851738_2142443653"/>
      <w:bookmarkStart w:id="467" w:name="_Toc160"/>
      <w:bookmarkEnd w:id="466"/>
      <w:r>
        <w:rPr>
          <w:rtl w:val="true"/>
        </w:rPr>
        <w:t>الروايات الواردة في المقام</w:t>
      </w:r>
      <w:bookmarkEnd w:id="467"/>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وردت في المقام جملة من الروايات لعلّ استفاضتها وكثرتها تغنينا عن النظر إلى أسنادها وضعف غالبها ، وهي على طائفتين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اُخذ فيها عنوان نصر المؤمن وعونه ، وخذلانه وعدم نصره وعونه ، وهي الغالب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كرواية وصيّة النبي صلی الله علیه و آله وسلم  لعلي علیه السلام ،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 من اغتيب عنده أخوه المسلم فاستطاع نصره فلم ينصره خذله اللّه في الدنيا والآخرة</w:t>
      </w:r>
      <w:r>
        <w:rPr>
          <w:rFonts w:eastAsia="IRNazanin" w:cs="IRNazanin"/>
          <w:color w:val="111111"/>
          <w:sz w:val="28"/>
          <w:szCs w:val="28"/>
          <w:rtl w:val="true"/>
          <w:lang w:bidi="fa-IR"/>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أبي الورد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اغتيب عنده أخوه المؤمن فنصره وأعانه نصره اللّه وأعانه في الدنيا والآخرة ، ومن لم ينصره ولم يعنه ولم يدفع عنه وهو يقدر على نصرته وعونه خفضه اللّه في الدنيا والآخرة</w:t>
      </w:r>
      <w:r>
        <w:rPr>
          <w:rFonts w:eastAsia="IRNazanin" w:cs="IRNazanin"/>
          <w:color w:val="111111"/>
          <w:sz w:val="28"/>
          <w:szCs w:val="28"/>
          <w:rtl w:val="true"/>
          <w:lang w:bidi="fa-IR"/>
        </w:rPr>
        <w:t>»</w:t>
      </w: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روايات اُخر</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الطائفة قاصرة عن إثبات الوجوب والحرمة ، ولسانها يناسب الرجحان والكراهة كما في أشباهها ونظائرها ، فإنّ معنى الخذلان على ما في كتب اللغة</w:t>
      </w:r>
      <w:r>
        <w:rPr>
          <w:rStyle w:val="FootnoteAnchor"/>
          <w:rtl w:val="true"/>
        </w:rPr>
        <w:footnoteReference w:id="1310"/>
      </w:r>
      <w:r>
        <w:rPr>
          <w:rFonts w:ascii="Amiri" w:hAnsi="Amiri" w:eastAsia="Amiri" w:cs="Amiri"/>
          <w:color w:val="111111"/>
          <w:sz w:val="28"/>
          <w:sz w:val="28"/>
          <w:szCs w:val="28"/>
          <w:rtl w:val="true"/>
          <w:lang w:bidi="ar-SA"/>
        </w:rPr>
        <w:t xml:space="preserve">والمستفاد من موارد الاستعمال ومنها هذه الروايات هو ترك النصر والإعانة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ينصر المؤمن لم ينصره اللّه في الدنيا والآخرة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نصره نصره اللّه في الدنيا والآخرة ، لا يستفاد </w:t>
      </w:r>
    </w:p>
    <w:p>
      <w:pPr>
        <w:pStyle w:val="BookText"/>
        <w:rPr/>
      </w:pPr>
      <w:r>
        <w:rPr>
          <w:rFonts w:ascii="Amiri" w:hAnsi="Amiri" w:eastAsia="Amiri" w:cs="Amiri"/>
          <w:color w:val="111111"/>
          <w:sz w:val="28"/>
          <w:sz w:val="28"/>
          <w:szCs w:val="28"/>
          <w:rtl w:val="true"/>
          <w:lang w:bidi="ar-SA"/>
        </w:rPr>
        <w:t xml:space="preserve">وجوب النصر كذلك من مقابله لا يستفاد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أمثال تلك التعبيرات أو أشدّ منها في مرتكب المكروه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 روايات علِّق الحكم فيها على الخذلان والنصر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كرواية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بأحد طريقيها </w:t>
      </w:r>
      <w:r>
        <w:rPr>
          <w:rStyle w:val="FootnoteAnchor"/>
          <w:rtl w:val="true"/>
        </w:rPr>
        <w:footnoteReference w:id="1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من ائتمنه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 حرام على المؤمن أن يظلمه أو يخذله أو يغتابه أو يدفعه دفعة</w:t>
      </w:r>
      <w:r>
        <w:rPr>
          <w:rFonts w:eastAsia="IRNazanin" w:cs="IRNazanin"/>
          <w:color w:val="111111"/>
          <w:sz w:val="28"/>
          <w:szCs w:val="28"/>
          <w:rtl w:val="true"/>
          <w:lang w:bidi="fa-IR"/>
        </w:rPr>
        <w:t>»</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أحكام العشرة ، الباب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الفضيل بن يسار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أخو المسلم لا يظلمه ولا يخذله</w:t>
      </w:r>
      <w:r>
        <w:rPr>
          <w:rFonts w:eastAsia="IRNazanin" w:cs="IRNazanin"/>
          <w:color w:val="111111"/>
          <w:sz w:val="28"/>
          <w:szCs w:val="28"/>
          <w:rtl w:val="true"/>
          <w:lang w:bidi="fa-IR"/>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ربعي بن عبداللّه عنه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أخو المسلم لا يظلمه ولا يخذله ولا يغتابه ولا يغشّه ولا يحرمه</w:t>
      </w:r>
      <w:r>
        <w:rPr>
          <w:rFonts w:eastAsia="IRNazanin" w:cs="IRNazanin"/>
          <w:color w:val="111111"/>
          <w:sz w:val="28"/>
          <w:szCs w:val="28"/>
          <w:rtl w:val="true"/>
          <w:lang w:bidi="fa-IR"/>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أبي المغرا عنه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المسلم أخو المسلم لا يظلمه ولا يخذله ولا يخونه </w:t>
      </w:r>
      <w:r>
        <w:rPr>
          <w:rFonts w:eastAsia="IRNazanin" w:cs="IRNazanin"/>
          <w:color w:val="111111"/>
          <w:sz w:val="28"/>
          <w:szCs w:val="28"/>
          <w:rtl w:val="true"/>
          <w:lang w:bidi="fa-IR"/>
        </w:rPr>
        <w:t>. .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ودلالتها على الحرمة لا تنكر ، لكن الخذلان بمعنى ترك النصر والإعانة على ما في اللغة ، وهو بهذا المعنى العامّ لا يمكن الالتزام بحرمة تركه ، كما لا يمكن الالتزام بوجوب الإعانة والنصر الشاملين لأنحائهما نفساً ومالاً ويداً وفي جميع الموارد ، فإنّ عدم وجوبهما بهذا المعنى الوسيع من الواضحات ، وبناء المسلمين من الصدر الأوّل إلى الآن على إهمال النصر بهذا المعنى الوسيع ، فلو كان واجباً لصار ضرورياً مع كثرة الابتلاء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إمّا من التصرّف في النصر والخذلان بحملهما على مورد خاصّ كنصره في وقوع ظلم عليه وهو أيضاً محلّ إشكال أو منع ، أو حمل الروايات على الاستحباب والكراهة المهتمّ بهما ، والتعبير بما فيها لإفادة شدّة الاهتمام كما ورد</w:t>
      </w:r>
    </w:p>
    <w:p>
      <w:pPr>
        <w:pStyle w:val="BookText"/>
        <w:rPr/>
      </w:pPr>
      <w:r>
        <w:rPr>
          <w:rFonts w:ascii="Amiri" w:hAnsi="Amiri" w:eastAsia="Amiri" w:cs="Amiri"/>
          <w:color w:val="111111"/>
          <w:sz w:val="28"/>
          <w:sz w:val="28"/>
          <w:szCs w:val="28"/>
          <w:rtl w:val="true"/>
          <w:lang w:bidi="ar-SA"/>
        </w:rPr>
        <w:t xml:space="preserve">نظيره بل أشدّ منه في حقوق الاُخوّة المستحبّة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رواية المعلّى بن خنيس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المسلم على المسلم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سبع حقوق واجبات، ما منهنّ حقّ إلاّ وهو عليه واجب؛ إن ضيّع منها شيئاً خرج من ولاية اللّه وطاعته ولم يكن للّه فيه 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وما هي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معلّى ، إنّي عليك شفيق أخاف أن تضيع ولا تحفظ وتعلم ولا 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قوّة إلاّ باللّه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أيسر حقّ منها أن تحبّ له ما تحبّ لنفسك وتكره له ما تكره لنفسك </w:t>
      </w:r>
      <w:r>
        <w:rPr>
          <w:rFonts w:eastAsia="IRNazanin" w:cs="IRNazanin"/>
          <w:color w:val="111111"/>
          <w:sz w:val="28"/>
          <w:szCs w:val="28"/>
          <w:rtl w:val="true"/>
          <w:lang w:bidi="fa-IR"/>
        </w:rPr>
        <w:t>. . .»</w:t>
      </w:r>
      <w:r>
        <w:rPr>
          <w:rStyle w:val="FootnoteAnchor"/>
          <w:rtl w:val="true"/>
        </w:rPr>
        <w:footnoteReference w:id="1316"/>
      </w:r>
      <w:r>
        <w:rPr>
          <w:rFonts w:ascii="Amiri" w:hAnsi="Amiri" w:eastAsia="Amiri" w:cs="Amiri"/>
          <w:color w:val="111111"/>
          <w:sz w:val="28"/>
          <w:sz w:val="28"/>
          <w:szCs w:val="28"/>
          <w:rtl w:val="true"/>
          <w:lang w:bidi="ar-SA"/>
        </w:rPr>
        <w:t xml:space="preserve">ثمّ عدّ حقوقاً لم يكن شيء منها واجباً بالضرورة كإرسال خادمه إلى منزله ليخدمه وعيادة مريضه </w:t>
      </w:r>
    </w:p>
    <w:p>
      <w:pPr>
        <w:pStyle w:val="BookText"/>
        <w:rPr/>
      </w:pPr>
      <w:r>
        <w:rPr>
          <w:rFonts w:ascii="Amiri" w:hAnsi="Amiri" w:eastAsia="Amiri" w:cs="Amiri"/>
          <w:color w:val="111111"/>
          <w:sz w:val="28"/>
          <w:sz w:val="28"/>
          <w:szCs w:val="28"/>
          <w:rtl w:val="true"/>
          <w:lang w:bidi="ar-SA"/>
        </w:rPr>
        <w:t xml:space="preserve">وشهود جنازته وإعانته بنفسه وماله ولسانه ويده ورجله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أنّ من تدبّر في هذا السنخ من الروايات ليطمئنّ بأنّ غلظة التعبيرات لإفادة الاهتمام لا لإفادة الوجوب أو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اُخذ فيها عنوان الردّ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كالمرويّ عن رسول اللّه‌ صلی الله علیه و آله وسلم  أ نّه قال في خطبة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ردّ عن أخيه غيبة سمعها في مجلس ردّ اللّه عنه ألف باب من الشرّ في الدنيا والآخرة ، فإن لم يردّ عنه وأعجبه كان عليه كوزر من اغتاب</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المناهي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ومن تطوّل على أخيه في غيبة سمعها فيه في مجلس فردّها عنه ، ردّ اللّه عنه ألف باب من الشرّ في الدنيا والآخرة ، فإن هو لم يردّها وهو قادر على ردّها كان عليه كوزر من اغتابه سبعين مرّة</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وفيهما دلالة على الوجوب ، لكن اُوليهما ظاهرة في أنّ ترك الردّ والإعجاب بالغيبة محرّم ولم يظهر منها أنّ تركه بنفسه محرّم أو الردّ واجب ، ولو كان المراد أنّ من ترك الردّ كان عليه وزر من اغتاب صارت مخالفة للرواية الثانية بل هما مخالفتان على أيّ تقدير ؛ لأنّ الظاهر من الاُولى أنّ وزره كالمغتاب ومن الثانية أ نّه كوزره سبعين مرّة ، ولا يصحّ حملها على الرادّ الغير المعجب ؛ ضرورة عدم إمكان زيادة وزر غير المعجب عليه مع اشتراكهما في ترك الردّ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بالمثل في الاُولى مشابهة وزرهما سنخاً وهو لا ينافي زيادة أحدهما على الآخر مقداراً ، وهو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متعارضتان في حدّ الوزر لا في أصله ، وهو أيضاً مشكل ، ومعاملة الإطلاق والتقييد أشكل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إثبات وجوب الردّ بهما مشكل متناً فضلاً عن ضعفهما سنداً ، سيّما مع بعد كون وزر غير الرادّ للغيبة أكثر من المغتاب سبعين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وتؤيّد عدم وجوبه رواية أبي الدرداء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 رجل من عرض رجل عند النبي صلی الله علیه و آله وسلم  ، فردّ رجل من القوم عليه ، فقال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عن عرض أخيه كان له حجاباً من النار</w:t>
      </w:r>
      <w:r>
        <w:rPr>
          <w:rFonts w:eastAsia="IRNazanin" w:cs="IRNazanin"/>
          <w:color w:val="111111"/>
          <w:sz w:val="28"/>
          <w:szCs w:val="28"/>
          <w:rtl w:val="true"/>
          <w:lang w:bidi="fa-IR"/>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لو كان الردّ واجباً على من سمعها كان النبي صلی الله علیه و آله وسلم  وسائر الحضّار يردّون عليه ، 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واجب كفائي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لظاهر الروايات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عدم نهيهم عنه فلعلّه لعذر كعدم احتمال التأثير أو انتهائه بردّ الرجل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ويؤيّده أيضاً عدّه في خلال الحقوق التي جلّها أو كلّها غير واجب في رواية محمّد بن جعفر العلوي عن آبائه عن علي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للمسلم على أخيه ثلاثون حقّاً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عدّها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 xml:space="preserve">. </w:t>
      </w:r>
      <w:bookmarkStart w:id="468" w:name="pg15158_207293"/>
    </w:p>
    <w:p>
      <w:pPr>
        <w:pStyle w:val="BookText"/>
        <w:rPr/>
      </w:pPr>
      <w:bookmarkEnd w:id="468"/>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دليل معتدّ به على وجوب النصر ولا على حرمة الخذلان ولا على وجوب الردّ أو حرمة تركه إن كان له عنوان آخر غير النهي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المراد النهي عن المنكر فلا شبهة في وجوبه مع شرائطه ، لكن حمله عليه خلاف الظاهر ظاهراً ، كما أنّ الانتصار والنصر عنوان آخر غير النهي عن المنكر وغير الردّ </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851740_2142443653"/>
      <w:bookmarkStart w:id="470" w:name="_Toc161"/>
      <w:bookmarkEnd w:id="469"/>
      <w:r>
        <w:rPr>
          <w:rtl w:val="true"/>
        </w:rPr>
        <w:t>في مقتضى إطلاق الأدلّة</w:t>
      </w:r>
      <w:bookmarkEnd w:id="470"/>
    </w:p>
    <w:p>
      <w:pPr>
        <w:pStyle w:val="BookText"/>
        <w:rPr/>
      </w:pPr>
      <w:r>
        <w:rPr>
          <w:rFonts w:ascii="Amiri" w:hAnsi="Amiri" w:eastAsia="Amiri" w:cs="Amiri"/>
          <w:color w:val="111111"/>
          <w:sz w:val="28"/>
          <w:sz w:val="28"/>
          <w:szCs w:val="28"/>
          <w:rtl w:val="true"/>
          <w:lang w:bidi="ar-SA"/>
        </w:rPr>
        <w:t xml:space="preserve">ثمّ إنّ مقتضى إطلاق الأدلّة ، سواء قلنا بوجوب النصر والردّ أو قلنا باستحبابهما ، عدم الفرق بين العلم بوجود العيب في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كلام المغتاب والعلم بعدمه والشكّ فيه ، كان له حالة سابقة معلومة أم لا ، وكذا عدم الفرق بين العلم بجواز غيبته للمغتاب والعلم بعدمه والشكّ فيه ، كان له حالة سابقة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الظاهر انصرافها عمّا إذا علم جواز اغتيابه للمغتاب وبقي سائر الصور تحت إطلاقها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أنّ خروج جائز الغيبة يوجب أن تصير الشبهة في مورد الشكّ مصداقية</w:t>
      </w:r>
      <w:r>
        <w:rPr>
          <w:rStyle w:val="FootnoteAnchor"/>
          <w:rtl w:val="true"/>
        </w:rPr>
        <w:footnoteReference w:id="1321"/>
      </w:r>
      <w:r>
        <w:rPr>
          <w:rFonts w:ascii="Amiri" w:hAnsi="Amiri" w:eastAsia="Amiri" w:cs="Amiri"/>
          <w:color w:val="111111"/>
          <w:sz w:val="28"/>
          <w:sz w:val="28"/>
          <w:szCs w:val="28"/>
          <w:rtl w:val="true"/>
          <w:lang w:bidi="ar-SA"/>
        </w:rPr>
        <w:t xml:space="preserve">، يدفعه أنّ المدّعى إطلاق الأدلّة لموارد الشكّ ، والانصراف منحصر بصورة العلم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 الاستصحاب في مورد جريانه مقام العلم </w:t>
      </w:r>
    </w:p>
    <w:p>
      <w:pPr>
        <w:pStyle w:val="BookText"/>
        <w:rPr/>
      </w:pPr>
      <w:r>
        <w:rPr>
          <w:rFonts w:ascii="Amiri" w:hAnsi="Amiri" w:eastAsia="Amiri" w:cs="Amiri"/>
          <w:color w:val="111111"/>
          <w:sz w:val="28"/>
          <w:sz w:val="28"/>
          <w:szCs w:val="28"/>
          <w:rtl w:val="true"/>
          <w:lang w:bidi="ar-SA"/>
        </w:rPr>
        <w:t xml:space="preserve">الموضوعي وإن لا يخلو من وجه لكنّه مشكل في المقام بل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ما ذكرناه إنّما هو في غير الحاكم والقاضي المعدّين للانتصاف ، فيجوز لهم سماعها ولو في موارد الشكّ ولا يجب عليهم الردّ لأنّ نصبهما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إطلاق الأخبار حاكم على أصالة الصحّة في قول المغتاب بناءً على جريانها وعلى الاستصحاب لو كان جريانه مقتضياً لجواز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يفرّق بين المتجاهر بالفسق وغيره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لسان أدلّة تجويز غيبته نفي الموضوع وهو حاكم على أدلّة وجوب النصر وحرمة ترك ردّ الغيبة ، فإذا شكّ في بقاء المتجاهر على صفته يستصحب الموضوع وينقّح به موضوع أدلّة لا غيبة له ، فيخرج عن موضوع أدلّة وجوب النصر والردّ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إطلاق الأخبار يقتضي وجوب النصر والردّ بأيّ نحو ممكن أو أيّ نحو شاء ولو بتكذيبه ومعارضته بالمثل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بعض الموارد تعارض تلك الأدلّة مع أدلّة اُخرى بالعموم من وجه ، فلا بدّ من العلاج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استفادة الحكم الإلزامي من الأدلّة </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استفادة الحكم الاستحبابي كما رجّحناه في أدلّة النصر</w:t>
      </w:r>
      <w:r>
        <w:rPr>
          <w:rStyle w:val="FootnoteAnchor"/>
          <w:rtl w:val="true"/>
        </w:rPr>
        <w:footnoteReference w:id="1322"/>
      </w:r>
      <w:r>
        <w:rPr>
          <w:rFonts w:ascii="Amiri" w:hAnsi="Amiri" w:eastAsia="Amiri" w:cs="Amiri"/>
          <w:color w:val="111111"/>
          <w:sz w:val="28"/>
          <w:sz w:val="28"/>
          <w:szCs w:val="28"/>
          <w:rtl w:val="true"/>
          <w:lang w:bidi="ar-SA"/>
        </w:rPr>
        <w:t xml:space="preserve">فلا يستفاد منه الإطلاق لصورة استلزام شيء موهن للمغتاب ، كتكذيبه وتحقيره ومعارضته بالمثل ؛ لأنّ تلك الأدلّة الواردة في شأن المؤمن واستحباب نصره وعونه لمّا وردت لمراعاة حال العموم لا إطلاق لها يشمل حال استلزام عون مؤمن لترك عون مؤمن آخر فضلاً عمّا استلزم تحقيره وتوهينه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تحمل </w:t>
      </w:r>
    </w:p>
    <w:p>
      <w:pPr>
        <w:pStyle w:val="BookText"/>
        <w:rPr/>
      </w:pPr>
      <w:r>
        <w:rPr>
          <w:rFonts w:ascii="Amiri" w:hAnsi="Amiri" w:eastAsia="Amiri" w:cs="Amiri"/>
          <w:color w:val="111111"/>
          <w:sz w:val="28"/>
          <w:sz w:val="28"/>
          <w:szCs w:val="28"/>
          <w:rtl w:val="true"/>
          <w:lang w:bidi="ar-SA"/>
        </w:rPr>
        <w:t>الروايات على نصر المؤمن بما لا ينافي المداراة مع المؤمن المغتاب بالنصيحة</w:t>
      </w:r>
    </w:p>
    <w:p>
      <w:pPr>
        <w:pStyle w:val="BookText"/>
        <w:rPr/>
      </w:pPr>
      <w:r>
        <w:rPr>
          <w:rFonts w:ascii="Amiri" w:hAnsi="Amiri" w:eastAsia="Amiri" w:cs="Amiri"/>
          <w:color w:val="111111"/>
          <w:sz w:val="28"/>
          <w:sz w:val="28"/>
          <w:szCs w:val="28"/>
          <w:rtl w:val="true"/>
          <w:lang w:bidi="ar-SA"/>
        </w:rPr>
        <w:t xml:space="preserve">والموعظة الحسنة واللسان الليّن لا التكذيب والتوهين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يتشبّث بالاستصحاب وحمل فعل المؤمن على السائغ لجواز تكذيب المغتاب أو وجوبه بأنّ كلامه إفك وبهتان ، بل حمل أخبار النصر والردّ عليه بالخصوص ، بل يتشبّث بالآيات الواردة في الإفك لذلك ، حيث إنّ مفادها توبيخ المستمعين الجاهلين بترك تكذيب القائل وانتسابه إلى الإفك والبهتان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عدم صدور الفعل عنه مع أ نّه ينفي موضوع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موضوعها الفعل الصادر عنه المردّد بين الصحيح والفاسد فلا ينبغي التمسّك بهما في مورد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كون كلامه مخالفاً للواقع وأنّ المتكلّم به كاذب إلاّ بالأصل المثبت ، فإنّ بين عدم وقوع الفعل من الفاعل وكون كلام المخبر كذباً والمخبر كاذباً ملازمة 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مانع من مقابلة المغتاب بنفي وقوع الفعل عنه بجريان الاستصحاب ، وهو غير تكذيبه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أصالة الصحّة على فرض جريانها ؛ لأ نّها ليست حجّة في اللوازم والملازمات ، بل غاية مفادها لزوم ترتيب آثار الواقع على المجري ، وفي المقام يجوز ترتيب آثار الصحّة الواقعية على فعل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عدم موافقة كلام المغتاب للواقع وكونه كاذباً من آثارها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الآيات الكريمة فأجنبيّة عن أصالة الصحّة ومخصوصة بموردها؛ أي القذف ، ولهذا يحدّ الشهود إذا كانوا أقلّ من الأربعة؛ للقذف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النصّ والفتوى لكان الشكّ في جواز الحكم بالكذب والبهت في </w:t>
      </w:r>
    </w:p>
    <w:p>
      <w:pPr>
        <w:pStyle w:val="BookText"/>
        <w:rPr/>
      </w:pPr>
      <w:r>
        <w:rPr>
          <w:rFonts w:ascii="IRNazanin" w:hAnsi="IRNazanin" w:eastAsia="IRNazanin"/>
          <w:color w:val="111111"/>
          <w:sz w:val="28"/>
          <w:sz w:val="28"/>
          <w:szCs w:val="28"/>
          <w:rtl w:val="true"/>
          <w:lang w:bidi="fa-IR"/>
        </w:rPr>
        <w:t xml:space="preserve">غير مورد نزولها وهو نساء النبي صلی الله علیه و آله وسلم  لخصوصية في عرضه صلی الله علیه و آله وسلم  ، ولا يمكن إلغاء الخصوصية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يقال بإشعار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 الْمُؤمِنُونَ وَالْمُؤمِنَاتُ بِأَنْفُسِهِمْ خَيْراً</w:t>
      </w:r>
      <w:r>
        <w:rPr>
          <w:rFonts w:eastAsia="Amiri" w:cs="Amiri" w:ascii="Amiri" w:hAnsi="Amiri"/>
          <w:color w:val="111111"/>
          <w:sz w:val="28"/>
          <w:szCs w:val="28"/>
          <w:rtl w:val="true"/>
          <w:lang w:bidi="ar-SA"/>
        </w:rPr>
        <w:t>(</w:t>
      </w:r>
      <w:r>
        <w:rPr>
          <w:rStyle w:val="FootnoteAnchor"/>
          <w:rtl w:val="true"/>
        </w:rPr>
        <w:footnoteReference w:id="1323"/>
      </w:r>
      <w:r>
        <w:rPr>
          <w:rFonts w:ascii="Amiri" w:hAnsi="Amiri" w:eastAsia="Amiri" w:cs="Amiri"/>
          <w:color w:val="111111"/>
          <w:sz w:val="28"/>
          <w:sz w:val="28"/>
          <w:szCs w:val="28"/>
          <w:rtl w:val="true"/>
          <w:lang w:bidi="ar-SA"/>
        </w:rPr>
        <w:t xml:space="preserve">بعدم الاختصاص، أو دلالته عليه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فإنّ الآيات غير مرتبطة بأصالة الصحّة ؛ لما ذكرناه من أنّ موضوعها الموجود بعد الفراغ عن وجوده لا المشكوك فيه سيّما المحكوم بالعدم بحكم الاستصحاب </w:t>
      </w:r>
      <w:r>
        <w:rPr>
          <w:rFonts w:eastAsia="Amiri" w:cs="Amiri" w:ascii="Amiri" w:hAnsi="Amiri"/>
          <w:color w:val="111111"/>
          <w:sz w:val="28"/>
          <w:szCs w:val="28"/>
          <w:rtl w:val="true"/>
          <w:lang w:bidi="ar-SA"/>
        </w:rPr>
        <w:t xml:space="preserve">. </w:t>
      </w:r>
      <w:bookmarkStart w:id="471" w:name="pg15158_207297"/>
    </w:p>
    <w:p>
      <w:pPr>
        <w:pStyle w:val="Heading4"/>
        <w:numPr>
          <w:ilvl w:val="3"/>
          <w:numId w:val="1"/>
        </w:numPr>
        <w:rPr/>
      </w:pPr>
      <w:bookmarkStart w:id="472" w:name="__RefHeading___Toc1851742_2142443653"/>
      <w:bookmarkStart w:id="473" w:name="_Toc162"/>
      <w:bookmarkEnd w:id="471"/>
      <w:bookmarkEnd w:id="472"/>
      <w:r>
        <w:rPr>
          <w:rtl w:val="true"/>
        </w:rPr>
        <w:t>الأمر الرابع في كفّارة الغيبة</w:t>
      </w:r>
      <w:bookmarkEnd w:id="473"/>
    </w:p>
    <w:p>
      <w:pPr>
        <w:pStyle w:val="BookText"/>
        <w:rPr/>
      </w:pPr>
      <w:r>
        <w:rPr>
          <w:rFonts w:ascii="IRNazanin" w:hAnsi="IRNazanin" w:eastAsia="IRNazanin"/>
          <w:color w:val="111111"/>
          <w:sz w:val="28"/>
          <w:sz w:val="28"/>
          <w:szCs w:val="28"/>
          <w:rtl w:val="true"/>
          <w:lang w:bidi="fa-IR"/>
        </w:rPr>
        <w:t>مقتضى القواعد والاُصول</w:t>
      </w:r>
    </w:p>
    <w:p>
      <w:pPr>
        <w:pStyle w:val="BookText"/>
        <w:rPr/>
      </w:pPr>
      <w:r>
        <w:rPr>
          <w:rFonts w:ascii="Amiri" w:hAnsi="Amiri" w:eastAsia="Amiri" w:cs="Amiri"/>
          <w:color w:val="111111"/>
          <w:sz w:val="28"/>
          <w:sz w:val="28"/>
          <w:szCs w:val="28"/>
          <w:rtl w:val="true"/>
          <w:lang w:bidi="ar-SA"/>
        </w:rPr>
        <w:t xml:space="preserve">والأولى بيان مقتضى القواعد والاُصول والاحتمالات المتصوّرة مع قطع النظر عن النصوص الخاصّة ومفادها تفصيلاً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بحسب التصوّر أن يكون الاستحلال والاستغفار الواردان في بعض الروايات</w:t>
      </w:r>
      <w:r>
        <w:rPr>
          <w:rStyle w:val="FootnoteAnchor"/>
          <w:rtl w:val="true"/>
        </w:rPr>
        <w:footnoteReference w:id="1324"/>
      </w:r>
      <w:r>
        <w:rPr>
          <w:rFonts w:ascii="Amiri" w:hAnsi="Amiri" w:eastAsia="Amiri" w:cs="Amiri"/>
          <w:color w:val="111111"/>
          <w:sz w:val="28"/>
          <w:sz w:val="28"/>
          <w:szCs w:val="28"/>
          <w:rtl w:val="true"/>
          <w:lang w:bidi="ar-SA"/>
        </w:rPr>
        <w:t>واجبين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حتّى الأوّل منهما ، فكان المقصود</w:t>
      </w:r>
    </w:p>
    <w:p>
      <w:pPr>
        <w:pStyle w:val="BookText"/>
        <w:rPr/>
      </w:pPr>
      <w:r>
        <w:rPr>
          <w:rFonts w:ascii="Amiri" w:hAnsi="Amiri" w:eastAsia="Amiri" w:cs="Amiri"/>
          <w:color w:val="111111"/>
          <w:sz w:val="28"/>
          <w:sz w:val="28"/>
          <w:szCs w:val="28"/>
          <w:rtl w:val="true"/>
          <w:lang w:bidi="ar-SA"/>
        </w:rPr>
        <w:t xml:space="preserve">بالاستحلال هو إظهار ذلّة المغتاب لدى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 نّه بغيبته أهانه وحقّره أراد الشارع أن يحقّر ويذلّل نفسه بالاعتذار لديه والاستحلال عنه إرغاماً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يكونا واجبين شرطيين لصحّة التوبة فتكون صحّتها موقوفة عليهما ، أو على أحدهما تخييراً أو تعييناً ، فتكون نفس الاستحلال شرطاً لا تحليل المغتاب ، بالفتح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يكونا واجبين لتكفير الغيبة بهما أو بأحدهما مستقلاًّ من غير احتياج إلى الاستغفار والتوبة </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في الاستحلال أن يكون واجباً للتوسّل به إلى تحليل المغتاب </w:t>
      </w:r>
    </w:p>
    <w:p>
      <w:pPr>
        <w:pStyle w:val="BookText"/>
        <w:rPr/>
      </w:pPr>
      <w:r>
        <w:rPr>
          <w:rFonts w:ascii="Amiri" w:hAnsi="Amiri" w:eastAsia="Amiri" w:cs="Amiri"/>
          <w:color w:val="111111"/>
          <w:sz w:val="28"/>
          <w:sz w:val="28"/>
          <w:szCs w:val="28"/>
          <w:rtl w:val="true"/>
          <w:lang w:bidi="ar-SA"/>
        </w:rPr>
        <w:t xml:space="preserve">فيكون تحليله مكفّراً للسيّئة أو شرطاً لصحّة التوبة أو مطلوباً نفسياً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يحتمل في التحليل أن يكون من قبيل غفران الذنب لا إسقاط الحقّ ، ويحتمل أن يكون من قبيل إسقاطه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فالتصوّرات المذكورة في الاستحلال لا يتقوّم على كون اغتياب المؤمن موجباً لثبوت حقّ على المغتاب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الاستحلال والاستغفار على التقديرات المذكورة احتمالات اُخر؛ ككون الاستحلال فقط واجباً ، أو الاستغفار فقط ، أو كليهما ، أو واحد منهما ، أو التفصيل بين إمكان الاستحلال وعدمه ، أو وصول الغيبة إلى المغتاب وعدمه ، أو ترتّب فساد عليه وعدمه ،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جريان البراءة مع الشكّ في وجوبهما مستقلاًّ أو في كونهما شرطاً لصحّة التوبة ، بناءً على أنّ التوبة واجبة نفساً لا لتكفير السيّئة ،</w:t>
      </w:r>
    </w:p>
    <w:p>
      <w:pPr>
        <w:pStyle w:val="BookText"/>
        <w:rPr/>
      </w:pPr>
      <w:r>
        <w:rPr>
          <w:rFonts w:ascii="Amiri" w:hAnsi="Amiri" w:eastAsia="Amiri" w:cs="Amiri"/>
          <w:color w:val="111111"/>
          <w:sz w:val="28"/>
          <w:sz w:val="28"/>
          <w:szCs w:val="28"/>
          <w:rtl w:val="true"/>
          <w:lang w:bidi="ar-SA"/>
        </w:rPr>
        <w:t xml:space="preserve">وبناءً على جريان البراءة في الشكّ في الأقلّ والأكثر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في أنّ الأصل الاشتغال ، بناءً على أنّ التوبة لتكفير السيّئة ومحوها ، أو لإسقاط حقّ اللّه تعالى العقوبة بناءً على ثبوت حقّ من اللّه تعالى على العباد في</w:t>
      </w:r>
    </w:p>
    <w:p>
      <w:pPr>
        <w:pStyle w:val="BookText"/>
        <w:rPr/>
      </w:pPr>
      <w:r>
        <w:rPr>
          <w:rFonts w:ascii="Amiri" w:hAnsi="Amiri" w:eastAsia="Amiri" w:cs="Amiri"/>
          <w:color w:val="111111"/>
          <w:sz w:val="28"/>
          <w:sz w:val="28"/>
          <w:szCs w:val="28"/>
          <w:rtl w:val="true"/>
          <w:lang w:bidi="ar-SA"/>
        </w:rPr>
        <w:t xml:space="preserve">المعاصي ؛ لأنّ استحقاق العقوبة بارتكاب الغيبة صار ثابتاً على العبد ، أو أنّ حقّ اللّه ثابت بارتكابها على ذمّة العبد ولا بدّ في إسقاطه من اليقين به ، وكذا لا بدّ عقلاً من اليقين بالمؤمِّن من العقوبة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مقتضى إطلاق أدلّة التوبة والاستغفار آية ورواية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البالغة حدّ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تمام الموضوع لتكفير السيّئات هو التوبة عنها أو مع الاستغفار من غير دخالة شيء آخر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الظاهر اعتبار عدم حقّ الناس على التائب كما يدلّ عليه بعض الأخبار</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الشكّ في كون الغيبة من حقّ الناس يجري استصحاب عدم تعلّق حقّ عليه ، فيحرز به موضوع صحّة التوبة من غير أن يكون مثبتاً ؛ لأنّ إطلاق الأدلّة يقتضي أن يكون توبة العبد مكفّرة لسيّئته ، والأدلّة الدالّة على اعتبار عدم حقّ الناس عليه لا توجب تقييداً في عنوان التوبة ، بل يكون عدم ثبوت الحقّ عليه بمقتضاها موضوعاً لصحّة التوبة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أولى بالجريان من جريان استصحاب كون الشخص على وضوء لصحّة الصلاة كما هو مورد أدلّة الاستصحاب مع ورود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الاستصحاب عدم ثبوت حقّ على المغتاب ، فتصحّ توبته بمقتضى إطلاق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جواز التمسّك بدليل الرفع</w:t>
      </w:r>
      <w:r>
        <w:rPr>
          <w:rStyle w:val="FootnoteAnchor"/>
          <w:rtl w:val="true"/>
        </w:rPr>
        <w:footnoteReference w:id="1327"/>
      </w:r>
      <w:r>
        <w:rPr>
          <w:rFonts w:ascii="Amiri" w:hAnsi="Amiri" w:eastAsia="Amiri" w:cs="Amiri"/>
          <w:color w:val="111111"/>
          <w:sz w:val="28"/>
          <w:sz w:val="28"/>
          <w:szCs w:val="28"/>
          <w:rtl w:val="true"/>
          <w:lang w:bidi="ar-SA"/>
        </w:rPr>
        <w:t xml:space="preserve">مع الغضّ عن الاستصحاب فينقّح به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يطلب من محلّه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حال القواعد </w:t>
      </w:r>
      <w:r>
        <w:rPr>
          <w:rFonts w:eastAsia="IRNazanin" w:cs="IRNazanin"/>
          <w:color w:val="111111"/>
          <w:sz w:val="28"/>
          <w:szCs w:val="28"/>
          <w:rtl w:val="true"/>
          <w:lang w:bidi="fa-IR"/>
        </w:rPr>
        <w:t xml:space="preserve">. </w:t>
      </w:r>
      <w:bookmarkStart w:id="474" w:name="pg15158_207300"/>
    </w:p>
    <w:p>
      <w:pPr>
        <w:pStyle w:val="Heading4"/>
        <w:numPr>
          <w:ilvl w:val="3"/>
          <w:numId w:val="1"/>
        </w:numPr>
        <w:rPr/>
      </w:pPr>
      <w:bookmarkStart w:id="475" w:name="__RefHeading___Toc1851744_2142443653"/>
      <w:bookmarkStart w:id="476" w:name="_Toc163"/>
      <w:bookmarkEnd w:id="474"/>
      <w:bookmarkEnd w:id="475"/>
      <w:r>
        <w:rPr>
          <w:rtl w:val="true"/>
        </w:rPr>
        <w:t>مقتضى الأخبار</w:t>
      </w:r>
      <w:bookmarkEnd w:id="476"/>
    </w:p>
    <w:p>
      <w:pPr>
        <w:pStyle w:val="BookText"/>
        <w:rPr/>
      </w:pPr>
      <w:r>
        <w:rPr>
          <w:rFonts w:ascii="Amiri" w:hAnsi="Amiri" w:eastAsia="Amiri" w:cs="Amiri"/>
          <w:color w:val="111111"/>
          <w:sz w:val="28"/>
          <w:sz w:val="28"/>
          <w:szCs w:val="28"/>
          <w:rtl w:val="true"/>
          <w:lang w:bidi="ar-SA"/>
        </w:rPr>
        <w:t xml:space="preserve">وأمّا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هي مربوطة بالاستحلال ، وهي على طوائف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تدلّ على أنّ عدم الاغتياب وستر عورة المؤمن حقّ للمؤمن على المؤمن ، وهي روايات أوضحها دلالةً رواية الكراجكي عن رسول اللّه‌ صلی الله علیه و آله وسلم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للمسلم على أخيه ثلاثون حقّاً لا براء له منها إلاّ بالأداء أو العفو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ويستر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ويحبّ له من الخير ما يحبّ لنفسه ويكره له من الشرّ ما يكره لنفسه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 آله وسلم</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ليدع من حقوق أخيه شيئاً فيطالبه به يوم القيامة فيقضى له وعليه</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منها صدراً وذيلاً أنّ تضييع حقّ ستر العورة وعدم الغيبة موجب لنحو عهدة للمغتاب لا براء له إلاّ بالعفو وأنّ من يدع من حقوق أخيه شيئاً يكون مطالباً به فيحكم له عليه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صريحة في ثبوت حقّ له عليه بتضييع حقّه يحتاج إلى العفو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أنّ اللّه لا يغفر ذنب المغتاب حتّى يغفر صاحب الغيبة له</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تغفر إلاّ أن يحلّله صاحبه</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لأخيه عنده مظلمة في عرض أو مال فليستحلّها</w:t>
      </w:r>
      <w:r>
        <w:rPr>
          <w:rFonts w:eastAsia="Amiri" w:cs="Amiri" w:ascii="Amiri" w:hAnsi="Amiri"/>
          <w:color w:val="111111"/>
          <w:sz w:val="28"/>
          <w:szCs w:val="28"/>
          <w:rtl w:val="true"/>
          <w:lang w:bidi="ar-SA"/>
        </w:rPr>
        <w:t>»</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يعذّب اللّه مؤمناً بعد التوبة والاستغفار إلاّ بسوء ظنّه واغتيابه للمؤمنين</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تلك الروايات بعد قرينية بعضها لبعض أنّ بالغيبة يثبت حقّ للمؤمن على أخيه ، وتحليله شرط صحّة توبته أو قبولها وأنّ الاستحلال لأجل براءته من حقّه والبراء لأجل صحّة توبته وغفران اللّه جلّ ذكره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تشهد به ما عن أمير المؤمنين علیه 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قائلاً قال بحضرته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ثكلتك اُمّك ، أتدري ما الاستغفار ؟ والاستغفار درجة العلّي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 وهو اسم واقع على ستّة 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الندم على ما مضى ، والثاني العزم على ترك العود إليه أبداً ، والثالث أن تؤدّي إلى المخلوقين حقوقهم حتّى تلقي اللّه أملس ، ليس عليك تبعة </w:t>
      </w:r>
      <w:r>
        <w:rPr>
          <w:rFonts w:eastAsia="IRNazanin" w:cs="IRNazanin"/>
          <w:color w:val="111111"/>
          <w:sz w:val="28"/>
          <w:szCs w:val="28"/>
          <w:rtl w:val="true"/>
          <w:lang w:bidi="fa-IR"/>
        </w:rPr>
        <w:t>. .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الأوّلين عبارة عن حقيقة التوبة والأوسطين شرط صحّتها أو قبولها والأخيرين شرط كمالها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هذه الطائفة تدلّ من بين الاحتمالات المتقدّمة في صدر البحث </w:t>
      </w:r>
    </w:p>
    <w:p>
      <w:pPr>
        <w:pStyle w:val="BookText"/>
        <w:rPr/>
      </w:pPr>
      <w:r>
        <w:rPr>
          <w:rFonts w:ascii="Amiri" w:hAnsi="Amiri" w:eastAsia="Amiri" w:cs="Amiri"/>
          <w:color w:val="111111"/>
          <w:sz w:val="28"/>
          <w:sz w:val="28"/>
          <w:szCs w:val="28"/>
          <w:rtl w:val="true"/>
          <w:lang w:bidi="ar-SA"/>
        </w:rPr>
        <w:t xml:space="preserve">على أنّ الاستحلال للتوسّل به إلى التحليل والبراءة من حقّ الغير وهي شرط صحّة التوبة أو قبولها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مربوطة بالاستغفار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كرواية حفص بن عمر 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النبي صلی الله علیه و آله وسلم  ما كفّارة الاغتياب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تستغفر اللّه لمن اغتبته كلّما ذكرته</w:t>
      </w:r>
      <w:r>
        <w:rPr>
          <w:rFonts w:eastAsia="IRNazanin" w:cs="IRNazanin"/>
          <w:color w:val="111111"/>
          <w:sz w:val="28"/>
          <w:szCs w:val="28"/>
          <w:rtl w:val="true"/>
          <w:lang w:bidi="fa-IR"/>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ذكرته</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ظلم أحداً فعابه فليستغفر اللّه له كما ذكره؛ فإنّه كفّارة له</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بسنده عن رسول اللّه‌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كفّارة الاغتياب أن تستغفر لمن اغتبته</w:t>
      </w:r>
      <w:r>
        <w:rPr>
          <w:rFonts w:eastAsia="IRNazanin" w:cs="IRNazanin"/>
          <w:color w:val="111111"/>
          <w:sz w:val="28"/>
          <w:szCs w:val="28"/>
          <w:rtl w:val="true"/>
          <w:lang w:bidi="fa-IR"/>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كفّارة من استغبته أن تستغفر له</w:t>
      </w:r>
      <w:r>
        <w:rPr>
          <w:rFonts w:eastAsia="IRNazanin" w:cs="IRNazanin"/>
          <w:color w:val="111111"/>
          <w:sz w:val="28"/>
          <w:szCs w:val="28"/>
          <w:rtl w:val="true"/>
          <w:lang w:bidi="fa-IR"/>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حفص غير صحيحة وكانت مصحّفة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لتشابههما 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صحّتها يمكن أن يراد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كلّما اغتبته ، أي تستغفر اللّه له في كلّ مرّة اغتبته فتوافق سائر الروايات ، أو يراد به أنّ في كلّ ذكر من المغتاب والتوجّه إلى اغتيابه يستغفر اللّه له مرّة ، ولا يجب عليه تكراره إلاّ أن يغفل عنه ويتذكّر لاغتيابه مرّة اُخرى فيجب مرّة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تلك الروايات تكفير الذنب بالاستغفار له من غير احتياج إلى التوبة والاستغفار لنفسه ، لكن الظاهر المتفاهم منها أنّ الاستغفار له كفّارة وبراء ممّا عليه من حقّ أخيه وظلمه إيّاه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الروايات لا تصلح لمعارضة أدلّة وجوب التوبة أو تقييدها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الروايات معارضة للروايات المتقدّمة ، فإنّ مقتضى ما تقدّمت توقّف صحّة التوبة على غفران المغتاب وتحليله ، ويؤكّدها ظهوراً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والغيبة أشدّ من الزنا</w:t>
      </w:r>
      <w:r>
        <w:rPr>
          <w:rFonts w:eastAsia="Amiri" w:cs="Amiri" w:ascii="Amiri" w:hAnsi="Amiri"/>
          <w:color w:val="111111"/>
          <w:sz w:val="28"/>
          <w:szCs w:val="28"/>
          <w:rtl w:val="true"/>
          <w:lang w:bidi="ar-SA"/>
        </w:rPr>
        <w:t>»</w:t>
      </w:r>
      <w:r>
        <w:rPr>
          <w:rStyle w:val="FootnoteAnchor"/>
          <w:rtl w:val="true"/>
        </w:rPr>
        <w:footnoteReference w:id="1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هذه الروايات تكفيرها بالاستغفار له وكونه</w:t>
      </w:r>
    </w:p>
    <w:p>
      <w:pPr>
        <w:pStyle w:val="BookText"/>
        <w:rPr/>
      </w:pPr>
      <w:r>
        <w:rPr>
          <w:rFonts w:ascii="Amiri" w:hAnsi="Amiri" w:eastAsia="Amiri" w:cs="Amiri"/>
          <w:color w:val="111111"/>
          <w:sz w:val="28"/>
          <w:sz w:val="28"/>
          <w:szCs w:val="28"/>
          <w:rtl w:val="true"/>
          <w:lang w:bidi="ar-SA"/>
        </w:rPr>
        <w:t xml:space="preserve">غير أشدّ من الزنا ، فلا شبهة في تعارضهما وعدم جمع مقبول بينهما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لا يبعد أن تكون موثّقة السكوني عن أبي عبداللّه علیه السلام شاهدة جمع بين الطائفتين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أحداً ففاته فليستغفر اللّه فإنّه كفّارة له</w:t>
      </w:r>
      <w:r>
        <w:rPr>
          <w:rFonts w:eastAsia="IRNazanin" w:cs="IRNazanin"/>
          <w:color w:val="111111"/>
          <w:sz w:val="28"/>
          <w:szCs w:val="28"/>
          <w:rtl w:val="true"/>
          <w:lang w:bidi="fa-IR"/>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منها ولو بقرينة سائر الروايات أنّ المراد الاستغفار لصاحبه </w:t>
      </w:r>
    </w:p>
    <w:p>
      <w:pPr>
        <w:pStyle w:val="BookText"/>
        <w:rPr/>
      </w:pPr>
      <w:r>
        <w:rPr>
          <w:rFonts w:ascii="Amiri" w:hAnsi="Amiri" w:eastAsia="Amiri" w:cs="Amiri"/>
          <w:color w:val="111111"/>
          <w:sz w:val="28"/>
          <w:sz w:val="28"/>
          <w:szCs w:val="28"/>
          <w:rtl w:val="true"/>
          <w:lang w:bidi="ar-SA"/>
        </w:rPr>
        <w:t xml:space="preserve">لا لنفسه بل لعلّه المتفاهم من نفسها ولو بالارتكاز ؛ فإنّ الظاهر أ نّه مع فوت المظلوم يكون الاستغفار لمراعاة حاله نظير الصدقة من ماله إذا فاته ، فتكون الرواية موجبة لحمل ما دلّت على وجوب الاستحلال والاستغفار منه على صورة وجدانه وعدم فوته كما هو ظاهر سوقها أيضاً ، ومع فوته يكون الاستغفار له مرتبة من أداء حقّه ، ولا مانع منه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الإشكال على رواية السكوني بأنّ مقتضاها أنّ الاستغفار موجب للبراءة عن الحقوق المالية أيضاً عند فقد صاحب الحقّ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كون الاستغفار كفّارة أ نّه كفّارة الظلم من حيث هو لا الضمان الحاصل باليد أو الإتلاف ، فلا تنافي بينها وبين ما دلّت على وجوب التصدّق في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الرواية مع اعتبارها سنداً حاكمة على الطائفتين من الروايات ومفسّرة لها وقرينة على المراد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 xml:space="preserve">الدالّة على التفصيل بين وصول الغيبة إلى صاحبها وعدمه ، فلا تصلح للاستناد إليها ؛ لعدم ثبوت كونها رواية فضلاً عن اعتبارها ، بل لا يبعد أن يكون كتابه من استنباط بعض أهل العلم والحال ومن إنشاءاته </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الغضّ عن أسناد الروايات والقرائن القائمة في متونها ، وإلاّ </w:t>
      </w:r>
    </w:p>
    <w:p>
      <w:pPr>
        <w:pStyle w:val="BookText"/>
        <w:rPr/>
      </w:pPr>
      <w:r>
        <w:rPr>
          <w:rFonts w:ascii="Amiri" w:hAnsi="Amiri" w:eastAsia="Amiri" w:cs="Amiri"/>
          <w:color w:val="111111"/>
          <w:sz w:val="28"/>
          <w:sz w:val="28"/>
          <w:szCs w:val="28"/>
          <w:rtl w:val="true"/>
          <w:lang w:bidi="ar-SA"/>
        </w:rPr>
        <w:t>فأبواب المناقشة في الأسناد والدلالة في كثير منها مفتوحة ، حتّى في الصحيفة</w:t>
      </w:r>
    </w:p>
    <w:p>
      <w:pPr>
        <w:pStyle w:val="BookText"/>
        <w:rPr/>
      </w:pPr>
      <w:r>
        <w:rPr>
          <w:rFonts w:ascii="Amiri" w:hAnsi="Amiri" w:eastAsia="Amiri" w:cs="Amiri"/>
          <w:color w:val="111111"/>
          <w:sz w:val="28"/>
          <w:sz w:val="28"/>
          <w:szCs w:val="28"/>
          <w:rtl w:val="true"/>
          <w:lang w:bidi="ar-SA"/>
        </w:rPr>
        <w:t>المباركة السجّادية</w:t>
      </w:r>
      <w:r>
        <w:rPr>
          <w:rStyle w:val="FootnoteAnchor"/>
          <w:rtl w:val="true"/>
        </w:rPr>
        <w:footnoteReference w:id="1343"/>
      </w:r>
      <w:r>
        <w:rPr>
          <w:rFonts w:ascii="Amiri" w:hAnsi="Amiri" w:eastAsia="Amiri" w:cs="Amiri"/>
          <w:color w:val="111111"/>
          <w:sz w:val="28"/>
          <w:sz w:val="28"/>
          <w:szCs w:val="28"/>
          <w:rtl w:val="true"/>
          <w:lang w:bidi="ar-SA"/>
        </w:rPr>
        <w:t xml:space="preserve">؛ فإنّ سندها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 مضمونها وفصاحتها وبلاغتها</w:t>
      </w:r>
    </w:p>
    <w:p>
      <w:pPr>
        <w:pStyle w:val="BookText"/>
        <w:rPr/>
      </w:pPr>
      <w:r>
        <w:rPr>
          <w:rFonts w:ascii="Amiri" w:hAnsi="Amiri" w:eastAsia="Amiri" w:cs="Amiri"/>
          <w:color w:val="111111"/>
          <w:sz w:val="28"/>
          <w:sz w:val="28"/>
          <w:szCs w:val="28"/>
          <w:rtl w:val="true"/>
          <w:lang w:bidi="ar-SA"/>
        </w:rPr>
        <w:t xml:space="preserve">وإن توجب نحو وثوق على صدورها لكن لا توجبه في جميع فقراتها واحدة بعد واحدة حتّى تكون حجّة يستدلّ بها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وتلقّي أصحابنا إيّاها بالقبول كتلقّيهم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لو ثبت في الفقه أيضاً ، إنّما هو على نحو الإجمال وهو غير ثابت في جميع الفقرات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إمكان المناقشة في دلالتها أيضاً ؛ لأنّ ما يمكن أن يستدلّ به هو الفقرة الثانية المبدوءة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وأيّما عبد من عبيدك أدركه منّي درك أو مسّه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ولا شبهة في لزوم تأويلها وحملها على ترك الأولى ونحوه وإلاّ فظاهرها مخالف لاُصول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التلقين بغيره أو على الشرطية مع عدم تحقّق تاليها بعيد ، ولا أقلّ من تساوي احتمال ذلك واحتمال إرادة الحقوق الغير اللازمة ، مع أنّ طلب إرضائه من اللّه تعالى لا يدلّ على لزومه ، مضافاً إلى عدم دلالتها على أنّ كلّ مظلمة لا بدّ فيها من الاسترضاء ، فإنّ غاية ما يدلّ عليه أنّ في الأذى والظلم ما يكون من قبيل الحقوق ويحتاج إلى الاسترضاء ، لا أنّ كلّ مظلمة كذلك </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عبد من عبيدك أدركه منّي 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الضمانات المالية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مسّه من ناحيتي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ممّا يوجب القصاص وغيره ، وقوله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لحقه بي أو بسببي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ففتّه بحقّه أو سبقته بمظلمته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أنّ كلّ ذلك موجب لثبوت حقّ عليه ، بل يدلّ على أنّ ما فاته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هو موجب لثبوت حقّ كالضمانات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الاسترضاء لا أنّ كلّ أذىً ومظلمة يحتاج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سقط احتمال دلالة سائر الفقرات عليه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بعض ما ذكر يظهر الكلام في دعاء يوم الاثنين</w:t>
      </w:r>
      <w:r>
        <w:rPr>
          <w:rStyle w:val="FootnoteAnchor"/>
          <w:rtl w:val="true"/>
        </w:rPr>
        <w:footnoteReference w:id="1344"/>
      </w:r>
      <w:r>
        <w:rPr>
          <w:rFonts w:ascii="Amiri" w:hAnsi="Amiri" w:eastAsia="Amiri" w:cs="Amiri"/>
          <w:color w:val="111111"/>
          <w:sz w:val="28"/>
          <w:sz w:val="28"/>
          <w:szCs w:val="28"/>
          <w:rtl w:val="true"/>
          <w:lang w:bidi="ar-SA"/>
        </w:rPr>
        <w:t xml:space="preserve">، نعم لا يأتي فيه الاحتمال الأخير لذكر خصوص الغيبة فيه ، لكن احتمال الحقّ اللازم فيه أبعد ، بل غير صحيح لذكر بعض ما لا يكون كذلك جزماً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تبعد دعوى العلم أو الوثوق والاطمينان بصدور بعض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العلم الإجمالي بصدوره لزوم الأخذ بأخصّها، ومع التباين بينها يجب الاحتياط </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يمكن أن يقال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إلى أنّ كثرة الروايات في مثل المقام الذي يرجع جميعها إلى عدد معدود ، لا توجب الوثوق بالصدور فضلاً عن العلم به ؛ فعليك بالرجوع إليها حتّى ترى أنّ كثيراً منها مرسلات عن النبي صلی الله علیه و آله وسلم  يحتمل أخذ بعض الرواة عن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ومضافاً إلى أنّ مضامين الروايات مختلفة وجوباً واستحباباً، ومعه لا علم بتكليف إلزامي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موثّقة السكوني</w:t>
      </w:r>
      <w:r>
        <w:rPr>
          <w:rStyle w:val="FootnoteAnchor"/>
          <w:rtl w:val="true"/>
        </w:rPr>
        <w:footnoteReference w:id="1345"/>
      </w:r>
      <w:r>
        <w:rPr>
          <w:rFonts w:ascii="Amiri" w:hAnsi="Amiri" w:eastAsia="Amiri" w:cs="Amiri"/>
          <w:color w:val="111111"/>
          <w:sz w:val="28"/>
          <w:sz w:val="28"/>
          <w:szCs w:val="28"/>
          <w:rtl w:val="true"/>
          <w:lang w:bidi="ar-SA"/>
        </w:rPr>
        <w:t xml:space="preserve">الحاكمة على جميعها تمنع عن تنجيز العلم الإجمالي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الرواية المذكورة فلا مناص عن العمل بها ؛ لكونها معتمدة موثّقة ، لكن</w:t>
      </w:r>
    </w:p>
    <w:p>
      <w:pPr>
        <w:pStyle w:val="BookText"/>
        <w:rPr/>
      </w:pPr>
      <w:r>
        <w:rPr>
          <w:rFonts w:ascii="Amiri" w:hAnsi="Amiri" w:eastAsia="Amiri" w:cs="Amiri"/>
          <w:color w:val="111111"/>
          <w:sz w:val="28"/>
          <w:sz w:val="28"/>
          <w:szCs w:val="28"/>
          <w:rtl w:val="true"/>
          <w:lang w:bidi="ar-SA"/>
        </w:rPr>
        <w:t xml:space="preserve">في دلالتها على المطلوب إشكال ؛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قرينة على أنّ الظلم الذي يجب الاستغفار لصاحبه هو ما يمكن جبرانه عند وجود المظلوم، وليس مطلق الظلم ممّا يكون له جبران، وكون الغيبة كذلك أوّل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تدلّ على وجوب الجبران عند عدم فوت صاحب المظلمة ، لعدم تعرّضه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وجوب الاستغفار له فيدلّ على وجوب أداء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دائر بين الأخذ بإطلاق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الاستغفار له على الاستحباب ؛ لعدم قائل ظاهراً بوجوب الجبران في مطلق الظلم ، أو حمل الظلم على ما يكون له جبران وإبقاء الأمر على ظاهره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معتمد على وجوب الاستحلال أو الاستغفار للمغتاب فإنّ ما له دلالة قاصرة سنداً وغالبها قاصرة سنداً ودلالة ، وبعض ما هو معتمد كرواية السكوني قد عرفت حالها، مع احتمال أن يكون الاستغفار المذكور هو الاستغفار لنفسه عن ذنبه وإن كان المظنون أن يكون الاستغفار لصاحبه كما أشرنا إليه</w:t>
      </w:r>
      <w:r>
        <w:rPr>
          <w:rStyle w:val="FootnoteAnchor"/>
          <w:rtl w:val="true"/>
        </w:rPr>
        <w:footnoteReference w:id="1346"/>
      </w:r>
      <w:r>
        <w:rPr>
          <w:rFonts w:ascii="Amiri" w:hAnsi="Amiri" w:eastAsia="Amiri" w:cs="Amiri"/>
          <w:color w:val="111111"/>
          <w:sz w:val="28"/>
          <w:sz w:val="28"/>
          <w:szCs w:val="28"/>
          <w:rtl w:val="true"/>
          <w:lang w:bidi="ar-SA"/>
        </w:rPr>
        <w:t xml:space="preserve">لكنّه ظنّ خارجي لا حجّية فيه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روايات الاستغفار له تامّ السند لكان احتمال قرينيتها على المراد فيها قريباً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احتمال آخر في متن الرواية وهو 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Style w:val="FootnoteAnchor"/>
          <w:rtl w:val="true"/>
        </w:rPr>
        <w:footnoteReference w:id="1347"/>
      </w:r>
      <w:r>
        <w:rPr>
          <w:rFonts w:ascii="Amiri" w:hAnsi="Amiri" w:eastAsia="Amiri" w:cs="Amiri"/>
          <w:color w:val="111111"/>
          <w:sz w:val="28"/>
          <w:sz w:val="28"/>
          <w:szCs w:val="28"/>
          <w:rtl w:val="true"/>
          <w:lang w:bidi="ar-SA"/>
        </w:rPr>
        <w:t xml:space="preserve">؛ لتشابههما كتباً ، واحتمال العكس 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تخرج الرواية عن شهادة الجمع ولا يرد عليها الإشكال المتقدّم في الحقوق المالية بل لعلّه صار قرينة على غلط النسخة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أنّ هذه الاحتمالات لا يعتنى بها ، واللّه الهادي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كتبها العبد المفتاق إلى اللّه الكريم</w:t>
      </w:r>
    </w:p>
    <w:p>
      <w:pPr>
        <w:pStyle w:val="BookText"/>
        <w:rPr/>
      </w:pPr>
      <w:r>
        <w:rPr>
          <w:rFonts w:ascii="Amiri" w:hAnsi="Amiri" w:eastAsia="Amiri" w:cs="Amiri"/>
          <w:color w:val="111111"/>
          <w:sz w:val="28"/>
          <w:sz w:val="28"/>
          <w:szCs w:val="28"/>
          <w:rtl w:val="true"/>
          <w:lang w:bidi="ar-SA"/>
        </w:rPr>
        <w:t>مؤلّف هذه الوجيزة</w:t>
      </w:r>
    </w:p>
    <w:p>
      <w:pPr>
        <w:pStyle w:val="BookText"/>
        <w:rPr/>
      </w:pPr>
      <w:r>
        <w:rPr>
          <w:rFonts w:ascii="Amiri" w:hAnsi="Amiri" w:eastAsia="Amiri" w:cs="Amiri"/>
          <w:color w:val="111111"/>
          <w:sz w:val="28"/>
          <w:sz w:val="28"/>
          <w:szCs w:val="28"/>
          <w:rtl w:val="true"/>
          <w:lang w:bidi="ar-SA"/>
        </w:rPr>
        <w:t>السيّد روح اللّه بن السيّد مصطفى الخميني</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عفى اللّه عنهما</w:t>
      </w:r>
      <w:r>
        <w:rPr>
          <w:rFonts w:eastAsia="IRNazanin" w:cs="IRNazanin"/>
          <w:color w:val="111111"/>
          <w:sz w:val="28"/>
          <w:szCs w:val="28"/>
          <w:rtl w:val="true"/>
          <w:lang w:bidi="fa-IR"/>
        </w:rPr>
        <w:t xml:space="preserve">.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7" w:name="pg15158_207310"/>
      <w:bookmarkStart w:id="478" w:name="pg15158_207310"/>
      <w:bookmarkEnd w:id="478"/>
    </w:p>
    <w:p>
      <w:pPr>
        <w:pStyle w:val="Heading3"/>
        <w:numPr>
          <w:ilvl w:val="2"/>
          <w:numId w:val="1"/>
        </w:numPr>
        <w:rPr/>
      </w:pPr>
      <w:bookmarkStart w:id="479" w:name="pg15158_207310"/>
      <w:bookmarkStart w:id="480" w:name="__RefHeading___Toc1851746_2142443653"/>
      <w:bookmarkStart w:id="481" w:name="_Toc164"/>
      <w:bookmarkEnd w:id="479"/>
      <w:bookmarkEnd w:id="480"/>
      <w:r>
        <w:rPr>
          <w:rtl w:val="true"/>
        </w:rPr>
        <w:t>الفهارس العامّة</w:t>
      </w:r>
      <w:bookmarkEnd w:id="481"/>
    </w:p>
    <w:p>
      <w:pPr>
        <w:pStyle w:val="Heading4"/>
        <w:numPr>
          <w:ilvl w:val="3"/>
          <w:numId w:val="1"/>
        </w:numPr>
        <w:rPr/>
      </w:pPr>
      <w:bookmarkStart w:id="482" w:name="__RefHeading___Toc1851748_2142443653"/>
      <w:bookmarkStart w:id="483" w:name="_Toc165"/>
      <w:bookmarkEnd w:id="482"/>
      <w:r>
        <w:rPr>
          <w:rtl w:val="true"/>
        </w:rPr>
        <w:t>اشارة</w:t>
      </w:r>
      <w:bookmarkEnd w:id="4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المعصومين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الواردة في المتن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التحقيق</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4" w:name="pg15158_207312"/>
      <w:bookmarkStart w:id="485" w:name="pg15158_207312"/>
      <w:bookmarkEnd w:id="485"/>
    </w:p>
    <w:p>
      <w:pPr>
        <w:pStyle w:val="Heading4"/>
        <w:numPr>
          <w:ilvl w:val="3"/>
          <w:numId w:val="1"/>
        </w:numPr>
        <w:rPr/>
      </w:pPr>
      <w:bookmarkStart w:id="486" w:name="pg15158_207312"/>
      <w:bookmarkStart w:id="487" w:name="__RefHeading___Toc1851750_2142443653"/>
      <w:bookmarkStart w:id="488" w:name="_Toc166"/>
      <w:bookmarkEnd w:id="486"/>
      <w:bookmarkEnd w:id="487"/>
      <w:r>
        <w:rPr/>
        <w:t>1</w:t>
      </w:r>
      <w:r>
        <w:rPr>
          <w:rtl w:val="true"/>
        </w:rPr>
        <w:t xml:space="preserve"> - </w:t>
      </w:r>
      <w:r>
        <w:rPr>
          <w:rtl w:val="true"/>
        </w:rPr>
        <w:t>فهرس الآيات الكريمة</w:t>
      </w:r>
      <w:bookmarkEnd w:id="488"/>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طَيِّبَاتِ مَا رَزَقْنَاكُمْ</w:t>
      </w:r>
    </w:p>
    <w:p>
      <w:pPr>
        <w:pStyle w:val="BookText"/>
        <w:rPr/>
      </w:pPr>
      <w:r>
        <w:rPr>
          <w:rFonts w:ascii="Amiri" w:hAnsi="Amiri" w:eastAsia="Amiri" w:cs="Amiri"/>
          <w:color w:val="111111"/>
          <w:sz w:val="28"/>
          <w:sz w:val="28"/>
          <w:szCs w:val="28"/>
          <w:rtl w:val="true"/>
          <w:lang w:bidi="ar-SA"/>
        </w:rPr>
        <w:t xml:space="preserve">وَاشْكُرُوا للّه‌ِ إِنْ كُنْتُمْ إِيَّاهُ تَعْبُدُونَ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حَرَّمَ عَلَيْكُمُ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عَلَيْكُمُ الْمَيْتَةَ وَالدَّمَ وَلَحْمَ</w:t>
      </w:r>
    </w:p>
    <w:p>
      <w:pPr>
        <w:pStyle w:val="BookText"/>
        <w:rPr/>
      </w:pPr>
      <w:r>
        <w:rPr>
          <w:rFonts w:ascii="Amiri" w:hAnsi="Amiri" w:eastAsia="Amiri" w:cs="Amiri"/>
          <w:color w:val="111111"/>
          <w:sz w:val="28"/>
          <w:sz w:val="28"/>
          <w:szCs w:val="28"/>
          <w:rtl w:val="true"/>
          <w:lang w:bidi="ar-SA"/>
        </w:rPr>
        <w:t>الْخِنْزِيرِ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وَلاَ 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بَاغٍ وَلاَ 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فَاعْتَدُوا عَلَيْهِ بِمِثْلِ مَا اعْتَدَى</w:t>
      </w:r>
    </w:p>
    <w:p>
      <w:pPr>
        <w:pStyle w:val="BookText"/>
        <w:rPr/>
      </w:pP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وَيَسْئَلُونَكَ عَنِ الْيَتَامَى قُلْ إِصْلاَحٌ</w:t>
      </w:r>
    </w:p>
    <w:p>
      <w:pPr>
        <w:pStyle w:val="BookText"/>
        <w:rPr/>
      </w:pPr>
      <w:r>
        <w:rPr>
          <w:rFonts w:ascii="Amiri" w:hAnsi="Amiri" w:eastAsia="Amiri" w:cs="Amiri"/>
          <w:color w:val="111111"/>
          <w:sz w:val="28"/>
          <w:sz w:val="28"/>
          <w:szCs w:val="28"/>
          <w:rtl w:val="true"/>
          <w:lang w:bidi="ar-SA"/>
        </w:rPr>
        <w:t>لَهُمْ خَيْرٌ وَإِنْ تُخَالِطُوهُمْ فَإِخْوَانُكُمْ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 وَحَرَّمَ الرِّبَوا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w:t>
      </w:r>
    </w:p>
    <w:p>
      <w:pPr>
        <w:pStyle w:val="BookText"/>
        <w:rPr/>
      </w:pPr>
      <w:r>
        <w:rPr>
          <w:rFonts w:ascii="Amiri" w:hAnsi="Amiri" w:eastAsia="Amiri" w:cs="Amiri"/>
          <w:color w:val="111111"/>
          <w:sz w:val="28"/>
          <w:sz w:val="28"/>
          <w:szCs w:val="28"/>
          <w:rtl w:val="true"/>
          <w:lang w:bidi="ar-SA"/>
        </w:rPr>
        <w:t>وَيَأْمُرُونَ بِالْمَعْرُوفِ وَيَنْهَوْنَ عَنِ</w:t>
      </w:r>
    </w:p>
    <w:p>
      <w:pPr>
        <w:pStyle w:val="BookText"/>
        <w:rPr/>
      </w:pP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w:t>
      </w:r>
    </w:p>
    <w:p>
      <w:pPr>
        <w:pStyle w:val="BookText"/>
        <w:rPr/>
      </w:pP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احْتَمَلَ بُهْتَاناً وَإِثْماً مُبِيناً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بُهْتَاناً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 مِنَ الْقَوْلِ</w:t>
      </w:r>
    </w:p>
    <w:p>
      <w:pPr>
        <w:pStyle w:val="BookText"/>
        <w:rPr/>
      </w:pPr>
      <w:r>
        <w:rPr>
          <w:rFonts w:ascii="Amiri" w:hAnsi="Amiri" w:eastAsia="Amiri" w:cs="Amiri"/>
          <w:color w:val="111111"/>
          <w:sz w:val="28"/>
          <w:sz w:val="28"/>
          <w:szCs w:val="28"/>
          <w:rtl w:val="true"/>
          <w:lang w:bidi="ar-SA"/>
        </w:rPr>
        <w:t>إِلاَّ مَنْ 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 مِنَ الْقَوْلِ</w:t>
      </w:r>
    </w:p>
    <w:p>
      <w:pPr>
        <w:pStyle w:val="BookText"/>
        <w:rPr/>
      </w:pPr>
      <w:r>
        <w:rPr>
          <w:rFonts w:ascii="Amiri" w:hAnsi="Amiri" w:eastAsia="Amiri" w:cs="Amiri"/>
          <w:color w:val="111111"/>
          <w:sz w:val="28"/>
          <w:sz w:val="28"/>
          <w:szCs w:val="28"/>
          <w:rtl w:val="true"/>
          <w:lang w:bidi="ar-SA"/>
        </w:rPr>
        <w:t>إِلاَّ مَنْ ظُلِمَ وَكَانَ اللّه‌ُ سَمِيعاً عَلِيماً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سَمِيعاً عَلِيماً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w:t>
      </w:r>
    </w:p>
    <w:p>
      <w:pPr>
        <w:pStyle w:val="BookText"/>
        <w:rPr/>
      </w:pPr>
      <w:r>
        <w:rPr>
          <w:rFonts w:ascii="Amiri" w:hAnsi="Amiri" w:eastAsia="Amiri" w:cs="Amiri"/>
          <w:color w:val="111111"/>
          <w:sz w:val="28"/>
          <w:sz w:val="28"/>
          <w:szCs w:val="28"/>
          <w:rtl w:val="true"/>
          <w:lang w:bidi="ar-SA"/>
        </w:rPr>
        <w:t>تَعَاوَنُوا عَلَى الاْءِثْمِ وَالعُدْوَانِ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تَعَاوَنُوا عَلَى الاْءِثْمِ وَالْعُدْوَانِ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تَعَاوَنُوا عَلَى الاْءِثْمِ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 وَالدَّمُ وَلَحْمُ</w:t>
      </w:r>
    </w:p>
    <w:p>
      <w:pPr>
        <w:pStyle w:val="BookText"/>
        <w:rPr/>
      </w:pPr>
      <w:r>
        <w:rPr>
          <w:rFonts w:ascii="Amiri" w:hAnsi="Amiri" w:eastAsia="Amiri" w:cs="Amiri"/>
          <w:color w:val="111111"/>
          <w:sz w:val="28"/>
          <w:sz w:val="28"/>
          <w:szCs w:val="28"/>
          <w:rtl w:val="true"/>
          <w:lang w:bidi="ar-SA"/>
        </w:rPr>
        <w:t>الْخِنْزِيرِ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فِى مَخْمَصَةٍ غَيْرَ</w:t>
      </w:r>
    </w:p>
    <w:p>
      <w:pPr>
        <w:pStyle w:val="BookText"/>
        <w:rPr/>
      </w:pPr>
      <w:r>
        <w:rPr>
          <w:rFonts w:ascii="Amiri" w:hAnsi="Amiri" w:eastAsia="Amiri" w:cs="Amiri"/>
          <w:color w:val="111111"/>
          <w:sz w:val="28"/>
          <w:sz w:val="28"/>
          <w:szCs w:val="28"/>
          <w:rtl w:val="true"/>
          <w:lang w:bidi="ar-SA"/>
        </w:rPr>
        <w:t>مُتَجَانِفٍ لاِءِثْمٍ فَإِنَّ اللّه‌َ غَفُورٌ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مُتَجَانِفٍ لاِءِثْمٍ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مَا ذَا أُحِلَّ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مَا ذَا أُحِلَّ لَهُمْ قُلْ أُحِلَّ</w:t>
      </w:r>
    </w:p>
    <w:p>
      <w:pPr>
        <w:pStyle w:val="BookText"/>
        <w:rPr/>
      </w:pPr>
      <w:r>
        <w:rPr>
          <w:rFonts w:ascii="Amiri" w:hAnsi="Amiri" w:eastAsia="Amiri" w:cs="Amiri"/>
          <w:color w:val="111111"/>
          <w:sz w:val="28"/>
          <w:sz w:val="28"/>
          <w:szCs w:val="28"/>
          <w:rtl w:val="true"/>
          <w:lang w:bidi="ar-SA"/>
        </w:rPr>
        <w:t>لَكُمُ الطَّيِّبَاتُ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وَطَعَامُ الَّذِينَ أُوتُوا الْكِتَابَ حِلٌّ</w:t>
      </w:r>
    </w:p>
    <w:p>
      <w:pPr>
        <w:pStyle w:val="BookText"/>
        <w:rPr/>
      </w:pP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وَالْمَيْسِرُ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وَالْمَيْسِرُ وَالْأَنْصَابُ</w:t>
      </w:r>
    </w:p>
    <w:p>
      <w:pPr>
        <w:pStyle w:val="BookText"/>
        <w:rPr/>
      </w:pPr>
      <w:r>
        <w:rPr>
          <w:rFonts w:ascii="Amiri" w:hAnsi="Amiri" w:eastAsia="Amiri" w:cs="Amiri"/>
          <w:color w:val="111111"/>
          <w:sz w:val="28"/>
          <w:sz w:val="28"/>
          <w:szCs w:val="28"/>
          <w:rtl w:val="true"/>
          <w:lang w:bidi="ar-SA"/>
        </w:rPr>
        <w:t>وَالْأَزْلاَمُ رِجْسٌ مِنْ عَمَلِ الشَّيْطَانِ</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فَاجْتَنِبُوهُ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w:t>
      </w:r>
    </w:p>
    <w:p>
      <w:pPr>
        <w:pStyle w:val="BookText"/>
        <w:rPr/>
      </w:pPr>
      <w:r>
        <w:rPr>
          <w:rFonts w:ascii="Amiri" w:hAnsi="Amiri" w:eastAsia="Amiri" w:cs="Amiri"/>
          <w:color w:val="111111"/>
          <w:sz w:val="28"/>
          <w:sz w:val="28"/>
          <w:szCs w:val="28"/>
          <w:rtl w:val="true"/>
          <w:lang w:bidi="ar-SA"/>
        </w:rPr>
        <w:t>الْعَدَاوَةَ وَالْبَغْضَاءَ فِى الْخَمْرِ وَالْمَيْسِرِ</w:t>
      </w:r>
    </w:p>
    <w:p>
      <w:pPr>
        <w:pStyle w:val="BookText"/>
        <w:rPr/>
      </w:pPr>
      <w:r>
        <w:rPr>
          <w:rFonts w:ascii="Amiri" w:hAnsi="Amiri" w:eastAsia="Amiri" w:cs="Amiri"/>
          <w:color w:val="111111"/>
          <w:sz w:val="28"/>
          <w:sz w:val="28"/>
          <w:szCs w:val="28"/>
          <w:rtl w:val="true"/>
          <w:lang w:bidi="ar-SA"/>
        </w:rPr>
        <w:t>وَيَصُدَّكُمْ عَنْ ذِكْرِ اللّه‌ِ وَعَنِ الصَّلَوةِ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يَتَّقُونَ وَيُؤتُونَ الزَّكَوةَ</w:t>
      </w:r>
    </w:p>
    <w:p>
      <w:pPr>
        <w:pStyle w:val="BookText"/>
        <w:rPr/>
      </w:pPr>
      <w:r>
        <w:rPr>
          <w:rFonts w:ascii="Amiri" w:hAnsi="Amiri" w:eastAsia="Amiri" w:cs="Amiri"/>
          <w:color w:val="111111"/>
          <w:sz w:val="28"/>
          <w:sz w:val="28"/>
          <w:szCs w:val="28"/>
          <w:rtl w:val="true"/>
          <w:lang w:bidi="ar-SA"/>
        </w:rPr>
        <w:t xml:space="preserve">وَالَّذِينَ هُمْ بِآيَاتِنَا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p>
    <w:p>
      <w:pPr>
        <w:pStyle w:val="BookText"/>
        <w:rPr/>
      </w:pPr>
      <w:r>
        <w:rPr>
          <w:rFonts w:ascii="Amiri" w:hAnsi="Amiri" w:eastAsia="Amiri" w:cs="Amiri"/>
          <w:color w:val="111111"/>
          <w:sz w:val="28"/>
          <w:sz w:val="28"/>
          <w:szCs w:val="28"/>
          <w:rtl w:val="true"/>
          <w:lang w:bidi="ar-SA"/>
        </w:rPr>
        <w:t>يَتَّبِعُونَ الرَّسُولَ النَّبِىَّ الْأُمِّىَّ الَّذِى</w:t>
      </w:r>
    </w:p>
    <w:p>
      <w:pPr>
        <w:pStyle w:val="BookText"/>
        <w:rPr/>
      </w:pPr>
      <w:r>
        <w:rPr>
          <w:rFonts w:ascii="Amiri" w:hAnsi="Amiri" w:eastAsia="Amiri" w:cs="Amiri"/>
          <w:color w:val="111111"/>
          <w:sz w:val="28"/>
          <w:sz w:val="28"/>
          <w:szCs w:val="28"/>
          <w:rtl w:val="true"/>
          <w:lang w:bidi="ar-SA"/>
        </w:rPr>
        <w:t>يَجِدُونَهُ مَكْتُوباً عِنْدَهُمْ فِى التَّوْرَاةِ</w:t>
      </w:r>
    </w:p>
    <w:p>
      <w:pPr>
        <w:pStyle w:val="BookText"/>
        <w:rPr/>
      </w:pPr>
      <w:r>
        <w:rPr>
          <w:rFonts w:ascii="Amiri" w:hAnsi="Amiri" w:eastAsia="Amiri" w:cs="Amiri"/>
          <w:color w:val="111111"/>
          <w:sz w:val="28"/>
          <w:sz w:val="28"/>
          <w:szCs w:val="28"/>
          <w:rtl w:val="true"/>
          <w:lang w:bidi="ar-SA"/>
        </w:rPr>
        <w:t>وَالاْءِنْجِيلِ يَأْمُرُهُمْ بِالْمَعْرُوفِ</w:t>
      </w:r>
    </w:p>
    <w:p>
      <w:pPr>
        <w:pStyle w:val="BookText"/>
        <w:rPr/>
      </w:pPr>
      <w:r>
        <w:rPr>
          <w:rFonts w:ascii="Amiri" w:hAnsi="Amiri" w:eastAsia="Amiri" w:cs="Amiri"/>
          <w:color w:val="111111"/>
          <w:sz w:val="28"/>
          <w:sz w:val="28"/>
          <w:szCs w:val="28"/>
          <w:rtl w:val="true"/>
          <w:lang w:bidi="ar-SA"/>
        </w:rPr>
        <w:t>وَيَنْهَاهُمْ عَنِ الْمُنْكَرِ وَيُحِلُّ لَهُمُ</w:t>
      </w:r>
    </w:p>
    <w:p>
      <w:pPr>
        <w:pStyle w:val="BookText"/>
        <w:rPr/>
      </w:pPr>
      <w:r>
        <w:rPr>
          <w:rFonts w:ascii="Amiri" w:hAnsi="Amiri" w:eastAsia="Amiri" w:cs="Amiri"/>
          <w:color w:val="111111"/>
          <w:sz w:val="28"/>
          <w:sz w:val="28"/>
          <w:szCs w:val="28"/>
          <w:rtl w:val="true"/>
          <w:lang w:bidi="ar-SA"/>
        </w:rPr>
        <w:t>الطَّيِّبَاتِ وَيُحَرِّمُ عَلَيْهِمُ الْخَبَائِثَ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فَسَأَكْتُبُهَا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عَلَيْهِمُ الْخَبَائِثَ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وَالْمُنَافِقَاتُ بَعْضُهُمْ مِنْ</w:t>
      </w:r>
    </w:p>
    <w:p>
      <w:pPr>
        <w:pStyle w:val="BookText"/>
        <w:rPr/>
      </w:pPr>
      <w:r>
        <w:rPr>
          <w:rFonts w:ascii="Amiri" w:hAnsi="Amiri" w:eastAsia="Amiri" w:cs="Amiri"/>
          <w:color w:val="111111"/>
          <w:sz w:val="28"/>
          <w:sz w:val="28"/>
          <w:szCs w:val="28"/>
          <w:rtl w:val="true"/>
          <w:lang w:bidi="ar-SA"/>
        </w:rPr>
        <w:t>بَعْضٍ يَأْمُرُونَ بِالْمُنْكَرِ وَيَنْهَوْنَ عَنِ</w:t>
      </w:r>
    </w:p>
    <w:p>
      <w:pPr>
        <w:pStyle w:val="BookText"/>
        <w:rPr/>
      </w:pP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وَيَخَافُونَ سُوءَ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w:t>
      </w:r>
    </w:p>
    <w:p>
      <w:pPr>
        <w:pStyle w:val="BookText"/>
        <w:rPr/>
      </w:pPr>
      <w:r>
        <w:rPr>
          <w:rFonts w:ascii="Amiri" w:hAnsi="Amiri" w:eastAsia="Amiri" w:cs="Amiri"/>
          <w:color w:val="111111"/>
          <w:sz w:val="28"/>
          <w:sz w:val="28"/>
          <w:szCs w:val="28"/>
          <w:rtl w:val="true"/>
          <w:lang w:bidi="ar-SA"/>
        </w:rPr>
        <w:t>بَيْنَهُمَا لاَعِبِينَ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w:t>
      </w:r>
    </w:p>
    <w:p>
      <w:pPr>
        <w:pStyle w:val="BookText"/>
        <w:rPr/>
      </w:pPr>
      <w:r>
        <w:rPr>
          <w:rFonts w:ascii="Amiri" w:hAnsi="Amiri" w:eastAsia="Amiri" w:cs="Amiri"/>
          <w:color w:val="111111"/>
          <w:sz w:val="28"/>
          <w:sz w:val="28"/>
          <w:szCs w:val="28"/>
          <w:rtl w:val="true"/>
          <w:lang w:bidi="ar-SA"/>
        </w:rPr>
        <w:t xml:space="preserve">بَيْنَهُمَا لاَعِبِينَ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نَتَّخِذَ</w:t>
      </w:r>
    </w:p>
    <w:p>
      <w:pPr>
        <w:pStyle w:val="BookText"/>
        <w:rPr/>
      </w:pPr>
      <w:r>
        <w:rPr>
          <w:rFonts w:ascii="Amiri" w:hAnsi="Amiri" w:eastAsia="Amiri" w:cs="Amiri"/>
          <w:color w:val="111111"/>
          <w:sz w:val="28"/>
          <w:sz w:val="28"/>
          <w:szCs w:val="28"/>
          <w:rtl w:val="true"/>
          <w:lang w:bidi="ar-SA"/>
        </w:rPr>
        <w:t>لَهْواً لاَتَّخَذْنَاهُ مِنْ لَدُنَّا إِنْ كُنَّا</w:t>
      </w:r>
    </w:p>
    <w:p>
      <w:pPr>
        <w:pStyle w:val="BookText"/>
        <w:rPr/>
      </w:pPr>
      <w:r>
        <w:rPr>
          <w:rFonts w:ascii="Amiri" w:hAnsi="Amiri" w:eastAsia="Amiri" w:cs="Amiri"/>
          <w:color w:val="111111"/>
          <w:sz w:val="28"/>
          <w:sz w:val="28"/>
          <w:szCs w:val="28"/>
          <w:rtl w:val="true"/>
          <w:lang w:bidi="ar-SA"/>
        </w:rPr>
        <w:t xml:space="preserve">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عَلَى</w:t>
      </w:r>
    </w:p>
    <w:p>
      <w:pPr>
        <w:pStyle w:val="BookText"/>
        <w:rPr/>
      </w:pPr>
      <w:r>
        <w:rPr>
          <w:rFonts w:ascii="Amiri" w:hAnsi="Amiri" w:eastAsia="Amiri" w:cs="Amiri"/>
          <w:color w:val="111111"/>
          <w:sz w:val="28"/>
          <w:sz w:val="28"/>
          <w:szCs w:val="28"/>
          <w:rtl w:val="true"/>
          <w:lang w:bidi="ar-SA"/>
        </w:rPr>
        <w:t>الْبَاطِلِ فَيَدْمَغُهُ فَإِذَا هُوَ زَاهِقٌ وَلَكُمُ</w:t>
      </w:r>
    </w:p>
    <w:p>
      <w:pPr>
        <w:pStyle w:val="BookText"/>
        <w:rPr/>
      </w:pPr>
      <w:r>
        <w:rPr>
          <w:rFonts w:ascii="Amiri" w:hAnsi="Amiri" w:eastAsia="Amiri" w:cs="Amiri"/>
          <w:color w:val="111111"/>
          <w:sz w:val="28"/>
          <w:sz w:val="28"/>
          <w:szCs w:val="28"/>
          <w:rtl w:val="true"/>
          <w:lang w:bidi="ar-SA"/>
        </w:rPr>
        <w:t>الْوَيْلُ مِمَّا تَصِفُونَ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عَلَى الْبَاطِلِ</w:t>
      </w:r>
    </w:p>
    <w:p>
      <w:pPr>
        <w:pStyle w:val="BookText"/>
        <w:rPr/>
      </w:pPr>
      <w:r>
        <w:rPr>
          <w:rFonts w:ascii="Amiri" w:hAnsi="Amiri" w:eastAsia="Amiri" w:cs="Amiri"/>
          <w:color w:val="111111"/>
          <w:sz w:val="28"/>
          <w:sz w:val="28"/>
          <w:szCs w:val="28"/>
          <w:rtl w:val="true"/>
          <w:lang w:bidi="ar-SA"/>
        </w:rPr>
        <w:t>فَيَدْمَغُهُ فَإِذَا هُوَ زَاهِقٌ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p>
    <w:p>
      <w:pPr>
        <w:pStyle w:val="BookText"/>
        <w:rPr/>
      </w:pP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إِذْ سَمِعْتُمُوهُ ظَنَّ الْمُؤمِنُونَ</w:t>
      </w:r>
    </w:p>
    <w:p>
      <w:pPr>
        <w:pStyle w:val="BookText"/>
        <w:rPr/>
      </w:pPr>
      <w:r>
        <w:rPr>
          <w:rFonts w:ascii="Amiri" w:hAnsi="Amiri" w:eastAsia="Amiri" w:cs="Amiri"/>
          <w:color w:val="111111"/>
          <w:sz w:val="28"/>
          <w:sz w:val="28"/>
          <w:szCs w:val="28"/>
          <w:rtl w:val="true"/>
          <w:lang w:bidi="ar-SA"/>
        </w:rPr>
        <w:t>وَالْمُؤمِنَاتُ بِأَنْفُسِهِمْ خَيْراً وَقَالُوا هَذَا</w:t>
      </w:r>
    </w:p>
    <w:p>
      <w:pPr>
        <w:pStyle w:val="BookText"/>
        <w:rPr/>
      </w:pPr>
      <w:r>
        <w:rPr>
          <w:rFonts w:ascii="Amiri" w:hAnsi="Amiri" w:eastAsia="Amiri" w:cs="Amiri"/>
          <w:color w:val="111111"/>
          <w:sz w:val="28"/>
          <w:sz w:val="28"/>
          <w:szCs w:val="28"/>
          <w:rtl w:val="true"/>
          <w:lang w:bidi="ar-SA"/>
        </w:rPr>
        <w:t>إِفْكٌ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سَمِعْتُمُوهُ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الْمُؤمِنُونَ وَالْمُؤمِنَاتُ بِأَنْفُسِهِمْ</w:t>
      </w:r>
    </w:p>
    <w:p>
      <w:pPr>
        <w:pStyle w:val="BookText"/>
        <w:rPr/>
      </w:pP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 لَمْ يَأْتُوا بِالشُّهَدَاءِ فَأُولَئِكَ عِنْدَ</w:t>
      </w:r>
    </w:p>
    <w:p>
      <w:pPr>
        <w:pStyle w:val="BookText"/>
        <w:rPr/>
      </w:pPr>
      <w:r>
        <w:rPr>
          <w:rFonts w:ascii="Amiri" w:hAnsi="Amiri" w:eastAsia="Amiri" w:cs="Amiri"/>
          <w:color w:val="111111"/>
          <w:sz w:val="28"/>
          <w:sz w:val="28"/>
          <w:szCs w:val="28"/>
          <w:rtl w:val="true"/>
          <w:lang w:bidi="ar-SA"/>
        </w:rPr>
        <w:t>اللّه‌ِ هُمُ الْكَاذِبُونَ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لَكُمْ بِهِ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إِذْ سَمِعْتُمُوهُ قُلْتُمْ مَا يَكُونُ</w:t>
      </w:r>
    </w:p>
    <w:p>
      <w:pPr>
        <w:pStyle w:val="BookText"/>
        <w:rPr/>
      </w:pPr>
      <w:r>
        <w:rPr>
          <w:rFonts w:ascii="Amiri" w:hAnsi="Amiri" w:eastAsia="Amiri" w:cs="Amiri"/>
          <w:color w:val="111111"/>
          <w:sz w:val="28"/>
          <w:sz w:val="28"/>
          <w:szCs w:val="28"/>
          <w:rtl w:val="true"/>
          <w:lang w:bidi="ar-SA"/>
        </w:rPr>
        <w:t>لَنَا أَنْ نَتَكَلَّمَ بِهَذَا سُبْحَانَكَ هَذَا بُهْتَانٌ</w:t>
      </w:r>
    </w:p>
    <w:p>
      <w:pPr>
        <w:pStyle w:val="BookText"/>
        <w:rPr/>
      </w:pP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سَمِعْتُمُوهُ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w:t>
      </w:r>
    </w:p>
    <w:p>
      <w:pPr>
        <w:pStyle w:val="BookText"/>
        <w:rPr/>
      </w:pPr>
      <w:r>
        <w:rPr>
          <w:rFonts w:ascii="Amiri" w:hAnsi="Amiri" w:eastAsia="Amiri" w:cs="Amiri"/>
          <w:color w:val="111111"/>
          <w:sz w:val="28"/>
          <w:sz w:val="28"/>
          <w:szCs w:val="28"/>
          <w:rtl w:val="true"/>
          <w:lang w:bidi="ar-SA"/>
        </w:rPr>
        <w:t>فِى الَّذِينَ آمَنُوا لَهُمْ عَذَابٌ أَلِيمٌ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w:t>
      </w:r>
    </w:p>
    <w:p>
      <w:pPr>
        <w:pStyle w:val="BookText"/>
        <w:rPr/>
      </w:pPr>
      <w:r>
        <w:rPr>
          <w:rFonts w:ascii="Amiri" w:hAnsi="Amiri" w:eastAsia="Amiri" w:cs="Amiri"/>
          <w:color w:val="111111"/>
          <w:sz w:val="28"/>
          <w:sz w:val="28"/>
          <w:szCs w:val="28"/>
          <w:rtl w:val="true"/>
          <w:lang w:bidi="ar-SA"/>
        </w:rPr>
        <w:t>فِى الَّذِينَ آمَنُوا لَهُمْ عَذَابٌ أَلِيمٌ فِى</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وَالاْخِرَةِ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يَشْهَدُونَ الزُّورَ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مَرُّوا بِاللَّغْوِ مَرُّوا كِرَاماً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وَانْتَصَرُوا مِنْ بَعْدِ مَا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فَالْتَقَطَهُ آلُ فِرْعَوْنَ لِيَكُونَ لَهُمْ</w:t>
      </w:r>
    </w:p>
    <w:p>
      <w:pPr>
        <w:pStyle w:val="BookText"/>
        <w:rPr/>
      </w:pPr>
      <w:r>
        <w:rPr>
          <w:rFonts w:ascii="Amiri" w:hAnsi="Amiri" w:eastAsia="Amiri" w:cs="Amiri"/>
          <w:color w:val="111111"/>
          <w:sz w:val="28"/>
          <w:sz w:val="28"/>
          <w:szCs w:val="28"/>
          <w:rtl w:val="true"/>
          <w:lang w:bidi="ar-SA"/>
        </w:rPr>
        <w:t>عَدُوّاً وَحَزَناً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يَشْتَرِى لَهْوَ</w:t>
      </w:r>
    </w:p>
    <w:p>
      <w:pPr>
        <w:pStyle w:val="BookText"/>
        <w:rPr/>
      </w:pPr>
      <w:r>
        <w:rPr>
          <w:rFonts w:ascii="Amiri" w:hAnsi="Amiri" w:eastAsia="Amiri" w:cs="Amiri"/>
          <w:color w:val="111111"/>
          <w:sz w:val="28"/>
          <w:sz w:val="28"/>
          <w:szCs w:val="28"/>
          <w:rtl w:val="true"/>
          <w:lang w:bidi="ar-SA"/>
        </w:rPr>
        <w:t>الْحَدِيثِ لِيُضِلَّ عَنْ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يَشْتَرِى لَهْوَ</w:t>
      </w:r>
    </w:p>
    <w:p>
      <w:pPr>
        <w:pStyle w:val="BookText"/>
        <w:rPr/>
      </w:pPr>
      <w:r>
        <w:rPr>
          <w:rFonts w:ascii="Amiri" w:hAnsi="Amiri" w:eastAsia="Amiri" w:cs="Amiri"/>
          <w:color w:val="111111"/>
          <w:sz w:val="28"/>
          <w:sz w:val="28"/>
          <w:szCs w:val="28"/>
          <w:rtl w:val="true"/>
          <w:lang w:bidi="ar-SA"/>
        </w:rPr>
        <w:t>الْحَدِيثِ لِيُضِلَّ عَنْ سَبِيلِ اللّه‌ِ بِغَيْرِ</w:t>
      </w:r>
    </w:p>
    <w:p>
      <w:pPr>
        <w:pStyle w:val="BookText"/>
        <w:rPr/>
      </w:pPr>
      <w:r>
        <w:rPr>
          <w:rFonts w:ascii="Amiri" w:hAnsi="Amiri" w:eastAsia="Amiri" w:cs="Amiri"/>
          <w:color w:val="111111"/>
          <w:sz w:val="28"/>
          <w:sz w:val="28"/>
          <w:szCs w:val="28"/>
          <w:rtl w:val="true"/>
          <w:lang w:bidi="ar-SA"/>
        </w:rPr>
        <w:t>عِلْمٍ وَيَتَّخِذَهَا هُزُواً أُولَئِكَ لَهُمْ عَذَابٌ</w:t>
      </w:r>
    </w:p>
    <w:p>
      <w:pPr>
        <w:pStyle w:val="BookText"/>
        <w:rPr/>
      </w:pPr>
      <w:r>
        <w:rPr>
          <w:rFonts w:ascii="Amiri" w:hAnsi="Amiri" w:eastAsia="Amiri" w:cs="Amiri"/>
          <w:color w:val="111111"/>
          <w:sz w:val="28"/>
          <w:sz w:val="28"/>
          <w:szCs w:val="28"/>
          <w:rtl w:val="true"/>
          <w:lang w:bidi="ar-SA"/>
        </w:rPr>
        <w:t>مُهِينٌ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لَهُ مَا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لَهُ مَا يَشَاءُ مِنْ مَحَارِيبَ</w:t>
      </w:r>
    </w:p>
    <w:p>
      <w:pPr>
        <w:pStyle w:val="BookText"/>
        <w:rPr/>
      </w:pPr>
      <w:r>
        <w:rPr>
          <w:rFonts w:ascii="Amiri" w:hAnsi="Amiri" w:eastAsia="Amiri" w:cs="Amiri"/>
          <w:color w:val="111111"/>
          <w:sz w:val="28"/>
          <w:sz w:val="28"/>
          <w:szCs w:val="28"/>
          <w:rtl w:val="true"/>
          <w:lang w:bidi="ar-SA"/>
        </w:rPr>
        <w:t>وَتَمَاثِيلَ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أَصَابَهُمُ الْبَغْىُ هُمْ</w:t>
      </w:r>
    </w:p>
    <w:p>
      <w:pPr>
        <w:pStyle w:val="BookText"/>
        <w:rPr/>
      </w:pPr>
      <w:r>
        <w:rPr>
          <w:rFonts w:ascii="Amiri" w:hAnsi="Amiri" w:eastAsia="Amiri" w:cs="Amiri"/>
          <w:color w:val="111111"/>
          <w:sz w:val="28"/>
          <w:sz w:val="28"/>
          <w:szCs w:val="28"/>
          <w:rtl w:val="true"/>
          <w:lang w:bidi="ar-SA"/>
        </w:rPr>
        <w:t>يَنْتَصِرُونَ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انْتَصَرَ بَعْدَ ظُلْمِهِ فَأُوْلَئِكَ مَا</w:t>
      </w:r>
    </w:p>
    <w:p>
      <w:pPr>
        <w:pStyle w:val="BookText"/>
        <w:rPr/>
      </w:pPr>
      <w:r>
        <w:rPr>
          <w:rFonts w:ascii="Amiri" w:hAnsi="Amiri" w:eastAsia="Amiri" w:cs="Amiri"/>
          <w:color w:val="111111"/>
          <w:sz w:val="28"/>
          <w:sz w:val="28"/>
          <w:szCs w:val="28"/>
          <w:rtl w:val="true"/>
          <w:lang w:bidi="ar-SA"/>
        </w:rPr>
        <w:t xml:space="preserve">عَلَيْهِمْ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السَّبِيلُ عَلَى</w:t>
      </w:r>
    </w:p>
    <w:p>
      <w:pPr>
        <w:pStyle w:val="BookText"/>
        <w:rPr/>
      </w:pPr>
      <w:r>
        <w:rPr>
          <w:rFonts w:ascii="Amiri" w:hAnsi="Amiri" w:eastAsia="Amiri" w:cs="Amiri"/>
          <w:color w:val="111111"/>
          <w:sz w:val="28"/>
          <w:sz w:val="28"/>
          <w:szCs w:val="28"/>
          <w:rtl w:val="true"/>
          <w:lang w:bidi="ar-SA"/>
        </w:rPr>
        <w:t>الَّذِينَ يَظْلِمُونَ النَّاسَ وَيَبْغُونَ فِى</w:t>
      </w:r>
    </w:p>
    <w:p>
      <w:pPr>
        <w:pStyle w:val="BookText"/>
        <w:rPr/>
      </w:pPr>
      <w:r>
        <w:rPr>
          <w:rFonts w:ascii="Amiri" w:hAnsi="Amiri" w:eastAsia="Amiri" w:cs="Amiri"/>
          <w:color w:val="111111"/>
          <w:sz w:val="28"/>
          <w:sz w:val="28"/>
          <w:szCs w:val="28"/>
          <w:rtl w:val="true"/>
          <w:lang w:bidi="ar-SA"/>
        </w:rPr>
        <w:t>اْلأَرْضِ بِغَيْرِ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يَغْتَبْ بَعْضُكُمْ بَعْضاً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يَغْتَبْ بَعْضُكُمْ بَعْضاً أَ يُحِبُّ</w:t>
      </w:r>
    </w:p>
    <w:p>
      <w:pPr>
        <w:pStyle w:val="BookText"/>
        <w:rPr/>
      </w:pPr>
      <w:r>
        <w:rPr>
          <w:rFonts w:ascii="Amiri" w:hAnsi="Amiri" w:eastAsia="Amiri" w:cs="Amiri"/>
          <w:color w:val="111111"/>
          <w:sz w:val="28"/>
          <w:sz w:val="28"/>
          <w:szCs w:val="28"/>
          <w:rtl w:val="true"/>
          <w:lang w:bidi="ar-SA"/>
        </w:rPr>
        <w:t>أَحَدُكُمْ أَنْ يَأْكُلَ لَحْمَ أَخِيهِ مَيْتاً</w:t>
      </w:r>
    </w:p>
    <w:p>
      <w:pPr>
        <w:pStyle w:val="BookText"/>
        <w:rPr/>
      </w:pPr>
      <w:r>
        <w:rPr>
          <w:rFonts w:ascii="Amiri" w:hAnsi="Amiri" w:eastAsia="Amiri" w:cs="Amiri"/>
          <w:color w:val="111111"/>
          <w:sz w:val="28"/>
          <w:sz w:val="28"/>
          <w:szCs w:val="28"/>
          <w:rtl w:val="true"/>
          <w:lang w:bidi="ar-SA"/>
        </w:rPr>
        <w:t>فَكَرِهْتُمُوهُ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الْبَارِئُ الْمُصَوِّرُ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9" w:name="pg15158_207322"/>
      <w:bookmarkStart w:id="490" w:name="pg15158_207322"/>
      <w:bookmarkEnd w:id="490"/>
    </w:p>
    <w:p>
      <w:pPr>
        <w:pStyle w:val="Heading4"/>
        <w:numPr>
          <w:ilvl w:val="3"/>
          <w:numId w:val="1"/>
        </w:numPr>
        <w:rPr/>
      </w:pPr>
      <w:bookmarkStart w:id="491" w:name="pg15158_207322"/>
      <w:bookmarkStart w:id="492" w:name="__RefHeading___Toc1851752_2142443653"/>
      <w:bookmarkStart w:id="493" w:name="_Toc167"/>
      <w:bookmarkEnd w:id="491"/>
      <w:bookmarkEnd w:id="492"/>
      <w:r>
        <w:rPr/>
        <w:t>2</w:t>
      </w:r>
      <w:r>
        <w:rPr>
          <w:rtl w:val="true"/>
        </w:rPr>
        <w:t xml:space="preserve"> - </w:t>
      </w:r>
      <w:r>
        <w:rPr>
          <w:rtl w:val="true"/>
        </w:rPr>
        <w:t>فهرس الأحاديث الشريفة</w:t>
      </w:r>
      <w:bookmarkEnd w:id="493"/>
    </w:p>
    <w:p>
      <w:pPr>
        <w:pStyle w:val="BookText"/>
        <w:rPr/>
      </w:pPr>
      <w:r>
        <w:rPr>
          <w:rFonts w:ascii="Amiri" w:hAnsi="Amiri" w:eastAsia="Amiri" w:cs="Amiri"/>
          <w:color w:val="111111"/>
          <w:sz w:val="28"/>
          <w:sz w:val="28"/>
          <w:szCs w:val="28"/>
          <w:rtl w:val="true"/>
          <w:lang w:bidi="ar-SA"/>
        </w:rPr>
        <w:t xml:space="preserve">أتاني جبرئيل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ربّك ينهى عن التماثيل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اتّخذ ثوباً لصلاتك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أتدرون ما الغيبة؟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اجتنبوا الغيبة ، فإنّها إدام كلاب النار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أجر الزانية سحت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أجر المغنّية التي تزفّ العرائس ليس به بأس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اجعل ثوباً للصلاة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احمل إليهم ، فإنّ اللّه يدفع بهم عدوّنا وعدوّكم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إذا بعته قبل أن يكون خمراً وهو حلال فلا بأس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إذا بلغ الماء قدر كرّ لا ينجّسه شيء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إذا تغيّر عن حاله وغلى فلا خير فيه ، حتّى يذهب ثلثاه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إذا جاهر الفاسق بفسق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إذا جاهر الفاسق بفسقه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إذا جاهر الفاسق بفسقه فلا حرمة له ولا غيبة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إذا ذكرته بما فيه فقد اغتبته </w:t>
      </w:r>
      <w:r>
        <w:rPr>
          <w:rFonts w:eastAsia="Amiri" w:cs="Amiri" w:ascii="Amiri" w:hAnsi="Amiri"/>
          <w:color w:val="111111"/>
          <w:sz w:val="28"/>
          <w:szCs w:val="28"/>
          <w:lang w:bidi="ar-SA"/>
        </w:rPr>
        <w:t>457</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رميت وسمّيت فانتفع بجلده ، وأمّا الميتة ، فلا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فرغ فليغسل يده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إذا لم يحملوا سلاحاً فلا بأس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إذا ميّز اللّه الحقّ من الباطل مع أيّهما يكون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إذا ميّز اللّه بين الحقّ والباطل فأين يكون الغناء ؟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إذا وقعت الفأرة في السمن فماتت فيه ، فإن كان جامداً فألقها وما يليها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أرأيتك إذا ميّز اللّه بين الحقّ والباطل مع أيّهما تكون ؟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أربعة ليس غيبتهم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المعلن بفسقه ، والإمام الكذّاب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ارفق بالقوارير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استصبحوا به ولا تأكلوه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أشدّ الناس عذاباً يوم القيامة رجل قتل نبياً ، أو قتله نبي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أعظم في التحريم من الميتة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اعلم أ نّك إذا ذكرته بما فيه فقد اغتبته ، وإذا ذكرته بما ليس فيه فقد بهتّه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اعلموا أنّ غيبتكم لأخيكم المؤمن من شيعة آل محمّد صلی الله علیه و آله وسلم  أعظم </w:t>
      </w:r>
      <w:r>
        <w:rPr>
          <w:rFonts w:eastAsia="IRNazanin" w:cs="IRNazanin"/>
          <w:color w:val="111111"/>
          <w:sz w:val="28"/>
          <w:szCs w:val="28"/>
          <w:rtl w:val="true"/>
          <w:lang w:bidi="fa-IR"/>
        </w:rPr>
        <w:t xml:space="preserve">. . .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ألاّ انتفعتم بجلدها ؟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ألاّ انتفعوا بجلدها ؟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ألا ومن تطوّل على أخيه في غيبة سمعها فيه في مجلس فردّها عنه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التي يدخل عليها الرجال حرام ، والتي تدعى إلى الأعراس ليس به بأس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أمّا الخمر فكلّ مسكر من الشراب إذا أخمر فهو خمر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أمّا الزيت فلا تبعه إلاّ لمن تبيّن له ، فيبتاع للسراج ، وأمّا الأكل فلا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أمّا السمن والعسل ، فيؤخذ الجرذ وما حوله ، والزيت يستصبح به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أمّا الميتة فإنّه لا يدمنها أحد إلاّ ضعف بدنه ، ونحل جسمه ، وذهبت قوّته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أما تعلم أ نّه يصيب اليد والثوب وهو حرام ؟ </w:t>
      </w:r>
      <w:r>
        <w:rPr>
          <w:rFonts w:eastAsia="Amiri" w:cs="Amiri" w:ascii="Amiri" w:hAnsi="Amiri"/>
          <w:color w:val="111111"/>
          <w:sz w:val="28"/>
          <w:szCs w:val="28"/>
          <w:lang w:bidi="ar-SA"/>
        </w:rPr>
        <w:t>89</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آلات المزامير شراؤها وبيعها وثمنها والتجارة بها حرام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أحدكم ليدع من حقوق أخيه شيئاً فيطالبه به يوم القيامة فيقضى له وعليه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إنّ أخوف ما أخاف على اُمّتي من بعدي ، هذه المكاسب المحرّمة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أنّ التصيّد مسير باطل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إنّ الذي حرّم شربها حرّم ثمنها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إنّ الذي حرّم شربه حرّم ثمنه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إنّ الضيف ينزل بالرجل فلا يحسن ضيافته فلا جناح عليه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إنّ اللّه إذا حرّم أكل شيء حرّم ثمنه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إنّ اللّه إذا حرّم شيئاً حرّم ثمنه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p>
    <w:p>
      <w:pPr>
        <w:pStyle w:val="BookText"/>
        <w:rPr/>
      </w:pPr>
      <w:r>
        <w:rPr>
          <w:rFonts w:ascii="Amiri" w:hAnsi="Amiri" w:eastAsia="Amiri" w:cs="Amiri"/>
          <w:color w:val="111111"/>
          <w:sz w:val="28"/>
          <w:sz w:val="28"/>
          <w:szCs w:val="28"/>
          <w:rtl w:val="true"/>
          <w:lang w:bidi="ar-SA"/>
        </w:rPr>
        <w:t xml:space="preserve">إنّ اللّه إذا حرّم على قوم أكل شيء حرّم عليهم ثمنه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إنّ اللّه تبارك وتعالى فوّض إلى المؤمن كلّ شيء إلاّ إذلال نفسه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إنّ اللّه تعالى إذا حرّم على قوم أكل شيء حرّم عليهم ثمنه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إنّ اللّه خلق العقل ، وهو أوّل خلق من الروحانيين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إنّ اللّه عزّ وجلّ لم يحرّم الخمر لاسمها ، ولكن حرّمها لعاقبتها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إنّ اللّه يبغض البيت اللحم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أنّ الملائكة لا تدخل بيتاً فيه صورة ولا بيتاً فيه كلب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أن تقول في أخيك ما قد ستره اللّه عليه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إنّ ثمن الكلب والمغنّية سحت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إنّ ثمنها سحت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إنّ رجلاً من ثقيف أهدى إلى رسول اللّه‌ صلی الله علیه و آله وسلم  راويتين من خمر </w:t>
      </w:r>
      <w:r>
        <w:rPr>
          <w:rFonts w:eastAsia="IRNazanin" w:cs="IRNazanin"/>
          <w:color w:val="111111"/>
          <w:sz w:val="28"/>
          <w:szCs w:val="28"/>
          <w:rtl w:val="true"/>
          <w:lang w:bidi="fa-IR"/>
        </w:rPr>
        <w:t xml:space="preserve">. .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أنّ رسول اللّه‌ صلی الله علیه و آله وسلم  نهى عن الغيبة والاستماع إليها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أنّ رسول اللّه‌ صلی الله علیه و آله وسلم  نهى عن بيع الأحرار </w:t>
      </w:r>
      <w:r>
        <w:rPr>
          <w:rFonts w:eastAsia="IRNazanin" w:cs="IRNazanin"/>
          <w:color w:val="111111"/>
          <w:sz w:val="28"/>
          <w:szCs w:val="28"/>
          <w:lang w:bidi="fa-IR"/>
        </w:rPr>
        <w:t>69</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رسول اللّه‌ صلی الله علیه و آله وسلم  نهى عن بيع الأحرار ، وعن بيع الميتة والخنزير والأصنام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عليّاً علیه السلام كان يصلّي في سيفه وعليه الكيمخت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أنّ علياً علیه السلام كره الصور في البيوت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إنّ في كتاب علي علیه السلام أنّ ما قطع منها ميّت لا ينتفع به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إن كان جامداً فتطرحها وما حولها ، ويؤكل ما بقي ، وإن كان ذائباً فاسرج به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إنّك لم تستخفّ بالفأرة ، وإنّما استخففت بدينك ، إنّ اللّه حرّم الميتة من كلّ شيء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إن كنت لا تثق به فلا تبعها على أ نّها ذكيّة ، إلاّ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ذكيّة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أن لا تستمتعوا من الميتة بإهاب ولا عصب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إن لم تمسّه فهو أفضل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إنّ لهم عرقاً يدعوهم إلى غير الوفاء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إنّما البيت اللحم البيت الذي تؤكل فيه لحوم الناس بالغيبة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إنّما الغيبة أن تقول في أخيك ما هو فيه ممّا ستره اللّه عزّ وجلّ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إنّما باعه حلالاً في الإبّان الذي يحلّ شربه أو أكله فلا بأس ببيعه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إنّما حرّم اللّه الصناعة التي حرام هي كلّها التي يجيء منها الفساد محضاً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إنّما خرج في لهو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إنّ من أشدّ الناس عذاباً عند اللّه يوم القيامة المصوّرون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إنّ من أشراط الساعة إضاعة الصلوات ، واتّباع الشهوات، والميل إلى الأهواء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إنّ من الغيبة أن تقول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إنّ من الغيبة أن تقول في أخيك ما ستره اللّه عليه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إنّه رجس نجس لا يتوضّأ بفضله ، واصبب ذلك الماء ، واغسله بالتراب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انهشا منها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أ نّه كره الصور في البيوت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إنّهما لا يعذَّبان في كبيرة ، أمّا أحدهما فكان يغتاب الناس </w:t>
      </w:r>
      <w:r>
        <w:rPr>
          <w:rFonts w:eastAsia="Amiri" w:cs="Amiri" w:ascii="Amiri" w:hAnsi="Amiri"/>
          <w:color w:val="111111"/>
          <w:sz w:val="28"/>
          <w:szCs w:val="28"/>
          <w:lang w:bidi="ar-SA"/>
        </w:rPr>
        <w:t>420</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تحت رجليك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شيء يكون فيه وجه من وجوه الفساد ، نظير البيع بالربا ، أو البيع للميتة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اُولئك يدعون في ملكوت السماوات الأرجاس الأنجاس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أو لحقه بي أو بسببي ظلم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أو مسّه من ناحيتي أذى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 xml:space="preserve">اُهدي إلى رسول اللّه‌ صلی الله علیه و آله وسلم  راوية خمر بعد ما حرّمت الخمر </w:t>
      </w:r>
      <w:r>
        <w:rPr>
          <w:rFonts w:eastAsia="IRNazanin" w:cs="IRNazanin"/>
          <w:color w:val="111111"/>
          <w:sz w:val="28"/>
          <w:szCs w:val="28"/>
          <w:rtl w:val="true"/>
          <w:lang w:bidi="fa-IR"/>
        </w:rPr>
        <w:t xml:space="preserve">. . .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إيّاكم وعمل الصور ، فإنّكم تسألون عنها يوم القيامة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أيسر حقّ منها أن تحبّ له ما تحبّ لنفسك وتكره له ما تكره لنفسك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أيّما عبد من عبيدك أدركه منّي درك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أيّما مؤمن مشى في حاجة أخيه فلم يناصحه فقد خان اللّه ورسوله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بائع الخبيثات ومشتريها في الإثم سواء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الباغي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 والعادي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الباغي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باغي الصيد ، والعادي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 ليس لهما أن يأكلا الميتة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بعه وبيِّنه لمن اشتراه ، ليستصبح به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بلى مرّ بكم فلان فوقعتم فيه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بني الإسلام على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والزكاة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بيت الغناء لا تؤمن فيه الفجيعة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بيع الشطرنج حرام ، وأكل ثمنه سحت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تكسر رؤوس التماثيل وتلطّخ رؤوس التصاوير ويصلّى فيه ولا بأس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تلك شاة لسودة بنت زمعة زوجة النبي صلی الله علیه و آله وسلم  ، وكانت شاة مهزولة </w:t>
      </w:r>
      <w:r>
        <w:rPr>
          <w:rFonts w:eastAsia="IRNazanin" w:cs="IRNazanin"/>
          <w:color w:val="111111"/>
          <w:sz w:val="28"/>
          <w:szCs w:val="28"/>
          <w:rtl w:val="true"/>
          <w:lang w:bidi="fa-IR"/>
        </w:rPr>
        <w:t xml:space="preserve">. . .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ثكلتك اُمّك ، أتدري ما الاستغفار ؟ والاستغفار درجة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ثلاثة ليس لهم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هوى مبتدع ، والإمام الجائر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ثمن الخمر ، ومهر البغي ، وثمن الكلب الذي لا يصطاد ، من السحت </w:t>
      </w:r>
      <w:r>
        <w:rPr>
          <w:rFonts w:eastAsia="Amiri" w:cs="Amiri" w:ascii="Amiri" w:hAnsi="Amiri"/>
          <w:color w:val="111111"/>
          <w:sz w:val="28"/>
          <w:szCs w:val="28"/>
          <w:lang w:bidi="ar-SA"/>
        </w:rPr>
        <w:t>115</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ثمن العذرة من السحت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الكلب الذي لا يصيد سحت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ثمن المغنّية سحت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ثمن الميتة سحت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ثمنها سحت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جميع التقلّب في ذلك حرام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جميع المعايش كلّها من وجوه المعاملات فيما بينهم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أربع جهات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حتّى يحرم على المسلمين تفتيش ما وراء ذلك من عثراته وعيوبه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 xml:space="preserve">حرام أجره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حرام بيعها وثمنها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حرام ، وهو خمر ، ومن شربه كان بمنزلة شارب الخمر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حرِّك بالنوق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حرم من الشاة سبعة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والخصيتان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حسِّنوا القرآن بأصواتكم ، فإنّ الصوت الحسن يزيد القرآن حسناً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نبيع تمرنا ممّن يجعله شراباً خبيثاً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الحلال من البيوع ، كلّ ما هو حلال من المأكول والمشروب وغير ذلك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خذ منه وبره ، فاجعلها في فخّارة ، ثمّ أوقد تحتها حتّى يذهب دسمها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خذها ثمّ أفسدها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خرجت وأنا اُريد داود بن عيسى بن علي ، وكان ينزل بئر ميمون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خمر مجهول يا سليمان فلا تشربه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دخل قوم على أبي جعفر علیه السلام وهو على بساط فيه تماثيل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الدين نصيحة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ذكر اللّه حسن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ذكرك أخاك بما يكره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ذكرك أخاك بما يكرهه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الذي لا يصيد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الذي يصيد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الراضي بفعل قوم كالداخل معهم فيه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الرجس من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الشطرنج ، وقول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رقية الزنا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رويدك رفقاً بالقوارير ؛ يعني النساء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سئل النبي صلی الله علیه و آله وسلم  ما كفّارة الاغتياب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تستغفر اللّه لمن اغتبته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 xml:space="preserve">ساتراً لجميع عيوبه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السامع للغيبة أحد المغتابين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السحت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السحت ثمن الميتة وثمن الكلب وثمن الخمر ومهر البغي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سحت ، وأمّا الصَيود فلا بأس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أخاف عليكم استخفافاً بالدين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ينتفع من الميتة بإهاب ولا عظم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شراؤهنّ وبيعهنّ حرام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شراؤهنّ وبيعهنّ حرام ، وتعليمهنّ كفر ، واستماعهنّ نفاق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الشطرنج من الباطل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صوتان ملعونان يبغضهما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إعوال عند مصيبة ، وصوت عند نعمة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صونوا أعراضكم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ظللتم تأكلون لحم سلمان واُسامة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الغناء رقية الزنا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الغناء شرّ الأصوات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الغناء غشّ النفاق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الغناء مجلس لا ينظر اللّه إلى أهله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الغناء ممّا أوعد اللّه عليه النار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الغناء ممّا وعد اللّه عليه النار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الغيبة أن تقول في أخيك ما ستره اللّه عليه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الغيبة أن تقول في أخيك ما قد ستره اللّه عليه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الغيبة أن تقول لأخيك ما ستره اللّه عليه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الغيبة كفر والمستمع لها والراضي بها مشرك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الفاسق المعلن بالفسق </w:t>
      </w:r>
      <w:r>
        <w:rPr>
          <w:rFonts w:eastAsia="IRNazanin" w:cs="IRNazanin"/>
          <w:color w:val="111111"/>
          <w:sz w:val="28"/>
          <w:szCs w:val="28"/>
          <w:rtl w:val="true"/>
          <w:lang w:bidi="fa-IR"/>
        </w:rPr>
        <w:t xml:space="preserve">. . .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فأمّا إذا كان عصيراً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فتقطع رؤوسها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فتنزّهوا أسماعكم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فجميع تقلّبه في ذلك حرام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فعندها يكون أقوام يتعلّمون القرآن لغير اللّه ، ويتّخذونه مزامير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ففتّه بحقّه أو سبقته بمظلمته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الفقّاع خمر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فلا بأس بلبسه والصلاة فيه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فلا يغار بعدها حتّى تؤتى نساؤه فلا يغار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فما لك وللباطل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فمن لم تره بعينك يرتكب ذنباً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فهو من أهل العدالة والستر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فهذا كلّه حرام ومحرّم ؛ لأنّ ذلك كلّه منهيّ عن أكله وشربه ولبسه </w:t>
      </w:r>
      <w:r>
        <w:rPr>
          <w:rFonts w:eastAsia="Amiri" w:cs="Amiri" w:ascii="Amiri" w:hAnsi="Amiri"/>
          <w:color w:val="111111"/>
          <w:sz w:val="28"/>
          <w:szCs w:val="28"/>
          <w:lang w:bidi="ar-SA"/>
        </w:rPr>
        <w:t>44</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كلّه حلال بيعه وشراؤه وإمساكه واستعماله وهبته وعاريته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ممّن ظلم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فهو من الذين قال اللّه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قاتل اللّه اليهود ، إنّ اللّه لمّا حرّم عليهم شحومها جملوه ثمّ باعوه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علیه و آله وسلم  في هدم القبور وكسر الصور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قال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ندخل بيتاً فيه تمثال لا يوطأ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اقرؤوا القرآن بألحان العرب وأصواتها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من ائتمنه المؤمنون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من ائتمنه المؤمنون على أنفسهم وأموالهم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المسافر الحداء والشعر ما كان منه ليس فيه خناً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مسكر حرام وكلّ مسكر خمر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للمسلم على أخيه ثلاثون حقّاً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لينصح الرجل منكم أخاه كنصيحته لنفسه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أذاع الفاحشة كان كمبتدئها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أحداً ففاته فليستغفر اللّه فإنّه كفّارة له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قال قائل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يجلس الرجل على بساط فيه تماثيل </w:t>
      </w:r>
      <w:r>
        <w:rPr>
          <w:rFonts w:eastAsia="IRNazanin" w:cs="IRNazanin"/>
          <w:color w:val="111111"/>
          <w:sz w:val="28"/>
          <w:szCs w:val="28"/>
          <w:rtl w:val="true"/>
          <w:lang w:bidi="fa-IR"/>
        </w:rPr>
        <w:t xml:space="preserve">. . .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قد تكون للرجل الجارية تلهيه ، وما ثمنها إلاّ ثمن كلب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قد حكمت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قد ستره اللّه عليه لم يقم عليه فيه حدّ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فأين قولك بالأمس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ينتفع منها بالإهاب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تشارط وتقبل ما اُعطيت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قول الزور الغناء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قولوا في الفاسق ما فيه كي تحذره الناس </w:t>
      </w:r>
      <w:r>
        <w:rPr>
          <w:rFonts w:eastAsia="Amiri" w:cs="Amiri" w:ascii="Amiri" w:hAnsi="Amiri"/>
          <w:color w:val="111111"/>
          <w:sz w:val="28"/>
          <w:szCs w:val="28"/>
          <w:lang w:bidi="ar-SA"/>
        </w:rPr>
        <w:t>474</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قريش تقامر الرجل بأهله وماله ، فنهاهم اللّه عزّ وجلّ عن ذلك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كأ نّك إذا استقضيت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كأ نّك إذا استقضيت حقّك لم تسئ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كذب الزنديق ، ما هكذا قلت له ، سألني عن الغناء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كذب من زعم أ نّه ولد من حلال وهو يأكل لحوم الناس بالغيبة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كذبوا ،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السَّمَاءَ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كفّارة الاغتياب أن تستغفر لمن اغتبته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كفّارة من استغبته أن تستغفر له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كفر باللّه العظيم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الكفّ عنهم أجمل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كلّ أعمال البرّ بالصبر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كلّ أعمال البرّ بالصبر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ما تعمل وحشياً ذكيّاً ، فلا بأس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الكلب الأسود البهيم لا تأكل صيده ؛ لأنّ رسول اللّه‌ صلی الله علیه و آله وسلم  أمر بقتله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الكلب الذي لا يصيد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كلّ شيء فيه حلال وحرام ، فهو لك حلال أبداً حتّى تعرف الحرام بعينه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كلّ لهو المؤمن باطل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كلّ لهو المؤمن باطل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تأديبه الفرس ، ورميه عن قوسه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كلّ ما ألهى عن ذكر اللّه فهو من الميسر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كلّ ما قومر عليه فهو ميسر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كلّ هذا بيعه وشراؤه والانتفاع بشيء من هذا حرام من اللّه محرّم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لا ، اطرح عليها ثوباً ، ولا بأس بها إذا كانت عن يمينك أو شمالك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لا ، إلاّ أن يشيّع الرجل أخاه في الدين ، فإنّ التصيّد مسير باطل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لا بأس إذا كانت عن يمينك وعن شمالك وعن خلفك أو تحت رجليك </w:t>
      </w:r>
      <w:r>
        <w:rPr>
          <w:rFonts w:eastAsia="Amiri" w:cs="Amiri" w:ascii="Amiri" w:hAnsi="Amiri"/>
          <w:color w:val="111111"/>
          <w:sz w:val="28"/>
          <w:szCs w:val="28"/>
          <w:lang w:bidi="ar-SA"/>
        </w:rPr>
        <w:t>322</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 أمّا للمقتضي فح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لال ، وأمّا للبائع فحرام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بأس ، أنتم اليوم بمنزلة أصحاب رسول اللّه‌ صلی الله علیه و آله وسلم  ، إنّكم في هدنة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لا بأس بأجر النائحة التي تنوح على الميّت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لا بأس بأن تكون التماثيل في البيوت ، إذا غيّرت رؤوسها منها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لا بأس ببيعه حلالاً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لا بأس ببيعه حلالاً ليجعله حراماً ، فأبعده اللّه وأسحقه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لا بأس بذلك ، إنّما إرادتك أن يتحوّل الخمر خلاًّ ؛ وليس إرادتك الفساد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لا بأس بقطعها إذا كنت تصلح بها مالك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لا بأس به ، تبيعه حلالاً فيجعله حراماً ، فأبعده اللّه وأسحقه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لا بأس بهذا كلّه إلاّ بالثعالب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لا بأس به ما لم يزمر به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لا بأس به ما لم يعص به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لا بأس به ، وإن غلى فلا يحلّ بيعه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لا بأس ما لم يعلم أ نّه ميتة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لا بأس ما لم يكن شيئاً من الحيوان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لا بأس وليست بالتي يدخل عليها الرجال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لا تبع ما ليس عندك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لا تبعه في فتنة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لا تبنوا على القبور ، ولا تصوّروا سقوف البيوت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لا تتّخذوا قبري قبلة ولا مسجداً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لا تدخلوا بيوتاً اللّه معرض عن أهلها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لا تدع صورة إلاّ محوتها ، ولا قبراً إلاّ سوّيته ، ولا كلباً إلاّ قتلته </w:t>
      </w:r>
      <w:r>
        <w:rPr>
          <w:rFonts w:eastAsia="Amiri" w:cs="Amiri" w:ascii="Amiri" w:hAnsi="Amiri"/>
          <w:color w:val="111111"/>
          <w:sz w:val="28"/>
          <w:szCs w:val="28"/>
          <w:lang w:bidi="ar-SA"/>
        </w:rPr>
        <w:t>289</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تسخطوا اللّه برضا أحد من خلقه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تصلّ في وبر ما لا يؤكل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لا تصلّ فيها إلاّ ما كان منه ذكيّاً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لا تصلّ فيها وشيء منها مستقبلك ، إلاّ أن لا تجد بدّاً فتقطع رؤوسها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لا تكسر القوارير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لا تنتفعوا من الميتة بإهاب ولا عصب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لا حاجة لي فيها ؛ إنّ ثمن الكلب والمغنّية سحت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لا حاجة لي فيه ، إنّ هذا سحت ، وتعليمهنّ كفر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لا ، حتّى يقطع رأسه أو يفسده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صلّى ، فليس عليه الإعادة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لا غيبة إلاّ لمن صلّى في بيته ورغب عن جماعتنا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لا غيبة لفاسق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لا ، ولو لبسها فلا يصلّ فيها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لا ، ولو لبسها فلا يصلّي فيها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لأهل الحجاز فيه رأي وهو في حيّز الباطل واللهو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لا يأكلها ولا يبيعها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لا يجوز الصلاة في وبره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لا يصلح أن يلعب بها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لا يصلح ثمنه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لا يعذّب اللّه مؤمناً بعد التوبة والاستغفار إلاّ بسوء ظنّه واغتيابه للمؤمنين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لا يلبس ولا يصلّى فيه ، إلاّ أن يكون ذكيّاً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لا ينتفع من الميتة بإهاب ولا عصب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لعن اللّه اليهود حرّمت عليهم الشحوم فباعوها ، وأكلوا ثمنها </w:t>
      </w:r>
      <w:r>
        <w:rPr>
          <w:rFonts w:eastAsia="Amiri" w:cs="Amiri" w:ascii="Amiri" w:hAnsi="Amiri"/>
          <w:color w:val="111111"/>
          <w:sz w:val="28"/>
          <w:szCs w:val="28"/>
          <w:lang w:bidi="ar-SA"/>
        </w:rPr>
        <w:t>276</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 رسول اللّه‌ صلی الله علیه و آله وسلم  في الخمر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غارسها ، وحارسها </w:t>
      </w:r>
      <w:r>
        <w:rPr>
          <w:rFonts w:eastAsia="IRNazanin" w:cs="IRNazanin"/>
          <w:color w:val="111111"/>
          <w:sz w:val="28"/>
          <w:szCs w:val="28"/>
          <w:rtl w:val="true"/>
          <w:lang w:bidi="fa-IR"/>
        </w:rPr>
        <w:t xml:space="preserve">. .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للمسلم على أخيه ثلاثون حقّاً لا براء له منها إلاّ بالأداء أو العفو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للّه ولرسوله ولأئمّة الدين ولجماعة المسلمين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لمّا مات آدم علیه السلام شمت به إبليس وقابيل فاجتمعا في الأرض </w:t>
      </w:r>
      <w:r>
        <w:rPr>
          <w:rFonts w:eastAsia="IRNazanin" w:cs="IRNazanin"/>
          <w:color w:val="111111"/>
          <w:sz w:val="28"/>
          <w:szCs w:val="28"/>
          <w:rtl w:val="true"/>
          <w:lang w:bidi="fa-IR"/>
        </w:rPr>
        <w:t xml:space="preserve">. . .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لم تعط اُمّتي أقلّ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والصوت الحسن والحفظ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لو أنّ الدار لي لقتلت بائعه ولجلدت شاربه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لو باع ثمرته ممّن يعلم أ نّه يجعله حراماً لم يكن بذلك بأس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لولا أنّ بني اُميّة وجدوا لهم من يكتب ويجبي لهم الفيء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له سبع حقوق واجبات، ما منهنّ حقّ إلاّ وهو عليه واجب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اللهمّ وأيّما عبد من عبيدك أدركه منّي درك أو مسّه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ليس أن يذلّ نفسه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ليست بالتي يدخل عليها الرجال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ليست يدخل عليها الرجال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ليس حيث تذهب ، إنّما هو إذاعة سرّه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ليس عليه فيما لا يعلم شيء ، فإذا علم فلينزع الستر وليكسر رؤوس التماثيل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ليس من باطل يقوم بإزاء الحقّ إلاّ غلب الحقّ الباطل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ما أصبتما من أخيكما أنتن من هذه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ما خالف قول ربّنا زخرف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ما سمعته اُذناه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ما علمت أ نّه ميتة فلا تصلِّ فيه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ما عليك لو اشتريتها فذكَّرتك الجنّة، يعني بقراءة القرآن والزهد والفضائل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ما عمِر مجلس بالغيبة إلاّ خرب من الدين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ما عمر مجلس بالغيبة إلاّ خرب من الدين ، فتنزّهوا أسماعكم من استماع الغيبة </w:t>
      </w:r>
      <w:r>
        <w:rPr>
          <w:rFonts w:eastAsia="Amiri" w:cs="Amiri" w:ascii="Amiri" w:hAnsi="Amiri"/>
          <w:color w:val="111111"/>
          <w:sz w:val="28"/>
          <w:szCs w:val="28"/>
          <w:lang w:bidi="ar-SA"/>
        </w:rPr>
        <w:t>507</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على أهل هذه الشاة إذ لم ينتفعوا بلحمها ، أن ينتفعوا بإهابها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لفلان يشكوك ؟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ما لم يزمر به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ما لم يعص به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ما لم يكن من الحيوان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ما لم يؤزر به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ما لي أرى خضرة اللحم في أفواهكما ؟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ما يبلّ الميل ينجّس حبّاً من ماء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المستمع أحد المغتابين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المسلم أخو المسلم لا يظلمه ولا يخذله ولا يغتابه ولا يغشّه ولا يحرمه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المسلم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المسلم هو عينه ومرآته ودليله ، لا يخونه ولا يخدعه ولا يظلمه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المغنّية التي تزفّ العرائس لا بأس بكسبها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المغنّية ملعونة ، ملعون من أكل كسبها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ممّا ستره اللّه عليه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من استشاره أخوه المؤمن فلم يمحضه النصيحة سلبه اللّه لبّه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من أصغى إلى ناطق فقد عبده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من أضاف قوماً فأساء ضيافتهم فهو ممّن ظلم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من أضرّ بشيء من طريق المسلمين فهو له ضامن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من اغتاب مؤمناً بما فيه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من اغتاب مؤمناً بما فيه لم يجمع اللّه بينهما في الجنّة أبداً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من اغتيب عنده أخوه المؤمن فنصره وأعانه نصره اللّه وأعانه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من أفتى الناس بغير علم ولا هدى من اللّه ، لعنته ملائكة الرحمة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من اكترى دابّة أو سفينة ، فحمل عليها المكتري خمراً أو خنازير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أكل السحت ثمن الخمر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أكل السحت سبعة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من ألقى جلباب الحياء عن وجهه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من ألقى جلباب الحياء عن وجهه فلا غيبة له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من ألقى جلباب الحياء فلا غيبة له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من ترك الصلاة متعمّداً من غير علّة فقد برئ من ذمّة اللّه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من جدّد قبراً أو مثّل مثالاً فقد خرج عن الإسلام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من ذكر رجلاً من خلفه بما هو فيه ممّا عرفه الناس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من ذكر رجلاً من خلفه بما هو فيه ممّا عرفه الناس لم يغتبه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من ردّ عن عرض أخيه كان له حجاباً من النار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من صوَّر التماثيل فقد ضادّ اللّه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من صوّر صورة من الحيوان يعذَّب حتّى ينفخ فيها وليس بنافخ فيها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من ضرب في بيته أربعين صباحاً سلّط اللّه عليه شيطاناً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من ظلم أحداً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من ظلم أحداً فعابه فليستغفر اللّه له كما ذكره؛ فإنّه كفّارة له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من عامل الناس فلم يظلمهم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ممّن حرمت غيبته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من قال في أخيه المؤمن ممّا فيه ممّا قد استتر به عن الناس فقد اغتابه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من قال في مؤمن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من قال في مؤمن ما رأت عيناه وما سمعت اُذناه كان من الذين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من قال في مؤمن ما رأته عيناه أو سمعته اُذناه فهو من الذين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من قال في مؤمن ما ليس فيه حبسه اللّه في طينة خبال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من كانت لأخيه عنده مظلمة في عرض أو مال فليستحلّها </w:t>
      </w:r>
      <w:r>
        <w:rPr>
          <w:rFonts w:eastAsia="Amiri" w:cs="Amiri" w:ascii="Amiri" w:hAnsi="Amiri"/>
          <w:color w:val="111111"/>
          <w:sz w:val="28"/>
          <w:szCs w:val="28"/>
          <w:lang w:bidi="ar-SA"/>
        </w:rPr>
        <w:t>534</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مثّل تمثالاً كلّف يوم القيامة أن ينفخ فيه الروح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النرد والشطرنج والأربعة عشر بمنزلة واحدة ، وكلّ ما قومر عليه فهو ميسر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نزع منه الحياء ولم يبال ما قال ولا ما قيل فيه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نعم يذيبها ويسرج بها ، ولا يأكلها ولا يبيعها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نهى عن الغيبة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نهى عن الغيبة والاستماع إليها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نهى عن تزويق البيوت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واجعلها خلاًّ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وأعلمهم إذا بعته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والاستماع إليها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والاشتغال بالملاهي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والدلالة على ذلك كلّه أن يكون ساتراً لجميع عيوبه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والذين يصوّرون التماثيل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والعادي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 والباغي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يبغي الصيد بطراً ولهواً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والغيبة أشدّ من الزنا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واللّه ما هي تماثيل الرجال والنساء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واللّه ما هي تماثيل الرجال والنساء ولكنّها الشجر وشبهه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والملاهي التي تصدّ عن ذكر اللّه عزّ وجلّ مكروهة كالغناء وضرب الأوتار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والمؤمن حرام على المؤمن أن يظلمه أو يخذله أو يغتابه أو يدفعه دفعة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وأمّا الأمر الظاهر مثل الحدّة والعجلة فلا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وأمّا الزيت فلا تبعه إلاّ لمن تبيّن له فيبتاع للسراج، وأمّا الأكل فلا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وأمّا 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فالنرد والشطرنج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قمار ميسر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وأمّا تفسير التجارات في جميع البيوع ووجوه الحلال من وجه التجارات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وأمرني أن أمحو المزامير والمعازف والأوتار واُمور الجاهلية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اللّه يحبّ أن يؤخذ برخصه كما يحبّ أن يؤخذ بعزائمه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وإن كان ذائباً فأسرج به ، وأعلمهم إذا بعته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وإن كان ذائباً فلا تأكله واستصبح به، والزيت مثل ذلك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وأ نّى لك بأخيك كلّه ؟ وأيّ الرجال المهذّب ؟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وبائع السلاح من أهل الحرب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وثمن المغنّية حرام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وثمن الميتة سحت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وذلك إنّما حرّم اللّه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وصنعة صنوف التصاوير ما لم تكن مثل الروحاني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وعن بيع العذرة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ميتة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وكذلك كلّ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ملهوّ به ، وكلّ منهيّ عنه ممّا يتقرّب به لغير اللّه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وكلّ أمر يكون فيه الفساد ممّا قد نهي عنه من جهة أكله وشربه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وكلّ شيء يحلّ أكله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وكلّ شيء يكون لهم فيه الصلاح من جهة من الجهات ، فهذا كلّه حلال بيعه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وكلّ ما أنبتت الأرض فلا بأس بلبسه والصلاة فيه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وكلّ ما منه وفيه الفساد محضاً فحرام تعليمه وتعلّمه وجميع التقلّب فيه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ولا بأس بثمن الهرّ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ولا بيتاً فيه بول مجموع في آنية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ولا تذيعنّ عليه شيئاً تشينه به وتهدم به مروءته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ولا يأكلها ولا يبيعها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ولكنّه خلق الخلق ، فعلم ما تقوم به أبدانهم وما يصلحهم ، فأحلّه لهم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وما الكيمخت ؟ </w:t>
      </w:r>
      <w:r>
        <w:rPr>
          <w:rFonts w:eastAsia="Amiri" w:cs="Amiri" w:ascii="Amiri" w:hAnsi="Amiri"/>
          <w:color w:val="111111"/>
          <w:sz w:val="28"/>
          <w:szCs w:val="28"/>
          <w:lang w:bidi="ar-SA"/>
        </w:rPr>
        <w:t>91</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محرّماً أصله منهيّاً عنه لم يجز بيعه ولا شراؤه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يكون منه وفيه الفساد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وما يكون منه وفيه الفساد محضاً ولا يكون فيه ولا منه شيء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ومن تغنّى بغناء حرام يبعث فيه على المعاصي فقد تعلّق بغصن منه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ومن ردّ عن أخيه غيبة سمعها في مجلس ردّ اللّه عنه ألف باب من الشرّ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ومن رضي شيئاً كان كمن أتاه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ومن صوّر التماثيل ، فقد ضادّ اللّه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ومن مشى في عيب أخيه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أوّل خطوة خطاها وضعها في جهنّم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ونهى أن ينقش شيء من الحيوان على الخاتم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ونهى رسول اللّه‌ صلی الله علیه و آله وسلم  عن بيع النرد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ويحبّ له من الخير ما يحبّ لنفسه ويكره له من الشرّ ما يكره لنفسه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ويستحسنون الكوبة والمعازف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ويستر عورته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ويغسل اللحم ويؤكل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ويل لفلان ممّا يصف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هذه لو انتفعوا بإهابها ؟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هو الغناء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هو أن تقول لأخيك في دينه ما لم يفعل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هو ذا ، نحن نبيع تمرنا ممّن نعلم أ نّه يصنعه خمراً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هؤلاء الذين يأكلون لحم الناس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يا أبا حمزة ، إنّ الناس كلّهم أولاد بغايا ما خلا شيعتنا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يا أباذرّ ، سباب المسلم فسوق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يا أباذرّ ، سباب المسلم فسوق ، وقتاله كفر ، وأكل لحمه من معاصي اللّه </w:t>
      </w:r>
      <w:r>
        <w:rPr>
          <w:rFonts w:eastAsia="Amiri" w:cs="Amiri" w:ascii="Amiri" w:hAnsi="Amiri"/>
          <w:color w:val="111111"/>
          <w:sz w:val="28"/>
          <w:szCs w:val="28"/>
          <w:lang w:bidi="ar-SA"/>
        </w:rPr>
        <w:t>423</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محمّد ، اقرأ قراءة ما بين القراءتين تسمع أهلك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أيّوب ، ما من أحد إلاّ وقد يرد عليه الحقّ حتّى يصدع قلْبه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يا أيّها الناس ، عدلت شهادة الزور بالشرك باللّه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يا بنيّ ، نزِّه سمعك عن مثل هذا ، فإنّه نظر إلى أخبث ما في وعائه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يأتي عنكم الخبران المختلفان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يا جبرئيل ، من هؤلاء ؟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يا علي ، كفر باللّه العظيم من هذه الاُمّة عشرة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يا علي ، من اغتيب عنده أخوه المسلم فاستطاع نصره فلم ينصره خذله اللّه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يا علي ، من السحت ثمن الميتة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يا علي ، من السحت ثمن الميتة ، وثمن الكلب وثمن الخمر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يأكل ثمنه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يا محمّد ، إنّ ربّك يقرئك السلام ، وينهى عن تزويق البيوت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يا محمّد ، كذِّب سمعك وبصرك عن أخيك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يا معلّى ، إنّي عليك شفيق أخاف أن تضيع ولا تحفظ وتعلم ولا تعمل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يبيع ديّانه أو وليّ له غير مسلم خمره وخنازيره ويقضى دينه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يبيعه ممّن يستحلّ الميتة ويأكل ثمنه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يجب للمؤمن على المؤمن أن يناصحه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يجعله حراماً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يذيبها ويسرج بها ولا يأكلها ولا يبيعها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يعني بذلك القمار </w:t>
      </w:r>
      <w:r>
        <w:rPr>
          <w:rFonts w:eastAsia="Amiri" w:cs="Amiri" w:ascii="Amiri" w:hAnsi="Amiri"/>
          <w:color w:val="111111"/>
          <w:sz w:val="28"/>
          <w:szCs w:val="28"/>
          <w:lang w:bidi="ar-SA"/>
        </w:rPr>
        <w:t>408</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يهراق المرق ، أو يطعمه أهل الذمّة ، أو الكلب ، واللحم اغسله وكله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4" w:name="pg15158_207342"/>
      <w:bookmarkStart w:id="495" w:name="pg15158_207342"/>
      <w:bookmarkEnd w:id="495"/>
    </w:p>
    <w:p>
      <w:pPr>
        <w:pStyle w:val="Heading4"/>
        <w:numPr>
          <w:ilvl w:val="3"/>
          <w:numId w:val="1"/>
        </w:numPr>
        <w:rPr/>
      </w:pPr>
      <w:bookmarkStart w:id="496" w:name="pg15158_207342"/>
      <w:bookmarkStart w:id="497" w:name="__RefHeading___Toc1851754_2142443653"/>
      <w:bookmarkStart w:id="498" w:name="_Toc168"/>
      <w:bookmarkEnd w:id="496"/>
      <w:bookmarkEnd w:id="497"/>
      <w:r>
        <w:rPr/>
        <w:t>3</w:t>
      </w:r>
      <w:r>
        <w:rPr>
          <w:rtl w:val="true"/>
        </w:rPr>
        <w:t xml:space="preserve"> - </w:t>
      </w:r>
      <w:r>
        <w:rPr>
          <w:rtl w:val="true"/>
        </w:rPr>
        <w:t>فهرس أسماء المعصومين علیهم السلام</w:t>
      </w:r>
      <w:bookmarkEnd w:id="498"/>
    </w:p>
    <w:p>
      <w:pPr>
        <w:pStyle w:val="BookText"/>
        <w:rPr/>
      </w:pPr>
      <w:r>
        <w:rPr>
          <w:rFonts w:ascii="IRNazanin" w:hAnsi="IRNazanin" w:eastAsia="IRNazanin"/>
          <w:color w:val="111111"/>
          <w:sz w:val="28"/>
          <w:sz w:val="28"/>
          <w:szCs w:val="28"/>
          <w:rtl w:val="true"/>
          <w:lang w:bidi="fa-IR"/>
        </w:rPr>
        <w:t xml:space="preserve">النبي، محمّد،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عبداللّه‌ صلی الله علیه و آله وسلم ، نبي الإسلام</w:t>
      </w:r>
    </w:p>
    <w:p>
      <w:pPr>
        <w:pStyle w:val="BookText"/>
        <w:rPr/>
      </w:pPr>
      <w:r>
        <w:rPr>
          <w:rFonts w:ascii="IRNazanin" w:hAnsi="IRNazanin" w:eastAsia="IRNazanin"/>
          <w:color w:val="111111"/>
          <w:sz w:val="28"/>
          <w:sz w:val="28"/>
          <w:szCs w:val="28"/>
          <w:rtl w:val="true"/>
          <w:lang w:bidi="fa-IR"/>
        </w:rPr>
        <w:t xml:space="preserve">محمّد بن عبداللّه‌ صلی الله علیه و آله وسلم ، نبي الإسلام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w:t>
      </w:r>
    </w:p>
    <w:p>
      <w:pPr>
        <w:pStyle w:val="BookText"/>
        <w:rPr/>
      </w:pPr>
      <w:r>
        <w:rPr>
          <w:rFonts w:ascii="IRNazanin" w:hAnsi="IRNazanin" w:eastAsia="IRNazanin"/>
          <w:color w:val="111111"/>
          <w:sz w:val="28"/>
          <w:sz w:val="28"/>
          <w:szCs w:val="28"/>
          <w:rtl w:val="true"/>
          <w:lang w:bidi="fa-IR"/>
        </w:rPr>
        <w:t>طالب علیه السلام، الإمام الأوّل</w:t>
      </w:r>
    </w:p>
    <w:p>
      <w:pPr>
        <w:pStyle w:val="BookText"/>
        <w:rPr/>
      </w:pPr>
      <w:r>
        <w:rPr>
          <w:rFonts w:ascii="IRNazanin" w:hAnsi="IRNazanin" w:eastAsia="IRNazanin"/>
          <w:color w:val="111111"/>
          <w:sz w:val="28"/>
          <w:sz w:val="28"/>
          <w:szCs w:val="28"/>
          <w:rtl w:val="true"/>
          <w:lang w:bidi="fa-IR"/>
        </w:rPr>
        <w:t xml:space="preserve">علي بن أبي طالب علیه السلام، الإمام الأوّل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علیه السلام،</w:t>
      </w:r>
    </w:p>
    <w:p>
      <w:pPr>
        <w:pStyle w:val="BookText"/>
        <w:rPr/>
      </w:pPr>
      <w:r>
        <w:rPr>
          <w:rFonts w:ascii="Amiri" w:hAnsi="Amiri" w:eastAsia="Amiri" w:cs="Amiri"/>
          <w:color w:val="111111"/>
          <w:sz w:val="28"/>
          <w:sz w:val="28"/>
          <w:szCs w:val="28"/>
          <w:rtl w:val="true"/>
          <w:lang w:bidi="ar-SA"/>
        </w:rPr>
        <w:t>الإمام الثاني</w:t>
      </w:r>
    </w:p>
    <w:p>
      <w:pPr>
        <w:pStyle w:val="BookText"/>
        <w:rPr/>
      </w:pPr>
      <w:r>
        <w:rPr>
          <w:rFonts w:ascii="IRNazanin" w:hAnsi="IRNazanin" w:eastAsia="IRNazanin"/>
          <w:color w:val="111111"/>
          <w:sz w:val="28"/>
          <w:sz w:val="28"/>
          <w:szCs w:val="28"/>
          <w:rtl w:val="true"/>
          <w:lang w:bidi="fa-IR"/>
        </w:rPr>
        <w:t xml:space="preserve">الحسن بن علي علیه السلام، الإمام الثاني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الحسين،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علیه السلام، الإمام الثالث </w:t>
      </w:r>
    </w:p>
    <w:p>
      <w:pPr>
        <w:pStyle w:val="BookText"/>
        <w:rPr/>
      </w:pPr>
      <w:r>
        <w:rPr>
          <w:rFonts w:ascii="IRNazanin" w:hAnsi="IRNazanin" w:eastAsia="IRNazanin"/>
          <w:color w:val="111111"/>
          <w:sz w:val="28"/>
          <w:sz w:val="28"/>
          <w:szCs w:val="28"/>
          <w:rtl w:val="true"/>
          <w:lang w:bidi="fa-IR"/>
        </w:rPr>
        <w:t xml:space="preserve">الحسين بن علي علیه السلام، الإمام الثالث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p>
    <w:p>
      <w:pPr>
        <w:pStyle w:val="BookText"/>
        <w:rPr/>
      </w:pP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علیه السلام،</w:t>
      </w:r>
    </w:p>
    <w:p>
      <w:pPr>
        <w:pStyle w:val="BookText"/>
        <w:rPr/>
      </w:pPr>
      <w:r>
        <w:rPr>
          <w:rFonts w:ascii="IRNazanin" w:hAnsi="IRNazanin" w:eastAsia="IRNazanin"/>
          <w:color w:val="111111"/>
          <w:sz w:val="28"/>
          <w:sz w:val="28"/>
          <w:szCs w:val="28"/>
          <w:rtl w:val="true"/>
          <w:lang w:bidi="fa-IR"/>
        </w:rPr>
        <w:t>الإمام الرابع</w:t>
      </w:r>
    </w:p>
    <w:p>
      <w:pPr>
        <w:pStyle w:val="BookText"/>
        <w:rPr/>
      </w:pPr>
      <w:r>
        <w:rPr>
          <w:rFonts w:ascii="IRNazanin" w:hAnsi="IRNazanin" w:eastAsia="IRNazanin"/>
          <w:color w:val="111111"/>
          <w:sz w:val="28"/>
          <w:sz w:val="28"/>
          <w:szCs w:val="28"/>
          <w:rtl w:val="true"/>
          <w:lang w:bidi="fa-IR"/>
        </w:rPr>
        <w:t xml:space="preserve">علي بن الحسين علیه السلام، الإمام الرابع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p>
    <w:p>
      <w:pPr>
        <w:pStyle w:val="BookText"/>
        <w:rPr/>
      </w:pPr>
      <w:r>
        <w:rPr>
          <w:rFonts w:ascii="IRNazanin" w:hAnsi="IRNazanin" w:eastAsia="IRNazanin"/>
          <w:color w:val="111111"/>
          <w:sz w:val="28"/>
          <w:sz w:val="28"/>
          <w:szCs w:val="28"/>
          <w:rtl w:val="true"/>
          <w:lang w:bidi="fa-IR"/>
        </w:rPr>
        <w:t xml:space="preserve">الباقر،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علي علیه السلام، الإمام الخامس</w:t>
      </w:r>
    </w:p>
    <w:p>
      <w:pPr>
        <w:pStyle w:val="BookText"/>
        <w:rPr/>
      </w:pPr>
      <w:r>
        <w:rPr>
          <w:rFonts w:ascii="IRNazanin" w:hAnsi="IRNazanin" w:eastAsia="IRNazanin"/>
          <w:color w:val="111111"/>
          <w:sz w:val="28"/>
          <w:sz w:val="28"/>
          <w:szCs w:val="28"/>
          <w:rtl w:val="true"/>
          <w:lang w:bidi="fa-IR"/>
        </w:rPr>
        <w:t xml:space="preserve">محمّد بن علي علیه السلام، الإمام الخامس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الصادق،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w:t>
      </w:r>
    </w:p>
    <w:p>
      <w:pPr>
        <w:pStyle w:val="BookText"/>
        <w:rPr/>
      </w:pPr>
      <w:r>
        <w:rPr>
          <w:rFonts w:ascii="IRNazanin" w:hAnsi="IRNazanin" w:eastAsia="IRNazanin"/>
          <w:color w:val="111111"/>
          <w:sz w:val="28"/>
          <w:sz w:val="28"/>
          <w:szCs w:val="28"/>
          <w:rtl w:val="true"/>
          <w:lang w:bidi="fa-IR"/>
        </w:rPr>
        <w:t>محمّد علیه السلام، الإمام السادس</w:t>
      </w:r>
    </w:p>
    <w:p>
      <w:pPr>
        <w:pStyle w:val="BookText"/>
        <w:rPr/>
      </w:pPr>
      <w:r>
        <w:rPr>
          <w:rFonts w:ascii="IRNazanin" w:hAnsi="IRNazanin" w:eastAsia="IRNazanin"/>
          <w:color w:val="111111"/>
          <w:sz w:val="28"/>
          <w:sz w:val="28"/>
          <w:szCs w:val="28"/>
          <w:rtl w:val="true"/>
          <w:lang w:bidi="fa-IR"/>
        </w:rPr>
        <w:t xml:space="preserve">جعفر بن محمّد علیه السلام، الإمام السادس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الصادقين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علیه السلام، الإمام</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الإمام</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علیه السلام، الإمام</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الإمام</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الكاظم، أبو الحسن الماضي، أبو الحسن</w:t>
      </w:r>
    </w:p>
    <w:p>
      <w:pPr>
        <w:pStyle w:val="BookText"/>
        <w:rPr/>
      </w:pPr>
      <w:r>
        <w:rPr>
          <w:rFonts w:ascii="IRNazanin" w:hAnsi="IRNazanin" w:eastAsia="IRNazanin"/>
          <w:color w:val="111111"/>
          <w:sz w:val="28"/>
          <w:sz w:val="28"/>
          <w:szCs w:val="28"/>
          <w:rtl w:val="true"/>
          <w:lang w:bidi="fa-IR"/>
        </w:rPr>
        <w:t xml:space="preserve">الأوّل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علیه السلام،</w:t>
      </w:r>
    </w:p>
    <w:p>
      <w:pPr>
        <w:pStyle w:val="BookText"/>
        <w:rPr/>
      </w:pPr>
      <w:r>
        <w:rPr>
          <w:rFonts w:ascii="IRNazanin" w:hAnsi="IRNazanin" w:eastAsia="IRNazanin"/>
          <w:color w:val="111111"/>
          <w:sz w:val="28"/>
          <w:sz w:val="28"/>
          <w:szCs w:val="28"/>
          <w:rtl w:val="true"/>
          <w:lang w:bidi="fa-IR"/>
        </w:rPr>
        <w:t>الإمام السابع</w:t>
      </w:r>
    </w:p>
    <w:p>
      <w:pPr>
        <w:pStyle w:val="BookText"/>
        <w:rPr/>
      </w:pPr>
      <w:r>
        <w:rPr>
          <w:rFonts w:ascii="IRNazanin" w:hAnsi="IRNazanin" w:eastAsia="IRNazanin"/>
          <w:color w:val="111111"/>
          <w:sz w:val="28"/>
          <w:sz w:val="28"/>
          <w:szCs w:val="28"/>
          <w:rtl w:val="true"/>
          <w:lang w:bidi="fa-IR"/>
        </w:rPr>
        <w:t xml:space="preserve">موسى بن جعفر علیه السلام، الإمام السابع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الرضا،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w:t>
      </w:r>
    </w:p>
    <w:p>
      <w:pPr>
        <w:pStyle w:val="BookText"/>
        <w:rPr/>
      </w:pPr>
      <w:r>
        <w:rPr>
          <w:rFonts w:ascii="IRNazanin" w:hAnsi="IRNazanin" w:eastAsia="IRNazanin"/>
          <w:color w:val="111111"/>
          <w:sz w:val="28"/>
          <w:sz w:val="28"/>
          <w:szCs w:val="28"/>
          <w:rtl w:val="true"/>
          <w:lang w:bidi="fa-IR"/>
        </w:rPr>
        <w:t>موسى علیه السلام، الإمام الثامن</w:t>
      </w:r>
    </w:p>
    <w:p>
      <w:pPr>
        <w:pStyle w:val="BookText"/>
        <w:rPr/>
      </w:pPr>
      <w:r>
        <w:rPr>
          <w:rFonts w:ascii="IRNazanin" w:hAnsi="IRNazanin" w:eastAsia="IRNazanin"/>
          <w:color w:val="111111"/>
          <w:sz w:val="28"/>
          <w:sz w:val="28"/>
          <w:szCs w:val="28"/>
          <w:rtl w:val="true"/>
          <w:lang w:bidi="fa-IR"/>
        </w:rPr>
        <w:t xml:space="preserve">علي بن موسى علیه السلام، الإمام الثامن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علیه السلام، الإمام</w:t>
      </w:r>
    </w:p>
    <w:p>
      <w:pPr>
        <w:pStyle w:val="BookText"/>
        <w:rPr/>
      </w:pPr>
      <w:r>
        <w:rPr>
          <w:rFonts w:ascii="IRNazanin" w:hAnsi="IRNazanin" w:eastAsia="IRNazanin"/>
          <w:color w:val="111111"/>
          <w:sz w:val="28"/>
          <w:sz w:val="28"/>
          <w:szCs w:val="28"/>
          <w:rtl w:val="true"/>
          <w:lang w:bidi="fa-IR"/>
        </w:rPr>
        <w:t>التاسع</w:t>
      </w:r>
    </w:p>
    <w:p>
      <w:pPr>
        <w:pStyle w:val="BookText"/>
        <w:rPr/>
      </w:pPr>
      <w:r>
        <w:rPr>
          <w:rFonts w:ascii="IRNazanin" w:hAnsi="IRNazanin" w:eastAsia="IRNazanin"/>
          <w:color w:val="111111"/>
          <w:sz w:val="28"/>
          <w:sz w:val="28"/>
          <w:szCs w:val="28"/>
          <w:rtl w:val="true"/>
          <w:lang w:bidi="fa-IR"/>
        </w:rPr>
        <w:t xml:space="preserve">محمّد بن علي علیه السلام، الإمام التاسع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الهادي،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w:t>
      </w:r>
    </w:p>
    <w:p>
      <w:pPr>
        <w:pStyle w:val="BookText"/>
        <w:rPr/>
      </w:pPr>
      <w:r>
        <w:rPr>
          <w:rFonts w:ascii="IRNazanin" w:hAnsi="IRNazanin" w:eastAsia="IRNazanin"/>
          <w:color w:val="111111"/>
          <w:sz w:val="28"/>
          <w:sz w:val="28"/>
          <w:szCs w:val="28"/>
          <w:rtl w:val="true"/>
          <w:lang w:bidi="fa-IR"/>
        </w:rPr>
        <w:t>محمّد علیه السلام، الإمام العاشر</w:t>
      </w:r>
    </w:p>
    <w:p>
      <w:pPr>
        <w:pStyle w:val="BookText"/>
        <w:rPr/>
      </w:pPr>
      <w:r>
        <w:rPr>
          <w:rFonts w:ascii="IRNazanin" w:hAnsi="IRNazanin" w:eastAsia="IRNazanin"/>
          <w:color w:val="111111"/>
          <w:sz w:val="28"/>
          <w:sz w:val="28"/>
          <w:szCs w:val="28"/>
          <w:rtl w:val="true"/>
          <w:lang w:bidi="fa-IR"/>
        </w:rPr>
        <w:t xml:space="preserve">علي بن محمد علیه السلام، الإمام العاشر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علیه السلام،</w:t>
      </w:r>
    </w:p>
    <w:p>
      <w:pPr>
        <w:pStyle w:val="BookText"/>
        <w:rPr/>
      </w:pPr>
      <w:r>
        <w:rPr>
          <w:rFonts w:ascii="Amiri" w:hAnsi="Amiri" w:eastAsia="Amiri" w:cs="Amiri"/>
          <w:color w:val="111111"/>
          <w:sz w:val="28"/>
          <w:sz w:val="28"/>
          <w:szCs w:val="28"/>
          <w:rtl w:val="true"/>
          <w:lang w:bidi="ar-SA"/>
        </w:rPr>
        <w:t>الإمام الحادي عشر</w:t>
      </w:r>
    </w:p>
    <w:p>
      <w:pPr>
        <w:pStyle w:val="BookText"/>
        <w:rPr/>
      </w:pPr>
      <w:r>
        <w:rPr>
          <w:rFonts w:ascii="IRNazanin" w:hAnsi="IRNazanin" w:eastAsia="IRNazanin"/>
          <w:color w:val="111111"/>
          <w:sz w:val="28"/>
          <w:sz w:val="28"/>
          <w:szCs w:val="28"/>
          <w:rtl w:val="true"/>
          <w:lang w:bidi="fa-IR"/>
        </w:rPr>
        <w:t>الحسن بن علي علیه السلام، الإمام الحادي عشر</w:t>
      </w:r>
    </w:p>
    <w:p>
      <w:pPr>
        <w:pStyle w:val="BookText"/>
        <w:rPr/>
      </w:pPr>
      <w:r>
        <w:rPr>
          <w:rFonts w:eastAsia="Times New Roman" w:cs="Times New Roman" w:ascii="Times New Roman" w:hAnsi="Times New Roman"/>
          <w:color w:val="111111"/>
          <w:sz w:val="28"/>
          <w:szCs w:val="28"/>
          <w:lang w:val="en-US" w:bidi="en-US"/>
        </w:rPr>
        <w:t>415</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سليمان بن داود، النبي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المسيح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9" w:name="pg15158_207346"/>
      <w:bookmarkStart w:id="500" w:name="pg15158_207346"/>
      <w:bookmarkEnd w:id="500"/>
    </w:p>
    <w:p>
      <w:pPr>
        <w:pStyle w:val="Heading4"/>
        <w:numPr>
          <w:ilvl w:val="3"/>
          <w:numId w:val="1"/>
        </w:numPr>
        <w:rPr/>
      </w:pPr>
      <w:bookmarkStart w:id="501" w:name="pg15158_207346"/>
      <w:bookmarkStart w:id="502" w:name="__RefHeading___Toc1851756_2142443653"/>
      <w:bookmarkStart w:id="503" w:name="_Toc169"/>
      <w:bookmarkEnd w:id="501"/>
      <w:bookmarkEnd w:id="502"/>
      <w:r>
        <w:rPr/>
        <w:t>4</w:t>
      </w:r>
      <w:r>
        <w:rPr>
          <w:rtl w:val="true"/>
        </w:rPr>
        <w:t xml:space="preserve"> - </w:t>
      </w:r>
      <w:r>
        <w:rPr>
          <w:rtl w:val="true"/>
        </w:rPr>
        <w:t>فهرس الأعلام</w:t>
      </w:r>
      <w:bookmarkEnd w:id="503"/>
    </w:p>
    <w:p>
      <w:pPr>
        <w:pStyle w:val="BookText"/>
        <w:rPr/>
      </w:pPr>
      <w:r>
        <w:rPr>
          <w:rFonts w:ascii="Amiri" w:hAnsi="Amiri" w:eastAsia="Amiri" w:cs="Amiri"/>
          <w:color w:val="111111"/>
          <w:sz w:val="28"/>
          <w:sz w:val="28"/>
          <w:szCs w:val="28"/>
          <w:rtl w:val="true"/>
          <w:lang w:bidi="ar-SA"/>
        </w:rPr>
        <w:t xml:space="preserve">الآبي، الحسن بن أبي طالب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إبراهيم بن أبي البلاد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ابن أبي القاسم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الصيقل،</w:t>
      </w:r>
    </w:p>
    <w:p>
      <w:pPr>
        <w:pStyle w:val="BookText"/>
        <w:rPr/>
      </w:pPr>
      <w:r>
        <w:rPr>
          <w:rFonts w:ascii="Amiri" w:hAnsi="Amiri" w:eastAsia="Amiri" w:cs="Amiri"/>
          <w:color w:val="111111"/>
          <w:sz w:val="28"/>
          <w:sz w:val="28"/>
          <w:szCs w:val="28"/>
          <w:rtl w:val="true"/>
          <w:lang w:bidi="ar-SA"/>
        </w:rPr>
        <w:t>القاسم بن أبي القاسم</w:t>
      </w:r>
    </w:p>
    <w:p>
      <w:pPr>
        <w:pStyle w:val="BookText"/>
        <w:rPr/>
      </w:pPr>
      <w:r>
        <w:rPr>
          <w:rFonts w:ascii="Amiri" w:hAnsi="Amiri" w:eastAsia="Amiri" w:cs="Amiri"/>
          <w:color w:val="111111"/>
          <w:sz w:val="28"/>
          <w:sz w:val="28"/>
          <w:szCs w:val="28"/>
          <w:rtl w:val="true"/>
          <w:lang w:bidi="ar-SA"/>
        </w:rPr>
        <w:t xml:space="preserve">ابن أبي عمير، محمّد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 xml:space="preserve">ابن أبي ليلى، محمّد بن عبدالرحمان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ابن أبي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أبي</w:t>
      </w:r>
    </w:p>
    <w:p>
      <w:pPr>
        <w:pStyle w:val="BookText"/>
        <w:rPr/>
      </w:pPr>
      <w:r>
        <w:rPr>
          <w:rFonts w:ascii="IRNazanin" w:hAnsi="IRNazanin" w:eastAsia="IRNazanin"/>
          <w:color w:val="111111"/>
          <w:sz w:val="28"/>
          <w:sz w:val="28"/>
          <w:szCs w:val="28"/>
          <w:rtl w:val="true"/>
          <w:lang w:bidi="fa-IR"/>
        </w:rPr>
        <w:t>نجران</w:t>
      </w:r>
    </w:p>
    <w:p>
      <w:pPr>
        <w:pStyle w:val="BookText"/>
        <w:rPr/>
      </w:pPr>
      <w:r>
        <w:rPr>
          <w:rFonts w:ascii="Amiri" w:hAnsi="Amiri" w:eastAsia="Amiri" w:cs="Amiri"/>
          <w:color w:val="111111"/>
          <w:sz w:val="28"/>
          <w:sz w:val="28"/>
          <w:szCs w:val="28"/>
          <w:rtl w:val="true"/>
          <w:lang w:bidi="ar-SA"/>
        </w:rPr>
        <w:t xml:space="preserve">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أبي يعفور</w:t>
      </w:r>
    </w:p>
    <w:p>
      <w:pPr>
        <w:pStyle w:val="BookText"/>
        <w:rPr/>
      </w:pPr>
      <w:r>
        <w:rPr>
          <w:rFonts w:ascii="Amiri" w:hAnsi="Amiri" w:eastAsia="Amiri" w:cs="Amiri"/>
          <w:color w:val="111111"/>
          <w:sz w:val="28"/>
          <w:sz w:val="28"/>
          <w:szCs w:val="28"/>
          <w:rtl w:val="true"/>
          <w:lang w:bidi="ar-SA"/>
        </w:rPr>
        <w:t xml:space="preserve">ابن 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p>
    <w:p>
      <w:pPr>
        <w:pStyle w:val="BookText"/>
        <w:rPr/>
      </w:pPr>
      <w:r>
        <w:rPr>
          <w:rFonts w:ascii="Amiri" w:hAnsi="Amiri" w:eastAsia="Amiri" w:cs="Amiri"/>
          <w:color w:val="111111"/>
          <w:sz w:val="28"/>
          <w:sz w:val="28"/>
          <w:szCs w:val="28"/>
          <w:rtl w:val="true"/>
          <w:lang w:bidi="ar-SA"/>
        </w:rPr>
        <w:t xml:space="preserve">ابن إدريس، محمّد بن أحمد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ابن اُذينة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اُذينة</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ابن البرّاج، عبدالعزيز بن نحرير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ابن الجنّي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الجنيد الإسكافي،</w:t>
      </w:r>
    </w:p>
    <w:p>
      <w:pPr>
        <w:pStyle w:val="BookText"/>
        <w:rPr/>
      </w:pPr>
      <w:r>
        <w:rPr>
          <w:rFonts w:ascii="IRNazanin" w:hAnsi="IRNazanin" w:eastAsia="IRNazanin"/>
          <w:color w:val="111111"/>
          <w:sz w:val="28"/>
          <w:sz w:val="28"/>
          <w:szCs w:val="28"/>
          <w:rtl w:val="true"/>
          <w:lang w:bidi="fa-IR"/>
        </w:rPr>
        <w:t>محمّد بن أحمد</w:t>
      </w:r>
    </w:p>
    <w:p>
      <w:pPr>
        <w:pStyle w:val="BookText"/>
        <w:rPr/>
      </w:pPr>
      <w:r>
        <w:rPr>
          <w:rFonts w:ascii="Amiri" w:hAnsi="Amiri" w:eastAsia="Amiri" w:cs="Amiri"/>
          <w:color w:val="111111"/>
          <w:sz w:val="28"/>
          <w:sz w:val="28"/>
          <w:szCs w:val="28"/>
          <w:rtl w:val="true"/>
          <w:lang w:bidi="ar-SA"/>
        </w:rPr>
        <w:t>ابن الجنيد الإسكافي، محمّد بن أحمد</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ابن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الحسن</w:t>
      </w:r>
    </w:p>
    <w:p>
      <w:pPr>
        <w:pStyle w:val="BookText"/>
        <w:rPr/>
      </w:pPr>
      <w:r>
        <w:rPr>
          <w:rFonts w:ascii="Amiri" w:hAnsi="Amiri" w:eastAsia="Amiri" w:cs="Amiri"/>
          <w:color w:val="111111"/>
          <w:sz w:val="28"/>
          <w:sz w:val="28"/>
          <w:szCs w:val="28"/>
          <w:rtl w:val="true"/>
          <w:lang w:bidi="ar-SA"/>
        </w:rPr>
        <w:t>بن محمّد</w:t>
      </w:r>
    </w:p>
    <w:p>
      <w:pPr>
        <w:pStyle w:val="BookText"/>
        <w:rPr/>
      </w:pPr>
      <w:r>
        <w:rPr>
          <w:rFonts w:ascii="Amiri" w:hAnsi="Amiri" w:eastAsia="Amiri" w:cs="Amiri"/>
          <w:color w:val="111111"/>
          <w:sz w:val="28"/>
          <w:sz w:val="28"/>
          <w:szCs w:val="28"/>
          <w:rtl w:val="true"/>
          <w:lang w:bidi="ar-SA"/>
        </w:rPr>
        <w:t>ابن الغضائري، أحمد بن الحسين</w:t>
      </w:r>
    </w:p>
    <w:p>
      <w:pPr>
        <w:pStyle w:val="BookText"/>
        <w:rPr/>
      </w:pPr>
      <w:r>
        <w:rPr>
          <w:rFonts w:ascii="Amiri" w:hAnsi="Amiri" w:eastAsia="Amiri" w:cs="Amiri"/>
          <w:color w:val="111111"/>
          <w:sz w:val="28"/>
          <w:sz w:val="28"/>
          <w:szCs w:val="28"/>
          <w:rtl w:val="true"/>
          <w:lang w:bidi="ar-SA"/>
        </w:rPr>
        <w:t xml:space="preserve">الغضائري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ابن القدّاح، عبداللّه بن ميمون القدّاح </w:t>
      </w:r>
      <w:r>
        <w:rPr>
          <w:rFonts w:eastAsia="Amiri" w:cs="Amiri" w:ascii="Amiri" w:hAnsi="Amiri"/>
          <w:color w:val="111111"/>
          <w:sz w:val="28"/>
          <w:szCs w:val="28"/>
          <w:lang w:bidi="ar-SA"/>
        </w:rPr>
        <w:t>288</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المغيرة </w:t>
      </w:r>
    </w:p>
    <w:p>
      <w:pPr>
        <w:pStyle w:val="BookText"/>
        <w:rPr/>
      </w:pPr>
      <w:r>
        <w:rPr>
          <w:rFonts w:ascii="Amiri" w:hAnsi="Amiri" w:eastAsia="Amiri" w:cs="Amiri"/>
          <w:color w:val="111111"/>
          <w:sz w:val="28"/>
          <w:sz w:val="28"/>
          <w:szCs w:val="28"/>
          <w:rtl w:val="true"/>
          <w:lang w:bidi="ar-SA"/>
        </w:rPr>
        <w:t xml:space="preserve">ابن الوليد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الهيثم</w:t>
      </w:r>
    </w:p>
    <w:p>
      <w:pPr>
        <w:pStyle w:val="BookText"/>
        <w:rPr/>
      </w:pP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ابن بكير، عبداللّه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ابن حمزة، محمّد بن علي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ابن حنبل، أحمد بن محمّد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ابن زهرة، حمزة بن علي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ابن سعيد، يحيى بن أحمد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w:t>
      </w:r>
    </w:p>
    <w:p>
      <w:pPr>
        <w:pStyle w:val="BookText"/>
        <w:rPr/>
      </w:pPr>
      <w:r>
        <w:rPr>
          <w:rFonts w:ascii="Amiri" w:hAnsi="Amiri" w:eastAsia="Amiri" w:cs="Amiri"/>
          <w:color w:val="111111"/>
          <w:sz w:val="28"/>
          <w:sz w:val="28"/>
          <w:szCs w:val="28"/>
          <w:rtl w:val="true"/>
          <w:lang w:bidi="ar-SA"/>
        </w:rPr>
        <w:t xml:space="preserve">ابن سيّابة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سيّابة</w:t>
      </w:r>
    </w:p>
    <w:p>
      <w:pPr>
        <w:pStyle w:val="BookText"/>
        <w:rPr/>
      </w:pPr>
      <w:r>
        <w:rPr>
          <w:rFonts w:ascii="IRNazanin" w:hAnsi="IRNazanin" w:eastAsia="IRNazanin"/>
          <w:color w:val="111111"/>
          <w:sz w:val="28"/>
          <w:sz w:val="28"/>
          <w:szCs w:val="28"/>
          <w:rtl w:val="true"/>
          <w:lang w:bidi="fa-IR"/>
        </w:rPr>
        <w:t xml:space="preserve">ابن شاذان، الفضل بن شاذان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ابن شهر آشوب، محمّد بن علي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ابن عبّاس، عبداللّه بن عبّاس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ابن عمّ أبو هريرة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ابن فضّال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ابن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w:t>
      </w:r>
    </w:p>
    <w:p>
      <w:pPr>
        <w:pStyle w:val="BookText"/>
        <w:rPr/>
      </w:pPr>
      <w:r>
        <w:rPr>
          <w:rFonts w:ascii="IRNazanin" w:hAnsi="IRNazanin" w:eastAsia="IRNazanin"/>
          <w:color w:val="111111"/>
          <w:sz w:val="28"/>
          <w:sz w:val="28"/>
          <w:szCs w:val="28"/>
          <w:rtl w:val="true"/>
          <w:lang w:bidi="fa-IR"/>
        </w:rPr>
        <w:t xml:space="preserve">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p>
    <w:p>
      <w:pPr>
        <w:pStyle w:val="BookText"/>
        <w:rPr/>
      </w:pP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w:t>
      </w:r>
    </w:p>
    <w:p>
      <w:pPr>
        <w:pStyle w:val="BookText"/>
        <w:rPr/>
      </w:pPr>
      <w:r>
        <w:rPr>
          <w:rFonts w:ascii="Amiri" w:hAnsi="Amiri" w:eastAsia="Amiri" w:cs="Amiri"/>
          <w:color w:val="111111"/>
          <w:sz w:val="28"/>
          <w:sz w:val="28"/>
          <w:szCs w:val="28"/>
          <w:rtl w:val="true"/>
          <w:lang w:bidi="ar-SA"/>
        </w:rPr>
        <w:t>الخطّاب</w:t>
      </w:r>
    </w:p>
    <w:p>
      <w:pPr>
        <w:pStyle w:val="BookText"/>
        <w:rPr/>
      </w:pPr>
      <w:r>
        <w:rPr>
          <w:rFonts w:ascii="IRNazanin" w:hAnsi="IRNazanin" w:eastAsia="IRNazanin"/>
          <w:color w:val="111111"/>
          <w:sz w:val="28"/>
          <w:sz w:val="28"/>
          <w:szCs w:val="28"/>
          <w:rtl w:val="true"/>
          <w:lang w:bidi="fa-IR"/>
        </w:rPr>
        <w:t xml:space="preserve">أبو الدرداء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عبدالملك</w:t>
      </w:r>
    </w:p>
    <w:p>
      <w:pPr>
        <w:pStyle w:val="BookText"/>
        <w:rPr/>
      </w:pPr>
      <w:r>
        <w:rPr>
          <w:rFonts w:ascii="IRNazanin" w:hAnsi="IRNazanin" w:eastAsia="IRNazanin"/>
          <w:color w:val="111111"/>
          <w:sz w:val="28"/>
          <w:sz w:val="28"/>
          <w:szCs w:val="28"/>
          <w:rtl w:val="true"/>
          <w:lang w:bidi="fa-IR"/>
        </w:rPr>
        <w:t>البقباق</w:t>
      </w:r>
    </w:p>
    <w:p>
      <w:pPr>
        <w:pStyle w:val="BookText"/>
        <w:rPr/>
      </w:pPr>
      <w:r>
        <w:rPr>
          <w:rFonts w:ascii="Amiri" w:hAnsi="Amiri" w:eastAsia="Amiri" w:cs="Amiri"/>
          <w:color w:val="111111"/>
          <w:sz w:val="28"/>
          <w:sz w:val="28"/>
          <w:szCs w:val="28"/>
          <w:rtl w:val="true"/>
          <w:lang w:bidi="ar-SA"/>
        </w:rPr>
        <w:t xml:space="preserve">أبو الفتوح الرازي، الحسين بن علي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أبو الورد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أبو حمزة الثمالي، ثابت بن دينار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الخدري، أبو سعيد</w:t>
      </w:r>
    </w:p>
    <w:p>
      <w:pPr>
        <w:pStyle w:val="BookText"/>
        <w:rPr/>
      </w:pPr>
      <w:r>
        <w:rPr>
          <w:rFonts w:ascii="Amiri" w:hAnsi="Amiri" w:eastAsia="Amiri" w:cs="Amiri"/>
          <w:color w:val="111111"/>
          <w:sz w:val="28"/>
          <w:sz w:val="28"/>
          <w:szCs w:val="28"/>
          <w:rtl w:val="true"/>
          <w:lang w:bidi="ar-SA"/>
        </w:rPr>
        <w:t xml:space="preserve">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الحذّاء، زياد بن عيسى</w:t>
      </w:r>
    </w:p>
    <w:p>
      <w:pPr>
        <w:pStyle w:val="BookText"/>
        <w:rPr/>
      </w:pPr>
      <w:r>
        <w:rPr>
          <w:rFonts w:ascii="Amiri" w:hAnsi="Amiri" w:eastAsia="Amiri" w:cs="Amiri"/>
          <w:color w:val="111111"/>
          <w:sz w:val="28"/>
          <w:sz w:val="28"/>
          <w:szCs w:val="28"/>
          <w:rtl w:val="true"/>
          <w:lang w:bidi="ar-SA"/>
        </w:rPr>
        <w:t xml:space="preserve">أبو عبيدة الحذّاء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أبو علي بن أبي هريرة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أبو كهمس، الهيثم بن عبيد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w:t>
      </w:r>
    </w:p>
    <w:p>
      <w:pPr>
        <w:pStyle w:val="BookText"/>
        <w:rPr/>
      </w:pPr>
      <w:r>
        <w:rPr>
          <w:rFonts w:ascii="IRNazanin" w:hAnsi="IRNazanin" w:eastAsia="IRNazanin"/>
          <w:color w:val="111111"/>
          <w:sz w:val="28"/>
          <w:sz w:val="28"/>
          <w:szCs w:val="28"/>
          <w:rtl w:val="true"/>
          <w:lang w:bidi="fa-IR"/>
        </w:rPr>
        <w:t xml:space="preserve">أبو مخلّد السراج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أبو مريم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أبو هريرة، عبداللّه بن عامر </w:t>
      </w:r>
      <w:r>
        <w:rPr>
          <w:rFonts w:eastAsia="Amiri" w:cs="Amiri" w:ascii="Amiri" w:hAnsi="Amiri"/>
          <w:color w:val="111111"/>
          <w:sz w:val="28"/>
          <w:szCs w:val="28"/>
          <w:lang w:bidi="ar-SA"/>
        </w:rPr>
        <w:t>432</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الحسن بن إسماعيل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الميثمي، أحمد بن الحسن بن إسماعيل</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حنبل، أحمد بن</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أحمد بن محمّد بن الحسن بن الوليد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أحمد بن هارون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الأردبيلي، أحمد بن محمّد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اُسامة بن زيد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إسحاق بن عمر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إسماعيل بن عبد الخالق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Amiri" w:hAnsi="Amiri" w:eastAsia="Amiri" w:cs="Amiri"/>
          <w:color w:val="111111"/>
          <w:sz w:val="28"/>
          <w:sz w:val="28"/>
          <w:szCs w:val="28"/>
          <w:rtl w:val="true"/>
          <w:lang w:bidi="ar-SA"/>
        </w:rPr>
        <w:t xml:space="preserve">إسماعيل بن مرار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الأصفهاني، محمّدرضا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الأقطع، سليمان بن خالد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أنجشة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أنس بن محمّد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مرتضى بن</w:t>
      </w:r>
    </w:p>
    <w:p>
      <w:pPr>
        <w:pStyle w:val="BookText"/>
        <w:rPr/>
      </w:pPr>
      <w:r>
        <w:rPr>
          <w:rFonts w:ascii="Amiri" w:hAnsi="Amiri" w:eastAsia="Amiri" w:cs="Amiri"/>
          <w:color w:val="111111"/>
          <w:sz w:val="28"/>
          <w:sz w:val="28"/>
          <w:szCs w:val="28"/>
          <w:rtl w:val="true"/>
          <w:lang w:bidi="ar-SA"/>
        </w:rPr>
        <w:t>محمّد أمين</w:t>
      </w:r>
    </w:p>
    <w:p>
      <w:pPr>
        <w:pStyle w:val="BookText"/>
        <w:rPr/>
      </w:pPr>
      <w:r>
        <w:rPr>
          <w:rFonts w:ascii="Amiri" w:hAnsi="Amiri" w:eastAsia="Amiri" w:cs="Amiri"/>
          <w:color w:val="111111"/>
          <w:sz w:val="28"/>
          <w:sz w:val="28"/>
          <w:szCs w:val="28"/>
          <w:rtl w:val="true"/>
          <w:lang w:bidi="ar-SA"/>
        </w:rPr>
        <w:t xml:space="preserve">الأنصاري، مرتضى، بن محمّد أمين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الأنصاري، جابر بن عبداللّه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495</w:t>
      </w:r>
    </w:p>
    <w:p>
      <w:pPr>
        <w:pStyle w:val="BookText"/>
        <w:rPr/>
      </w:pPr>
      <w:r>
        <w:rPr>
          <w:rFonts w:ascii="Amiri" w:hAnsi="Amiri" w:eastAsia="Amiri" w:cs="Amiri"/>
          <w:color w:val="111111"/>
          <w:sz w:val="28"/>
          <w:sz w:val="28"/>
          <w:szCs w:val="28"/>
          <w:rtl w:val="true"/>
          <w:lang w:bidi="ar-SA"/>
        </w:rPr>
        <w:t xml:space="preserve">الأهوازي، الحسين بن سعيد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الإيرواني، علي بن عبدالحسين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w:t>
      </w:r>
    </w:p>
    <w:p>
      <w:pPr>
        <w:pStyle w:val="BookText"/>
        <w:rPr/>
      </w:pPr>
      <w:r>
        <w:rPr>
          <w:rFonts w:ascii="Amiri" w:hAnsi="Amiri" w:eastAsia="Amiri" w:cs="Amiri"/>
          <w:color w:val="111111"/>
          <w:sz w:val="28"/>
          <w:sz w:val="28"/>
          <w:szCs w:val="28"/>
          <w:rtl w:val="true"/>
          <w:lang w:bidi="ar-SA"/>
        </w:rPr>
        <w:t xml:space="preserve">أيّوب 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 أيّوب بن الحرّ</w:t>
      </w:r>
    </w:p>
    <w:p>
      <w:pPr>
        <w:pStyle w:val="BookText"/>
        <w:rPr/>
      </w:pPr>
      <w:r>
        <w:rPr>
          <w:rFonts w:ascii="Amiri" w:hAnsi="Amiri" w:eastAsia="Amiri" w:cs="Amiri"/>
          <w:color w:val="111111"/>
          <w:sz w:val="28"/>
          <w:sz w:val="28"/>
          <w:szCs w:val="28"/>
          <w:rtl w:val="true"/>
          <w:lang w:bidi="ar-SA"/>
        </w:rPr>
        <w:t xml:space="preserve">البحراني، يوسف بن أحمد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برد الإسكاف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البرقي، أحمد بن محمّد بن خالد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p>
    <w:p>
      <w:pPr>
        <w:pStyle w:val="BookText"/>
        <w:rPr/>
      </w:pPr>
      <w:r>
        <w:rPr>
          <w:rFonts w:ascii="Amiri" w:hAnsi="Amiri" w:eastAsia="Amiri" w:cs="Amiri"/>
          <w:color w:val="111111"/>
          <w:sz w:val="28"/>
          <w:sz w:val="28"/>
          <w:szCs w:val="28"/>
          <w:rtl w:val="true"/>
          <w:lang w:bidi="ar-SA"/>
        </w:rPr>
        <w:t xml:space="preserve">البزنطي، أحمد بن محمّد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البصري، الحسن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البطائني، علي بن أبي حمزة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بعض أعيان المدقّقين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الشيرازي،</w:t>
      </w:r>
    </w:p>
    <w:p>
      <w:pPr>
        <w:pStyle w:val="BookText"/>
        <w:rPr/>
      </w:pPr>
      <w:r>
        <w:rPr>
          <w:rFonts w:ascii="Amiri" w:hAnsi="Amiri" w:eastAsia="Amiri" w:cs="Amiri"/>
          <w:color w:val="111111"/>
          <w:sz w:val="28"/>
          <w:sz w:val="28"/>
          <w:szCs w:val="28"/>
          <w:rtl w:val="true"/>
          <w:lang w:bidi="ar-SA"/>
        </w:rPr>
        <w:t>محمّد تقي بن محبعلي</w:t>
      </w:r>
    </w:p>
    <w:p>
      <w:pPr>
        <w:pStyle w:val="BookText"/>
        <w:rPr/>
      </w:pPr>
      <w:r>
        <w:rPr>
          <w:rFonts w:ascii="Amiri" w:hAnsi="Amiri" w:eastAsia="Amiri" w:cs="Amiri"/>
          <w:color w:val="111111"/>
          <w:sz w:val="28"/>
          <w:sz w:val="28"/>
          <w:szCs w:val="28"/>
          <w:rtl w:val="true"/>
          <w:lang w:bidi="ar-SA"/>
        </w:rPr>
        <w:t xml:space="preserve">بعض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اليزدي، محمّد كاظم</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عبدالعظيم </w:t>
      </w:r>
    </w:p>
    <w:p>
      <w:pPr>
        <w:pStyle w:val="BookText"/>
        <w:rPr/>
      </w:pPr>
      <w:r>
        <w:rPr>
          <w:rFonts w:ascii="Amiri" w:hAnsi="Amiri" w:eastAsia="Amiri" w:cs="Amiri"/>
          <w:color w:val="111111"/>
          <w:sz w:val="28"/>
          <w:sz w:val="28"/>
          <w:szCs w:val="28"/>
          <w:rtl w:val="true"/>
          <w:lang w:bidi="ar-SA"/>
        </w:rPr>
        <w:t xml:space="preserve">بعض المدقّقين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الشيرازي، محمّد تقي</w:t>
      </w:r>
    </w:p>
    <w:p>
      <w:pPr>
        <w:pStyle w:val="BookText"/>
        <w:rPr/>
      </w:pPr>
      <w:r>
        <w:rPr>
          <w:rFonts w:ascii="Amiri" w:hAnsi="Amiri" w:eastAsia="Amiri" w:cs="Amiri"/>
          <w:color w:val="111111"/>
          <w:sz w:val="28"/>
          <w:sz w:val="28"/>
          <w:szCs w:val="28"/>
          <w:rtl w:val="true"/>
          <w:lang w:bidi="ar-SA"/>
        </w:rPr>
        <w:t>بن محبعلي</w:t>
      </w:r>
    </w:p>
    <w:p>
      <w:pPr>
        <w:pStyle w:val="BookText"/>
        <w:rPr/>
      </w:pPr>
      <w:r>
        <w:rPr>
          <w:rFonts w:ascii="Amiri" w:hAnsi="Amiri" w:eastAsia="Amiri" w:cs="Amiri"/>
          <w:color w:val="111111"/>
          <w:sz w:val="28"/>
          <w:sz w:val="28"/>
          <w:szCs w:val="28"/>
          <w:rtl w:val="true"/>
          <w:lang w:bidi="ar-SA"/>
        </w:rPr>
        <w:t xml:space="preserve">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محمّد</w:t>
      </w:r>
    </w:p>
    <w:p>
      <w:pPr>
        <w:pStyle w:val="BookText"/>
        <w:rPr/>
      </w:pPr>
      <w:r>
        <w:rPr>
          <w:rFonts w:ascii="IRNazanin" w:hAnsi="IRNazanin" w:eastAsia="IRNazanin"/>
          <w:color w:val="111111"/>
          <w:sz w:val="28"/>
          <w:sz w:val="28"/>
          <w:szCs w:val="28"/>
          <w:rtl w:val="true"/>
          <w:lang w:bidi="fa-IR"/>
        </w:rPr>
        <w:t>رضا</w:t>
      </w:r>
    </w:p>
    <w:p>
      <w:pPr>
        <w:pStyle w:val="BookText"/>
        <w:rPr/>
      </w:pP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 محمّد بن مكّي</w:t>
      </w:r>
    </w:p>
    <w:p>
      <w:pPr>
        <w:pStyle w:val="BookText"/>
        <w:rPr/>
      </w:pP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زين الدين بن</w:t>
      </w:r>
    </w:p>
    <w:p>
      <w:pPr>
        <w:pStyle w:val="BookText"/>
        <w:rPr/>
      </w:pP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 xml:space="preserve">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 محمّد بن</w:t>
      </w:r>
    </w:p>
    <w:p>
      <w:pPr>
        <w:pStyle w:val="BookText"/>
        <w:rPr/>
      </w:pPr>
      <w:r>
        <w:rPr>
          <w:rFonts w:ascii="Amiri" w:hAnsi="Amiri" w:eastAsia="Amiri" w:cs="Amiri"/>
          <w:color w:val="111111"/>
          <w:sz w:val="28"/>
          <w:sz w:val="28"/>
          <w:szCs w:val="28"/>
          <w:rtl w:val="true"/>
          <w:lang w:bidi="ar-SA"/>
        </w:rPr>
        <w:t>الحسين</w:t>
      </w:r>
    </w:p>
    <w:p>
      <w:pPr>
        <w:pStyle w:val="BookText"/>
        <w:rPr/>
      </w:pPr>
      <w:r>
        <w:rPr>
          <w:rFonts w:ascii="Amiri" w:hAnsi="Amiri" w:eastAsia="Amiri" w:cs="Amiri"/>
          <w:color w:val="111111"/>
          <w:sz w:val="28"/>
          <w:sz w:val="28"/>
          <w:szCs w:val="28"/>
          <w:rtl w:val="true"/>
          <w:lang w:bidi="ar-SA"/>
        </w:rPr>
        <w:t xml:space="preserve">تميم الداري، أحمد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ثعلبة بن ميمون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جابر بن عبداللّه</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 جابر بن يزيد</w:t>
      </w:r>
    </w:p>
    <w:p>
      <w:pPr>
        <w:pStyle w:val="BookText"/>
        <w:rPr/>
      </w:pPr>
      <w:r>
        <w:rPr>
          <w:rFonts w:ascii="Amiri" w:hAnsi="Amiri" w:eastAsia="Amiri" w:cs="Amiri"/>
          <w:color w:val="111111"/>
          <w:sz w:val="28"/>
          <w:sz w:val="28"/>
          <w:szCs w:val="28"/>
          <w:rtl w:val="true"/>
          <w:lang w:bidi="ar-SA"/>
        </w:rPr>
        <w:t xml:space="preserve">جرّاح المدائني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الجرجاني، الفتح بن يزيد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الجعفي، أيّوب الحرّ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الجعفي، جابر بن يزيد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الجوهري، إسماعيل بن حمّاد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حاتم بن إسماعيل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الحارث بن مغيرة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الحذّاء، زياد بن عيسى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حذيفة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w:t>
      </w:r>
    </w:p>
    <w:p>
      <w:pPr>
        <w:pStyle w:val="BookText"/>
        <w:rPr/>
      </w:pPr>
      <w:r>
        <w:rPr>
          <w:rFonts w:ascii="Amiri" w:hAnsi="Amiri" w:eastAsia="Amiri" w:cs="Amiri"/>
          <w:color w:val="111111"/>
          <w:sz w:val="28"/>
          <w:sz w:val="28"/>
          <w:szCs w:val="28"/>
          <w:rtl w:val="true"/>
          <w:lang w:bidi="ar-SA"/>
        </w:rPr>
        <w:t>الصحابي</w:t>
      </w:r>
    </w:p>
    <w:p>
      <w:pPr>
        <w:pStyle w:val="BookText"/>
        <w:rPr/>
      </w:pPr>
      <w:r>
        <w:rPr>
          <w:rFonts w:ascii="Amiri" w:hAnsi="Amiri" w:eastAsia="Amiri" w:cs="Amiri"/>
          <w:color w:val="111111"/>
          <w:sz w:val="28"/>
          <w:sz w:val="28"/>
          <w:szCs w:val="28"/>
          <w:rtl w:val="true"/>
          <w:lang w:bidi="ar-SA"/>
        </w:rPr>
        <w:t xml:space="preserve">حذيفة بن اليمان الصحابي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الحرث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مغيرة</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 الحسن</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الحسن بن</w:t>
      </w:r>
    </w:p>
    <w:p>
      <w:pPr>
        <w:pStyle w:val="BookText"/>
        <w:rPr/>
      </w:pP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 xml:space="preserve">الحسن بن علي بن أبي المغيرة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السرّاد، الحسن بن</w:t>
      </w:r>
    </w:p>
    <w:p>
      <w:pPr>
        <w:pStyle w:val="BookText"/>
        <w:rPr/>
      </w:pPr>
      <w:r>
        <w:rPr>
          <w:rFonts w:ascii="IRNazanin" w:hAnsi="IRNazanin" w:eastAsia="IRNazanin"/>
          <w:color w:val="111111"/>
          <w:sz w:val="28"/>
          <w:sz w:val="28"/>
          <w:szCs w:val="28"/>
          <w:rtl w:val="true"/>
          <w:lang w:bidi="fa-IR"/>
        </w:rPr>
        <w:t>محبوب</w:t>
      </w:r>
    </w:p>
    <w:p>
      <w:pPr>
        <w:pStyle w:val="BookText"/>
        <w:rPr/>
      </w:pPr>
      <w:r>
        <w:rPr>
          <w:rFonts w:ascii="IRNazanin" w:hAnsi="IRNazanin" w:eastAsia="IRNazanin"/>
          <w:color w:val="111111"/>
          <w:sz w:val="28"/>
          <w:sz w:val="28"/>
          <w:szCs w:val="28"/>
          <w:rtl w:val="true"/>
          <w:lang w:bidi="fa-IR"/>
        </w:rPr>
        <w:t xml:space="preserve">الحسن بن هارون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الحسين بن زيد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الأهوازي، الحسين</w:t>
      </w:r>
    </w:p>
    <w:p>
      <w:pPr>
        <w:pStyle w:val="BookText"/>
        <w:rPr/>
      </w:pPr>
      <w:r>
        <w:rPr>
          <w:rFonts w:ascii="Amiri" w:hAnsi="Amiri" w:eastAsia="Amiri" w:cs="Amiri"/>
          <w:color w:val="111111"/>
          <w:sz w:val="28"/>
          <w:sz w:val="28"/>
          <w:szCs w:val="28"/>
          <w:rtl w:val="true"/>
          <w:lang w:bidi="ar-SA"/>
        </w:rPr>
        <w:t>بن سعيد</w:t>
      </w:r>
    </w:p>
    <w:p>
      <w:pPr>
        <w:pStyle w:val="BookText"/>
        <w:rPr/>
      </w:pPr>
      <w:r>
        <w:rPr>
          <w:rFonts w:ascii="Amiri" w:hAnsi="Amiri" w:eastAsia="Amiri" w:cs="Amiri"/>
          <w:color w:val="111111"/>
          <w:sz w:val="28"/>
          <w:sz w:val="28"/>
          <w:szCs w:val="28"/>
          <w:rtl w:val="true"/>
          <w:lang w:bidi="ar-SA"/>
        </w:rPr>
        <w:t xml:space="preserve">الحسين بن يزيد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الحضرمي، أبو بكر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حفص بن عمر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 xml:space="preserve">حكم الخيّاط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حكم السرّاج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الحلبي، عبيداللّه بن علي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محمّد بن أحمد</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حمّاد بن عمرو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الحميري، عبداللّه بن جعفر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حنّان بن سدير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الخدري، أبو سعيد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السبزواري،</w:t>
      </w:r>
    </w:p>
    <w:p>
      <w:pPr>
        <w:pStyle w:val="BookText"/>
        <w:rPr/>
      </w:pPr>
      <w:r>
        <w:rPr>
          <w:rFonts w:ascii="Amiri" w:hAnsi="Amiri" w:eastAsia="Amiri" w:cs="Amiri"/>
          <w:color w:val="111111"/>
          <w:sz w:val="28"/>
          <w:sz w:val="28"/>
          <w:szCs w:val="28"/>
          <w:rtl w:val="true"/>
          <w:lang w:bidi="ar-SA"/>
        </w:rPr>
        <w:t>محمّد باقر بن محمّد مؤمن</w:t>
      </w:r>
    </w:p>
    <w:p>
      <w:pPr>
        <w:pStyle w:val="BookText"/>
        <w:rPr/>
      </w:pPr>
      <w:r>
        <w:rPr>
          <w:rFonts w:ascii="Amiri" w:hAnsi="Amiri" w:eastAsia="Amiri" w:cs="Amiri"/>
          <w:color w:val="111111"/>
          <w:sz w:val="28"/>
          <w:sz w:val="28"/>
          <w:szCs w:val="28"/>
          <w:rtl w:val="true"/>
          <w:lang w:bidi="ar-SA"/>
        </w:rPr>
        <w:t xml:space="preserve">الداماد، ميرمحمّد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الميرداماد، محمّد</w:t>
      </w:r>
    </w:p>
    <w:p>
      <w:pPr>
        <w:pStyle w:val="BookText"/>
        <w:rPr/>
      </w:pPr>
      <w:r>
        <w:rPr>
          <w:rFonts w:ascii="IRNazanin" w:hAnsi="IRNazanin" w:eastAsia="IRNazanin"/>
          <w:color w:val="111111"/>
          <w:sz w:val="28"/>
          <w:sz w:val="28"/>
          <w:szCs w:val="28"/>
          <w:rtl w:val="true"/>
          <w:lang w:bidi="fa-IR"/>
        </w:rPr>
        <w:t>باقر بن محمّد</w:t>
      </w:r>
    </w:p>
    <w:p>
      <w:pPr>
        <w:pStyle w:val="BookText"/>
        <w:rPr/>
      </w:pPr>
      <w:r>
        <w:rPr>
          <w:rFonts w:ascii="IRNazanin" w:hAnsi="IRNazanin" w:eastAsia="IRNazanin"/>
          <w:color w:val="111111"/>
          <w:sz w:val="28"/>
          <w:sz w:val="28"/>
          <w:szCs w:val="28"/>
          <w:rtl w:val="true"/>
          <w:lang w:bidi="fa-IR"/>
        </w:rPr>
        <w:t xml:space="preserve">داود بن سرحان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داود بن عيسى بن علي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الراوندي الكاشاني، فضل اللّه بن علي</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الراوندي، سعيد بن</w:t>
      </w:r>
    </w:p>
    <w:p>
      <w:pPr>
        <w:pStyle w:val="BookText"/>
        <w:rPr/>
      </w:pPr>
      <w:r>
        <w:rPr>
          <w:rFonts w:ascii="Amiri" w:hAnsi="Amiri" w:eastAsia="Amiri" w:cs="Amiri"/>
          <w:color w:val="111111"/>
          <w:sz w:val="28"/>
          <w:sz w:val="28"/>
          <w:szCs w:val="28"/>
          <w:rtl w:val="true"/>
          <w:lang w:bidi="ar-SA"/>
        </w:rPr>
        <w:t>هبة اللّه</w:t>
      </w:r>
    </w:p>
    <w:p>
      <w:pPr>
        <w:pStyle w:val="BookText"/>
        <w:rPr/>
      </w:pPr>
      <w:r>
        <w:rPr>
          <w:rFonts w:ascii="Amiri" w:hAnsi="Amiri" w:eastAsia="Amiri" w:cs="Amiri"/>
          <w:color w:val="111111"/>
          <w:sz w:val="28"/>
          <w:sz w:val="28"/>
          <w:szCs w:val="28"/>
          <w:rtl w:val="true"/>
          <w:lang w:bidi="ar-SA"/>
        </w:rPr>
        <w:t xml:space="preserve">ربعي بن عبداللّه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الرشيد</w:t>
      </w:r>
    </w:p>
    <w:p>
      <w:pPr>
        <w:pStyle w:val="BookText"/>
        <w:rPr/>
      </w:pPr>
      <w:r>
        <w:rPr>
          <w:rFonts w:ascii="Amiri" w:hAnsi="Amiri" w:eastAsia="Amiri" w:cs="Amiri"/>
          <w:color w:val="111111"/>
          <w:sz w:val="28"/>
          <w:sz w:val="28"/>
          <w:szCs w:val="28"/>
          <w:rtl w:val="true"/>
          <w:lang w:bidi="ar-SA"/>
        </w:rPr>
        <w:t xml:space="preserve">رفاعة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النخّاس، رفاعة بن</w:t>
      </w:r>
    </w:p>
    <w:p>
      <w:pPr>
        <w:pStyle w:val="BookText"/>
        <w:rPr/>
      </w:pPr>
      <w:r>
        <w:rPr>
          <w:rFonts w:ascii="IRNazanin" w:hAnsi="IRNazanin" w:eastAsia="IRNazanin"/>
          <w:color w:val="111111"/>
          <w:sz w:val="28"/>
          <w:sz w:val="28"/>
          <w:szCs w:val="28"/>
          <w:rtl w:val="true"/>
          <w:lang w:bidi="fa-IR"/>
        </w:rPr>
        <w:t>موسى</w:t>
      </w:r>
    </w:p>
    <w:p>
      <w:pPr>
        <w:pStyle w:val="BookText"/>
        <w:rPr/>
      </w:pPr>
      <w:r>
        <w:rPr>
          <w:rFonts w:ascii="Amiri" w:hAnsi="Amiri" w:eastAsia="Amiri" w:cs="Amiri"/>
          <w:color w:val="111111"/>
          <w:sz w:val="28"/>
          <w:sz w:val="28"/>
          <w:szCs w:val="28"/>
          <w:rtl w:val="true"/>
          <w:lang w:bidi="ar-SA"/>
        </w:rPr>
        <w:t xml:space="preserve">الريّان بن الصلت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زكريّا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زكريّا بن آدم</w:t>
      </w:r>
    </w:p>
    <w:p>
      <w:pPr>
        <w:pStyle w:val="BookText"/>
        <w:rPr/>
      </w:pPr>
      <w:r>
        <w:rPr>
          <w:rFonts w:ascii="Amiri" w:hAnsi="Amiri" w:eastAsia="Amiri" w:cs="Amiri"/>
          <w:color w:val="111111"/>
          <w:sz w:val="28"/>
          <w:sz w:val="28"/>
          <w:szCs w:val="28"/>
          <w:rtl w:val="true"/>
          <w:lang w:bidi="ar-SA"/>
        </w:rPr>
        <w:t xml:space="preserve">زياد بن عيسى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w:t>
      </w:r>
    </w:p>
    <w:p>
      <w:pPr>
        <w:pStyle w:val="BookText"/>
        <w:rPr/>
      </w:pPr>
      <w:r>
        <w:rPr>
          <w:rFonts w:ascii="Amiri" w:hAnsi="Amiri" w:eastAsia="Amiri" w:cs="Amiri"/>
          <w:color w:val="111111"/>
          <w:sz w:val="28"/>
          <w:sz w:val="28"/>
          <w:szCs w:val="28"/>
          <w:rtl w:val="true"/>
          <w:lang w:bidi="ar-SA"/>
        </w:rPr>
        <w:t>الحذّاء</w:t>
      </w:r>
    </w:p>
    <w:p>
      <w:pPr>
        <w:pStyle w:val="BookText"/>
        <w:rPr/>
      </w:pPr>
      <w:r>
        <w:rPr>
          <w:rFonts w:ascii="Amiri" w:hAnsi="Amiri" w:eastAsia="Amiri" w:cs="Amiri"/>
          <w:color w:val="111111"/>
          <w:sz w:val="28"/>
          <w:sz w:val="28"/>
          <w:szCs w:val="28"/>
          <w:rtl w:val="true"/>
          <w:lang w:bidi="ar-SA"/>
        </w:rPr>
        <w:t xml:space="preserve">زيد الشحّام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السدي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السرّاج</w:t>
      </w:r>
    </w:p>
    <w:p>
      <w:pPr>
        <w:pStyle w:val="BookText"/>
        <w:rPr/>
      </w:pPr>
      <w:r>
        <w:rPr>
          <w:rFonts w:ascii="IRNazanin" w:hAnsi="IRNazanin" w:eastAsia="IRNazanin"/>
          <w:color w:val="111111"/>
          <w:sz w:val="28"/>
          <w:sz w:val="28"/>
          <w:szCs w:val="28"/>
          <w:rtl w:val="true"/>
          <w:lang w:bidi="fa-IR"/>
        </w:rPr>
        <w:t xml:space="preserve">السرّاد، الحسن بن محبوب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سعد بن محمّد الطاطري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الطاطري،</w:t>
      </w:r>
    </w:p>
    <w:p>
      <w:pPr>
        <w:pStyle w:val="BookText"/>
        <w:rPr/>
      </w:pPr>
      <w:r>
        <w:rPr>
          <w:rFonts w:ascii="Amiri" w:hAnsi="Amiri" w:eastAsia="Amiri" w:cs="Amiri"/>
          <w:color w:val="111111"/>
          <w:sz w:val="28"/>
          <w:sz w:val="28"/>
          <w:szCs w:val="28"/>
          <w:rtl w:val="true"/>
          <w:lang w:bidi="ar-SA"/>
        </w:rPr>
        <w:t>سعد بن محمّد</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السكوني، إسماعيل بن أبي زياد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 xml:space="preserve">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سلاّر الديلمي، حمزة بن</w:t>
      </w:r>
    </w:p>
    <w:p>
      <w:pPr>
        <w:pStyle w:val="BookText"/>
        <w:rPr/>
      </w:pPr>
      <w:r>
        <w:rPr>
          <w:rFonts w:ascii="Amiri" w:hAnsi="Amiri" w:eastAsia="Amiri" w:cs="Amiri"/>
          <w:color w:val="111111"/>
          <w:sz w:val="28"/>
          <w:sz w:val="28"/>
          <w:szCs w:val="28"/>
          <w:rtl w:val="true"/>
          <w:lang w:bidi="ar-SA"/>
        </w:rPr>
        <w:t>عبدالعزيز</w:t>
      </w:r>
    </w:p>
    <w:p>
      <w:pPr>
        <w:pStyle w:val="BookText"/>
        <w:rPr/>
      </w:pPr>
      <w:r>
        <w:rPr>
          <w:rFonts w:ascii="Amiri" w:hAnsi="Amiri" w:eastAsia="Amiri" w:cs="Amiri"/>
          <w:color w:val="111111"/>
          <w:sz w:val="28"/>
          <w:sz w:val="28"/>
          <w:szCs w:val="28"/>
          <w:rtl w:val="true"/>
          <w:lang w:bidi="ar-SA"/>
        </w:rPr>
        <w:t xml:space="preserve">سلاّر الديلمي، حمزة بن عبدالعزيز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سليمان الإسكاف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سليمان بن جعفر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الأقطع، سليمان بن</w:t>
      </w:r>
    </w:p>
    <w:p>
      <w:pPr>
        <w:pStyle w:val="BookText"/>
        <w:rPr/>
      </w:pPr>
      <w:r>
        <w:rPr>
          <w:rFonts w:ascii="IRNazanin" w:hAnsi="IRNazanin" w:eastAsia="IRNazanin"/>
          <w:color w:val="111111"/>
          <w:sz w:val="28"/>
          <w:sz w:val="28"/>
          <w:szCs w:val="28"/>
          <w:rtl w:val="true"/>
          <w:lang w:bidi="fa-IR"/>
        </w:rPr>
        <w:t>خالد</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سودة بنت زمعة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سهل بن زياد الآدمي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 علي بن</w:t>
      </w:r>
    </w:p>
    <w:p>
      <w:pPr>
        <w:pStyle w:val="BookText"/>
        <w:rPr/>
      </w:pPr>
      <w:r>
        <w:rPr>
          <w:rFonts w:ascii="Amiri" w:hAnsi="Amiri" w:eastAsia="Amiri" w:cs="Amiri"/>
          <w:color w:val="111111"/>
          <w:sz w:val="28"/>
          <w:sz w:val="28"/>
          <w:szCs w:val="28"/>
          <w:rtl w:val="true"/>
          <w:lang w:bidi="ar-SA"/>
        </w:rPr>
        <w:t>الحسين</w:t>
      </w:r>
    </w:p>
    <w:p>
      <w:pPr>
        <w:pStyle w:val="BookText"/>
        <w:rPr/>
      </w:pPr>
      <w:r>
        <w:rPr>
          <w:rFonts w:ascii="Amiri" w:hAnsi="Amiri" w:eastAsia="Amiri" w:cs="Amiri"/>
          <w:color w:val="111111"/>
          <w:sz w:val="28"/>
          <w:sz w:val="28"/>
          <w:szCs w:val="28"/>
          <w:rtl w:val="true"/>
          <w:lang w:bidi="ar-SA"/>
        </w:rPr>
        <w:t xml:space="preserve">السيّد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اليزدي، محمّد كاظم بن</w:t>
      </w:r>
    </w:p>
    <w:p>
      <w:pPr>
        <w:pStyle w:val="BookText"/>
        <w:rPr/>
      </w:pPr>
      <w:r>
        <w:rPr>
          <w:rFonts w:ascii="Amiri" w:hAnsi="Amiri" w:eastAsia="Amiri" w:cs="Amiri"/>
          <w:color w:val="111111"/>
          <w:sz w:val="28"/>
          <w:sz w:val="28"/>
          <w:szCs w:val="28"/>
          <w:rtl w:val="true"/>
          <w:lang w:bidi="ar-SA"/>
        </w:rPr>
        <w:t>عبدالعظيم</w:t>
      </w:r>
    </w:p>
    <w:p>
      <w:pPr>
        <w:pStyle w:val="BookText"/>
        <w:rPr/>
      </w:pPr>
      <w:r>
        <w:rPr>
          <w:rFonts w:ascii="Amiri" w:hAnsi="Amiri" w:eastAsia="Amiri" w:cs="Amiri"/>
          <w:color w:val="111111"/>
          <w:sz w:val="28"/>
          <w:sz w:val="28"/>
          <w:szCs w:val="28"/>
          <w:rtl w:val="true"/>
          <w:lang w:bidi="ar-SA"/>
        </w:rPr>
        <w:t xml:space="preserve">سيف بن التمّار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سيف بن سليمان التمّار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السيوري الحلّي، مقداد بن عبداللّه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الشافعي، محمّد بن إدريس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الشهيدان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 محمّد بن</w:t>
      </w:r>
    </w:p>
    <w:p>
      <w:pPr>
        <w:pStyle w:val="BookText"/>
        <w:rPr/>
      </w:pPr>
      <w:r>
        <w:rPr>
          <w:rFonts w:ascii="Amiri" w:hAnsi="Amiri" w:eastAsia="Amiri" w:cs="Amiri"/>
          <w:color w:val="111111"/>
          <w:sz w:val="28"/>
          <w:sz w:val="28"/>
          <w:szCs w:val="28"/>
          <w:rtl w:val="true"/>
          <w:lang w:bidi="ar-SA"/>
        </w:rPr>
        <w:t xml:space="preserve">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زين الدين بن</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الشهيد الأوّل، محمّد بن مكّي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الشهيد الثاني، زين الدين بن علي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مرتضى بن محمّد</w:t>
      </w:r>
    </w:p>
    <w:p>
      <w:pPr>
        <w:pStyle w:val="BookText"/>
        <w:rPr/>
      </w:pPr>
      <w:r>
        <w:rPr>
          <w:rFonts w:ascii="Amiri" w:hAnsi="Amiri" w:eastAsia="Amiri" w:cs="Amiri"/>
          <w:color w:val="111111"/>
          <w:sz w:val="28"/>
          <w:sz w:val="28"/>
          <w:szCs w:val="28"/>
          <w:rtl w:val="true"/>
          <w:lang w:bidi="ar-SA"/>
        </w:rPr>
        <w:t>أمين</w:t>
      </w:r>
    </w:p>
    <w:p>
      <w:pPr>
        <w:pStyle w:val="BookText"/>
        <w:rPr/>
      </w:pPr>
      <w:r>
        <w:rPr>
          <w:rFonts w:ascii="Amiri" w:hAnsi="Amiri" w:eastAsia="Amiri" w:cs="Amiri"/>
          <w:color w:val="111111"/>
          <w:sz w:val="28"/>
          <w:sz w:val="28"/>
          <w:szCs w:val="28"/>
          <w:rtl w:val="true"/>
          <w:lang w:bidi="ar-SA"/>
        </w:rPr>
        <w:t xml:space="preserve">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مرتضى بن</w:t>
      </w:r>
    </w:p>
    <w:p>
      <w:pPr>
        <w:pStyle w:val="BookText"/>
        <w:rPr/>
      </w:pPr>
      <w:r>
        <w:rPr>
          <w:rFonts w:ascii="Amiri" w:hAnsi="Amiri" w:eastAsia="Amiri" w:cs="Amiri"/>
          <w:color w:val="111111"/>
          <w:sz w:val="28"/>
          <w:sz w:val="28"/>
          <w:szCs w:val="28"/>
          <w:rtl w:val="true"/>
          <w:lang w:bidi="ar-SA"/>
        </w:rPr>
        <w:t>محمّد أمين</w:t>
      </w:r>
    </w:p>
    <w:p>
      <w:pPr>
        <w:pStyle w:val="BookText"/>
        <w:rPr/>
      </w:pPr>
      <w:r>
        <w:rPr>
          <w:rFonts w:ascii="Amiri" w:hAnsi="Amiri" w:eastAsia="Amiri" w:cs="Amiri"/>
          <w:color w:val="111111"/>
          <w:sz w:val="28"/>
          <w:sz w:val="28"/>
          <w:szCs w:val="28"/>
          <w:rtl w:val="true"/>
          <w:lang w:bidi="ar-SA"/>
        </w:rPr>
        <w:t xml:space="preserve">الشيخ البهائي، محمّد بن الحسين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محمّد بن الحسن</w:t>
      </w:r>
    </w:p>
    <w:p>
      <w:pPr>
        <w:pStyle w:val="BookText"/>
        <w:rPr/>
      </w:pP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محمّد بن</w:t>
      </w:r>
    </w:p>
    <w:p>
      <w:pPr>
        <w:pStyle w:val="BookText"/>
        <w:rPr/>
      </w:pPr>
      <w:r>
        <w:rPr>
          <w:rFonts w:ascii="IRNazanin" w:hAnsi="IRNazanin" w:eastAsia="IRNazanin"/>
          <w:color w:val="111111"/>
          <w:sz w:val="28"/>
          <w:sz w:val="28"/>
          <w:szCs w:val="28"/>
          <w:rtl w:val="true"/>
          <w:lang w:bidi="fa-IR"/>
        </w:rPr>
        <w:t>الحسن</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محمّد بن</w:t>
      </w:r>
    </w:p>
    <w:p>
      <w:pPr>
        <w:pStyle w:val="BookText"/>
        <w:rPr/>
      </w:pPr>
      <w:r>
        <w:rPr>
          <w:rFonts w:ascii="IRNazanin" w:hAnsi="IRNazanin" w:eastAsia="IRNazanin"/>
          <w:color w:val="111111"/>
          <w:sz w:val="28"/>
          <w:sz w:val="28"/>
          <w:szCs w:val="28"/>
          <w:rtl w:val="true"/>
          <w:lang w:bidi="fa-IR"/>
        </w:rPr>
        <w:t>الحسن</w:t>
      </w:r>
    </w:p>
    <w:p>
      <w:pPr>
        <w:pStyle w:val="BookText"/>
        <w:rPr/>
      </w:pPr>
      <w:r>
        <w:rPr>
          <w:rFonts w:ascii="Amiri" w:hAnsi="Amiri" w:eastAsia="Amiri" w:cs="Amiri"/>
          <w:color w:val="111111"/>
          <w:sz w:val="28"/>
          <w:sz w:val="28"/>
          <w:szCs w:val="28"/>
          <w:rtl w:val="true"/>
          <w:lang w:bidi="ar-SA"/>
        </w:rPr>
        <w:t xml:space="preserve">الشيخ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مرتضى</w:t>
      </w:r>
    </w:p>
    <w:p>
      <w:pPr>
        <w:pStyle w:val="BookText"/>
        <w:rPr/>
      </w:pPr>
      <w:r>
        <w:rPr>
          <w:rFonts w:ascii="Amiri" w:hAnsi="Amiri" w:eastAsia="Amiri" w:cs="Amiri"/>
          <w:color w:val="111111"/>
          <w:sz w:val="28"/>
          <w:sz w:val="28"/>
          <w:szCs w:val="28"/>
          <w:rtl w:val="true"/>
          <w:lang w:bidi="ar-SA"/>
        </w:rPr>
        <w:t>بن محمّد أمين</w:t>
      </w:r>
    </w:p>
    <w:p>
      <w:pPr>
        <w:pStyle w:val="BookText"/>
        <w:rPr/>
      </w:pPr>
      <w:r>
        <w:rPr>
          <w:rFonts w:ascii="Amiri" w:hAnsi="Amiri" w:eastAsia="Amiri" w:cs="Amiri"/>
          <w:color w:val="111111"/>
          <w:sz w:val="28"/>
          <w:sz w:val="28"/>
          <w:szCs w:val="28"/>
          <w:rtl w:val="true"/>
          <w:lang w:bidi="ar-SA"/>
        </w:rPr>
        <w:t xml:space="preserve">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الشيرازي، محمّدتقي بن</w:t>
      </w:r>
    </w:p>
    <w:p>
      <w:pPr>
        <w:pStyle w:val="BookText"/>
        <w:rPr/>
      </w:pPr>
      <w:r>
        <w:rPr>
          <w:rFonts w:ascii="Amiri" w:hAnsi="Amiri" w:eastAsia="Amiri" w:cs="Amiri"/>
          <w:color w:val="111111"/>
          <w:sz w:val="28"/>
          <w:sz w:val="28"/>
          <w:szCs w:val="28"/>
          <w:rtl w:val="true"/>
          <w:lang w:bidi="ar-SA"/>
        </w:rPr>
        <w:t>محبعلي</w:t>
      </w:r>
    </w:p>
    <w:p>
      <w:pPr>
        <w:pStyle w:val="BookText"/>
        <w:rPr/>
      </w:pPr>
      <w:r>
        <w:rPr>
          <w:rFonts w:ascii="Amiri" w:hAnsi="Amiri" w:eastAsia="Amiri" w:cs="Amiri"/>
          <w:color w:val="111111"/>
          <w:sz w:val="28"/>
          <w:sz w:val="28"/>
          <w:szCs w:val="28"/>
          <w:rtl w:val="true"/>
          <w:lang w:bidi="ar-SA"/>
        </w:rPr>
        <w:t xml:space="preserve">الشيرازي، محمّدتقي بن محبعلي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صابر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صاحب التنقيح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السيوري</w:t>
      </w:r>
    </w:p>
    <w:p>
      <w:pPr>
        <w:pStyle w:val="BookText"/>
        <w:rPr/>
      </w:pPr>
      <w:r>
        <w:rPr>
          <w:rFonts w:ascii="Amiri" w:hAnsi="Amiri" w:eastAsia="Amiri" w:cs="Amiri"/>
          <w:color w:val="111111"/>
          <w:sz w:val="28"/>
          <w:sz w:val="28"/>
          <w:szCs w:val="28"/>
          <w:rtl w:val="true"/>
          <w:lang w:bidi="ar-SA"/>
        </w:rPr>
        <w:t>الحلّي، مقداد بن عبداللّه</w:t>
      </w:r>
    </w:p>
    <w:p>
      <w:pPr>
        <w:pStyle w:val="BookText"/>
        <w:rPr/>
      </w:pPr>
      <w:r>
        <w:rPr>
          <w:rFonts w:ascii="IRNazanin" w:hAnsi="IRNazanin" w:eastAsia="IRNazanin"/>
          <w:color w:val="111111"/>
          <w:sz w:val="28"/>
          <w:sz w:val="28"/>
          <w:szCs w:val="28"/>
          <w:rtl w:val="true"/>
          <w:lang w:bidi="fa-IR"/>
        </w:rPr>
        <w:t>صاحب الجواهر، محمّد حسن بن باقر</w:t>
      </w:r>
    </w:p>
    <w:p>
      <w:pPr>
        <w:pStyle w:val="BookText"/>
        <w:rPr/>
      </w:pPr>
      <w:r>
        <w:rPr>
          <w:rFonts w:eastAsia="Times New Roman" w:cs="Times New Roman" w:ascii="Times New Roman" w:hAnsi="Times New Roman"/>
          <w:color w:val="111111"/>
          <w:sz w:val="28"/>
          <w:szCs w:val="28"/>
          <w:lang w:val="en-US" w:bidi="en-US"/>
        </w:rPr>
        <w:t>424</w:t>
      </w:r>
    </w:p>
    <w:p>
      <w:pPr>
        <w:pStyle w:val="BookText"/>
        <w:rPr/>
      </w:pPr>
      <w:r>
        <w:rPr>
          <w:rFonts w:ascii="Amiri" w:hAnsi="Amiri" w:eastAsia="Amiri" w:cs="Amiri"/>
          <w:color w:val="111111"/>
          <w:sz w:val="28"/>
          <w:sz w:val="28"/>
          <w:szCs w:val="28"/>
          <w:rtl w:val="true"/>
          <w:lang w:bidi="ar-SA"/>
        </w:rPr>
        <w:t xml:space="preserve">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علي بن</w:t>
      </w:r>
    </w:p>
    <w:p>
      <w:pPr>
        <w:pStyle w:val="BookText"/>
        <w:rPr/>
      </w:pPr>
      <w:r>
        <w:rPr>
          <w:rFonts w:ascii="Amiri" w:hAnsi="Amiri" w:eastAsia="Amiri" w:cs="Amiri"/>
          <w:color w:val="111111"/>
          <w:sz w:val="28"/>
          <w:sz w:val="28"/>
          <w:szCs w:val="28"/>
          <w:rtl w:val="true"/>
          <w:lang w:bidi="ar-SA"/>
        </w:rPr>
        <w:t>محمّد علي</w:t>
      </w:r>
    </w:p>
    <w:p>
      <w:pPr>
        <w:pStyle w:val="BookText"/>
        <w:rPr/>
      </w:pPr>
      <w:r>
        <w:rPr>
          <w:rFonts w:ascii="Amiri" w:hAnsi="Amiri" w:eastAsia="Amiri" w:cs="Amiri"/>
          <w:color w:val="111111"/>
          <w:sz w:val="28"/>
          <w:sz w:val="28"/>
          <w:szCs w:val="28"/>
          <w:rtl w:val="true"/>
          <w:lang w:bidi="ar-SA"/>
        </w:rPr>
        <w:t xml:space="preserve">صاحب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 إسماعيل</w:t>
      </w:r>
    </w:p>
    <w:p>
      <w:pPr>
        <w:pStyle w:val="BookText"/>
        <w:rPr/>
      </w:pPr>
      <w:r>
        <w:rPr>
          <w:rFonts w:ascii="Amiri" w:hAnsi="Amiri" w:eastAsia="Amiri" w:cs="Amiri"/>
          <w:color w:val="111111"/>
          <w:sz w:val="28"/>
          <w:sz w:val="28"/>
          <w:szCs w:val="28"/>
          <w:rtl w:val="true"/>
          <w:lang w:bidi="ar-SA"/>
        </w:rPr>
        <w:t>بن حمّاد</w:t>
      </w:r>
    </w:p>
    <w:p>
      <w:pPr>
        <w:pStyle w:val="BookText"/>
        <w:rPr/>
      </w:pPr>
      <w:r>
        <w:rPr>
          <w:rFonts w:ascii="Amiri" w:hAnsi="Amiri" w:eastAsia="Amiri" w:cs="Amiri"/>
          <w:color w:val="111111"/>
          <w:sz w:val="28"/>
          <w:sz w:val="28"/>
          <w:szCs w:val="28"/>
          <w:rtl w:val="true"/>
          <w:lang w:bidi="ar-SA"/>
        </w:rPr>
        <w:t xml:space="preserve">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الفقه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المحقّق</w:t>
      </w:r>
    </w:p>
    <w:p>
      <w:pPr>
        <w:pStyle w:val="BookText"/>
        <w:rPr/>
      </w:pPr>
      <w:r>
        <w:rPr>
          <w:rFonts w:ascii="Amiri" w:hAnsi="Amiri" w:eastAsia="Amiri" w:cs="Amiri"/>
          <w:color w:val="111111"/>
          <w:sz w:val="28"/>
          <w:sz w:val="28"/>
          <w:szCs w:val="28"/>
          <w:rtl w:val="true"/>
          <w:lang w:bidi="ar-SA"/>
        </w:rPr>
        <w:t>السبزواري، محمّد باقر بن محمّد</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w:t>
      </w:r>
    </w:p>
    <w:p>
      <w:pPr>
        <w:pStyle w:val="BookText"/>
        <w:rPr/>
      </w:pPr>
      <w:r>
        <w:rPr>
          <w:rFonts w:ascii="Amiri" w:hAnsi="Amiri" w:eastAsia="Amiri" w:cs="Amiri"/>
          <w:color w:val="111111"/>
          <w:sz w:val="28"/>
          <w:sz w:val="28"/>
          <w:szCs w:val="28"/>
          <w:rtl w:val="true"/>
          <w:lang w:bidi="ar-SA"/>
        </w:rPr>
        <w:t xml:space="preserve">صاحب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الطريحي، فخر الدين بن محمّد</w:t>
      </w:r>
    </w:p>
    <w:p>
      <w:pPr>
        <w:pStyle w:val="BookText"/>
        <w:rPr/>
      </w:pPr>
      <w:r>
        <w:rPr>
          <w:rFonts w:ascii="Amiri" w:hAnsi="Amiri" w:eastAsia="Amiri" w:cs="Amiri"/>
          <w:color w:val="111111"/>
          <w:sz w:val="28"/>
          <w:sz w:val="28"/>
          <w:szCs w:val="28"/>
          <w:rtl w:val="true"/>
          <w:lang w:bidi="ar-SA"/>
        </w:rPr>
        <w:t xml:space="preserve">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الموسوي العاملي،</w:t>
      </w:r>
    </w:p>
    <w:p>
      <w:pPr>
        <w:pStyle w:val="BookText"/>
        <w:rPr/>
      </w:pPr>
      <w:r>
        <w:rPr>
          <w:rFonts w:ascii="Amiri" w:hAnsi="Amiri" w:eastAsia="Amiri" w:cs="Amiri"/>
          <w:color w:val="111111"/>
          <w:sz w:val="28"/>
          <w:sz w:val="28"/>
          <w:szCs w:val="28"/>
          <w:rtl w:val="true"/>
          <w:lang w:bidi="ar-SA"/>
        </w:rPr>
        <w:t>محمّد بن علي</w:t>
      </w:r>
    </w:p>
    <w:p>
      <w:pPr>
        <w:pStyle w:val="BookText"/>
        <w:rPr/>
      </w:pPr>
      <w:r>
        <w:rPr>
          <w:rFonts w:ascii="Amiri" w:hAnsi="Amiri" w:eastAsia="Amiri" w:cs="Amiri"/>
          <w:color w:val="111111"/>
          <w:sz w:val="28"/>
          <w:sz w:val="28"/>
          <w:szCs w:val="28"/>
          <w:rtl w:val="true"/>
          <w:lang w:bidi="ar-SA"/>
        </w:rPr>
        <w:t xml:space="preserve">صاحب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الفيّومي، أحمد بن</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صاحب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w:t>
      </w:r>
    </w:p>
    <w:p>
      <w:pPr>
        <w:pStyle w:val="BookText"/>
        <w:rPr/>
      </w:pPr>
      <w:r>
        <w:rPr>
          <w:rFonts w:ascii="Amiri" w:hAnsi="Amiri" w:eastAsia="Amiri" w:cs="Amiri"/>
          <w:color w:val="111111"/>
          <w:sz w:val="28"/>
          <w:sz w:val="28"/>
          <w:szCs w:val="28"/>
          <w:rtl w:val="true"/>
          <w:lang w:bidi="ar-SA"/>
        </w:rPr>
        <w:t>الغروي، جواد بن محمّد</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محمّد بن علي</w:t>
      </w:r>
    </w:p>
    <w:p>
      <w:pPr>
        <w:pStyle w:val="BookText"/>
        <w:rPr/>
      </w:pPr>
      <w:r>
        <w:rPr>
          <w:rFonts w:ascii="Amiri" w:hAnsi="Amiri" w:eastAsia="Amiri" w:cs="Amiri"/>
          <w:color w:val="111111"/>
          <w:sz w:val="28"/>
          <w:sz w:val="28"/>
          <w:szCs w:val="28"/>
          <w:rtl w:val="true"/>
          <w:lang w:bidi="ar-SA"/>
        </w:rPr>
        <w:t xml:space="preserve">الصدوقان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علي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 محمّد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الصيقل، أبو القاسم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الصيقل، القاسم بن أبي القاسم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ضريس الكناسي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الكناسي، ضريس</w:t>
      </w:r>
    </w:p>
    <w:p>
      <w:pPr>
        <w:pStyle w:val="BookText"/>
        <w:rPr/>
      </w:pPr>
      <w:r>
        <w:rPr>
          <w:rFonts w:ascii="Amiri" w:hAnsi="Amiri" w:eastAsia="Amiri" w:cs="Amiri"/>
          <w:color w:val="111111"/>
          <w:sz w:val="28"/>
          <w:sz w:val="28"/>
          <w:szCs w:val="28"/>
          <w:rtl w:val="true"/>
          <w:lang w:bidi="ar-SA"/>
        </w:rPr>
        <w:t xml:space="preserve">الطاطري، سعد بن محمّد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w:t>
      </w:r>
    </w:p>
    <w:p>
      <w:pPr>
        <w:pStyle w:val="BookText"/>
        <w:rPr/>
      </w:pP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علي بن</w:t>
      </w:r>
    </w:p>
    <w:p>
      <w:pPr>
        <w:pStyle w:val="BookText"/>
        <w:rPr/>
      </w:pPr>
      <w:r>
        <w:rPr>
          <w:rFonts w:ascii="Amiri" w:hAnsi="Amiri" w:eastAsia="Amiri" w:cs="Amiri"/>
          <w:color w:val="111111"/>
          <w:sz w:val="28"/>
          <w:sz w:val="28"/>
          <w:szCs w:val="28"/>
          <w:rtl w:val="true"/>
          <w:lang w:bidi="ar-SA"/>
        </w:rPr>
        <w:t>محمّد علي</w:t>
      </w:r>
    </w:p>
    <w:p>
      <w:pPr>
        <w:pStyle w:val="BookText"/>
        <w:rPr/>
      </w:pPr>
      <w:r>
        <w:rPr>
          <w:rFonts w:ascii="Amiri" w:hAnsi="Amiri" w:eastAsia="Amiri" w:cs="Amiri"/>
          <w:color w:val="111111"/>
          <w:sz w:val="28"/>
          <w:sz w:val="28"/>
          <w:szCs w:val="28"/>
          <w:rtl w:val="true"/>
          <w:lang w:bidi="ar-SA"/>
        </w:rPr>
        <w:t xml:space="preserve">الطباطبائي، علي بن محمّد علي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اليزدي، محمّد كاظم بن</w:t>
      </w:r>
    </w:p>
    <w:p>
      <w:pPr>
        <w:pStyle w:val="BookText"/>
        <w:rPr/>
      </w:pPr>
      <w:r>
        <w:rPr>
          <w:rFonts w:ascii="Amiri" w:hAnsi="Amiri" w:eastAsia="Amiri" w:cs="Amiri"/>
          <w:color w:val="111111"/>
          <w:sz w:val="28"/>
          <w:sz w:val="28"/>
          <w:szCs w:val="28"/>
          <w:rtl w:val="true"/>
          <w:lang w:bidi="ar-SA"/>
        </w:rPr>
        <w:t>عبدالعظيم</w:t>
      </w:r>
    </w:p>
    <w:p>
      <w:pPr>
        <w:pStyle w:val="BookText"/>
        <w:rPr/>
      </w:pPr>
      <w:r>
        <w:rPr>
          <w:rFonts w:ascii="Amiri" w:hAnsi="Amiri" w:eastAsia="Amiri" w:cs="Amiri"/>
          <w:color w:val="111111"/>
          <w:sz w:val="28"/>
          <w:sz w:val="28"/>
          <w:szCs w:val="28"/>
          <w:rtl w:val="true"/>
          <w:lang w:bidi="ar-SA"/>
        </w:rPr>
        <w:t xml:space="preserve">الطبرسي، فضل بن الحسن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الطريحي، فخر الدين بن محمّد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الطوسي، الحسن بن محمّد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الخواجه نصير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نصير</w:t>
      </w:r>
    </w:p>
    <w:p>
      <w:pPr>
        <w:pStyle w:val="BookText"/>
        <w:rPr/>
      </w:pPr>
      <w:r>
        <w:rPr>
          <w:rFonts w:ascii="Amiri" w:hAnsi="Amiri" w:eastAsia="Amiri" w:cs="Amiri"/>
          <w:color w:val="111111"/>
          <w:sz w:val="28"/>
          <w:sz w:val="28"/>
          <w:szCs w:val="28"/>
          <w:rtl w:val="true"/>
          <w:lang w:bidi="ar-SA"/>
        </w:rPr>
        <w:t>الدين الطوسى، محمّد بن محمّد</w:t>
      </w:r>
    </w:p>
    <w:p>
      <w:pPr>
        <w:pStyle w:val="BookText"/>
        <w:rPr/>
      </w:pP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عائشة بنت أبي بكر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العامري، أبو عبداللّه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العامري، الوليد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العاملي، الغروي، جواد بن محمّد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عبدالأعلى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عبدالأعلى بن أعين مولى</w:t>
      </w:r>
    </w:p>
    <w:p>
      <w:pPr>
        <w:pStyle w:val="BookText"/>
        <w:rPr/>
      </w:pPr>
      <w:r>
        <w:rPr>
          <w:rFonts w:ascii="IRNazanin" w:hAnsi="IRNazanin" w:eastAsia="IRNazanin"/>
          <w:color w:val="111111"/>
          <w:sz w:val="28"/>
          <w:sz w:val="28"/>
          <w:szCs w:val="28"/>
          <w:rtl w:val="true"/>
          <w:lang w:bidi="fa-IR"/>
        </w:rPr>
        <w:t>آل سام</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عبدالأعلى بن أعين مولى آل سام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عبدالرحمان بن أبي عبداللّه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عبدالرحمان بن أبي نجران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عبدالرحمان بن الحجّاج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عبدالرحمان بن سيابة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عبدالعظيم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w:t>
      </w:r>
    </w:p>
    <w:p>
      <w:pPr>
        <w:pStyle w:val="BookText"/>
        <w:rPr/>
      </w:pPr>
      <w:r>
        <w:rPr>
          <w:rFonts w:ascii="IRNazanin" w:hAnsi="IRNazanin" w:eastAsia="IRNazanin"/>
          <w:color w:val="111111"/>
          <w:sz w:val="28"/>
          <w:sz w:val="28"/>
          <w:szCs w:val="28"/>
          <w:rtl w:val="true"/>
          <w:lang w:bidi="fa-IR"/>
        </w:rPr>
        <w:t>عبداللّه علیه السلام</w:t>
      </w:r>
    </w:p>
    <w:p>
      <w:pPr>
        <w:pStyle w:val="BookText"/>
        <w:rPr/>
      </w:pPr>
      <w:r>
        <w:rPr>
          <w:rFonts w:ascii="IRNazanin" w:hAnsi="IRNazanin" w:eastAsia="IRNazanin"/>
          <w:color w:val="111111"/>
          <w:sz w:val="28"/>
          <w:sz w:val="28"/>
          <w:szCs w:val="28"/>
          <w:rtl w:val="true"/>
          <w:lang w:bidi="fa-IR"/>
        </w:rPr>
        <w:t xml:space="preserve">عبدالعظيم بن عبداللّه علیه السلام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w:t>
      </w:r>
    </w:p>
    <w:p>
      <w:pPr>
        <w:pStyle w:val="BookText"/>
        <w:rPr/>
      </w:pPr>
      <w:r>
        <w:rPr>
          <w:rFonts w:ascii="Amiri" w:hAnsi="Amiri" w:eastAsia="Amiri" w:cs="Amiri"/>
          <w:color w:val="111111"/>
          <w:sz w:val="28"/>
          <w:sz w:val="28"/>
          <w:szCs w:val="28"/>
          <w:rtl w:val="true"/>
          <w:lang w:bidi="ar-SA"/>
        </w:rPr>
        <w:t xml:space="preserve">عبداللّه بن أبي يعفور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475</w:t>
      </w:r>
    </w:p>
    <w:p>
      <w:pPr>
        <w:pStyle w:val="BookText"/>
        <w:rPr/>
      </w:pPr>
      <w:r>
        <w:rPr>
          <w:rFonts w:ascii="IRNazanin" w:hAnsi="IRNazanin" w:eastAsia="IRNazanin"/>
          <w:color w:val="111111"/>
          <w:sz w:val="28"/>
          <w:sz w:val="28"/>
          <w:szCs w:val="28"/>
          <w:rtl w:val="true"/>
          <w:lang w:bidi="fa-IR"/>
        </w:rPr>
        <w:t xml:space="preserve">عبداللّه بن الحسن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عبداللّه بن المغيرة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عبداللّه بن حكيم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عبداللّه بن رواحة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عبداللّه بن طلحة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عبيد بن زرارة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العبيدي، محمّد بن عيسى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عطاء بن يسار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العلاّمة الحلّي، الحسن بن يوسف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علقمة بن محمّد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علم الهدى، علي بن الحسين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العلوي، محمّد بن جعفر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علي بن أبي المغيرة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البطائني، علي بن</w:t>
      </w:r>
    </w:p>
    <w:p>
      <w:pPr>
        <w:pStyle w:val="BookText"/>
        <w:rPr/>
      </w:pPr>
      <w:r>
        <w:rPr>
          <w:rFonts w:ascii="Amiri" w:hAnsi="Amiri" w:eastAsia="Amiri" w:cs="Amiri"/>
          <w:color w:val="111111"/>
          <w:sz w:val="28"/>
          <w:sz w:val="28"/>
          <w:szCs w:val="28"/>
          <w:rtl w:val="true"/>
          <w:lang w:bidi="ar-SA"/>
        </w:rPr>
        <w:t>أبي حمزة</w:t>
      </w:r>
    </w:p>
    <w:p>
      <w:pPr>
        <w:pStyle w:val="BookText"/>
        <w:rPr/>
      </w:pPr>
      <w:r>
        <w:rPr>
          <w:rFonts w:ascii="Amiri" w:hAnsi="Amiri" w:eastAsia="Amiri" w:cs="Amiri"/>
          <w:color w:val="111111"/>
          <w:sz w:val="28"/>
          <w:sz w:val="28"/>
          <w:szCs w:val="28"/>
          <w:rtl w:val="true"/>
          <w:lang w:bidi="ar-SA"/>
        </w:rPr>
        <w:t xml:space="preserve">علي بن الحديد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علي بن يقطين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العمّاري، الوليد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عمر بن اُذينة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عمرو بن حريث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العيّاشي، محمّد بن مسعود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بن أبي منصور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الغزالي، محمّد بن محمّد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w:t>
      </w:r>
    </w:p>
    <w:p>
      <w:pPr>
        <w:pStyle w:val="BookText"/>
        <w:rPr/>
      </w:pPr>
      <w:r>
        <w:rPr>
          <w:rFonts w:ascii="Amiri" w:hAnsi="Amiri" w:eastAsia="Amiri" w:cs="Amiri"/>
          <w:color w:val="111111"/>
          <w:sz w:val="28"/>
          <w:sz w:val="28"/>
          <w:szCs w:val="28"/>
          <w:rtl w:val="true"/>
          <w:lang w:bidi="ar-SA"/>
        </w:rPr>
        <w:t xml:space="preserve">الفاضل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pStyle w:val="BookText"/>
        <w:rPr/>
      </w:pPr>
      <w:r>
        <w:rPr>
          <w:rFonts w:ascii="Amiri" w:hAnsi="Amiri" w:eastAsia="Amiri" w:cs="Amiri"/>
          <w:color w:val="111111"/>
          <w:sz w:val="28"/>
          <w:sz w:val="28"/>
          <w:szCs w:val="28"/>
          <w:rtl w:val="true"/>
          <w:lang w:bidi="ar-SA"/>
        </w:rPr>
        <w:t>السبزواري، محمّد باقر بن محمّد</w:t>
      </w:r>
    </w:p>
    <w:p>
      <w:pPr>
        <w:pStyle w:val="BookText"/>
        <w:rPr/>
      </w:pPr>
      <w:r>
        <w:rPr>
          <w:rFonts w:ascii="IRNazanin" w:hAnsi="IRNazanin" w:eastAsia="IRNazanin"/>
          <w:color w:val="111111"/>
          <w:sz w:val="28"/>
          <w:sz w:val="28"/>
          <w:szCs w:val="28"/>
          <w:rtl w:val="true"/>
          <w:lang w:bidi="fa-IR"/>
        </w:rPr>
        <w:t>مؤمن</w:t>
      </w:r>
    </w:p>
    <w:p>
      <w:pPr>
        <w:pStyle w:val="BookText"/>
        <w:rPr/>
      </w:pPr>
      <w:r>
        <w:rPr>
          <w:rFonts w:ascii="IRNazanin" w:hAnsi="IRNazanin" w:eastAsia="IRNazanin"/>
          <w:color w:val="111111"/>
          <w:sz w:val="28"/>
          <w:sz w:val="28"/>
          <w:szCs w:val="28"/>
          <w:rtl w:val="true"/>
          <w:lang w:bidi="fa-IR"/>
        </w:rPr>
        <w:t xml:space="preserve">الفاضل المقداد، المقداد بن عبداللّه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الفاضل الهندي، محمّد بن الحسن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Amiri" w:hAnsi="Amiri" w:eastAsia="Amiri" w:cs="Amiri"/>
          <w:color w:val="111111"/>
          <w:sz w:val="28"/>
          <w:sz w:val="28"/>
          <w:szCs w:val="28"/>
          <w:rtl w:val="true"/>
          <w:lang w:bidi="ar-SA"/>
        </w:rPr>
        <w:t xml:space="preserve">الفتح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الجرجاني، الفتح بن</w:t>
      </w:r>
    </w:p>
    <w:p>
      <w:pPr>
        <w:pStyle w:val="BookText"/>
        <w:rPr/>
      </w:pPr>
      <w:r>
        <w:rPr>
          <w:rFonts w:ascii="Amiri" w:hAnsi="Amiri" w:eastAsia="Amiri" w:cs="Amiri"/>
          <w:color w:val="111111"/>
          <w:sz w:val="28"/>
          <w:sz w:val="28"/>
          <w:szCs w:val="28"/>
          <w:rtl w:val="true"/>
          <w:lang w:bidi="ar-SA"/>
        </w:rPr>
        <w:t>يزيد</w:t>
      </w:r>
    </w:p>
    <w:p>
      <w:pPr>
        <w:pStyle w:val="BookText"/>
        <w:rPr/>
      </w:pPr>
      <w:r>
        <w:rPr>
          <w:rFonts w:ascii="Amiri" w:hAnsi="Amiri" w:eastAsia="Amiri" w:cs="Amiri"/>
          <w:color w:val="111111"/>
          <w:sz w:val="28"/>
          <w:sz w:val="28"/>
          <w:szCs w:val="28"/>
          <w:rtl w:val="true"/>
          <w:lang w:bidi="ar-SA"/>
        </w:rPr>
        <w:t xml:space="preserve">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 محمّد بن</w:t>
      </w:r>
    </w:p>
    <w:p>
      <w:pPr>
        <w:pStyle w:val="BookText"/>
        <w:rPr/>
      </w:pPr>
      <w:r>
        <w:rPr>
          <w:rFonts w:ascii="IRNazanin" w:hAnsi="IRNazanin" w:eastAsia="IRNazanin"/>
          <w:color w:val="111111"/>
          <w:sz w:val="28"/>
          <w:sz w:val="28"/>
          <w:szCs w:val="28"/>
          <w:rtl w:val="true"/>
          <w:lang w:bidi="fa-IR"/>
        </w:rPr>
        <w:t>الحسن</w:t>
      </w:r>
    </w:p>
    <w:p>
      <w:pPr>
        <w:pStyle w:val="BookText"/>
        <w:rPr/>
      </w:pPr>
      <w:r>
        <w:rPr>
          <w:rFonts w:ascii="Amiri" w:hAnsi="Amiri" w:eastAsia="Amiri" w:cs="Amiri"/>
          <w:color w:val="111111"/>
          <w:sz w:val="28"/>
          <w:sz w:val="28"/>
          <w:szCs w:val="28"/>
          <w:rtl w:val="true"/>
          <w:lang w:bidi="ar-SA"/>
        </w:rPr>
        <w:t xml:space="preserve">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 محمّد بن</w:t>
      </w:r>
    </w:p>
    <w:p>
      <w:pPr>
        <w:pStyle w:val="BookText"/>
        <w:rPr/>
      </w:pPr>
      <w:r>
        <w:rPr>
          <w:rFonts w:ascii="IRNazanin" w:hAnsi="IRNazanin" w:eastAsia="IRNazanin"/>
          <w:color w:val="111111"/>
          <w:sz w:val="28"/>
          <w:sz w:val="28"/>
          <w:szCs w:val="28"/>
          <w:rtl w:val="true"/>
          <w:lang w:bidi="fa-IR"/>
        </w:rPr>
        <w:t>الحسن</w:t>
      </w:r>
    </w:p>
    <w:p>
      <w:pPr>
        <w:pStyle w:val="BookText"/>
        <w:rPr/>
      </w:pPr>
      <w:r>
        <w:rPr>
          <w:rFonts w:ascii="Amiri" w:hAnsi="Amiri" w:eastAsia="Amiri" w:cs="Amiri"/>
          <w:color w:val="111111"/>
          <w:sz w:val="28"/>
          <w:sz w:val="28"/>
          <w:szCs w:val="28"/>
          <w:rtl w:val="true"/>
          <w:lang w:bidi="ar-SA"/>
        </w:rPr>
        <w:t xml:space="preserve">فخر المحقّقين، محمّد بن الحسن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الفضل</w:t>
      </w:r>
    </w:p>
    <w:p>
      <w:pPr>
        <w:pStyle w:val="BookText"/>
        <w:rPr/>
      </w:pPr>
      <w:r>
        <w:rPr>
          <w:rFonts w:ascii="IRNazanin" w:hAnsi="IRNazanin" w:eastAsia="IRNazanin"/>
          <w:color w:val="111111"/>
          <w:sz w:val="28"/>
          <w:sz w:val="28"/>
          <w:szCs w:val="28"/>
          <w:rtl w:val="true"/>
          <w:lang w:bidi="fa-IR"/>
        </w:rPr>
        <w:t>بن شاذان</w:t>
      </w:r>
    </w:p>
    <w:p>
      <w:pPr>
        <w:pStyle w:val="BookText"/>
        <w:rPr/>
      </w:pPr>
      <w:r>
        <w:rPr>
          <w:rFonts w:ascii="Amiri" w:hAnsi="Amiri" w:eastAsia="Amiri" w:cs="Amiri"/>
          <w:color w:val="111111"/>
          <w:sz w:val="28"/>
          <w:sz w:val="28"/>
          <w:szCs w:val="28"/>
          <w:rtl w:val="true"/>
          <w:lang w:bidi="ar-SA"/>
        </w:rPr>
        <w:t xml:space="preserve">الفضل بن عبدالملك البقباق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الفضيل بن يسار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الفيض الكاشاني، محمّد بن شاه مرتضى</w:t>
      </w:r>
    </w:p>
    <w:p>
      <w:pPr>
        <w:pStyle w:val="BookText"/>
        <w:rPr/>
      </w:pP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الفيّومي، أحمد بن محمّد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قابيل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القاساني، الحسن بن علي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القدّاح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القطب الراوندي، سعيد بن هبة اللّه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القمّي، زكريّا بن آدم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القمّي، علي بن إبراهيم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 محمّد بن</w:t>
      </w:r>
    </w:p>
    <w:p>
      <w:pPr>
        <w:pStyle w:val="BookText"/>
        <w:rPr/>
      </w:pPr>
      <w:r>
        <w:rPr>
          <w:rFonts w:ascii="IRNazanin" w:hAnsi="IRNazanin" w:eastAsia="IRNazanin"/>
          <w:color w:val="111111"/>
          <w:sz w:val="28"/>
          <w:sz w:val="28"/>
          <w:szCs w:val="28"/>
          <w:rtl w:val="true"/>
          <w:lang w:bidi="fa-IR"/>
        </w:rPr>
        <w:t>شاه مرتضى</w:t>
      </w:r>
    </w:p>
    <w:p>
      <w:pPr>
        <w:pStyle w:val="BookText"/>
        <w:rPr/>
      </w:pPr>
      <w:r>
        <w:rPr>
          <w:rFonts w:ascii="Amiri" w:hAnsi="Amiri" w:eastAsia="Amiri" w:cs="Amiri"/>
          <w:color w:val="111111"/>
          <w:sz w:val="28"/>
          <w:sz w:val="28"/>
          <w:szCs w:val="28"/>
          <w:rtl w:val="true"/>
          <w:lang w:bidi="ar-SA"/>
        </w:rPr>
        <w:t xml:space="preserve">كاشف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الآبي، الحسن بن أبي</w:t>
      </w:r>
    </w:p>
    <w:p>
      <w:pPr>
        <w:pStyle w:val="BookText"/>
        <w:rPr/>
      </w:pPr>
      <w:r>
        <w:rPr>
          <w:rFonts w:ascii="IRNazanin" w:hAnsi="IRNazanin" w:eastAsia="IRNazanin"/>
          <w:color w:val="111111"/>
          <w:sz w:val="28"/>
          <w:sz w:val="28"/>
          <w:szCs w:val="28"/>
          <w:rtl w:val="true"/>
          <w:lang w:bidi="fa-IR"/>
        </w:rPr>
        <w:t>طالب</w:t>
      </w:r>
    </w:p>
    <w:p>
      <w:pPr>
        <w:pStyle w:val="BookText"/>
        <w:rPr/>
      </w:pPr>
      <w:r>
        <w:rPr>
          <w:rFonts w:ascii="Amiri" w:hAnsi="Amiri" w:eastAsia="Amiri" w:cs="Amiri"/>
          <w:color w:val="111111"/>
          <w:sz w:val="28"/>
          <w:sz w:val="28"/>
          <w:szCs w:val="28"/>
          <w:rtl w:val="true"/>
          <w:lang w:bidi="ar-SA"/>
        </w:rPr>
        <w:t xml:space="preserve">كاشف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الهندي، محمّد</w:t>
      </w:r>
    </w:p>
    <w:p>
      <w:pPr>
        <w:pStyle w:val="BookText"/>
        <w:rPr/>
      </w:pPr>
      <w:r>
        <w:rPr>
          <w:rFonts w:ascii="IRNazanin" w:hAnsi="IRNazanin" w:eastAsia="IRNazanin"/>
          <w:color w:val="111111"/>
          <w:sz w:val="28"/>
          <w:sz w:val="28"/>
          <w:szCs w:val="28"/>
          <w:rtl w:val="true"/>
          <w:lang w:bidi="fa-IR"/>
        </w:rPr>
        <w:t>بن الحسن</w:t>
      </w:r>
    </w:p>
    <w:p>
      <w:pPr>
        <w:pStyle w:val="BookText"/>
        <w:rPr/>
      </w:pPr>
      <w:r>
        <w:rPr>
          <w:rFonts w:ascii="Amiri" w:hAnsi="Amiri" w:eastAsia="Amiri" w:cs="Amiri"/>
          <w:color w:val="111111"/>
          <w:sz w:val="28"/>
          <w:sz w:val="28"/>
          <w:szCs w:val="28"/>
          <w:rtl w:val="true"/>
          <w:lang w:bidi="ar-SA"/>
        </w:rPr>
        <w:t xml:space="preserve">الكاهلي، عبداللّه بن يحيى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الكراجكي، محمّد بن علي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الكناسي، ضريس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مارية القبطية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المأمون، خليفة العبّاسي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المثنّى بن الوليد</w:t>
      </w:r>
    </w:p>
    <w:p>
      <w:pPr>
        <w:pStyle w:val="BookText"/>
        <w:rPr/>
      </w:pPr>
      <w:r>
        <w:rPr>
          <w:rFonts w:ascii="Amiri" w:hAnsi="Amiri" w:eastAsia="Amiri" w:cs="Amiri"/>
          <w:color w:val="111111"/>
          <w:sz w:val="28"/>
          <w:sz w:val="28"/>
          <w:szCs w:val="28"/>
          <w:rtl w:val="true"/>
          <w:lang w:bidi="ar-SA"/>
        </w:rPr>
        <w:t xml:space="preserve">المثنّى بن الوليد </w:t>
      </w:r>
      <w:r>
        <w:rPr>
          <w:rFonts w:eastAsia="Amiri" w:cs="Amiri" w:ascii="Amiri" w:hAnsi="Amiri"/>
          <w:color w:val="111111"/>
          <w:sz w:val="28"/>
          <w:szCs w:val="28"/>
          <w:lang w:bidi="ar-SA"/>
        </w:rPr>
        <w:t>325</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المجلسي، محمّد باقر بن محمّد تقي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المحقّق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الشيرازي، محمّد تقي</w:t>
      </w:r>
    </w:p>
    <w:p>
      <w:pPr>
        <w:pStyle w:val="BookText"/>
        <w:rPr/>
      </w:pPr>
      <w:r>
        <w:rPr>
          <w:rFonts w:ascii="Amiri" w:hAnsi="Amiri" w:eastAsia="Amiri" w:cs="Amiri"/>
          <w:color w:val="111111"/>
          <w:sz w:val="28"/>
          <w:sz w:val="28"/>
          <w:szCs w:val="28"/>
          <w:rtl w:val="true"/>
          <w:lang w:bidi="ar-SA"/>
        </w:rPr>
        <w:t>بن محبعلي</w:t>
      </w:r>
    </w:p>
    <w:p>
      <w:pPr>
        <w:pStyle w:val="BookText"/>
        <w:rPr/>
      </w:pP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الكركي، علي</w:t>
      </w:r>
    </w:p>
    <w:p>
      <w:pPr>
        <w:pStyle w:val="BookText"/>
        <w:rPr/>
      </w:pPr>
      <w:r>
        <w:rPr>
          <w:rFonts w:ascii="Amiri" w:hAnsi="Amiri" w:eastAsia="Amiri" w:cs="Amiri"/>
          <w:color w:val="111111"/>
          <w:sz w:val="28"/>
          <w:sz w:val="28"/>
          <w:szCs w:val="28"/>
          <w:rtl w:val="true"/>
          <w:lang w:bidi="ar-SA"/>
        </w:rPr>
        <w:t>بن الحسين</w:t>
      </w:r>
    </w:p>
    <w:p>
      <w:pPr>
        <w:pStyle w:val="BookText"/>
        <w:rPr/>
      </w:pPr>
      <w:r>
        <w:rPr>
          <w:rFonts w:ascii="Amiri" w:hAnsi="Amiri" w:eastAsia="Amiri" w:cs="Amiri"/>
          <w:color w:val="111111"/>
          <w:sz w:val="28"/>
          <w:sz w:val="28"/>
          <w:szCs w:val="28"/>
          <w:rtl w:val="true"/>
          <w:lang w:bidi="ar-SA"/>
        </w:rPr>
        <w:t xml:space="preserve">المحقّق الحلّي، جعفر بن الحسن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w:t>
      </w:r>
    </w:p>
    <w:p>
      <w:pPr>
        <w:pStyle w:val="BookText"/>
        <w:rPr/>
      </w:pPr>
      <w:r>
        <w:rPr>
          <w:rFonts w:ascii="Amiri" w:hAnsi="Amiri" w:eastAsia="Amiri" w:cs="Amiri"/>
          <w:color w:val="111111"/>
          <w:sz w:val="28"/>
          <w:sz w:val="28"/>
          <w:szCs w:val="28"/>
          <w:rtl w:val="true"/>
          <w:lang w:bidi="ar-SA"/>
        </w:rPr>
        <w:t>المحقّق السبزواري، محمّد باقر بن محمّد</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المحقّق الكركي، علي بن الحسين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محمّد بن أبي عبّاد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محمّد بن إسماعيل بن بزيع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محمّد بن الحسين بن أبي الخطّاب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محمّد بن الهيثم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محمّد بن حمران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محمّد بن علي 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p>
    <w:p>
      <w:pPr>
        <w:pStyle w:val="BookText"/>
        <w:rPr/>
      </w:pPr>
      <w:r>
        <w:rPr>
          <w:rFonts w:ascii="Amiri" w:hAnsi="Amiri" w:eastAsia="Amiri" w:cs="Amiri"/>
          <w:color w:val="111111"/>
          <w:sz w:val="28"/>
          <w:sz w:val="28"/>
          <w:szCs w:val="28"/>
          <w:rtl w:val="true"/>
          <w:lang w:bidi="ar-SA"/>
        </w:rPr>
        <w:t>شهر آشوب، محمّد بن علي</w:t>
      </w:r>
    </w:p>
    <w:p>
      <w:pPr>
        <w:pStyle w:val="BookText"/>
        <w:rPr/>
      </w:pPr>
      <w:r>
        <w:rPr>
          <w:rFonts w:ascii="Amiri" w:hAnsi="Amiri" w:eastAsia="Amiri" w:cs="Amiri"/>
          <w:color w:val="111111"/>
          <w:sz w:val="28"/>
          <w:sz w:val="28"/>
          <w:szCs w:val="28"/>
          <w:rtl w:val="true"/>
          <w:lang w:bidi="ar-SA"/>
        </w:rPr>
        <w:t xml:space="preserve">محمّد بن عيسى بن عبيد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محمّد بن مسكان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محمّد بن مضارب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معاوية بن أبي سفيان، خليفة الاُموي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معاوية بن سعيد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 xml:space="preserve">معتب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المعلّى بن خنيس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المعلّى بن محمّد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معمّر بن خلاّد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الموسوي العاملي، محمّد بن علي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مهران بن محمّد بن أبي نصر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مهران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بن محمّد بن</w:t>
      </w:r>
    </w:p>
    <w:p>
      <w:pPr>
        <w:pStyle w:val="BookText"/>
        <w:rPr/>
      </w:pPr>
      <w:r>
        <w:rPr>
          <w:rFonts w:ascii="Amiri" w:hAnsi="Amiri" w:eastAsia="Amiri" w:cs="Amiri"/>
          <w:color w:val="111111"/>
          <w:sz w:val="28"/>
          <w:sz w:val="28"/>
          <w:szCs w:val="28"/>
          <w:rtl w:val="true"/>
          <w:lang w:bidi="ar-SA"/>
        </w:rPr>
        <w:t>أبي نصر</w:t>
      </w:r>
    </w:p>
    <w:p>
      <w:pPr>
        <w:pStyle w:val="BookText"/>
        <w:rPr/>
      </w:pPr>
      <w:r>
        <w:rPr>
          <w:rFonts w:ascii="Amiri" w:hAnsi="Amiri" w:eastAsia="Amiri" w:cs="Amiri"/>
          <w:color w:val="111111"/>
          <w:sz w:val="28"/>
          <w:sz w:val="28"/>
          <w:szCs w:val="28"/>
          <w:rtl w:val="true"/>
          <w:lang w:bidi="ar-SA"/>
        </w:rPr>
        <w:t xml:space="preserve">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الميثمي، أحمد بن الحسن بن</w:t>
      </w:r>
    </w:p>
    <w:p>
      <w:pPr>
        <w:pStyle w:val="BookText"/>
        <w:rPr/>
      </w:pPr>
      <w:r>
        <w:rPr>
          <w:rFonts w:ascii="Amiri" w:hAnsi="Amiri" w:eastAsia="Amiri" w:cs="Amiri"/>
          <w:color w:val="111111"/>
          <w:sz w:val="28"/>
          <w:sz w:val="28"/>
          <w:szCs w:val="28"/>
          <w:rtl w:val="true"/>
          <w:lang w:bidi="ar-SA"/>
        </w:rPr>
        <w:t>إسماعيل</w:t>
      </w:r>
    </w:p>
    <w:p>
      <w:pPr>
        <w:pStyle w:val="BookText"/>
        <w:rPr/>
      </w:pPr>
      <w:r>
        <w:rPr>
          <w:rFonts w:ascii="Amiri" w:hAnsi="Amiri" w:eastAsia="Amiri" w:cs="Amiri"/>
          <w:color w:val="111111"/>
          <w:sz w:val="28"/>
          <w:sz w:val="28"/>
          <w:szCs w:val="28"/>
          <w:rtl w:val="true"/>
          <w:lang w:bidi="ar-SA"/>
        </w:rPr>
        <w:t>الميثمي، أحمد بن الحسن بن إسماعيل</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الميرداماد، محمّد باقر بن محمّد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ميمونة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أحمد بن على</w:t>
      </w:r>
    </w:p>
    <w:p>
      <w:pPr>
        <w:pStyle w:val="BookText"/>
        <w:rPr/>
      </w:pPr>
      <w:r>
        <w:rPr>
          <w:rFonts w:ascii="Amiri" w:hAnsi="Amiri" w:eastAsia="Amiri" w:cs="Amiri"/>
          <w:color w:val="111111"/>
          <w:sz w:val="28"/>
          <w:sz w:val="28"/>
          <w:szCs w:val="28"/>
          <w:rtl w:val="true"/>
          <w:lang w:bidi="ar-SA"/>
        </w:rPr>
        <w:t xml:space="preserve">النجاشي، أحمد بن علي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p>
    <w:p>
      <w:pPr>
        <w:pStyle w:val="BookText"/>
        <w:rPr/>
      </w:pPr>
      <w:r>
        <w:rPr>
          <w:rFonts w:ascii="Amiri" w:hAnsi="Amiri" w:eastAsia="Amiri" w:cs="Amiri"/>
          <w:color w:val="111111"/>
          <w:sz w:val="28"/>
          <w:sz w:val="28"/>
          <w:szCs w:val="28"/>
          <w:rtl w:val="true"/>
          <w:lang w:bidi="ar-SA"/>
        </w:rPr>
        <w:t xml:space="preserve">النخّاس، رفاعة بن موسى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النراقي، أحمد بن محمّد مهدي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النراقي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النراقي، مهدي بن</w:t>
      </w:r>
    </w:p>
    <w:p>
      <w:pPr>
        <w:pStyle w:val="BookText"/>
        <w:rPr/>
      </w:pPr>
      <w:r>
        <w:rPr>
          <w:rFonts w:ascii="Amiri" w:hAnsi="Amiri" w:eastAsia="Amiri" w:cs="Amiri"/>
          <w:color w:val="111111"/>
          <w:sz w:val="28"/>
          <w:sz w:val="28"/>
          <w:szCs w:val="28"/>
          <w:rtl w:val="true"/>
          <w:lang w:bidi="ar-SA"/>
        </w:rPr>
        <w:t>أبي ذرّ</w:t>
      </w:r>
    </w:p>
    <w:p>
      <w:pPr>
        <w:pStyle w:val="BookText"/>
        <w:rPr/>
      </w:pPr>
      <w:r>
        <w:rPr>
          <w:rFonts w:ascii="Amiri" w:hAnsi="Amiri" w:eastAsia="Amiri" w:cs="Amiri"/>
          <w:color w:val="111111"/>
          <w:sz w:val="28"/>
          <w:sz w:val="28"/>
          <w:szCs w:val="28"/>
          <w:rtl w:val="true"/>
          <w:lang w:bidi="ar-SA"/>
        </w:rPr>
        <w:t xml:space="preserve">النراقي، مهدي بن أبي ذرّ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نصير الدين الطوسي، محمّد بن محمّد</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 xml:space="preserve">النضر بن الحرث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نضر بن قابوس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النهدي، محمّد بن حمران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الواسطي، أبو يحيى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ورّام بن أبي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مسعود بن</w:t>
      </w:r>
    </w:p>
    <w:p>
      <w:pPr>
        <w:pStyle w:val="BookText"/>
        <w:rPr/>
      </w:pPr>
      <w:r>
        <w:rPr>
          <w:rFonts w:ascii="Amiri" w:hAnsi="Amiri" w:eastAsia="Amiri" w:cs="Amiri"/>
          <w:color w:val="111111"/>
          <w:sz w:val="28"/>
          <w:sz w:val="28"/>
          <w:szCs w:val="28"/>
          <w:rtl w:val="true"/>
          <w:lang w:bidi="ar-SA"/>
        </w:rPr>
        <w:t>عيسى</w:t>
      </w:r>
    </w:p>
    <w:p>
      <w:pPr>
        <w:pStyle w:val="BookText"/>
        <w:rPr/>
      </w:pPr>
      <w:r>
        <w:rPr>
          <w:rFonts w:ascii="Amiri" w:hAnsi="Amiri" w:eastAsia="Amiri" w:cs="Amiri"/>
          <w:color w:val="111111"/>
          <w:sz w:val="28"/>
          <w:sz w:val="28"/>
          <w:szCs w:val="28"/>
          <w:rtl w:val="true"/>
          <w:lang w:bidi="ar-SA"/>
        </w:rPr>
        <w:t xml:space="preserve">ورّام، مسعود بن عيسى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الوشّاء، الحسن بن علي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Amiri" w:hAnsi="Amiri" w:eastAsia="Amiri" w:cs="Amiri"/>
          <w:color w:val="111111"/>
          <w:sz w:val="28"/>
          <w:sz w:val="28"/>
          <w:szCs w:val="28"/>
          <w:rtl w:val="true"/>
          <w:lang w:bidi="ar-SA"/>
        </w:rPr>
        <w:t xml:space="preserve">وليد بن عبدالملك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هارون بن الجهم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الهروي، أبو الصلت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هند السرّاج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يحيى الأزرق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يحيى بن أبي العلاء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يحيى بن أبي القاسم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يحيى بن العلاء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اليزدي، محمّد كاظم بن عبدالعظيم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ascii="Amiri" w:hAnsi="Amiri" w:eastAsia="Amiri" w:cs="Amiri"/>
          <w:color w:val="111111"/>
          <w:sz w:val="28"/>
          <w:sz w:val="28"/>
          <w:szCs w:val="28"/>
          <w:rtl w:val="true"/>
          <w:lang w:bidi="ar-SA"/>
        </w:rPr>
        <w:t xml:space="preserve">يعقوب بن شعيب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يعقوب بن يزيد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يونس بن عبدالرحمان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4" w:name="pg15158_207358"/>
      <w:bookmarkStart w:id="505" w:name="pg15158_207358"/>
      <w:bookmarkEnd w:id="505"/>
    </w:p>
    <w:p>
      <w:pPr>
        <w:pStyle w:val="Heading4"/>
        <w:numPr>
          <w:ilvl w:val="3"/>
          <w:numId w:val="1"/>
        </w:numPr>
        <w:rPr/>
      </w:pPr>
      <w:bookmarkStart w:id="506" w:name="pg15158_207358"/>
      <w:bookmarkStart w:id="507" w:name="__RefHeading___Toc1851758_2142443653"/>
      <w:bookmarkStart w:id="508" w:name="_Toc170"/>
      <w:bookmarkEnd w:id="506"/>
      <w:bookmarkEnd w:id="507"/>
      <w:r>
        <w:rPr/>
        <w:t>5</w:t>
      </w:r>
      <w:r>
        <w:rPr>
          <w:rtl w:val="true"/>
        </w:rPr>
        <w:t xml:space="preserve"> - </w:t>
      </w:r>
      <w:r>
        <w:rPr>
          <w:rtl w:val="true"/>
        </w:rPr>
        <w:t>فهرس الكتب الواردة في المتن</w:t>
      </w:r>
      <w:bookmarkEnd w:id="508"/>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الأربعين للبهائي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الأذهان</w:t>
      </w:r>
    </w:p>
    <w:p>
      <w:pPr>
        <w:pStyle w:val="BookText"/>
        <w:rPr/>
      </w:pPr>
      <w:r>
        <w:rPr>
          <w:rFonts w:ascii="IRNazanin" w:hAnsi="IRNazanin" w:eastAsia="IRNazanin"/>
          <w:color w:val="111111"/>
          <w:sz w:val="28"/>
          <w:sz w:val="28"/>
          <w:szCs w:val="28"/>
          <w:rtl w:val="true"/>
          <w:lang w:bidi="fa-IR"/>
        </w:rPr>
        <w:t xml:space="preserve">إرشاد الأذهان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الإفصاح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الأمالي للصدوق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الأمالي للطوسي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الأمالي للمفيد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الإنجيل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w:t>
      </w:r>
    </w:p>
    <w:p>
      <w:pPr>
        <w:pStyle w:val="BookText"/>
        <w:rPr/>
      </w:pP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الأحكام</w:t>
      </w:r>
    </w:p>
    <w:p>
      <w:pPr>
        <w:pStyle w:val="BookText"/>
        <w:rPr/>
      </w:pPr>
      <w:r>
        <w:rPr>
          <w:rFonts w:ascii="Amiri" w:hAnsi="Amiri" w:eastAsia="Amiri" w:cs="Amiri"/>
          <w:color w:val="111111"/>
          <w:sz w:val="28"/>
          <w:sz w:val="28"/>
          <w:szCs w:val="28"/>
          <w:rtl w:val="true"/>
          <w:lang w:bidi="ar-SA"/>
        </w:rPr>
        <w:t xml:space="preserve">تحرير الأحكام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تعليقة السيّد الطباطبائي على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 للمحقّق اليزدي</w:t>
      </w:r>
    </w:p>
    <w:p>
      <w:pPr>
        <w:pStyle w:val="BookText"/>
        <w:rPr/>
      </w:pPr>
      <w:r>
        <w:rPr>
          <w:rFonts w:ascii="Amiri" w:hAnsi="Amiri" w:eastAsia="Amiri" w:cs="Amiri"/>
          <w:color w:val="111111"/>
          <w:sz w:val="28"/>
          <w:sz w:val="28"/>
          <w:szCs w:val="28"/>
          <w:rtl w:val="true"/>
          <w:lang w:bidi="ar-SA"/>
        </w:rPr>
        <w:t>تعليقة العلاّمة الشيرازي على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 للمحقّق</w:t>
      </w:r>
    </w:p>
    <w:p>
      <w:pPr>
        <w:pStyle w:val="BookText"/>
        <w:rPr/>
      </w:pPr>
      <w:r>
        <w:rPr>
          <w:rFonts w:ascii="Amiri" w:hAnsi="Amiri" w:eastAsia="Amiri" w:cs="Amiri"/>
          <w:color w:val="111111"/>
          <w:sz w:val="28"/>
          <w:sz w:val="28"/>
          <w:szCs w:val="28"/>
          <w:rtl w:val="true"/>
          <w:lang w:bidi="ar-SA"/>
        </w:rPr>
        <w:t>الشيرازي</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أبي الفتوح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 </w:t>
      </w:r>
    </w:p>
    <w:p>
      <w:pPr>
        <w:pStyle w:val="BookText"/>
        <w:rPr/>
      </w:pPr>
      <w:r>
        <w:rPr>
          <w:rFonts w:ascii="Amiri" w:hAnsi="Amiri" w:eastAsia="Amiri" w:cs="Amiri"/>
          <w:color w:val="111111"/>
          <w:sz w:val="28"/>
          <w:sz w:val="28"/>
          <w:szCs w:val="28"/>
          <w:rtl w:val="true"/>
          <w:lang w:bidi="ar-SA"/>
        </w:rPr>
        <w:t>الجِنان ورَوح الجَنان</w:t>
      </w:r>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w:t>
      </w:r>
    </w:p>
    <w:p>
      <w:pPr>
        <w:pStyle w:val="BookText"/>
        <w:rPr/>
      </w:pPr>
      <w:r>
        <w:rPr>
          <w:rFonts w:ascii="IRNazanin" w:hAnsi="IRNazanin" w:eastAsia="IRNazanin"/>
          <w:color w:val="111111"/>
          <w:sz w:val="28"/>
          <w:sz w:val="28"/>
          <w:szCs w:val="28"/>
          <w:rtl w:val="true"/>
          <w:lang w:bidi="fa-IR"/>
        </w:rPr>
        <w:t>القرآن</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تفسير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p>
    <w:p>
      <w:pPr>
        <w:pStyle w:val="BookText"/>
        <w:rPr/>
      </w:pPr>
      <w:r>
        <w:rPr>
          <w:rFonts w:ascii="Amiri" w:hAnsi="Amiri" w:eastAsia="Amiri" w:cs="Amiri"/>
          <w:color w:val="111111"/>
          <w:sz w:val="28"/>
          <w:sz w:val="28"/>
          <w:szCs w:val="28"/>
          <w:rtl w:val="true"/>
          <w:lang w:bidi="ar-SA"/>
        </w:rPr>
        <w:t xml:space="preserve">تفسير 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p>
    <w:p>
      <w:pPr>
        <w:pStyle w:val="BookText"/>
        <w:rPr/>
      </w:pPr>
      <w:r>
        <w:rPr>
          <w:rFonts w:ascii="Amiri" w:hAnsi="Amiri" w:eastAsia="Amiri" w:cs="Amiri"/>
          <w:color w:val="111111"/>
          <w:sz w:val="28"/>
          <w:sz w:val="28"/>
          <w:szCs w:val="28"/>
          <w:rtl w:val="true"/>
          <w:lang w:bidi="ar-SA"/>
        </w:rPr>
        <w:t>القمّي</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التفسير المنسوب إلى الإمام</w:t>
      </w:r>
    </w:p>
    <w:p>
      <w:pPr>
        <w:pStyle w:val="BookText"/>
        <w:rPr/>
      </w:pPr>
      <w:r>
        <w:rPr>
          <w:rFonts w:ascii="IRNazanin" w:hAnsi="IRNazanin" w:eastAsia="IRNazanin"/>
          <w:color w:val="111111"/>
          <w:sz w:val="28"/>
          <w:sz w:val="28"/>
          <w:szCs w:val="28"/>
          <w:rtl w:val="true"/>
          <w:lang w:bidi="fa-IR"/>
        </w:rPr>
        <w:t>العسكري علیه السلام</w:t>
      </w:r>
    </w:p>
    <w:p>
      <w:pPr>
        <w:pStyle w:val="BookText"/>
        <w:rPr/>
      </w:pPr>
      <w:r>
        <w:rPr>
          <w:rFonts w:ascii="Amiri" w:hAnsi="Amiri" w:eastAsia="Amiri" w:cs="Amiri"/>
          <w:color w:val="111111"/>
          <w:sz w:val="28"/>
          <w:sz w:val="28"/>
          <w:szCs w:val="28"/>
          <w:rtl w:val="true"/>
          <w:lang w:bidi="ar-SA"/>
        </w:rPr>
        <w:t xml:space="preserve">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 الرائع</w:t>
      </w:r>
    </w:p>
    <w:p>
      <w:pPr>
        <w:pStyle w:val="BookText"/>
        <w:rPr/>
      </w:pPr>
      <w:r>
        <w:rPr>
          <w:rFonts w:ascii="Amiri" w:hAnsi="Amiri" w:eastAsia="Amiri" w:cs="Amiri"/>
          <w:color w:val="111111"/>
          <w:sz w:val="28"/>
          <w:sz w:val="28"/>
          <w:szCs w:val="28"/>
          <w:rtl w:val="true"/>
          <w:lang w:bidi="ar-SA"/>
        </w:rPr>
        <w:t xml:space="preserve">التنقيح الرائع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 xml:space="preserve">جامع البزنطي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جامع السعادات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493</w:t>
      </w:r>
    </w:p>
    <w:p>
      <w:pPr>
        <w:pStyle w:val="BookText"/>
        <w:rPr/>
      </w:pPr>
      <w:r>
        <w:rPr>
          <w:rFonts w:ascii="Amiri" w:hAnsi="Amiri" w:eastAsia="Amiri" w:cs="Amiri"/>
          <w:color w:val="111111"/>
          <w:sz w:val="28"/>
          <w:sz w:val="28"/>
          <w:szCs w:val="28"/>
          <w:rtl w:val="true"/>
          <w:lang w:bidi="ar-SA"/>
        </w:rPr>
        <w:t>حاشية المكاسب للمحقّق الشيرازي</w:t>
      </w:r>
    </w:p>
    <w:p>
      <w:pPr>
        <w:pStyle w:val="BookText"/>
        <w:rPr/>
      </w:pP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حاشية المكاسب للمحقّق اليزدي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الدروس الشرعية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رسالة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الريبة</w:t>
      </w:r>
    </w:p>
    <w:p>
      <w:pPr>
        <w:pStyle w:val="BookText"/>
        <w:rPr/>
      </w:pPr>
      <w:r>
        <w:rPr>
          <w:rFonts w:ascii="Amiri" w:hAnsi="Amiri" w:eastAsia="Amiri" w:cs="Amiri"/>
          <w:color w:val="111111"/>
          <w:sz w:val="28"/>
          <w:sz w:val="28"/>
          <w:szCs w:val="28"/>
          <w:rtl w:val="true"/>
          <w:lang w:bidi="ar-SA"/>
        </w:rPr>
        <w:t xml:space="preserve">رسالة الشيخ محمّدرضا الأصفهاني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الروضة الغنّاء في تحقيق معنى الغناء</w:t>
      </w:r>
    </w:p>
    <w:p>
      <w:pPr>
        <w:pStyle w:val="BookText"/>
        <w:rPr/>
      </w:pPr>
      <w:r>
        <w:rPr>
          <w:rFonts w:ascii="Amiri" w:hAnsi="Amiri" w:eastAsia="Amiri" w:cs="Amiri"/>
          <w:color w:val="111111"/>
          <w:sz w:val="28"/>
          <w:sz w:val="28"/>
          <w:szCs w:val="28"/>
          <w:rtl w:val="true"/>
          <w:lang w:bidi="ar-SA"/>
        </w:rPr>
        <w:t xml:space="preserve">رسالة تحريم الفقّاع للشيخ الطوسي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الرسالة للشيخ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الاُصول </w:t>
      </w:r>
    </w:p>
    <w:p>
      <w:pPr>
        <w:pStyle w:val="BookText"/>
        <w:rPr/>
      </w:pPr>
      <w:r>
        <w:rPr>
          <w:rFonts w:ascii="IRNazanin" w:hAnsi="IRNazanin" w:eastAsia="IRNazanin"/>
          <w:color w:val="111111"/>
          <w:sz w:val="28"/>
          <w:sz w:val="28"/>
          <w:szCs w:val="28"/>
          <w:rtl w:val="true"/>
          <w:lang w:bidi="fa-IR"/>
        </w:rPr>
        <w:t xml:space="preserve">روض الجنان و روح الجنان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496</w:t>
      </w:r>
    </w:p>
    <w:p>
      <w:pPr>
        <w:pStyle w:val="BookText"/>
        <w:rPr/>
      </w:pP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الروضة الغنّاء في تحقيق معنى الغناء</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w:t>
      </w:r>
    </w:p>
    <w:p>
      <w:pPr>
        <w:pStyle w:val="BookText"/>
        <w:rPr/>
      </w:pP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p>
    <w:p>
      <w:pPr>
        <w:pStyle w:val="BookText"/>
        <w:rPr/>
      </w:pP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شرح الإرشاد لفخر المحقّقين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Amiri" w:hAnsi="Amiri" w:eastAsia="Amiri" w:cs="Amiri"/>
          <w:color w:val="111111"/>
          <w:sz w:val="28"/>
          <w:sz w:val="28"/>
          <w:szCs w:val="28"/>
          <w:rtl w:val="true"/>
          <w:lang w:bidi="ar-SA"/>
        </w:rPr>
        <w:t xml:space="preserve">شرح الإرشاد للمحقّق الأردبيلى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الفائدة والبرهان</w:t>
      </w:r>
    </w:p>
    <w:p>
      <w:pPr>
        <w:pStyle w:val="BookText"/>
        <w:rPr/>
      </w:pPr>
      <w:r>
        <w:rPr>
          <w:rFonts w:ascii="Amiri" w:hAnsi="Amiri" w:eastAsia="Amiri" w:cs="Amiri"/>
          <w:color w:val="111111"/>
          <w:sz w:val="28"/>
          <w:sz w:val="28"/>
          <w:szCs w:val="28"/>
          <w:rtl w:val="true"/>
          <w:lang w:bidi="ar-SA"/>
        </w:rPr>
        <w:t xml:space="preserve">شرح الفقيه للمجلسي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لوامع</w:t>
      </w:r>
    </w:p>
    <w:p>
      <w:pPr>
        <w:pStyle w:val="BookText"/>
        <w:rPr/>
      </w:pPr>
      <w:r>
        <w:rPr>
          <w:rFonts w:ascii="Amiri" w:hAnsi="Amiri" w:eastAsia="Amiri" w:cs="Amiri"/>
          <w:color w:val="111111"/>
          <w:sz w:val="28"/>
          <w:sz w:val="28"/>
          <w:szCs w:val="28"/>
          <w:rtl w:val="true"/>
          <w:lang w:bidi="ar-SA"/>
        </w:rPr>
        <w:t>صاحبقراني</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الطهارة للإمام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w:t>
      </w:r>
    </w:p>
    <w:p>
      <w:pPr>
        <w:pStyle w:val="BookText"/>
        <w:rPr/>
      </w:pPr>
      <w:r>
        <w:rPr>
          <w:rFonts w:ascii="Amiri" w:hAnsi="Amiri" w:eastAsia="Amiri" w:cs="Amiri"/>
          <w:color w:val="111111"/>
          <w:sz w:val="28"/>
          <w:sz w:val="28"/>
          <w:szCs w:val="28"/>
          <w:rtl w:val="true"/>
          <w:lang w:bidi="ar-SA"/>
        </w:rPr>
        <w:t xml:space="preserve">العدّة في اُصول الفقه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عقاب الأعمال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 xml:space="preserve">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علیه السلام</w:t>
      </w:r>
    </w:p>
    <w:p>
      <w:pPr>
        <w:pStyle w:val="BookText"/>
        <w:rPr/>
      </w:pP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w:t>
      </w:r>
    </w:p>
    <w:p>
      <w:pPr>
        <w:pStyle w:val="BookText"/>
        <w:rPr/>
      </w:pPr>
      <w:r>
        <w:rPr>
          <w:rFonts w:ascii="Amiri" w:hAnsi="Amiri" w:eastAsia="Amiri" w:cs="Amiri"/>
          <w:color w:val="111111"/>
          <w:sz w:val="28"/>
          <w:sz w:val="28"/>
          <w:szCs w:val="28"/>
          <w:rtl w:val="true"/>
          <w:lang w:bidi="ar-SA"/>
        </w:rPr>
        <w:t xml:space="preserve">غنية النزوع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المنسوب للإمام</w:t>
      </w:r>
    </w:p>
    <w:p>
      <w:pPr>
        <w:pStyle w:val="BookText"/>
        <w:rPr/>
      </w:pPr>
      <w:r>
        <w:rPr>
          <w:rFonts w:ascii="IRNazanin" w:hAnsi="IRNazanin" w:eastAsia="IRNazanin"/>
          <w:color w:val="111111"/>
          <w:sz w:val="28"/>
          <w:sz w:val="28"/>
          <w:szCs w:val="28"/>
          <w:rtl w:val="true"/>
          <w:lang w:bidi="fa-IR"/>
        </w:rPr>
        <w:t>الرضا علیه السلام</w:t>
      </w:r>
    </w:p>
    <w:p>
      <w:pPr>
        <w:pStyle w:val="BookText"/>
        <w:rPr/>
      </w:pPr>
      <w:r>
        <w:rPr>
          <w:rFonts w:ascii="Amiri" w:hAnsi="Amiri" w:eastAsia="Amiri" w:cs="Amiri"/>
          <w:color w:val="111111"/>
          <w:sz w:val="28"/>
          <w:sz w:val="28"/>
          <w:szCs w:val="28"/>
          <w:rtl w:val="true"/>
          <w:lang w:bidi="ar-SA"/>
        </w:rPr>
        <w:t xml:space="preserve">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المنسوب للإمام</w:t>
      </w:r>
    </w:p>
    <w:p>
      <w:pPr>
        <w:pStyle w:val="BookText"/>
        <w:rPr/>
      </w:pPr>
      <w:r>
        <w:rPr>
          <w:rFonts w:ascii="IRNazanin" w:hAnsi="IRNazanin" w:eastAsia="IRNazanin"/>
          <w:color w:val="111111"/>
          <w:sz w:val="28"/>
          <w:sz w:val="28"/>
          <w:szCs w:val="28"/>
          <w:rtl w:val="true"/>
          <w:lang w:bidi="fa-IR"/>
        </w:rPr>
        <w:t>الرضا علیه السلام</w:t>
      </w:r>
    </w:p>
    <w:p>
      <w:pPr>
        <w:pStyle w:val="BookText"/>
        <w:rPr/>
      </w:pPr>
      <w:r>
        <w:rPr>
          <w:rFonts w:ascii="IRNazanin" w:hAnsi="IRNazanin" w:eastAsia="IRNazanin"/>
          <w:color w:val="111111"/>
          <w:sz w:val="28"/>
          <w:sz w:val="28"/>
          <w:szCs w:val="28"/>
          <w:rtl w:val="true"/>
          <w:lang w:bidi="fa-IR"/>
        </w:rPr>
        <w:t xml:space="preserve">الفقه المنسوب للإمام الرضا علیه السلام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w:t>
      </w:r>
    </w:p>
    <w:p>
      <w:pPr>
        <w:pStyle w:val="BookText"/>
        <w:rPr/>
      </w:pP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كتاب رسول اللّه‌ صلی الله علیه و آله وسلم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كتاب علي علیه السلام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كتاب علي بن جعفر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كشف الريبة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الفقه</w:t>
      </w:r>
    </w:p>
    <w:p>
      <w:pPr>
        <w:pStyle w:val="BookText"/>
        <w:rPr/>
      </w:pPr>
      <w:r>
        <w:rPr>
          <w:rFonts w:ascii="Amiri" w:hAnsi="Amiri" w:eastAsia="Amiri" w:cs="Amiri"/>
          <w:color w:val="111111"/>
          <w:sz w:val="28"/>
          <w:sz w:val="28"/>
          <w:szCs w:val="28"/>
          <w:rtl w:val="true"/>
          <w:lang w:bidi="ar-SA"/>
        </w:rPr>
        <w:t xml:space="preserve">كفاية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w:t>
      </w:r>
    </w:p>
    <w:p>
      <w:pPr>
        <w:pStyle w:val="BookText"/>
        <w:rPr/>
      </w:pPr>
      <w:r>
        <w:rPr>
          <w:rFonts w:ascii="Amiri" w:hAnsi="Amiri" w:eastAsia="Amiri" w:cs="Amiri"/>
          <w:color w:val="111111"/>
          <w:sz w:val="28"/>
          <w:sz w:val="28"/>
          <w:szCs w:val="28"/>
          <w:rtl w:val="true"/>
          <w:lang w:bidi="ar-SA"/>
        </w:rPr>
        <w:t xml:space="preserve">لبّ اللباب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لوامع صاحبقراني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p>
    <w:p>
      <w:pPr>
        <w:pStyle w:val="BookText"/>
        <w:rPr/>
      </w:pPr>
      <w:r>
        <w:rPr>
          <w:rFonts w:ascii="Amiri" w:hAnsi="Amiri" w:eastAsia="Amiri" w:cs="Amiri"/>
          <w:color w:val="111111"/>
          <w:sz w:val="28"/>
          <w:sz w:val="28"/>
          <w:szCs w:val="28"/>
          <w:rtl w:val="true"/>
          <w:lang w:bidi="ar-SA"/>
        </w:rPr>
        <w:t xml:space="preserve">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للطوسي</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والبرهان</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w:t>
      </w:r>
    </w:p>
    <w:p>
      <w:pPr>
        <w:pStyle w:val="BookText"/>
        <w:rPr/>
      </w:pP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w:t>
      </w:r>
    </w:p>
    <w:p>
      <w:pPr>
        <w:pStyle w:val="BookText"/>
        <w:rPr/>
      </w:pP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 xml:space="preserve">المراسم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المسائل العزّية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p>
    <w:p>
      <w:pPr>
        <w:pStyle w:val="BookText"/>
        <w:rPr/>
      </w:pP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 xml:space="preserve">مستند الشيعة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معيار اللغة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المغرب في ترتيب المعرب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الشرائع</w:t>
      </w:r>
    </w:p>
    <w:p>
      <w:pPr>
        <w:pStyle w:val="BookText"/>
        <w:rPr/>
      </w:pPr>
      <w:r>
        <w:rPr>
          <w:rFonts w:ascii="Amiri" w:hAnsi="Amiri" w:eastAsia="Amiri" w:cs="Amiri"/>
          <w:color w:val="111111"/>
          <w:sz w:val="28"/>
          <w:sz w:val="28"/>
          <w:szCs w:val="28"/>
          <w:rtl w:val="true"/>
          <w:lang w:bidi="ar-SA"/>
        </w:rPr>
        <w:t xml:space="preserve">مفاتيح الشرائع </w:t>
      </w:r>
      <w:r>
        <w:rPr>
          <w:rFonts w:eastAsia="Amiri" w:cs="Amiri" w:ascii="Amiri" w:hAnsi="Amiri"/>
          <w:color w:val="111111"/>
          <w:sz w:val="28"/>
          <w:szCs w:val="28"/>
          <w:lang w:bidi="ar-SA"/>
        </w:rPr>
        <w:t>354</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المكاسب للشيخ الأنصاري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منتهى الإرب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المطلب</w:t>
      </w:r>
    </w:p>
    <w:p>
      <w:pPr>
        <w:pStyle w:val="BookText"/>
        <w:rPr/>
      </w:pPr>
      <w:r>
        <w:rPr>
          <w:rFonts w:ascii="IRNazanin" w:hAnsi="IRNazanin" w:eastAsia="IRNazanin"/>
          <w:color w:val="111111"/>
          <w:sz w:val="28"/>
          <w:sz w:val="28"/>
          <w:szCs w:val="28"/>
          <w:rtl w:val="true"/>
          <w:lang w:bidi="fa-IR"/>
        </w:rPr>
        <w:t xml:space="preserve">منتهى المطلب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الناصريات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النافع</w:t>
      </w:r>
    </w:p>
    <w:p>
      <w:pPr>
        <w:pStyle w:val="BookText"/>
        <w:rPr/>
      </w:pP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مجرّد الفقه</w:t>
      </w:r>
    </w:p>
    <w:p>
      <w:pPr>
        <w:pStyle w:val="BookText"/>
        <w:rPr/>
      </w:pPr>
      <w:r>
        <w:rPr>
          <w:rFonts w:ascii="IRNazanin" w:hAnsi="IRNazanin" w:eastAsia="IRNazanin"/>
          <w:color w:val="111111"/>
          <w:sz w:val="28"/>
          <w:sz w:val="28"/>
          <w:szCs w:val="28"/>
          <w:rtl w:val="true"/>
          <w:lang w:bidi="fa-IR"/>
        </w:rPr>
        <w:t>والفتاوى</w:t>
      </w:r>
    </w:p>
    <w:p>
      <w:pPr>
        <w:pStyle w:val="BookText"/>
        <w:rPr/>
      </w:pPr>
      <w:r>
        <w:rPr>
          <w:rFonts w:ascii="Amiri" w:hAnsi="Amiri" w:eastAsia="Amiri" w:cs="Amiri"/>
          <w:color w:val="111111"/>
          <w:sz w:val="28"/>
          <w:sz w:val="28"/>
          <w:szCs w:val="28"/>
          <w:rtl w:val="true"/>
          <w:lang w:bidi="ar-SA"/>
        </w:rPr>
        <w:t xml:space="preserve">النهاية في مجرّد الفقه والفتاوى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نهاية الإحكام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w:t>
      </w:r>
    </w:p>
    <w:p>
      <w:pPr>
        <w:pStyle w:val="BookText"/>
        <w:rPr/>
      </w:pPr>
      <w:r>
        <w:rPr>
          <w:rFonts w:ascii="IRNazanin" w:hAnsi="IRNazanin" w:eastAsia="IRNazanin"/>
          <w:color w:val="111111"/>
          <w:sz w:val="28"/>
          <w:sz w:val="28"/>
          <w:szCs w:val="28"/>
          <w:rtl w:val="true"/>
          <w:lang w:bidi="fa-IR"/>
        </w:rPr>
        <w:t>والأثر</w:t>
      </w:r>
    </w:p>
    <w:p>
      <w:pPr>
        <w:pStyle w:val="BookText"/>
        <w:rPr/>
      </w:pP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535</w:t>
      </w:r>
    </w:p>
    <w:p>
      <w:pPr>
        <w:pStyle w:val="BookText"/>
        <w:rPr/>
      </w:pPr>
      <w:r>
        <w:rPr>
          <w:rFonts w:ascii="Amiri" w:hAnsi="Amiri" w:eastAsia="Amiri" w:cs="Amiri"/>
          <w:color w:val="111111"/>
          <w:sz w:val="28"/>
          <w:sz w:val="28"/>
          <w:szCs w:val="28"/>
          <w:rtl w:val="true"/>
          <w:lang w:bidi="ar-SA"/>
        </w:rPr>
        <w:t xml:space="preserve">الوسيلة إلى نيل الفضيلة </w:t>
      </w:r>
      <w:r>
        <w:rPr>
          <w:rFonts w:eastAsia="Amiri" w:cs="Amiri" w:ascii="Amiri" w:hAnsi="Amiri"/>
          <w:color w:val="111111"/>
          <w:sz w:val="28"/>
          <w:szCs w:val="28"/>
          <w:lang w:bidi="ar-SA"/>
        </w:rPr>
        <w:t>28</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للصدوق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9" w:name="pg15158_207364"/>
      <w:bookmarkStart w:id="510" w:name="pg15158_207364"/>
      <w:bookmarkEnd w:id="510"/>
    </w:p>
    <w:p>
      <w:pPr>
        <w:pStyle w:val="Heading4"/>
        <w:numPr>
          <w:ilvl w:val="3"/>
          <w:numId w:val="1"/>
        </w:numPr>
        <w:rPr/>
      </w:pPr>
      <w:bookmarkStart w:id="511" w:name="pg15158_207364"/>
      <w:bookmarkStart w:id="512" w:name="__RefHeading___Toc1851760_2142443653"/>
      <w:bookmarkStart w:id="513" w:name="_Toc171"/>
      <w:bookmarkEnd w:id="511"/>
      <w:bookmarkEnd w:id="512"/>
      <w:r>
        <w:rPr/>
        <w:t>6</w:t>
      </w:r>
      <w:r>
        <w:rPr>
          <w:rtl w:val="true"/>
        </w:rPr>
        <w:t xml:space="preserve"> - </w:t>
      </w:r>
      <w:r>
        <w:rPr>
          <w:rtl w:val="true"/>
        </w:rPr>
        <w:t>فهرس مصادر التحقيق</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المحقّقة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الفهارس ، بيروت ، دار الهادي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أبي عبداللّه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الاُولى ، قم ، مؤسّسة النشر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حسن المصطفوي ، جامعة مشهد ،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الفضائل محمّد بن الشيخ حسين الجبعي العاملي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مؤسّسة النشر الإسلامي ، الطبعة الاُولى ،</w:t>
      </w:r>
    </w:p>
    <w:p>
      <w:pPr>
        <w:pStyle w:val="BookText"/>
        <w:rPr/>
      </w:pPr>
      <w:r>
        <w:rPr>
          <w:rFonts w:ascii="Amiri" w:hAnsi="Amiri" w:eastAsia="Amiri" w:cs="Amiri"/>
          <w:color w:val="111111"/>
          <w:sz w:val="28"/>
          <w:sz w:val="28"/>
          <w:szCs w:val="28"/>
          <w:rtl w:val="true"/>
          <w:lang w:bidi="ar-SA"/>
        </w:rPr>
        <w:t xml:space="preserve">قم ، مؤسّسة النشر الإسلامي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الأذهان إلى أحكام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فارس الحسّون ، الطبعة الاُولى ، مجلّدان ، قم ، مؤسّسة</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النشر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أساس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جاراللّه محمود بن عمر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عبدالرحيم محمود ، بيروت ، دار المعرفة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أحمد 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بيروت ، دار ومكتبة الهلال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فيما اختلف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الثالثة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الاقتصاد الهادي إلى طريق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شيخ الطائفة محمّد بن الحسن المعروف بالشيخ الطوسي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 مكتبة جامع چهلستون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الخوري الشرتوني اللبناني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آية اللّه المرعشي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البعثة ، الطبعة الاُولى ، قم ، دار الثقافة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بن النعمان العكبري البغدادي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الحسين اُستاد ولي وعلي أكبر الغفّاري ، قم ، الطبعة الثانية ، مؤسّسة النشر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أو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القمّي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الخامسة ، بيروت ، مؤسّسة الأعلمي للمطبوعات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علم الهدى أبو القاسم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مؤسّسة النشر الإسلامي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الهداية في التعليقة على الكفاية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إعداد عدّة من العلماء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 بيروت ، دار إحياء التراث العربي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سليمان بن إسماعيل بن عبدالجواد الحسيني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قسم الدراسات الإسلامية ، مؤسّسة البعثة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مؤسّسة البعثة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وتصحيح أحمد حبيب قصير العاملي ، بيروت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دار إحياء التراث العربي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تحرير الأحكام الشرعية على مذهب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جمال الدين الحسن بن يوسف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إبراهيم البهادري ، الطبعة الاُولى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الإمام الصادق علیه السلام،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الحسن بن علي بن الحسين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الطبعة الثانية ، قم ، مؤسّسة النشر الإسلامي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الحسن بن يوسف بن المطهّر ، العلاّمة الحلّي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مؤسّسة آل البيت علیهم السلام لإحياء التراث ، الطبعة الاُولى ، صدر منه حتّى</w:t>
      </w:r>
    </w:p>
    <w:p>
      <w:pPr>
        <w:pStyle w:val="BookText"/>
        <w:rPr/>
      </w:pP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التعادل والترجيح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مرتضى المولى محسن 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مشهد ، دار المرتضى للنشر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محمّد بن مسعود بن محمّد بن عيّاش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المحلاّتي ، مجلّدان ، طهران ، المكتبة العلمية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طيّب الموسوي الجزائري ، الطبعة الثالثة ، مجلّدان ، قم ، مؤسّسة دار الكتاب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المنسوب إلى الإمام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مدرسة الإمام المهديّ علیه السلام ، الطبعة الاُولى ، قم ، مدرسة الإمام المهديّ علیه السلام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الفضل بن الحسن بن الفضل الطبرسي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قم ، مؤسّسة</w:t>
      </w:r>
    </w:p>
    <w:p>
      <w:pPr>
        <w:pStyle w:val="BookText"/>
        <w:rPr/>
      </w:pPr>
      <w:r>
        <w:rPr>
          <w:rFonts w:ascii="Amiri" w:hAnsi="Amiri" w:eastAsia="Amiri" w:cs="Amiri"/>
          <w:color w:val="111111"/>
          <w:sz w:val="28"/>
          <w:sz w:val="28"/>
          <w:szCs w:val="28"/>
          <w:rtl w:val="true"/>
          <w:lang w:bidi="ar-SA"/>
        </w:rPr>
        <w:t xml:space="preserve">النشر الإسلامي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عليّ بن جمعة العروسي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هاشم الرسولي المحلاّتي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ورّام بن أبي فرّاس المالكي الأشتري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الثالثة ، طهران ، دار الكتب الإسلامية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التنقيح الرائع لمختصر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مقداد بن عبداللّه السيوري الحلّي المعروف بالفاضل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عبداللطيف الكوه‌كمري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آية اللّه المرعشي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عبداللّه بن محمّد حسن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قم ، بالاُفست عن طبعة النجف الأشرف ، المطبعة</w:t>
      </w:r>
    </w:p>
    <w:p>
      <w:pPr>
        <w:pStyle w:val="BookText"/>
        <w:rPr/>
      </w:pPr>
      <w:r>
        <w:rPr>
          <w:rFonts w:ascii="Amiri" w:hAnsi="Amiri" w:eastAsia="Amiri" w:cs="Amiri"/>
          <w:color w:val="111111"/>
          <w:sz w:val="28"/>
          <w:sz w:val="28"/>
          <w:szCs w:val="28"/>
          <w:rtl w:val="true"/>
          <w:lang w:bidi="ar-SA"/>
        </w:rPr>
        <w:t xml:space="preserve">المرتضوية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 الشيخ الصدوق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هاشم الحسيني الطهراني ، قم ، مؤسّسة النشر الإسلامي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عمر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 كاظم المظفّر ، الطبعة الثانية ، بيروت ، مؤسّسة الوفاء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طهران ، مكتبة الصدوق ،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محمّد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علاء آل جعفر ، الطبعة الاُولى ، قم ، مؤسّسة آل البيت علیهم السلام لإحياء التراث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السعادات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السيّد محمّد كلانتر ، الطبعة الثالثة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النجف الأشرف ، مؤسسه مطبوعاتى إسماعيليان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في شرح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الثاني علي بن الحسين بن عبدالعالي الكركي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أو الأشعثيات المطبوع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محمّد بن محمّد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 مكتبة نينوى الحديثة </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جوابات أهل الموصل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مصنّفات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عبداللّه محمّد بن محمّد </w:t>
      </w:r>
    </w:p>
    <w:p>
      <w:pPr>
        <w:pStyle w:val="BookText"/>
        <w:rPr/>
      </w:pPr>
      <w:r>
        <w:rPr>
          <w:rFonts w:ascii="Amiri" w:hAnsi="Amiri" w:eastAsia="Amiri" w:cs="Amiri"/>
          <w:color w:val="111111"/>
          <w:sz w:val="28"/>
          <w:sz w:val="28"/>
          <w:szCs w:val="28"/>
          <w:rtl w:val="true"/>
          <w:lang w:bidi="ar-SA"/>
        </w:rPr>
        <w:t xml:space="preserve">ابن النعمان البغدادي المعروف بالشيخ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قم ، المؤتمر العالمي لألفية الشيخ المفيد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في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بن باقر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عبّاس القوچاني ، الطبعة الثالثة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طهران ، دار الكتب الإسلامية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ميرزا علي الإيرواني الغروي ، تحقيق باقر الفخّار الأصفهاني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دار ذوي القربى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عبّاس محمّد آل سباع القطيفي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قم ، دار المصطفى</w:t>
      </w:r>
    </w:p>
    <w:p>
      <w:pPr>
        <w:pStyle w:val="BookText"/>
        <w:rPr/>
      </w:pPr>
      <w:r>
        <w:rPr>
          <w:rFonts w:ascii="Amiri" w:hAnsi="Amiri" w:eastAsia="Amiri" w:cs="Amiri"/>
          <w:color w:val="111111"/>
          <w:sz w:val="28"/>
          <w:sz w:val="28"/>
          <w:szCs w:val="28"/>
          <w:rtl w:val="true"/>
          <w:lang w:bidi="ar-SA"/>
        </w:rPr>
        <w:t xml:space="preserve">لإحياء التراث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الميرزا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جزءان في مجلّد واحد ، قم ، انتشارات الشريف الرضي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تقيّ الإيرواني ، الطبعة الاُولى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قم ، مؤسّسة النشر</w:t>
      </w:r>
    </w:p>
    <w:p>
      <w:pPr>
        <w:pStyle w:val="BookText"/>
        <w:rPr/>
      </w:pPr>
      <w:r>
        <w:rPr>
          <w:rFonts w:ascii="Amiri" w:hAnsi="Amiri" w:eastAsia="Amiri" w:cs="Amiri"/>
          <w:color w:val="111111"/>
          <w:sz w:val="28"/>
          <w:sz w:val="28"/>
          <w:szCs w:val="28"/>
          <w:rtl w:val="true"/>
          <w:lang w:bidi="ar-SA"/>
        </w:rPr>
        <w:t xml:space="preserve">الإسلامي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المحقّق الكركي وآثاره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الشيخ علي بن الحسين الكركي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الحسّون ، الطبعة الاُولى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 منشورات الاحتجاج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علي أكبر الغفّاري ، الطبعة الثانية ، جزءان في مجلّد واحد ،</w:t>
      </w:r>
    </w:p>
    <w:p>
      <w:pPr>
        <w:pStyle w:val="BookText"/>
        <w:rPr/>
      </w:pPr>
      <w:r>
        <w:rPr>
          <w:rFonts w:ascii="Amiri" w:hAnsi="Amiri" w:eastAsia="Amiri" w:cs="Amiri"/>
          <w:color w:val="111111"/>
          <w:sz w:val="28"/>
          <w:sz w:val="28"/>
          <w:szCs w:val="28"/>
          <w:rtl w:val="true"/>
          <w:lang w:bidi="ar-SA"/>
        </w:rPr>
        <w:t xml:space="preserve">قم ، مؤسّسة النشر الإسلامي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في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w:t>
      </w:r>
    </w:p>
    <w:p>
      <w:pPr>
        <w:pStyle w:val="BookText"/>
        <w:rPr/>
      </w:pPr>
      <w:r>
        <w:rPr>
          <w:rFonts w:ascii="Amiri" w:hAnsi="Amiri" w:eastAsia="Amiri" w:cs="Amiri"/>
          <w:color w:val="111111"/>
          <w:sz w:val="28"/>
          <w:sz w:val="28"/>
          <w:szCs w:val="28"/>
          <w:rtl w:val="true"/>
          <w:lang w:bidi="ar-SA"/>
        </w:rPr>
        <w:t xml:space="preserve">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جواد القيّومي ، الطبعة الاُولى ، قم ، مؤسّسة نشر الفقاهة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جماعة من المحقّقين ،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قم ، مؤسّسة النشر</w:t>
      </w:r>
    </w:p>
    <w:p>
      <w:pPr>
        <w:pStyle w:val="BookText"/>
        <w:rPr/>
      </w:pPr>
      <w:r>
        <w:rPr>
          <w:rFonts w:ascii="Amiri" w:hAnsi="Amiri" w:eastAsia="Amiri" w:cs="Amiri"/>
          <w:color w:val="111111"/>
          <w:sz w:val="28"/>
          <w:sz w:val="28"/>
          <w:szCs w:val="28"/>
          <w:rtl w:val="true"/>
          <w:lang w:bidi="ar-SA"/>
        </w:rPr>
        <w:t xml:space="preserve">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قم ، مؤسّسة</w:t>
      </w:r>
    </w:p>
    <w:p>
      <w:pPr>
        <w:pStyle w:val="BookText"/>
        <w:rPr/>
      </w:pPr>
      <w:r>
        <w:rPr>
          <w:rFonts w:ascii="Amiri" w:hAnsi="Amiri" w:eastAsia="Amiri" w:cs="Amiri"/>
          <w:color w:val="111111"/>
          <w:sz w:val="28"/>
          <w:sz w:val="28"/>
          <w:szCs w:val="28"/>
          <w:rtl w:val="true"/>
          <w:lang w:bidi="ar-SA"/>
        </w:rPr>
        <w:t xml:space="preserve">النشر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القاضي النعمان بن محمّد بن منصور بن أحمد بن حيّون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آصف بن علي أصغر فيضي ، مجلّدان ، القاهرة ، دار المعارف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أبو الحسين سعيد بن هبة اللّه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الراوندي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مدرسة الإمام المهديّ علیه السلام، الطبعة الاُولى ، قم ، انتشارات مدرسة الإمام المهديّ علیه السلام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علي بن أحمد بن العبّاس النجاشي الأسدي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موسى الشبيري الزنجاني ، الطبعة الاُولى ، قم ، مؤسّسة النشر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لابن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الغضائري الواسطي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محمّد رضا الحسيني الجلالي ، الطبعة الاُولى ، قم ، دار الحديث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الأربعة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 العلماء الأعلام ، تحقيق رضا الاُستادي ، الطبعة الاُولى ، قم ، مؤسّسة النشر الإسلامي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نجم الدين جعفر بن 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رضا الاُستادي ، الطبعة الاُولى ، قم ، مكتبة آية اللّه المرعشي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شمس الدين محمّد بن فهد الحلّي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 الطبعة الاُولى ، قم ، مكتبة آية اللّه المرعشي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المحكم والمتشابه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المرتضى علم الهدى أبو القاسم علي ابن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دار الشبستري للمطبوعات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الجنان وروح الجنان في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أبي الفتوح رازي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علي بن محمّد بن أحمد الخزاعي النيسابوري المشهور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أبوالفتوح الرازي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دكتر محمّد جعفر ياحقي ودكتر محمّد مهديّ ناصح ، چاپ دوم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مشهد ، انتشارات آستان قدس رضوى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مجمع الفكر الإسلامي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مجمع الفكر الإسلامي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في بيان أحكام الشرع بالدلائل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محمّد علي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قم ،</w:t>
      </w:r>
    </w:p>
    <w:p>
      <w:pPr>
        <w:pStyle w:val="BookText"/>
        <w:rPr/>
      </w:pPr>
      <w:r>
        <w:rPr>
          <w:rFonts w:ascii="Amiri" w:hAnsi="Amiri" w:eastAsia="Amiri" w:cs="Amiri"/>
          <w:color w:val="111111"/>
          <w:sz w:val="28"/>
          <w:sz w:val="28"/>
          <w:szCs w:val="28"/>
          <w:rtl w:val="true"/>
          <w:lang w:bidi="ar-SA"/>
        </w:rPr>
        <w:t xml:space="preserve">مؤسّسة النشر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والطبعة الحجرية من الرياض مجلّدان ، مؤسّسة آل البيت علیهم السلام ، للطباعة والنشر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منصور بن أحمد 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مؤسّسة النشر الإسلامي ،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يزيد بن ماجة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فؤاد عبدالباقي ، مجلّدان ، بيروت ، دار الكتب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عمر الدارقطني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مجلّدين ، بيروت ، دار إحياء التراث العربي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الدكتور يوسف عبد الرحمن المرعشلي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المعرفة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في مسائل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نجم الدين جعفر بن الحسن ابن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عبدالحسين محمّد علي بقّال ، الطبعة الثالثة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مجلّدين ، قم ، مؤسّسة إسماعيليان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أحمد عبدالغفور عطّار ، الطبعة الرابعة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بيروت ، دار العلم للملايين ،</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إسماعيل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وشرح الشيخ قاسم الشمّاعي الرفاعي ، الطبعة الاُولى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القلم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مسلم بن الحجّاج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وتعليق الدكتور موسى شاهين لاشين والدكتور أحمد عمر هاشم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مؤسّسة عزّ الدين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الصحيفة السجّادية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بن الحسين زين العابدين علیه السلام، تحقيق السيّد محمّد باقر الموحّد الأبطحي ، الطبعة الاُولى ، قم ، 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في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محمّد رضا الأنصاري القمّي ، الطبعة الاُولى ، مجلّدان ،</w:t>
      </w:r>
    </w:p>
    <w:p>
      <w:pPr>
        <w:pStyle w:val="BookText"/>
        <w:rPr/>
      </w:pPr>
      <w:r>
        <w:rPr>
          <w:rFonts w:ascii="Amiri" w:hAnsi="Amiri" w:eastAsia="Amiri" w:cs="Amiri"/>
          <w:color w:val="111111"/>
          <w:sz w:val="28"/>
          <w:sz w:val="28"/>
          <w:szCs w:val="28"/>
          <w:rtl w:val="true"/>
          <w:lang w:bidi="ar-SA"/>
        </w:rPr>
        <w:t xml:space="preserve">قم ، مطبعة ستارة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النجف الأشرف ، المكتبة الحيدرية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عوائد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أحمد بن محمّد مهدي بن أبي ذرّ النراقي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الأبحاث والدراسات الإسلامية ، الطبعة الاُولى ، قم ، مكتب الإعلام الإسلامي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العراقي ، الطبعة الاُولى ، قم ، مطبعة سيّدالشهداء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بابويه القمّي ،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السيّد مهدي الحسيني اللاجوردي ، الطبعة الثانية ، منشورات 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غنية النزوع إلى علمي الاُصول والفروع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المكارم السيّد حمزة بن علي بن زهرة الحلبي المعروف بابن زهرة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إبراهيم البهادري ، الطبعة الاُولى ، مجلّدان، قم ، مؤسّسة الإمام الصادق علیه السلام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الاُصول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w:t>
      </w:r>
    </w:p>
    <w:p>
      <w:pPr>
        <w:pStyle w:val="BookText"/>
        <w:rPr/>
      </w:pPr>
      <w:r>
        <w:rPr>
          <w:rFonts w:ascii="Amiri" w:hAnsi="Amiri" w:eastAsia="Amiri" w:cs="Amiri"/>
          <w:color w:val="111111"/>
          <w:sz w:val="28"/>
          <w:sz w:val="28"/>
          <w:szCs w:val="28"/>
          <w:rtl w:val="true"/>
          <w:lang w:bidi="ar-SA"/>
        </w:rPr>
        <w:t xml:space="preserve">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إعداد لجنة تحقيق تراث الشيخ الأعظم ،</w:t>
      </w:r>
    </w:p>
    <w:p>
      <w:pPr>
        <w:pStyle w:val="BookText"/>
        <w:rPr/>
      </w:pP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مجمع الفكر الإسلامي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المنسوب للإمام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علیهم السلام لإحياء التراث ، الطبعة الاُولى ، مشهد المقدّس ، المؤتمر العالمي للإمام الرضا علیه السلام،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على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الجزيري ، الطبعة السابعة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إحياء التراث العربي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النجف الأشرف ، دار الكتب الإسلامية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والقابوس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مجد الدين محمّد بن يعقوب الفيروزآبادي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الجيل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عبداللّه بن جعفر الحميري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السلاملإحياء التراث ، الطبعة الاُولى ، قم ، مؤسّسة آل البيت علیهم السلاملإحياء التراث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في مسائل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الحسن بن يوسف بن علي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الخامسة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الكوفي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الرموز في شرح 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أبو علي الحسن بن أبيطالب ابن أبي المجد اليوسفي المعروف بالفاضل والمحقّق الآبي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علي پناه الاشتهاردي وحسين اليزدي ، الطبعة الاُولى ، مجلّدان ، قم ، مؤسّسة النشر الإسلامي ،</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محمّد الأصفهاني المعروف بالفاضل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قم ، مؤسّسة</w:t>
      </w:r>
    </w:p>
    <w:p>
      <w:pPr>
        <w:pStyle w:val="BookText"/>
        <w:rPr/>
      </w:pPr>
      <w:r>
        <w:rPr>
          <w:rFonts w:ascii="Amiri" w:hAnsi="Amiri" w:eastAsia="Amiri" w:cs="Amiri"/>
          <w:color w:val="111111"/>
          <w:sz w:val="28"/>
          <w:sz w:val="28"/>
          <w:szCs w:val="28"/>
          <w:rtl w:val="true"/>
          <w:lang w:bidi="ar-SA"/>
        </w:rPr>
        <w:t xml:space="preserve">النشر الإسلامي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في شرح تجريد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ابن المطهّر ، تحقيق الشيخ حسن حسن زاده الآملي ، قم ، مؤسّسة النشر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الفقه المشتهر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بن محمّد مؤمن الشريف الخراساني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مرتضى الواعظي الأراكي ، الطبعة الاُولى ، مجلّدان ، قم ، مؤسّسة النشر الإسلامي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الاُولى ، طهران ، مكتبة الصدوق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الشيخ محمّد بن علي بن عثمان الكراجكي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عبداللّه نعمة ، الطبعة الاُولى ، جزءان ، قم ، منشورات دار الذخائر ،</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جمال الدين محمّد بن مكرم بن منظور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إحياء التراث العربي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لوامع صاحبقراني المشتهر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انتشارات دار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بن أبي سهل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المعرفة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محمّد تقيّ الكشفي، الطبعة الثانية،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 المكتبة المرتضوية لإحياء الآثار الجعفرية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ومطلع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ومكتبة الهلال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وتصحيح السيّد هاشم الرسولي المحلاّتي والسيّد فضل اللّه اليزدي الطباطبائي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بيروت ، دار</w:t>
      </w:r>
    </w:p>
    <w:p>
      <w:pPr>
        <w:pStyle w:val="BookText"/>
        <w:rPr/>
      </w:pPr>
      <w:r>
        <w:rPr>
          <w:rFonts w:ascii="Amiri" w:hAnsi="Amiri" w:eastAsia="Amiri" w:cs="Amiri"/>
          <w:color w:val="111111"/>
          <w:sz w:val="28"/>
          <w:sz w:val="28"/>
          <w:szCs w:val="28"/>
          <w:rtl w:val="true"/>
          <w:lang w:bidi="ar-SA"/>
        </w:rPr>
        <w:t xml:space="preserve">المعرفة للطباعة والنشر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الفائدة والبرهان في شرح إرشاد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المعروف بالمقدّس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مجتبى العراقي وعلي پناه الاشتهاردي وحسين اليزدي ، الطبعة الاُولى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النشر الإسلامي ،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فتح العزيز ويليه التلخيص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يحيى بن شرف النووي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الفكر </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جلال الدين الحسيني الاُرموي ، الطبعة الثانية ، قم ، دار الكتب الإسلامية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نجم الدين جعفر بن 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قم ، منشورات مؤسّسة المطبوعات الديني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الأبحاث والدراسات الإسلامية ، الطبعة الاُولى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قم ، مكتب الإعلام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مدارك الأحكام في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بن علي الموسوي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آل البيت علیهم السلام لإحياء التراث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والسيّد جعفر الحسيني والشيخ علي الآخوندي ، الطبعة الثانية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المراسم في فقه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العزيز الديلمي الملقّب بسلاّر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محمود البستاني ، قم ، منشورات حرمين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ومعادن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أبوالحسن علي بن الحسن بن علي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محيي الدين عبد الحميد ، الطبعة الثانية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بيروت ، المكتبة</w:t>
      </w:r>
    </w:p>
    <w:p>
      <w:pPr>
        <w:pStyle w:val="BookText"/>
        <w:rPr/>
      </w:pPr>
      <w:r>
        <w:rPr>
          <w:rFonts w:ascii="Amiri" w:hAnsi="Amiri" w:eastAsia="Amiri" w:cs="Amiri"/>
          <w:color w:val="111111"/>
          <w:sz w:val="28"/>
          <w:sz w:val="28"/>
          <w:szCs w:val="28"/>
          <w:rtl w:val="true"/>
          <w:lang w:bidi="ar-SA"/>
        </w:rPr>
        <w:t xml:space="preserve">الإسلامية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مسائل الناصريات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علي بن الحسين الموسوي المعروف بالشريف المرتضى وعلم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البحوث والدراسات العلمية ، قم ، مؤسّسة الهدى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علي بن جعفر ومستدركاتها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علیهم السلام لإحياء التراث ، الطبعة الاُولى ، بيروت ، مؤسّسة آل البيت علیهم السلام لإحياء التراث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الجبعي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المعارف الإسلامية ،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المعارف الإسلامية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ومستنبط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الميرزا حسين المحدّث النوري الطبرسي ،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والطبعة الحجرية من المستدرك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منشورات المكتبة الإسلامية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الشيعة في أحكام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مهدي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أحمد محمّد شاكر وحمزة أحمد الزين ، الطبعة الاُولى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القاهرة ، دار الحديث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إلى الإمام الصادق علیه السلام ، الطبعة الثالثة ، بيروت ، مؤسّسة الأعلمى للمطبوعات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في غريب 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المقري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جزءان في مجلّد واحد ، قم ، دار الهجرة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المصنّفات الأربعة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الريبة ، مسكّن الفؤاد ، التنبيهات العلية ، حقيقة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زين الدين بن علي العاملي المشهور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الأبحاث والدراسات الإسلامية ، الطبعة الاولى ، مركز النشر التابع لمكتب الإعلام الإسلامي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مصنّفات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بن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مكتب الإعلام الإسلامي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قم ، مؤسّسة النشر الإسلامي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في شرح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الحلّي نجم الدين جعفر بن الحسن بن يحيى بن سعيد الهُذلي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عدّة من الأفاضل ، الطبعة الاُولى ، مجلّدان ، قم ، مؤسّسة سيّد الشهداء علیه السلام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معيار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عليّ بن محمّد صادق الشيرازي ، الطبعة الحجرية ، ايران ،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المغرب في ترتيب المعرب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ناصر الدين بن عبدالسيّد بن علي المطرّزي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محمود فاخوري وعبدالحميد مختار ، الطبعة الاُولى ، مجلّدان ، حلب ، مكتبة اُسامة بن زيد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ويليه 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أحمد بن محمّد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الفرج عبدالرحمان بن أبي عمر محمّد بن أحمد 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الكتب العربي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مطبعة الخيّام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الحسيني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باقر الخالصي ، الطبعة الاُولى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قم ، مؤسّسة النشر</w:t>
      </w:r>
    </w:p>
    <w:p>
      <w:pPr>
        <w:pStyle w:val="BookText"/>
        <w:rPr/>
      </w:pPr>
      <w:r>
        <w:rPr>
          <w:rFonts w:ascii="Amiri" w:hAnsi="Amiri" w:eastAsia="Amiri" w:cs="Amiri"/>
          <w:color w:val="111111"/>
          <w:sz w:val="28"/>
          <w:sz w:val="28"/>
          <w:szCs w:val="28"/>
          <w:rtl w:val="true"/>
          <w:lang w:bidi="ar-SA"/>
        </w:rPr>
        <w:t xml:space="preserve">الإسلامي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مقباس الهداية في علم الدراية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عبداللّه بن محمّد حسن المامقاني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محمّد رضا المامقاني ، الطبعة الاُولى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آل البيت علیهم السلام لإحياء التراث ،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بابويه القمّي المعروف بالشيخ الصدوق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لجنة التحقيق التابعة لمؤسّسة الإمام الهادي علیه السلام ، قم ، مؤسّسة الإمام الهادي علیه السلام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بن النعمان العكبري البغدادي المعروف بالشيخ </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الثانية ، قم ، مؤسّسة النشر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رضيّ الدين الحسن بن الفضل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علاء آل جعفر ، مجلّدان ، الطبعة الاُولى ، قم ، مؤسّسة النشر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الدزفولي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لجنة تحقيق تراث الشيخ الأعظم ،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الفقهية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رشيد الدين محمّد علي بن شهر آشوب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المحلاّتي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مؤسّسه انتشارات علامه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الوصول إلى علم الاُصول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 xml:space="preserve">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المجاهد محمّد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الحجرية ، قم ، مؤسّسة آل البيت علیهم السلام لإحياء التراث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الإرب في لغة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عبدالرحيم بن عبدالكريم الصفيپور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في مجلّدين ، طهران ، كتابخانه سنائي ،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في تحقيق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قسم الفقه في مجمع البحوث الإسلامية ،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مشهد ، مجمع البحوث الإسلامية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المنجد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لوئيس معلوف وعدّة من الأساتذة ، الطبعة الثالثة والثلاثون ، بيروت ، دار المشرق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الطالب في شرح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موسى بن محمّد النجفي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w:t>
      </w:r>
    </w:p>
    <w:p>
      <w:pPr>
        <w:pStyle w:val="BookText"/>
        <w:rPr/>
      </w:pPr>
      <w:r>
        <w:rPr>
          <w:rFonts w:ascii="Amiri" w:hAnsi="Amiri" w:eastAsia="Amiri" w:cs="Amiri"/>
          <w:color w:val="111111"/>
          <w:sz w:val="28"/>
          <w:sz w:val="28"/>
          <w:szCs w:val="28"/>
          <w:rtl w:val="true"/>
          <w:lang w:bidi="ar-SA"/>
        </w:rPr>
        <w:t xml:space="preserve">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عليّ بن أحمد العاملي المعروف بالشهيد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رضا المختاري ، قم ، مكتبة الإعلام الإسلامي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تنظيم ونشر آثار الإمام الخميني  قدّس سرّه ، 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الاُولى ، قم ، مؤسّسة تنظيم ونشر آثار الإمام الخميني  قدّس سرّه ،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عبدالعزيز بن نحرير بن عبدالعزيز القاضي ابن البرّاج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مؤسّسة سيّدالشهداء ، الطبعة الاُولى ، مجلّدان ، قم ، مؤسّسة النشر الإسلامي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نضد القواعد الفقهيّة على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المقداد بن عبداللّه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عبداللطيف الكوهكمري ، الطبعة الاُولى ، قم ، مكتبة آية اللّه</w:t>
      </w:r>
    </w:p>
    <w:p>
      <w:pPr>
        <w:pStyle w:val="BookText"/>
        <w:rPr/>
      </w:pPr>
      <w:r>
        <w:rPr>
          <w:rFonts w:ascii="IRNazanin" w:hAnsi="IRNazanin" w:eastAsia="IRNazanin"/>
          <w:color w:val="111111"/>
          <w:sz w:val="28"/>
          <w:sz w:val="28"/>
          <w:szCs w:val="28"/>
          <w:rtl w:val="true"/>
          <w:lang w:bidi="fa-IR"/>
        </w:rPr>
        <w:t xml:space="preserve">العظمى المرعشى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فضل اللّه بن علي الحسيني الراوندي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سعيد رضا علي عسكري ، الطبعة الاُولى ، قم ، مؤسّسة دار الحديث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الإحكام في معرفة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مهدي الرجائي ، الطبعة الثانية ، مجلّدان ، قم ،</w:t>
      </w:r>
    </w:p>
    <w:p>
      <w:pPr>
        <w:pStyle w:val="BookText"/>
        <w:rPr/>
      </w:pPr>
      <w:r>
        <w:rPr>
          <w:rFonts w:ascii="Amiri" w:hAnsi="Amiri" w:eastAsia="Amiri" w:cs="Amiri"/>
          <w:color w:val="111111"/>
          <w:sz w:val="28"/>
          <w:sz w:val="28"/>
          <w:szCs w:val="28"/>
          <w:rtl w:val="true"/>
          <w:lang w:bidi="ar-SA"/>
        </w:rPr>
        <w:t xml:space="preserve">مؤسّسة إسماعيليان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أبو السعادات المبارك بن محمّد بن محمّد الجزري المعروف بابن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طاهر أحمد التراوي ومحمود محمّد الطناحي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إسماعيليان ،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مجرّد الفقه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انتشارات قدس محمّدي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 من كلام مولانا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الشريف الرضي ، محمّد بن الحسين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الدكتور صبحي صالح ، انتشارات الهجرة ، قم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بالاُفست عن طبعة بيروت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المرتضى المولى محسن المعروف بالفيض الكاشاني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ضياء الدين الحسيني ، الطبعة الاُولى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أصفهان ، مكتبة الإمام أمير المؤمنين علیه السلام،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إلى تحصيل مسائل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والطبعة الحجرية منه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الطباعة ،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إلى نيل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أبو جعفر محمّد بن علي الطوسي المعروف بابن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الشيخ محمّد الحسّون ، الطبعة الاُولى ، قم ، مكتبة آية</w:t>
      </w:r>
    </w:p>
    <w:p>
      <w:pPr>
        <w:pStyle w:val="BookText"/>
        <w:rPr/>
      </w:pPr>
      <w:r>
        <w:rPr>
          <w:rFonts w:ascii="Amiri" w:hAnsi="Amiri" w:eastAsia="Amiri" w:cs="Amiri"/>
          <w:color w:val="111111"/>
          <w:sz w:val="28"/>
          <w:sz w:val="28"/>
          <w:szCs w:val="28"/>
          <w:rtl w:val="true"/>
          <w:lang w:bidi="ar-SA"/>
        </w:rPr>
        <w:t xml:space="preserve">اللّه المرعشي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وقاية الأذهان مع رسالتي سمطا اللآل في مسألتي الوضع والاستعمال وإماطة الغين عن استعمال العين في معنيين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المجد محمّد رضا بن محمّد حسين النجفي الأصفهاني ، تحقيق مؤسّسة آل البيت علیهم السلاملإحياء التراث ، الطبعة الاُولى ، قم ، مؤسّسة آل البيت علیهم السلاملإحياء التراث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الاُصول والفروع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محمّد بن علي بن الحسين بن بابويه القمّي المعروف بالشيخ الصدوق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مؤسّسة الإمام الهادي علیه السلام، الطبعة</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الاُولى ، قم ، مؤسّسة الإمام الهادي علیه السلام،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4" w:name="pg15158_207384"/>
      <w:bookmarkStart w:id="515" w:name="pg15158_207384"/>
      <w:bookmarkEnd w:id="515"/>
    </w:p>
    <w:p>
      <w:pPr>
        <w:pStyle w:val="Heading4"/>
        <w:numPr>
          <w:ilvl w:val="3"/>
          <w:numId w:val="1"/>
        </w:numPr>
        <w:rPr/>
      </w:pPr>
      <w:bookmarkStart w:id="516" w:name="pg15158_207384"/>
      <w:bookmarkStart w:id="517" w:name="__RefHeading___Toc1851762_2142443653"/>
      <w:bookmarkStart w:id="518" w:name="_Toc172"/>
      <w:bookmarkEnd w:id="516"/>
      <w:bookmarkEnd w:id="517"/>
      <w:r>
        <w:rPr/>
        <w:t>7</w:t>
      </w:r>
      <w:r>
        <w:rPr>
          <w:rtl w:val="true"/>
        </w:rPr>
        <w:t xml:space="preserve"> - </w:t>
      </w:r>
      <w:r>
        <w:rPr>
          <w:rtl w:val="true"/>
        </w:rPr>
        <w:t>فهرس الموضوعات</w:t>
      </w:r>
      <w:bookmarkEnd w:id="518"/>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بقلم آية اللّه السيّد محمّد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ascii="Amiri" w:hAnsi="Amiri" w:eastAsia="Amiri" w:cs="Amiri"/>
          <w:color w:val="111111"/>
          <w:sz w:val="28"/>
          <w:sz w:val="28"/>
          <w:szCs w:val="28"/>
          <w:rtl w:val="true"/>
          <w:lang w:bidi="ar-SA"/>
        </w:rPr>
        <w:t>المكاسب</w:t>
      </w:r>
    </w:p>
    <w:p>
      <w:pPr>
        <w:pStyle w:val="BookText"/>
        <w:rPr/>
      </w:pPr>
      <w:r>
        <w:rPr>
          <w:rFonts w:ascii="Amiri" w:hAnsi="Amiri" w:eastAsia="Amiri" w:cs="Amiri"/>
          <w:color w:val="111111"/>
          <w:sz w:val="28"/>
          <w:sz w:val="28"/>
          <w:szCs w:val="28"/>
          <w:rtl w:val="true"/>
          <w:lang w:bidi="ar-SA"/>
        </w:rPr>
        <w:t xml:space="preserve">تقسيم المكاسب وبيان المراد من المكاسب المحرّمة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في متعلّق الحرمة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أقسام المعاملات المحرّمة أو ما قيل بتحريمها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p>
    <w:p>
      <w:pPr>
        <w:pStyle w:val="BookText"/>
        <w:rPr/>
      </w:pPr>
      <w:r>
        <w:rPr>
          <w:rFonts w:ascii="Amiri" w:hAnsi="Amiri" w:eastAsia="Amiri" w:cs="Amiri"/>
          <w:color w:val="111111"/>
          <w:sz w:val="28"/>
          <w:sz w:val="28"/>
          <w:szCs w:val="28"/>
          <w:rtl w:val="true"/>
          <w:lang w:bidi="ar-SA"/>
        </w:rPr>
        <w:t>في الاكتساب بالأعيان النجسة</w:t>
      </w:r>
    </w:p>
    <w:p>
      <w:pPr>
        <w:pStyle w:val="BookText"/>
        <w:rPr/>
      </w:pPr>
      <w:r>
        <w:rPr>
          <w:rFonts w:ascii="Amiri" w:hAnsi="Amiri" w:eastAsia="Amiri" w:cs="Amiri"/>
          <w:color w:val="111111"/>
          <w:sz w:val="28"/>
          <w:sz w:val="28"/>
          <w:szCs w:val="28"/>
          <w:rtl w:val="true"/>
          <w:lang w:bidi="ar-SA"/>
        </w:rPr>
        <w:t xml:space="preserve">وفيه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الحرمة التكليفية للاكتساب بالأعيان النجسة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الأثمان المأخوذة بعنوان ثمن النجس أو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الحرمة الوضعية للاكتساب بالأعيان النجسة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حول كلمات الفقهاء في المقامات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بقيت فروع </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إلحاق المائعات المتنجّسة بالأعيان النجسة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ما هو موضوع الحرمة في الأحكام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مفاد الروايات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كلمات الفقهاء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البحث الكلّي حول الانتفاع بالأعيان النجسة وبالمتنجّسات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البحث في الانتفاع ببعض الأعيان النجسة الواردة فيها روايات بالخصوص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حكم الانتفاع بالدم وبيعه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حكم الانتفاع بالعذرة وبيعها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الأخبار الواردة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في بيان المراد من العذرة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حكم الانتفاع بالميتة وبيعها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الروايات التي يمكن أن يستدلّ بها على حرمة الانتفاع بالميتة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الروايات الدالّة على جواز الانتفاع بالميتة في موارد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دعاوي الإجماع والشهرة على حرمة الانتفاع بالميتة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جواز البيع فيما جاز الانتفاع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الانتفاع بالمشتبه بالمذكّى وبيعه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حكم الانتفاع بالكلب وبيعه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الأخبار الواردة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المحتملات في عنوان الصَيود ونحوه والمقصود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شمول عنوان الصيود ونحوه لمطلق الكلاب عدا المهملات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جواز بيع جميع الكلاب النافعة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حكم الانتفاع بالخنزير وبيعه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جواز الانتفاع بأجزاء الخنزير والكلب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الانتفاع بالخمر والفقّاع وكلّ مسكر مائع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العصير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الانتفاع بالمتنجّسات وبيعها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الكلام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صحّة بيع الدهن مشروطة باشتراط الاستصباح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حكم المبيع الذي حرّمت منافعه كلاًّ أو بعضاً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الإعلام بالنجاسة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حول كلام الشيخ في أقسام إلقاء الغير في الحرمة الواقعية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فعل الشخص علّة تامّة لوقوع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فعل الشخص سبباً للحرام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حول كلام الشيخ فيما يدلّ على قاعدة التغرير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كون الاستصباح تحت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حال الشهرة والإجماع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الموضع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الانتفاع بالدهن المتنجّس لغير الاستصباح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في الاكتساب بما يكون المقصود منه حراماً ولو شأناً</w:t>
      </w:r>
    </w:p>
    <w:p>
      <w:pPr>
        <w:pStyle w:val="BookText"/>
        <w:rPr/>
      </w:pPr>
      <w:r>
        <w:rPr>
          <w:rFonts w:ascii="IRNazanin" w:hAnsi="IRNazanin" w:eastAsia="IRNazanin"/>
          <w:color w:val="111111"/>
          <w:sz w:val="28"/>
          <w:sz w:val="28"/>
          <w:szCs w:val="28"/>
          <w:rtl w:val="true"/>
          <w:lang w:bidi="fa-IR"/>
        </w:rPr>
        <w:t xml:space="preserve">وهو على أنواع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تكون له منفعة مقصودة إلاّ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هياكل العبادات المخترعة مثل الأصنام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بعض الصور المستثناة من حرمة بيع الأصنام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حكم بيع الأصنام لأغراض صحيحة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بيع مادّة الأصنام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آلات القمار واللهو ونحوها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الأخبار الواردة في خصوص آلات القمار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يقصد منه المنفعة المحرّمة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وهو على 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المبيع كلّياً مقيّداً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المبيع جزئياً خارجياً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القيد على نحو الشرط المتأخر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يبيع الشيء واشترط على المشتري بأن لا يتصرّف فيه إلاّ في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يشترط عليه الانتفاع بالمحرّم من غير الحصر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المعاوضه على عين مشتملة على صفة يقصد منها الحرام كالمغنّية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شيء مباح ممّن يصرفه في الحرام كبيع الخشب ممّن يعمل صنماً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يقع الكلام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يمكن أن يستدلّ به على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الاستدلال بحكم العقل بقبح إعانة الغير على المعصية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الاستدلال بآية حرمة التعاون على الإثم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الاستدلال بأدلّة وجوب النهي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مفهوم الإعانة على الإثم عرفاً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حرمة بيع العنب ممّن يعلم أنّه يجعله خمراً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الروايات الواردة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بيان الحكم الوضعي للبيع المحرّم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النوع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أن يقصد به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بيع السلاح من أعداء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القسم الثالث</w:t>
      </w:r>
    </w:p>
    <w:p>
      <w:pPr>
        <w:pStyle w:val="BookText"/>
        <w:rPr/>
      </w:pPr>
      <w:r>
        <w:rPr>
          <w:rFonts w:ascii="Amiri" w:hAnsi="Amiri" w:eastAsia="Amiri" w:cs="Amiri"/>
          <w:color w:val="111111"/>
          <w:sz w:val="28"/>
          <w:sz w:val="28"/>
          <w:szCs w:val="28"/>
          <w:rtl w:val="true"/>
          <w:lang w:bidi="ar-SA"/>
        </w:rPr>
        <w:t>في الاكتساب بما لا منفعة فيه معتدّاً بها عند العقلاء</w:t>
      </w:r>
    </w:p>
    <w:p>
      <w:pPr>
        <w:pStyle w:val="BookText"/>
        <w:rPr/>
      </w:pPr>
      <w:r>
        <w:rPr>
          <w:rFonts w:ascii="Amiri" w:hAnsi="Amiri" w:eastAsia="Amiri" w:cs="Amiri"/>
          <w:color w:val="111111"/>
          <w:sz w:val="28"/>
          <w:sz w:val="28"/>
          <w:szCs w:val="28"/>
          <w:rtl w:val="true"/>
          <w:lang w:bidi="ar-SA"/>
        </w:rPr>
        <w:t xml:space="preserve">حرمة الاكتساب بما لا منفعة فيه معتدّاً بها عند العقلاء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وجه عدّ هذا القسم في عداد الأنواع المحرّمة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صور ما لا منفعة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حكم الصورة الاُولى ممّا لا منفعة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حكم الصورة الثانية وبيان الضابط الكلّي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القسم الرابع</w:t>
      </w:r>
    </w:p>
    <w:p>
      <w:pPr>
        <w:pStyle w:val="BookText"/>
        <w:rPr/>
      </w:pPr>
      <w:r>
        <w:rPr>
          <w:rFonts w:ascii="Amiri" w:hAnsi="Amiri" w:eastAsia="Amiri" w:cs="Amiri"/>
          <w:color w:val="111111"/>
          <w:sz w:val="28"/>
          <w:sz w:val="28"/>
          <w:szCs w:val="28"/>
          <w:rtl w:val="true"/>
          <w:lang w:bidi="ar-SA"/>
        </w:rPr>
        <w:t>في الاكتساب بما هو حرام في نفسه</w:t>
      </w:r>
    </w:p>
    <w:p>
      <w:pPr>
        <w:pStyle w:val="BookText"/>
        <w:rPr/>
      </w:pPr>
      <w:r>
        <w:rPr>
          <w:rFonts w:ascii="Amiri" w:hAnsi="Amiri" w:eastAsia="Amiri" w:cs="Amiri"/>
          <w:color w:val="111111"/>
          <w:sz w:val="28"/>
          <w:sz w:val="28"/>
          <w:szCs w:val="28"/>
          <w:rtl w:val="true"/>
          <w:lang w:bidi="ar-SA"/>
        </w:rPr>
        <w:t xml:space="preserve">حكم الاكتساب بما هو حرام في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فائدة استطرادية في ذكر بعض المحرّمات ممّا من شأنها الاكتساب بها في ضمن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التصوير</w:t>
      </w:r>
    </w:p>
    <w:p>
      <w:pPr>
        <w:pStyle w:val="BookText"/>
        <w:rPr/>
      </w:pPr>
      <w:r>
        <w:rPr>
          <w:rFonts w:ascii="Amiri" w:hAnsi="Amiri" w:eastAsia="Amiri" w:cs="Amiri"/>
          <w:color w:val="111111"/>
          <w:sz w:val="28"/>
          <w:sz w:val="28"/>
          <w:szCs w:val="28"/>
          <w:rtl w:val="true"/>
          <w:lang w:bidi="ar-SA"/>
        </w:rPr>
        <w:t xml:space="preserve">في حرمة عمل ذوات الأرواح المجسّمات فقط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الروايات الواردة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تصوير الأصنام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تصوير الجنّ والشيطان والمَلَك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اشترك اثنان أو أكثر في عمل 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حكم تصوير بعض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اقتناء الصور المحرّمة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حول كلام المحقّق الأردبيلي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بيان الأخبار الدالّة على جواز الاقتناء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الأخبار المستدلّ بها على حرمة الاقتناء والجواب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حول كلام المحقّق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في جواز بيع الصور وسائر التقلّبات فيها إذا كان اقتناؤها جائزاً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عدم جواز أخذ الاُجرة على التصوير المحرّم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الغناء</w:t>
      </w:r>
    </w:p>
    <w:p>
      <w:pPr>
        <w:pStyle w:val="BookText"/>
        <w:rPr/>
      </w:pPr>
      <w:r>
        <w:rPr>
          <w:rFonts w:ascii="Amiri" w:hAnsi="Amiri" w:eastAsia="Amiri" w:cs="Amiri"/>
          <w:color w:val="111111"/>
          <w:sz w:val="28"/>
          <w:sz w:val="28"/>
          <w:szCs w:val="28"/>
          <w:rtl w:val="true"/>
          <w:lang w:bidi="ar-SA"/>
        </w:rPr>
        <w:t xml:space="preserve">ماهية الغناء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تفسير الشيخ محمّد رضا الأصفهاني للغناء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المناقشة في بعض ما ذكره الشيخ محمّد رضا الأصفهاني في الغناء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التحقيق في تعريف الغناء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حكم الغناء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في الاستدلال بالأخبار على حرمة الغناء بذاته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ما نسب إلى بعض الأعاظم من إنكار حرمة الغناء بذاته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ما يمكن أن يستدلّ به على التفصيل في حرمة الغناء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المستثنيات من الغناء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في استثناء أيّام العيد والفرح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في استثناء المراثي والقراءة بالقرآن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بيان المراد ممّا دلّت على استحباب القراءة بصوت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في استثناء الحداء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ما هو معنى الحداء ؟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استثناء زفّ العرائس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سائر الأصوات اللهوية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ما دلّت على حرمة اللهو من الآيات والروايات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المسألة الثالثة في حرمة الغيبة</w:t>
      </w:r>
    </w:p>
    <w:p>
      <w:pPr>
        <w:pStyle w:val="BookText"/>
        <w:rPr/>
      </w:pPr>
      <w:r>
        <w:rPr>
          <w:rFonts w:ascii="Amiri" w:hAnsi="Amiri" w:eastAsia="Amiri" w:cs="Amiri"/>
          <w:color w:val="111111"/>
          <w:sz w:val="28"/>
          <w:sz w:val="28"/>
          <w:szCs w:val="28"/>
          <w:rtl w:val="true"/>
          <w:lang w:bidi="ar-SA"/>
        </w:rPr>
        <w:t xml:space="preserve">في كون الغيبة من الكبائر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اختصاص الحرمة بغيبة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حرمة غيبة الصبيّ المميّز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ينبغي التنبيه على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النسبة بين الغيبة والبهتان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عدم اعتبار كراهة المغتاب في مفهوم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عدم اعتبار مستورية العيب في مفهوم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معنى الستر الوارد في رواية العيّاشي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اعتبار قصد الانتقاص في مفهوم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انصراف الأدلّة عن الذكر عند النفس بلا سامع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في اعتبار تعيين المغتاب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استثني من الغيبة وحكم بجوازها بالمعنى الأعمّ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في عدم ضابط عامّ للاستثناء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الأولى صرف الكلام إلى المقامين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يستثنى بالأدلّة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استثناء غيبة المتجاهر بالفسق في الجملة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 بين الروايات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المراد بالمتجاهر بالفسق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حكم الفاسق الغير المتجاهر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استثناء تظلّم المظلوم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عدم استثناء غيبة تارك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يكون من قبيل الاستثناء بل كان من باب التزاحم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الغيبة في نصح المستشير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في وجوب نصح المستشير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استماع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حول كلام المحقّق الشيرازي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في كون استماع الغيبة من الكبائر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في تبعية حرمة الاستماع لحرمة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حكم ما لو شكّ في أنّ الاغتياب كان على وجه الحلال أو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حول جريان أصالة الصحّة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حول جريان الاستصحاب الموضوعي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الروايات الواردة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في مقتضى إطلاق الأدلّة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 xml:space="preserve">مقتضى القواعد والاُصول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مقتضى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سهو من قلمه الشريف والصحيح هو حمزة بن عبد العزيز الديلمي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المراسم ، لا ابن حمزة صاحب 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والدليل على ذلك مضافاً إلى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سابقاً ، وجود هذا القيد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 ضمن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مقباس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العصير والخمر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للشيخ الطوسي ، رسالة تحريم الفقّاع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 نّه على صيغة المجهول والآمر أحد الحضّار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 الباب</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إرشاد الأذهان ، فخر المحقّقين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في مكتبة المرعشي برقم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ماء المضاف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 ضمن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مسأل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الأطعمة والأشربة ، أبواب الأشربة المحرّمة ،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 أحم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وسائل الشيع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يكتسب به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 المستطرفات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مستند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التبيان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والذبائح ، أبواب الذبائح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المفضّل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أقرب الموارد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مقباس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التعادل والترجيح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النجاسات ، الباب</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والذبائح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والذبائح ، أبواب الذبائح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الأطعمة والأشربة ، أبواب</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والذبائح ، أبواب الذبائح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 المستطرفات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نحن بسخلة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سخلة</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 أبواب لباس المصلّي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 ضمن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 المستطرفات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 الحجري ، لكن في الطبع الجديد من الرياض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صحّحوها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 المستطرفات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مولى أبي عبداللّه 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المباحة ،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تأتيان في الصفحة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والذبائح ، أبواب الصيد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 مسألة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الإجارة ، 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الميم</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الهمزة</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موثّقة زرارة ، بل ما عثرنا عليه هي رواية الحسين بن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 في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 في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 لمطلب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 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17208</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 تبيعه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وتأتي هكذا في الصفحة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القصاص ، أبواب القصاص في النفس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ما يمسك عنه الصائم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 أبواب حدّ الزنا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المحكم والمتشابه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النعماني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أبواب موجبات الضمان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أبواب موجبات الضمان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البيع ، الإمام الخميني قدس‌سره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رواية بهذه الألفاظ ، ولكن في كتب الأحاديث روايات يمكن استفادة هذا المضمون منها ، فراجع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 أبواب الأمر والنهي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 أحمد بن حنبل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 المستطرفات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وروح الجنان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عن أحمد بن محمّد ، عن عبد المؤمن ، عن صابر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ضعف سندها باعتبار جابر ، أو باعتبار صابر مولى بسّام ، فراجع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الصاد</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القصاص ، أبواب القصاص في النفس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 حاشية إرشاد الأذهان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الصدقة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قواعد الأحكام</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 في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المصادر الروائية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أورده المصنّف كذلك في الصفحة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في ترتيب المعرب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السِدَر كعِبَر لعبة للصبيان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البيع ، الإمام الخميني قدس‌سره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الإيرواني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 الباب</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أحكام المساكن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الدفن ،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أحكام المساكن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أحكام المساكن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والذبائح ، أبواب الصيد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مكان المصلّي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أحكام المساكن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 أبواب أحكام</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أحكام المساكن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أحكام المساكن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أحكام المساكن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أحكام المساكن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أحكام المساكن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 أبواب أحكام المساكن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 أبواب أحكام المساكن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أحكام المساكن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الميم</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أحكام المساكن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أحكام المساكن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أحكام المساكن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مكان المصلّي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المساكن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 أبواب لباس المصلّي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أحكام المساكن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أحكام المساكن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الياء</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 أبواب أحكام المساكن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مكان المصلّي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 أبواب أحكام المساكن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مكان المصلّي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الأربعة عشرة ، الروضة الغنّاء في تحقيق معنى الغناء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أبواب الأشربة المحرّمة،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وقاية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 الواحدي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 الباب</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بعد الزنديق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الديّوث</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 جوابات أهل الموصل في العدد والرؤية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العين</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مرآة 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جيئونا جيئونا نجيئكم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صحّة ما في الوسائل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الأمر والنهي ، أبواب الأمر</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قراءة القرآن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قراءة القرآن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قراءة القرآن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فيما بأيدينا من الجوامع الروائية ، ولكن ورد مضمونه في بعض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المزار ،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قراءة القرآن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قراءة القرآن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قراءة القرآن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 أبواب قراءة القرآن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للنبي صلى‌الله‌عليه‌و‌آله‌وسلم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آداب السفر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آداب السفر ،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التسع ، المسائل العزّية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صاحبقراني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الحاء</w:t>
      </w:r>
      <w:r>
        <w:rPr>
          <w:rFonts w:eastAsia="IRNazanin" w:cs="IRNazanin"/>
          <w:b w:val="false"/>
          <w:bCs w:val="false"/>
          <w:i w:val="false"/>
          <w:iCs w:val="false"/>
          <w:color w:val="333333"/>
          <w:sz w:val="20"/>
          <w:szCs w:val="20"/>
          <w:rtl w:val="true"/>
        </w:rPr>
        <w:t>)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المسافر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 أبواب صلاة المسافر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المسافر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 الجنان وروح الجنان</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السبق والرماية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الجهاد ، أبواب جهاد النفس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الميم</w:t>
      </w:r>
      <w:r>
        <w:rPr>
          <w:rFonts w:eastAsia="IRNazanin" w:cs="IRNazanin"/>
          <w:b w:val="false"/>
          <w:bCs w:val="false"/>
          <w:i w:val="false"/>
          <w:iCs w:val="false"/>
          <w:color w:val="333333"/>
          <w:sz w:val="20"/>
          <w:szCs w:val="20"/>
          <w:rtl w:val="true"/>
        </w:rPr>
        <w:t>)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الهاء</w:t>
      </w:r>
      <w:r>
        <w:rPr>
          <w:rFonts w:eastAsia="IRNazanin" w:cs="IRNazanin"/>
          <w:b w:val="false"/>
          <w:bCs w:val="false"/>
          <w:i w:val="false"/>
          <w:iCs w:val="false"/>
          <w:color w:val="333333"/>
          <w:sz w:val="20"/>
          <w:szCs w:val="20"/>
          <w:rtl w:val="true"/>
        </w:rPr>
        <w:t>)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 أوائل المقالات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الإمام الخميني قدس‌سره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 أبواب أحكام العشرة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 أبواب أحكام العشرة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الإرب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معيار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المصنّفات الأربعة ، كشف الريبة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 الشيخ البهائي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 البيهقي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العين</w:t>
      </w:r>
      <w:r>
        <w:rPr>
          <w:rFonts w:eastAsia="IRNazanin" w:cs="IRNazanin"/>
          <w:b w:val="false"/>
          <w:bCs w:val="false"/>
          <w:i w:val="false"/>
          <w:iCs w:val="false"/>
          <w:color w:val="333333"/>
          <w:sz w:val="20"/>
          <w:szCs w:val="20"/>
          <w:rtl w:val="true"/>
        </w:rPr>
        <w:t>)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 أبواب أحكام العشرة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الياء</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الطهارة ، الإمام الخميني قدس‌سره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 أبواب أحكام العشرة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كتاب الحجّ، أبواب أحكام العشرة، الباب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أقوالهم في الصفحة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الروايات في الصفحة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كتاب الحجّ، أبواب أحكام العشرة،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المصنّفات الأربعة ، كشف الريبة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الصفحة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المصنّفات الأربعة ، كشف الريبة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 البيهقي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 كتاب التجارة ، في بيان حرمة الغيبة ، طبع سنة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في 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يكره</w:t>
      </w:r>
      <w:r>
        <w:rPr>
          <w:rFonts w:eastAsia="IRNazanin" w:cs="IRNazanin"/>
          <w:b w:val="false"/>
          <w:bCs w:val="false"/>
          <w:i w:val="false"/>
          <w:iCs w:val="false"/>
          <w:color w:val="333333"/>
          <w:sz w:val="20"/>
          <w:szCs w:val="20"/>
          <w:rtl w:val="true"/>
        </w:rPr>
        <w:t>»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والنهي عن المنكر ، أبواب الأمر والنهي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 السرخسي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المصنّفات الأربعة ، كشف الريبة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 البيهقي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الميم</w:t>
      </w:r>
      <w:r>
        <w:rPr>
          <w:rFonts w:eastAsia="IRNazanin" w:cs="IRNazanin"/>
          <w:b w:val="false"/>
          <w:bCs w:val="false"/>
          <w:i w:val="false"/>
          <w:iCs w:val="false"/>
          <w:color w:val="333333"/>
          <w:sz w:val="20"/>
          <w:szCs w:val="20"/>
          <w:rtl w:val="true"/>
        </w:rPr>
        <w:t>)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العين</w:t>
      </w:r>
      <w:r>
        <w:rPr>
          <w:rFonts w:eastAsia="IRNazanin" w:cs="IRNazanin"/>
          <w:b w:val="false"/>
          <w:bCs w:val="false"/>
          <w:i w:val="false"/>
          <w:iCs w:val="false"/>
          <w:color w:val="333333"/>
          <w:sz w:val="20"/>
          <w:szCs w:val="20"/>
          <w:rtl w:val="true"/>
        </w:rPr>
        <w:t>)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أحكام الخلوة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المصنّفات الأربعة ، كشف الريبة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الروايات في الصفحة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كتاب الحجّ، أبواب أحكام العشرة، الباب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16586</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عليها في المجامع الروائية ، راجع التبيان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الروايات في الصفحة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الإيرواني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العدوّ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القصاص ، أبواب القصاص في النفس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 أبواب حدّ القذف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والقرض،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18332</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التعادل والترجيح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فعل المعروف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فعل المعروف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فعل المعروف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فعل المعروف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ضعيفة بعمرو بن شمر ، راجع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العين</w:t>
      </w:r>
      <w:r>
        <w:rPr>
          <w:rFonts w:eastAsia="IRNazanin" w:cs="IRNazanin"/>
          <w:b w:val="false"/>
          <w:bCs w:val="false"/>
          <w:i w:val="false"/>
          <w:iCs w:val="false"/>
          <w:color w:val="333333"/>
          <w:sz w:val="20"/>
          <w:szCs w:val="20"/>
          <w:rtl w:val="true"/>
        </w:rPr>
        <w:t>)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الأمر والنهي ، أبواب</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فعل المعروف ،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فعل المعروف ،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المصنّفات الأربعة ، كشف الريبة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وروح الجنان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المصنّفات الأربعة ، كشف الريبة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الطبعة الحجرية من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في الطبعة الجديدة ، فنزّهوا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وروح الجنان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 أبواب أحكام العشرة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أبواب الأمر والنهي،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الطواف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أسباب النزول، الواحدي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 أبواب</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المصنّفات الأربعة ، كشف الريبة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 ضمن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المصنّفات الأربعة ، كشف الريبة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3.png"/><Relationship Id="rId39" Type="http://schemas.openxmlformats.org/officeDocument/2006/relationships/image" Target="media/image3.png"/><Relationship Id="rId40" Type="http://schemas.openxmlformats.org/officeDocument/2006/relationships/footer" Target="footer33.xml"/><Relationship Id="rId41" Type="http://schemas.openxmlformats.org/officeDocument/2006/relationships/image" Target="media/image4.png"/><Relationship Id="rId42" Type="http://schemas.openxmlformats.org/officeDocument/2006/relationships/image" Target="media/image4.png"/><Relationship Id="rId43" Type="http://schemas.openxmlformats.org/officeDocument/2006/relationships/footer" Target="footer34.xml"/><Relationship Id="rId44" Type="http://schemas.openxmlformats.org/officeDocument/2006/relationships/image" Target="media/image5.png"/><Relationship Id="rId45" Type="http://schemas.openxmlformats.org/officeDocument/2006/relationships/image" Target="media/image5.png"/><Relationship Id="rId46" Type="http://schemas.openxmlformats.org/officeDocument/2006/relationships/footer" Target="footer35.xml"/><Relationship Id="rId47" Type="http://schemas.openxmlformats.org/officeDocument/2006/relationships/image" Target="media/image6.png"/><Relationship Id="rId48" Type="http://schemas.openxmlformats.org/officeDocument/2006/relationships/image" Target="media/image6.png"/><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footer" Target="footer437.xml"/><Relationship Id="rId451" Type="http://schemas.openxmlformats.org/officeDocument/2006/relationships/footer" Target="footer438.xml"/><Relationship Id="rId452" Type="http://schemas.openxmlformats.org/officeDocument/2006/relationships/footer" Target="footer439.xml"/><Relationship Id="rId453" Type="http://schemas.openxmlformats.org/officeDocument/2006/relationships/footer" Target="footer440.xml"/><Relationship Id="rId454" Type="http://schemas.openxmlformats.org/officeDocument/2006/relationships/footer" Target="footer441.xml"/><Relationship Id="rId455" Type="http://schemas.openxmlformats.org/officeDocument/2006/relationships/footer" Target="footer442.xml"/><Relationship Id="rId456" Type="http://schemas.openxmlformats.org/officeDocument/2006/relationships/footer" Target="footer443.xml"/><Relationship Id="rId457" Type="http://schemas.openxmlformats.org/officeDocument/2006/relationships/footer" Target="footer444.xml"/><Relationship Id="rId458" Type="http://schemas.openxmlformats.org/officeDocument/2006/relationships/footer" Target="footer445.xml"/><Relationship Id="rId459" Type="http://schemas.openxmlformats.org/officeDocument/2006/relationships/footer" Target="footer446.xml"/><Relationship Id="rId460" Type="http://schemas.openxmlformats.org/officeDocument/2006/relationships/footer" Target="footer447.xml"/><Relationship Id="rId461" Type="http://schemas.openxmlformats.org/officeDocument/2006/relationships/footer" Target="footer448.xml"/><Relationship Id="rId462" Type="http://schemas.openxmlformats.org/officeDocument/2006/relationships/footer" Target="footer449.xml"/><Relationship Id="rId463" Type="http://schemas.openxmlformats.org/officeDocument/2006/relationships/footer" Target="footer450.xml"/><Relationship Id="rId464" Type="http://schemas.openxmlformats.org/officeDocument/2006/relationships/footer" Target="footer451.xml"/><Relationship Id="rId465" Type="http://schemas.openxmlformats.org/officeDocument/2006/relationships/footer" Target="footer452.xml"/><Relationship Id="rId466" Type="http://schemas.openxmlformats.org/officeDocument/2006/relationships/footer" Target="footer453.xml"/><Relationship Id="rId467" Type="http://schemas.openxmlformats.org/officeDocument/2006/relationships/footer" Target="footer454.xml"/><Relationship Id="rId468" Type="http://schemas.openxmlformats.org/officeDocument/2006/relationships/footer" Target="footer455.xml"/><Relationship Id="rId469" Type="http://schemas.openxmlformats.org/officeDocument/2006/relationships/footer" Target="footer456.xml"/><Relationship Id="rId470" Type="http://schemas.openxmlformats.org/officeDocument/2006/relationships/footer" Target="footer457.xml"/><Relationship Id="rId471" Type="http://schemas.openxmlformats.org/officeDocument/2006/relationships/footer" Target="footer458.xml"/><Relationship Id="rId472" Type="http://schemas.openxmlformats.org/officeDocument/2006/relationships/footer" Target="footer459.xml"/><Relationship Id="rId473" Type="http://schemas.openxmlformats.org/officeDocument/2006/relationships/footer" Target="footer460.xml"/><Relationship Id="rId474" Type="http://schemas.openxmlformats.org/officeDocument/2006/relationships/footer" Target="footer461.xml"/><Relationship Id="rId475" Type="http://schemas.openxmlformats.org/officeDocument/2006/relationships/footer" Target="footer462.xml"/><Relationship Id="rId476" Type="http://schemas.openxmlformats.org/officeDocument/2006/relationships/footer" Target="footer463.xml"/><Relationship Id="rId477" Type="http://schemas.openxmlformats.org/officeDocument/2006/relationships/footer" Target="footer464.xml"/><Relationship Id="rId478" Type="http://schemas.openxmlformats.org/officeDocument/2006/relationships/footer" Target="footer465.xml"/><Relationship Id="rId479" Type="http://schemas.openxmlformats.org/officeDocument/2006/relationships/footer" Target="footer466.xml"/><Relationship Id="rId480" Type="http://schemas.openxmlformats.org/officeDocument/2006/relationships/footer" Target="footer467.xml"/><Relationship Id="rId481" Type="http://schemas.openxmlformats.org/officeDocument/2006/relationships/footer" Target="footer468.xml"/><Relationship Id="rId482" Type="http://schemas.openxmlformats.org/officeDocument/2006/relationships/footer" Target="footer469.xml"/><Relationship Id="rId483" Type="http://schemas.openxmlformats.org/officeDocument/2006/relationships/footer" Target="footer470.xml"/><Relationship Id="rId484" Type="http://schemas.openxmlformats.org/officeDocument/2006/relationships/footer" Target="footer471.xml"/><Relationship Id="rId485" Type="http://schemas.openxmlformats.org/officeDocument/2006/relationships/footer" Target="footer472.xml"/><Relationship Id="rId486" Type="http://schemas.openxmlformats.org/officeDocument/2006/relationships/footer" Target="footer473.xml"/><Relationship Id="rId487" Type="http://schemas.openxmlformats.org/officeDocument/2006/relationships/footer" Target="footer474.xml"/><Relationship Id="rId488" Type="http://schemas.openxmlformats.org/officeDocument/2006/relationships/footer" Target="footer475.xml"/><Relationship Id="rId489" Type="http://schemas.openxmlformats.org/officeDocument/2006/relationships/footer" Target="footer476.xml"/><Relationship Id="rId490" Type="http://schemas.openxmlformats.org/officeDocument/2006/relationships/footer" Target="footer477.xml"/><Relationship Id="rId491" Type="http://schemas.openxmlformats.org/officeDocument/2006/relationships/footer" Target="footer478.xml"/><Relationship Id="rId492" Type="http://schemas.openxmlformats.org/officeDocument/2006/relationships/footer" Target="footer479.xml"/><Relationship Id="rId493" Type="http://schemas.openxmlformats.org/officeDocument/2006/relationships/footer" Target="footer480.xml"/><Relationship Id="rId494" Type="http://schemas.openxmlformats.org/officeDocument/2006/relationships/footer" Target="footer481.xml"/><Relationship Id="rId495" Type="http://schemas.openxmlformats.org/officeDocument/2006/relationships/footer" Target="footer482.xml"/><Relationship Id="rId496" Type="http://schemas.openxmlformats.org/officeDocument/2006/relationships/footer" Target="footer483.xml"/><Relationship Id="rId497" Type="http://schemas.openxmlformats.org/officeDocument/2006/relationships/footer" Target="footer484.xml"/><Relationship Id="rId498" Type="http://schemas.openxmlformats.org/officeDocument/2006/relationships/footer" Target="footer485.xml"/><Relationship Id="rId499" Type="http://schemas.openxmlformats.org/officeDocument/2006/relationships/footer" Target="footer486.xml"/><Relationship Id="rId500" Type="http://schemas.openxmlformats.org/officeDocument/2006/relationships/footer" Target="footer487.xml"/><Relationship Id="rId501" Type="http://schemas.openxmlformats.org/officeDocument/2006/relationships/footer" Target="footer488.xml"/><Relationship Id="rId502" Type="http://schemas.openxmlformats.org/officeDocument/2006/relationships/footer" Target="footer489.xml"/><Relationship Id="rId503" Type="http://schemas.openxmlformats.org/officeDocument/2006/relationships/footer" Target="footer490.xml"/><Relationship Id="rId504" Type="http://schemas.openxmlformats.org/officeDocument/2006/relationships/footer" Target="footer491.xml"/><Relationship Id="rId505" Type="http://schemas.openxmlformats.org/officeDocument/2006/relationships/footer" Target="footer492.xml"/><Relationship Id="rId506" Type="http://schemas.openxmlformats.org/officeDocument/2006/relationships/footer" Target="footer493.xml"/><Relationship Id="rId507" Type="http://schemas.openxmlformats.org/officeDocument/2006/relationships/footer" Target="footer494.xml"/><Relationship Id="rId508" Type="http://schemas.openxmlformats.org/officeDocument/2006/relationships/footer" Target="footer495.xml"/><Relationship Id="rId509" Type="http://schemas.openxmlformats.org/officeDocument/2006/relationships/footer" Target="footer496.xml"/><Relationship Id="rId510" Type="http://schemas.openxmlformats.org/officeDocument/2006/relationships/footer" Target="footer497.xml"/><Relationship Id="rId511" Type="http://schemas.openxmlformats.org/officeDocument/2006/relationships/footer" Target="footer498.xml"/><Relationship Id="rId512" Type="http://schemas.openxmlformats.org/officeDocument/2006/relationships/footer" Target="footer499.xml"/><Relationship Id="rId513" Type="http://schemas.openxmlformats.org/officeDocument/2006/relationships/footer" Target="footer500.xml"/><Relationship Id="rId514" Type="http://schemas.openxmlformats.org/officeDocument/2006/relationships/footer" Target="footer501.xml"/><Relationship Id="rId515" Type="http://schemas.openxmlformats.org/officeDocument/2006/relationships/footer" Target="footer502.xml"/><Relationship Id="rId516" Type="http://schemas.openxmlformats.org/officeDocument/2006/relationships/footer" Target="footer503.xml"/><Relationship Id="rId517" Type="http://schemas.openxmlformats.org/officeDocument/2006/relationships/footer" Target="footer504.xml"/><Relationship Id="rId518" Type="http://schemas.openxmlformats.org/officeDocument/2006/relationships/footer" Target="footer505.xml"/><Relationship Id="rId519" Type="http://schemas.openxmlformats.org/officeDocument/2006/relationships/footer" Target="footer506.xml"/><Relationship Id="rId520" Type="http://schemas.openxmlformats.org/officeDocument/2006/relationships/footer" Target="footer507.xml"/><Relationship Id="rId521" Type="http://schemas.openxmlformats.org/officeDocument/2006/relationships/footer" Target="footer508.xml"/><Relationship Id="rId522" Type="http://schemas.openxmlformats.org/officeDocument/2006/relationships/footer" Target="footer509.xml"/><Relationship Id="rId523" Type="http://schemas.openxmlformats.org/officeDocument/2006/relationships/footer" Target="footer510.xml"/><Relationship Id="rId524" Type="http://schemas.openxmlformats.org/officeDocument/2006/relationships/footer" Target="footer511.xml"/><Relationship Id="rId525" Type="http://schemas.openxmlformats.org/officeDocument/2006/relationships/footer" Target="footer512.xml"/><Relationship Id="rId526" Type="http://schemas.openxmlformats.org/officeDocument/2006/relationships/footer" Target="footer513.xml"/><Relationship Id="rId527" Type="http://schemas.openxmlformats.org/officeDocument/2006/relationships/footer" Target="footer514.xml"/><Relationship Id="rId528" Type="http://schemas.openxmlformats.org/officeDocument/2006/relationships/footer" Target="footer515.xml"/><Relationship Id="rId529" Type="http://schemas.openxmlformats.org/officeDocument/2006/relationships/footer" Target="footer516.xml"/><Relationship Id="rId530" Type="http://schemas.openxmlformats.org/officeDocument/2006/relationships/footer" Target="footer517.xml"/><Relationship Id="rId531" Type="http://schemas.openxmlformats.org/officeDocument/2006/relationships/footer" Target="footer518.xml"/><Relationship Id="rId532" Type="http://schemas.openxmlformats.org/officeDocument/2006/relationships/footer" Target="footer519.xml"/><Relationship Id="rId533" Type="http://schemas.openxmlformats.org/officeDocument/2006/relationships/footer" Target="footer520.xml"/><Relationship Id="rId534" Type="http://schemas.openxmlformats.org/officeDocument/2006/relationships/footer" Target="footer521.xml"/><Relationship Id="rId535" Type="http://schemas.openxmlformats.org/officeDocument/2006/relationships/footer" Target="footer522.xml"/><Relationship Id="rId536" Type="http://schemas.openxmlformats.org/officeDocument/2006/relationships/footer" Target="footer523.xml"/><Relationship Id="rId537" Type="http://schemas.openxmlformats.org/officeDocument/2006/relationships/footer" Target="footer524.xml"/><Relationship Id="rId538" Type="http://schemas.openxmlformats.org/officeDocument/2006/relationships/footer" Target="footer525.xml"/><Relationship Id="rId539" Type="http://schemas.openxmlformats.org/officeDocument/2006/relationships/footer" Target="footer526.xml"/><Relationship Id="rId540" Type="http://schemas.openxmlformats.org/officeDocument/2006/relationships/footer" Target="footer527.xml"/><Relationship Id="rId541" Type="http://schemas.openxmlformats.org/officeDocument/2006/relationships/footer" Target="footer528.xml"/><Relationship Id="rId542" Type="http://schemas.openxmlformats.org/officeDocument/2006/relationships/footer" Target="footer529.xml"/><Relationship Id="rId543" Type="http://schemas.openxmlformats.org/officeDocument/2006/relationships/footer" Target="footer530.xml"/><Relationship Id="rId544" Type="http://schemas.openxmlformats.org/officeDocument/2006/relationships/footer" Target="footer531.xml"/><Relationship Id="rId545" Type="http://schemas.openxmlformats.org/officeDocument/2006/relationships/footer" Target="footer532.xml"/><Relationship Id="rId546" Type="http://schemas.openxmlformats.org/officeDocument/2006/relationships/footer" Target="footer533.xml"/><Relationship Id="rId547" Type="http://schemas.openxmlformats.org/officeDocument/2006/relationships/footer" Target="footer534.xml"/><Relationship Id="rId548" Type="http://schemas.openxmlformats.org/officeDocument/2006/relationships/footer" Target="footer535.xml"/><Relationship Id="rId549" Type="http://schemas.openxmlformats.org/officeDocument/2006/relationships/footer" Target="footer536.xml"/><Relationship Id="rId550" Type="http://schemas.openxmlformats.org/officeDocument/2006/relationships/footer" Target="footer537.xml"/><Relationship Id="rId551" Type="http://schemas.openxmlformats.org/officeDocument/2006/relationships/footer" Target="footer538.xml"/><Relationship Id="rId552" Type="http://schemas.openxmlformats.org/officeDocument/2006/relationships/footer" Target="footer539.xml"/><Relationship Id="rId553" Type="http://schemas.openxmlformats.org/officeDocument/2006/relationships/footer" Target="footer540.xml"/><Relationship Id="rId554" Type="http://schemas.openxmlformats.org/officeDocument/2006/relationships/footer" Target="footer541.xml"/><Relationship Id="rId555" Type="http://schemas.openxmlformats.org/officeDocument/2006/relationships/footer" Target="footer542.xml"/><Relationship Id="rId556" Type="http://schemas.openxmlformats.org/officeDocument/2006/relationships/footer" Target="footer543.xml"/><Relationship Id="rId557" Type="http://schemas.openxmlformats.org/officeDocument/2006/relationships/footer" Target="footer544.xml"/><Relationship Id="rId558" Type="http://schemas.openxmlformats.org/officeDocument/2006/relationships/footer" Target="footer545.xml"/><Relationship Id="rId559" Type="http://schemas.openxmlformats.org/officeDocument/2006/relationships/footer" Target="footer546.xml"/><Relationship Id="rId560" Type="http://schemas.openxmlformats.org/officeDocument/2006/relationships/footer" Target="footer547.xml"/><Relationship Id="rId561" Type="http://schemas.openxmlformats.org/officeDocument/2006/relationships/footer" Target="footer548.xml"/><Relationship Id="rId562" Type="http://schemas.openxmlformats.org/officeDocument/2006/relationships/footer" Target="footer549.xml"/><Relationship Id="rId563" Type="http://schemas.openxmlformats.org/officeDocument/2006/relationships/footer" Target="footer550.xml"/><Relationship Id="rId564" Type="http://schemas.openxmlformats.org/officeDocument/2006/relationships/footer" Target="footer551.xml"/><Relationship Id="rId565" Type="http://schemas.openxmlformats.org/officeDocument/2006/relationships/footer" Target="footer552.xml"/><Relationship Id="rId566" Type="http://schemas.openxmlformats.org/officeDocument/2006/relationships/footer" Target="footer553.xml"/><Relationship Id="rId567" Type="http://schemas.openxmlformats.org/officeDocument/2006/relationships/footer" Target="footer554.xml"/><Relationship Id="rId568" Type="http://schemas.openxmlformats.org/officeDocument/2006/relationships/footer" Target="footer555.xml"/><Relationship Id="rId569" Type="http://schemas.openxmlformats.org/officeDocument/2006/relationships/footer" Target="footer556.xml"/><Relationship Id="rId570" Type="http://schemas.openxmlformats.org/officeDocument/2006/relationships/footer" Target="footer557.xml"/><Relationship Id="rId571" Type="http://schemas.openxmlformats.org/officeDocument/2006/relationships/footer" Target="footer558.xml"/><Relationship Id="rId572" Type="http://schemas.openxmlformats.org/officeDocument/2006/relationships/footer" Target="footer559.xml"/><Relationship Id="rId573" Type="http://schemas.openxmlformats.org/officeDocument/2006/relationships/footer" Target="footer560.xml"/><Relationship Id="rId574" Type="http://schemas.openxmlformats.org/officeDocument/2006/relationships/footer" Target="footer561.xml"/><Relationship Id="rId575" Type="http://schemas.openxmlformats.org/officeDocument/2006/relationships/footer" Target="footer562.xml"/><Relationship Id="rId576" Type="http://schemas.openxmlformats.org/officeDocument/2006/relationships/footer" Target="footer563.xml"/><Relationship Id="rId577" Type="http://schemas.openxmlformats.org/officeDocument/2006/relationships/footer" Target="footer564.xml"/><Relationship Id="rId578" Type="http://schemas.openxmlformats.org/officeDocument/2006/relationships/footer" Target="footer565.xml"/><Relationship Id="rId579" Type="http://schemas.openxmlformats.org/officeDocument/2006/relationships/footer" Target="footer566.xml"/><Relationship Id="rId580" Type="http://schemas.openxmlformats.org/officeDocument/2006/relationships/footer" Target="footer567.xml"/><Relationship Id="rId581" Type="http://schemas.openxmlformats.org/officeDocument/2006/relationships/footer" Target="footer568.xml"/><Relationship Id="rId582" Type="http://schemas.openxmlformats.org/officeDocument/2006/relationships/footer" Target="footer569.xml"/><Relationship Id="rId583" Type="http://schemas.openxmlformats.org/officeDocument/2006/relationships/footer" Target="footer570.xml"/><Relationship Id="rId584" Type="http://schemas.openxmlformats.org/officeDocument/2006/relationships/footer" Target="footer571.xml"/><Relationship Id="rId585" Type="http://schemas.openxmlformats.org/officeDocument/2006/relationships/footer" Target="footer572.xml"/><Relationship Id="rId586" Type="http://schemas.openxmlformats.org/officeDocument/2006/relationships/footer" Target="footer573.xml"/><Relationship Id="rId587" Type="http://schemas.openxmlformats.org/officeDocument/2006/relationships/footer" Target="footer574.xml"/><Relationship Id="rId588" Type="http://schemas.openxmlformats.org/officeDocument/2006/relationships/footer" Target="footer575.xml"/><Relationship Id="rId589" Type="http://schemas.openxmlformats.org/officeDocument/2006/relationships/footer" Target="footer576.xml"/><Relationship Id="rId590" Type="http://schemas.openxmlformats.org/officeDocument/2006/relationships/footer" Target="footer577.xml"/><Relationship Id="rId591" Type="http://schemas.openxmlformats.org/officeDocument/2006/relationships/footer" Target="footer578.xml"/><Relationship Id="rId592" Type="http://schemas.openxmlformats.org/officeDocument/2006/relationships/footer" Target="footer579.xml"/><Relationship Id="rId593" Type="http://schemas.openxmlformats.org/officeDocument/2006/relationships/footer" Target="footer580.xml"/><Relationship Id="rId594" Type="http://schemas.openxmlformats.org/officeDocument/2006/relationships/footer" Target="footer581.xml"/><Relationship Id="rId595" Type="http://schemas.openxmlformats.org/officeDocument/2006/relationships/footer" Target="footer582.xml"/><Relationship Id="rId596" Type="http://schemas.openxmlformats.org/officeDocument/2006/relationships/footer" Target="footer583.xml"/><Relationship Id="rId597" Type="http://schemas.openxmlformats.org/officeDocument/2006/relationships/footer" Target="footer584.xml"/><Relationship Id="rId598" Type="http://schemas.openxmlformats.org/officeDocument/2006/relationships/footer" Target="footer585.xml"/><Relationship Id="rId599" Type="http://schemas.openxmlformats.org/officeDocument/2006/relationships/footer" Target="footer586.xml"/><Relationship Id="rId600" Type="http://schemas.openxmlformats.org/officeDocument/2006/relationships/footer" Target="footer587.xml"/><Relationship Id="rId601" Type="http://schemas.openxmlformats.org/officeDocument/2006/relationships/footer" Target="footer588.xml"/><Relationship Id="rId602" Type="http://schemas.openxmlformats.org/officeDocument/2006/relationships/footer" Target="footer589.xml"/><Relationship Id="rId603" Type="http://schemas.openxmlformats.org/officeDocument/2006/relationships/footer" Target="footer590.xml"/><Relationship Id="rId604" Type="http://schemas.openxmlformats.org/officeDocument/2006/relationships/footer" Target="footer591.xml"/><Relationship Id="rId605" Type="http://schemas.openxmlformats.org/officeDocument/2006/relationships/footer" Target="footer592.xml"/><Relationship Id="rId606" Type="http://schemas.openxmlformats.org/officeDocument/2006/relationships/footer" Target="footer593.xml"/><Relationship Id="rId607" Type="http://schemas.openxmlformats.org/officeDocument/2006/relationships/footer" Target="footer594.xml"/><Relationship Id="rId608" Type="http://schemas.openxmlformats.org/officeDocument/2006/relationships/footer" Target="footer595.xml"/><Relationship Id="rId609" Type="http://schemas.openxmlformats.org/officeDocument/2006/relationships/footer" Target="footer596.xml"/><Relationship Id="rId610" Type="http://schemas.openxmlformats.org/officeDocument/2006/relationships/footer" Target="footer597.xml"/><Relationship Id="rId611" Type="http://schemas.openxmlformats.org/officeDocument/2006/relationships/footer" Target="footer598.xml"/><Relationship Id="rId612" Type="http://schemas.openxmlformats.org/officeDocument/2006/relationships/footer" Target="footer599.xml"/><Relationship Id="rId613" Type="http://schemas.openxmlformats.org/officeDocument/2006/relationships/footer" Target="footer600.xml"/><Relationship Id="rId614" Type="http://schemas.openxmlformats.org/officeDocument/2006/relationships/footer" Target="footer601.xml"/><Relationship Id="rId615" Type="http://schemas.openxmlformats.org/officeDocument/2006/relationships/footer" Target="footer602.xml"/><Relationship Id="rId616" Type="http://schemas.openxmlformats.org/officeDocument/2006/relationships/footer" Target="footer603.xml"/><Relationship Id="rId617" Type="http://schemas.openxmlformats.org/officeDocument/2006/relationships/footer" Target="footer604.xml"/><Relationship Id="rId618" Type="http://schemas.openxmlformats.org/officeDocument/2006/relationships/footer" Target="footer605.xml"/><Relationship Id="rId619" Type="http://schemas.openxmlformats.org/officeDocument/2006/relationships/footer" Target="footer606.xml"/><Relationship Id="rId620" Type="http://schemas.openxmlformats.org/officeDocument/2006/relationships/footer" Target="footer607.xml"/><Relationship Id="rId621" Type="http://schemas.openxmlformats.org/officeDocument/2006/relationships/footer" Target="footer608.xml"/><Relationship Id="rId622" Type="http://schemas.openxmlformats.org/officeDocument/2006/relationships/footer" Target="footer609.xml"/><Relationship Id="rId623" Type="http://schemas.openxmlformats.org/officeDocument/2006/relationships/footer" Target="footer610.xml"/><Relationship Id="rId624" Type="http://schemas.openxmlformats.org/officeDocument/2006/relationships/footer" Target="footer611.xml"/><Relationship Id="rId625" Type="http://schemas.openxmlformats.org/officeDocument/2006/relationships/footer" Target="footer612.xml"/><Relationship Id="rId626" Type="http://schemas.openxmlformats.org/officeDocument/2006/relationships/footer" Target="footer613.xml"/><Relationship Id="rId627" Type="http://schemas.openxmlformats.org/officeDocument/2006/relationships/footer" Target="footer614.xml"/><Relationship Id="rId628" Type="http://schemas.openxmlformats.org/officeDocument/2006/relationships/footer" Target="footer615.xml"/><Relationship Id="rId629" Type="http://schemas.openxmlformats.org/officeDocument/2006/relationships/footer" Target="footer616.xml"/><Relationship Id="rId630" Type="http://schemas.openxmlformats.org/officeDocument/2006/relationships/footer" Target="footer617.xml"/><Relationship Id="rId631" Type="http://schemas.openxmlformats.org/officeDocument/2006/relationships/footer" Target="footer618.xml"/><Relationship Id="rId632" Type="http://schemas.openxmlformats.org/officeDocument/2006/relationships/footer" Target="footer619.xml"/><Relationship Id="rId633" Type="http://schemas.openxmlformats.org/officeDocument/2006/relationships/footer" Target="footer620.xml"/><Relationship Id="rId634" Type="http://schemas.openxmlformats.org/officeDocument/2006/relationships/footer" Target="footer621.xml"/><Relationship Id="rId635" Type="http://schemas.openxmlformats.org/officeDocument/2006/relationships/footer" Target="footer622.xml"/><Relationship Id="rId636" Type="http://schemas.openxmlformats.org/officeDocument/2006/relationships/footer" Target="footer623.xml"/><Relationship Id="rId637" Type="http://schemas.openxmlformats.org/officeDocument/2006/relationships/footer" Target="footer624.xml"/><Relationship Id="rId638" Type="http://schemas.openxmlformats.org/officeDocument/2006/relationships/footer" Target="footer625.xml"/><Relationship Id="rId639" Type="http://schemas.openxmlformats.org/officeDocument/2006/relationships/footer" Target="footer626.xml"/><Relationship Id="rId640" Type="http://schemas.openxmlformats.org/officeDocument/2006/relationships/footer" Target="footer627.xml"/><Relationship Id="rId641" Type="http://schemas.openxmlformats.org/officeDocument/2006/relationships/footer" Target="footer628.xml"/><Relationship Id="rId642" Type="http://schemas.openxmlformats.org/officeDocument/2006/relationships/footer" Target="footer629.xml"/><Relationship Id="rId643" Type="http://schemas.openxmlformats.org/officeDocument/2006/relationships/footer" Target="footer630.xml"/><Relationship Id="rId644" Type="http://schemas.openxmlformats.org/officeDocument/2006/relationships/footer" Target="footer631.xml"/><Relationship Id="rId645" Type="http://schemas.openxmlformats.org/officeDocument/2006/relationships/footer" Target="footer632.xml"/><Relationship Id="rId646" Type="http://schemas.openxmlformats.org/officeDocument/2006/relationships/footer" Target="footer633.xml"/><Relationship Id="rId647" Type="http://schemas.openxmlformats.org/officeDocument/2006/relationships/footer" Target="footer634.xml"/><Relationship Id="rId648" Type="http://schemas.openxmlformats.org/officeDocument/2006/relationships/footer" Target="footer635.xml"/><Relationship Id="rId649" Type="http://schemas.openxmlformats.org/officeDocument/2006/relationships/footer" Target="footer636.xml"/><Relationship Id="rId650" Type="http://schemas.openxmlformats.org/officeDocument/2006/relationships/footer" Target="footer637.xml"/><Relationship Id="rId651" Type="http://schemas.openxmlformats.org/officeDocument/2006/relationships/footer" Target="footer638.xml"/><Relationship Id="rId652" Type="http://schemas.openxmlformats.org/officeDocument/2006/relationships/footer" Target="footer639.xml"/><Relationship Id="rId653" Type="http://schemas.openxmlformats.org/officeDocument/2006/relationships/footer" Target="footer640.xml"/><Relationship Id="rId654" Type="http://schemas.openxmlformats.org/officeDocument/2006/relationships/footer" Target="footer641.xml"/><Relationship Id="rId655" Type="http://schemas.openxmlformats.org/officeDocument/2006/relationships/footer" Target="footer642.xml"/><Relationship Id="rId656" Type="http://schemas.openxmlformats.org/officeDocument/2006/relationships/footer" Target="footer643.xml"/><Relationship Id="rId657" Type="http://schemas.openxmlformats.org/officeDocument/2006/relationships/footer" Target="footer644.xml"/><Relationship Id="rId658" Type="http://schemas.openxmlformats.org/officeDocument/2006/relationships/footer" Target="footer645.xml"/><Relationship Id="rId659" Type="http://schemas.openxmlformats.org/officeDocument/2006/relationships/footer" Target="footer646.xml"/><Relationship Id="rId660" Type="http://schemas.openxmlformats.org/officeDocument/2006/relationships/footer" Target="footer647.xml"/><Relationship Id="rId661" Type="http://schemas.openxmlformats.org/officeDocument/2006/relationships/footer" Target="footer648.xml"/><Relationship Id="rId662" Type="http://schemas.openxmlformats.org/officeDocument/2006/relationships/footer" Target="footer649.xml"/><Relationship Id="rId663" Type="http://schemas.openxmlformats.org/officeDocument/2006/relationships/footer" Target="footer650.xml"/><Relationship Id="rId664" Type="http://schemas.openxmlformats.org/officeDocument/2006/relationships/footer" Target="footer651.xml"/><Relationship Id="rId665" Type="http://schemas.openxmlformats.org/officeDocument/2006/relationships/footer" Target="footer652.xml"/><Relationship Id="rId666" Type="http://schemas.openxmlformats.org/officeDocument/2006/relationships/footer" Target="footer653.xml"/><Relationship Id="rId667" Type="http://schemas.openxmlformats.org/officeDocument/2006/relationships/footer" Target="footer654.xml"/><Relationship Id="rId668" Type="http://schemas.openxmlformats.org/officeDocument/2006/relationships/footer" Target="footer655.xml"/><Relationship Id="rId669" Type="http://schemas.openxmlformats.org/officeDocument/2006/relationships/footer" Target="footer656.xml"/><Relationship Id="rId670" Type="http://schemas.openxmlformats.org/officeDocument/2006/relationships/footer" Target="footer657.xml"/><Relationship Id="rId671" Type="http://schemas.openxmlformats.org/officeDocument/2006/relationships/footer" Target="footer658.xml"/><Relationship Id="rId672" Type="http://schemas.openxmlformats.org/officeDocument/2006/relationships/footer" Target="footer659.xml"/><Relationship Id="rId673" Type="http://schemas.openxmlformats.org/officeDocument/2006/relationships/footer" Target="footer660.xml"/><Relationship Id="rId674" Type="http://schemas.openxmlformats.org/officeDocument/2006/relationships/footer" Target="footer661.xml"/><Relationship Id="rId675" Type="http://schemas.openxmlformats.org/officeDocument/2006/relationships/image" Target="media/image2.jpeg"/><Relationship Id="rId676" Type="http://schemas.openxmlformats.org/officeDocument/2006/relationships/image" Target="media/image2.jpeg"/><Relationship Id="rId677" Type="http://schemas.openxmlformats.org/officeDocument/2006/relationships/footer" Target="footer662.xml"/><Relationship Id="rId678" Type="http://schemas.openxmlformats.org/officeDocument/2006/relationships/footnotes" Target="footnotes.xml"/><Relationship Id="rId679" Type="http://schemas.openxmlformats.org/officeDocument/2006/relationships/numbering" Target="numbering.xml"/><Relationship Id="rId680" Type="http://schemas.openxmlformats.org/officeDocument/2006/relationships/fontTable" Target="fontTable.xml"/><Relationship Id="rId681" Type="http://schemas.openxmlformats.org/officeDocument/2006/relationships/settings" Target="settings.xml"/><Relationship Id="rId6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682</Pages>
  <Words>111791</Words>
  <Characters>443886</Characters>
  <CharactersWithSpaces>551331</CharactersWithSpaces>
  <Paragraphs>5112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2026-08-24T21:14:35Z</dcterms:created>
  <dc:creator>ghaemiyeh.com</dc:creator>
  <dc:description/>
  <dc:language>en-US</dc:language>
  <cp:lastModifiedBy/>
  <dcterms:modified xsi:type="dcterms:W3CDTF">2026-08-25T00:44:55Z</dcterms:modified>
  <cp:revision>1</cp:revision>
  <dc:subject/>
  <dc:title>موسوعة الامام الخمینی قدس سرة الشریف المجلد 13 و 14 المکاسب المحرمة جلد 1</dc:title>
</cp:coreProperties>
</file>

<file path=docProps/custom.xml><?xml version="1.0" encoding="utf-8"?>
<Properties xmlns="http://schemas.openxmlformats.org/officeDocument/2006/custom-properties" xmlns:vt="http://schemas.openxmlformats.org/officeDocument/2006/docPropsVTypes"/>
</file>