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الحاشیة علی مدارک الأحکام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7391_388300464">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087393_388300464">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087395_388300464">
            <w:r>
              <w:rPr>
                <w:webHidden/>
                <w:rStyle w:val="IndexLink"/>
                <w:rtl w:val="true"/>
              </w:rPr>
              <w:t>الاستحاضة</w:t>
            </w:r>
            <w:r>
              <w:rPr>
                <w:rStyle w:val="IndexLink"/>
                <w:rtl w:val="true"/>
              </w:rPr>
              <w:tab/>
            </w:r>
            <w:r>
              <w:rPr>
                <w:rStyle w:val="IndexLink"/>
              </w:rPr>
              <w:t>16</w:t>
            </w:r>
          </w:hyperlink>
        </w:p>
        <w:p>
          <w:pPr>
            <w:pStyle w:val="Contents3"/>
            <w:tabs>
              <w:tab w:val="clear" w:pos="8459"/>
              <w:tab w:val="right" w:pos="9026" w:leader="dot"/>
            </w:tabs>
            <w:rPr/>
          </w:pPr>
          <w:hyperlink w:anchor="__RefHeading___Toc2087397_388300464">
            <w:r>
              <w:rPr>
                <w:webHidden/>
                <w:rStyle w:val="IndexLink"/>
                <w:rtl w:val="true"/>
              </w:rPr>
              <w:t>صفات دم الاستحاضة</w:t>
            </w:r>
            <w:r>
              <w:rPr>
                <w:rStyle w:val="IndexLink"/>
                <w:rtl w:val="true"/>
              </w:rPr>
              <w:tab/>
            </w:r>
            <w:r>
              <w:rPr>
                <w:rStyle w:val="IndexLink"/>
              </w:rPr>
              <w:t>16</w:t>
            </w:r>
          </w:hyperlink>
        </w:p>
        <w:p>
          <w:pPr>
            <w:pStyle w:val="Contents3"/>
            <w:tabs>
              <w:tab w:val="clear" w:pos="8459"/>
              <w:tab w:val="right" w:pos="9026" w:leader="dot"/>
            </w:tabs>
            <w:rPr/>
          </w:pPr>
          <w:hyperlink w:anchor="__RefHeading___Toc2087399_388300464">
            <w:r>
              <w:rPr>
                <w:webHidden/>
                <w:rStyle w:val="IndexLink"/>
                <w:rtl w:val="true"/>
              </w:rPr>
              <w:t>ما قلّ عن ثلاثة وما تجاوز العشرة فهو استحاضة</w:t>
            </w:r>
            <w:r>
              <w:rPr>
                <w:rStyle w:val="IndexLink"/>
                <w:rtl w:val="true"/>
              </w:rPr>
              <w:tab/>
            </w:r>
            <w:r>
              <w:rPr>
                <w:rStyle w:val="IndexLink"/>
              </w:rPr>
              <w:t>17</w:t>
            </w:r>
          </w:hyperlink>
        </w:p>
        <w:p>
          <w:pPr>
            <w:pStyle w:val="Contents3"/>
            <w:tabs>
              <w:tab w:val="clear" w:pos="8459"/>
              <w:tab w:val="right" w:pos="9026" w:leader="dot"/>
            </w:tabs>
            <w:rPr/>
          </w:pPr>
          <w:hyperlink w:anchor="__RefHeading___Toc2087401_388300464">
            <w:r>
              <w:rPr>
                <w:webHidden/>
                <w:rStyle w:val="IndexLink"/>
                <w:rtl w:val="true"/>
              </w:rPr>
              <w:t>حکم المبتدأة</w:t>
            </w:r>
            <w:r>
              <w:rPr>
                <w:rStyle w:val="IndexLink"/>
                <w:rtl w:val="true"/>
              </w:rPr>
              <w:tab/>
            </w:r>
            <w:r>
              <w:rPr>
                <w:rStyle w:val="IndexLink"/>
              </w:rPr>
              <w:t>18</w:t>
            </w:r>
          </w:hyperlink>
        </w:p>
        <w:p>
          <w:pPr>
            <w:pStyle w:val="Contents4"/>
            <w:tabs>
              <w:tab w:val="clear" w:pos="8176"/>
              <w:tab w:val="right" w:pos="9026" w:leader="dot"/>
            </w:tabs>
            <w:rPr/>
          </w:pPr>
          <w:hyperlink w:anchor="__RefHeading___Toc2087403_388300464">
            <w:r>
              <w:rPr>
                <w:webHidden/>
                <w:rStyle w:val="IndexLink"/>
                <w:rtl w:val="true"/>
              </w:rPr>
              <w:t>رجوع المبتدأة إلی عادة نسائها أو أقرانها عند فقد التمییز</w:t>
            </w:r>
            <w:r>
              <w:rPr>
                <w:rStyle w:val="IndexLink"/>
                <w:rtl w:val="true"/>
              </w:rPr>
              <w:tab/>
            </w:r>
            <w:r>
              <w:rPr>
                <w:rStyle w:val="IndexLink"/>
              </w:rPr>
              <w:t>18</w:t>
            </w:r>
          </w:hyperlink>
        </w:p>
        <w:p>
          <w:pPr>
            <w:pStyle w:val="Contents4"/>
            <w:tabs>
              <w:tab w:val="clear" w:pos="8176"/>
              <w:tab w:val="right" w:pos="9026" w:leader="dot"/>
            </w:tabs>
            <w:rPr/>
          </w:pPr>
          <w:hyperlink w:anchor="__RefHeading___Toc2087405_388300464">
            <w:r>
              <w:rPr>
                <w:webHidden/>
                <w:rStyle w:val="IndexLink"/>
                <w:rtl w:val="true"/>
              </w:rPr>
              <w:t>تحیّض المبتدأة بسبعة أیّام عند اختلاف نسائها</w:t>
            </w:r>
            <w:r>
              <w:rPr>
                <w:rStyle w:val="IndexLink"/>
                <w:rtl w:val="true"/>
              </w:rPr>
              <w:tab/>
            </w:r>
            <w:r>
              <w:rPr>
                <w:rStyle w:val="IndexLink"/>
              </w:rPr>
              <w:t>19</w:t>
            </w:r>
          </w:hyperlink>
        </w:p>
        <w:p>
          <w:pPr>
            <w:pStyle w:val="Contents3"/>
            <w:tabs>
              <w:tab w:val="clear" w:pos="8459"/>
              <w:tab w:val="right" w:pos="9026" w:leader="dot"/>
            </w:tabs>
            <w:rPr/>
          </w:pPr>
          <w:hyperlink w:anchor="__RefHeading___Toc2087407_388300464">
            <w:r>
              <w:rPr>
                <w:webHidden/>
                <w:rStyle w:val="IndexLink"/>
                <w:rtl w:val="true"/>
              </w:rPr>
              <w:t>حکم ذات العادة</w:t>
            </w:r>
            <w:r>
              <w:rPr>
                <w:rStyle w:val="IndexLink"/>
                <w:rtl w:val="true"/>
              </w:rPr>
              <w:tab/>
            </w:r>
            <w:r>
              <w:rPr>
                <w:rStyle w:val="IndexLink"/>
              </w:rPr>
              <w:t>21</w:t>
            </w:r>
          </w:hyperlink>
        </w:p>
        <w:p>
          <w:pPr>
            <w:pStyle w:val="Contents4"/>
            <w:tabs>
              <w:tab w:val="clear" w:pos="8176"/>
              <w:tab w:val="right" w:pos="9026" w:leader="dot"/>
            </w:tabs>
            <w:rPr/>
          </w:pPr>
          <w:hyperlink w:anchor="__RefHeading___Toc2087409_388300464">
            <w:r>
              <w:rPr>
                <w:webHidden/>
                <w:rStyle w:val="IndexLink"/>
                <w:rtl w:val="true"/>
              </w:rPr>
              <w:t>ذات العادة تجعل عادتها حیضاً وما سواه استحاضة</w:t>
            </w:r>
            <w:r>
              <w:rPr>
                <w:rStyle w:val="IndexLink"/>
                <w:rtl w:val="true"/>
              </w:rPr>
              <w:tab/>
            </w:r>
            <w:r>
              <w:rPr>
                <w:rStyle w:val="IndexLink"/>
              </w:rPr>
              <w:t>21</w:t>
            </w:r>
          </w:hyperlink>
        </w:p>
        <w:p>
          <w:pPr>
            <w:pStyle w:val="Contents3"/>
            <w:tabs>
              <w:tab w:val="clear" w:pos="8459"/>
              <w:tab w:val="right" w:pos="9026" w:leader="dot"/>
            </w:tabs>
            <w:rPr/>
          </w:pPr>
          <w:hyperlink w:anchor="__RefHeading___Toc2087411_388300464">
            <w:r>
              <w:rPr>
                <w:webHidden/>
                <w:rStyle w:val="IndexLink"/>
                <w:rtl w:val="true"/>
              </w:rPr>
              <w:t>حکم المضطربة إذا فقدت التمییز</w:t>
            </w:r>
            <w:r>
              <w:rPr>
                <w:rStyle w:val="IndexLink"/>
                <w:rtl w:val="true"/>
              </w:rPr>
              <w:tab/>
            </w:r>
            <w:r>
              <w:rPr>
                <w:rStyle w:val="IndexLink"/>
              </w:rPr>
              <w:t>22</w:t>
            </w:r>
          </w:hyperlink>
        </w:p>
        <w:p>
          <w:pPr>
            <w:pStyle w:val="Contents4"/>
            <w:tabs>
              <w:tab w:val="clear" w:pos="8176"/>
              <w:tab w:val="right" w:pos="9026" w:leader="dot"/>
            </w:tabs>
            <w:rPr/>
          </w:pPr>
          <w:hyperlink w:anchor="__RefHeading___Toc2087413_388300464">
            <w:r>
              <w:rPr>
                <w:webHidden/>
                <w:rStyle w:val="IndexLink"/>
                <w:rtl w:val="true"/>
              </w:rPr>
              <w:t>حکم ذاکرة العدد ناسیة الوقت</w:t>
            </w:r>
            <w:r>
              <w:rPr>
                <w:rStyle w:val="IndexLink"/>
                <w:rtl w:val="true"/>
              </w:rPr>
              <w:tab/>
            </w:r>
            <w:r>
              <w:rPr>
                <w:rStyle w:val="IndexLink"/>
              </w:rPr>
              <w:t>22</w:t>
            </w:r>
          </w:hyperlink>
        </w:p>
        <w:p>
          <w:pPr>
            <w:pStyle w:val="Contents4"/>
            <w:tabs>
              <w:tab w:val="clear" w:pos="8176"/>
              <w:tab w:val="right" w:pos="9026" w:leader="dot"/>
            </w:tabs>
            <w:rPr/>
          </w:pPr>
          <w:hyperlink w:anchor="__RefHeading___Toc2087415_388300464">
            <w:r>
              <w:rPr>
                <w:webHidden/>
                <w:rStyle w:val="IndexLink"/>
                <w:rtl w:val="true"/>
              </w:rPr>
              <w:t>حکم ذاکرة الوقت ناسیة العدد</w:t>
            </w:r>
            <w:r>
              <w:rPr>
                <w:rStyle w:val="IndexLink"/>
                <w:rtl w:val="true"/>
              </w:rPr>
              <w:tab/>
            </w:r>
            <w:r>
              <w:rPr>
                <w:rStyle w:val="IndexLink"/>
              </w:rPr>
              <w:t>22</w:t>
            </w:r>
          </w:hyperlink>
        </w:p>
        <w:p>
          <w:pPr>
            <w:pStyle w:val="Contents4"/>
            <w:tabs>
              <w:tab w:val="clear" w:pos="8176"/>
              <w:tab w:val="right" w:pos="9026" w:leader="dot"/>
            </w:tabs>
            <w:rPr/>
          </w:pPr>
          <w:hyperlink w:anchor="__RefHeading___Toc2087417_388300464">
            <w:r>
              <w:rPr>
                <w:webHidden/>
                <w:rStyle w:val="IndexLink"/>
                <w:rtl w:val="true"/>
              </w:rPr>
              <w:t>بحث رجالی حول محمّد بن عیسی عن یونس</w:t>
            </w:r>
            <w:r>
              <w:rPr>
                <w:rStyle w:val="IndexLink"/>
                <w:rtl w:val="true"/>
              </w:rPr>
              <w:tab/>
            </w:r>
            <w:r>
              <w:rPr>
                <w:rStyle w:val="IndexLink"/>
              </w:rPr>
              <w:t>22</w:t>
            </w:r>
          </w:hyperlink>
        </w:p>
        <w:p>
          <w:pPr>
            <w:pStyle w:val="Contents4"/>
            <w:tabs>
              <w:tab w:val="clear" w:pos="8176"/>
              <w:tab w:val="right" w:pos="9026" w:leader="dot"/>
            </w:tabs>
            <w:rPr/>
          </w:pPr>
          <w:hyperlink w:anchor="__RefHeading___Toc2087419_388300464">
            <w:r>
              <w:rPr>
                <w:webHidden/>
                <w:rStyle w:val="IndexLink"/>
                <w:rtl w:val="true"/>
              </w:rPr>
              <w:t>حکم ناسیة الوقت والعدد</w:t>
            </w:r>
            <w:r>
              <w:rPr>
                <w:rStyle w:val="IndexLink"/>
                <w:rtl w:val="true"/>
              </w:rPr>
              <w:tab/>
            </w:r>
            <w:r>
              <w:rPr>
                <w:rStyle w:val="IndexLink"/>
              </w:rPr>
              <w:t>23</w:t>
            </w:r>
          </w:hyperlink>
        </w:p>
        <w:p>
          <w:pPr>
            <w:pStyle w:val="Contents4"/>
            <w:tabs>
              <w:tab w:val="clear" w:pos="8176"/>
              <w:tab w:val="right" w:pos="9026" w:leader="dot"/>
            </w:tabs>
            <w:rPr/>
          </w:pPr>
          <w:hyperlink w:anchor="__RefHeading___Toc2087421_388300464">
            <w:r>
              <w:rPr>
                <w:webHidden/>
                <w:rStyle w:val="IndexLink"/>
                <w:rtl w:val="true"/>
              </w:rPr>
              <w:t xml:space="preserve">أقسام الاستحاضة وأحکامها </w:t>
            </w:r>
            <w:r>
              <w:rPr>
                <w:rStyle w:val="IndexLink"/>
                <w:rtl w:val="true"/>
              </w:rPr>
              <w:t xml:space="preserve">: </w:t>
            </w:r>
            <w:r>
              <w:rPr>
                <w:rStyle w:val="IndexLink"/>
                <w:rtl w:val="true"/>
              </w:rPr>
              <w:t>الاستحاضة القلیلة</w:t>
            </w:r>
            <w:r>
              <w:rPr>
                <w:rStyle w:val="IndexLink"/>
                <w:rtl w:val="true"/>
              </w:rPr>
              <w:tab/>
            </w:r>
            <w:r>
              <w:rPr>
                <w:rStyle w:val="IndexLink"/>
              </w:rPr>
              <w:t>23</w:t>
            </w:r>
          </w:hyperlink>
        </w:p>
        <w:p>
          <w:pPr>
            <w:pStyle w:val="Contents4"/>
            <w:tabs>
              <w:tab w:val="clear" w:pos="8176"/>
              <w:tab w:val="right" w:pos="9026" w:leader="dot"/>
            </w:tabs>
            <w:rPr/>
          </w:pPr>
          <w:hyperlink w:anchor="__RefHeading___Toc2087423_388300464">
            <w:r>
              <w:rPr>
                <w:webHidden/>
                <w:rStyle w:val="IndexLink"/>
                <w:rtl w:val="true"/>
              </w:rPr>
              <w:t>الاستحاضة المتوسطة</w:t>
            </w:r>
            <w:r>
              <w:rPr>
                <w:rStyle w:val="IndexLink"/>
                <w:rtl w:val="true"/>
              </w:rPr>
              <w:tab/>
            </w:r>
            <w:r>
              <w:rPr>
                <w:rStyle w:val="IndexLink"/>
              </w:rPr>
              <w:t>28</w:t>
            </w:r>
          </w:hyperlink>
        </w:p>
        <w:p>
          <w:pPr>
            <w:pStyle w:val="Contents4"/>
            <w:tabs>
              <w:tab w:val="clear" w:pos="8176"/>
              <w:tab w:val="right" w:pos="9026" w:leader="dot"/>
            </w:tabs>
            <w:rPr/>
          </w:pPr>
          <w:hyperlink w:anchor="__RefHeading___Toc2087425_388300464">
            <w:r>
              <w:rPr>
                <w:webHidden/>
                <w:rStyle w:val="IndexLink"/>
                <w:rtl w:val="true"/>
              </w:rPr>
              <w:t>إشارة إلی أنّ الشهرة جابرة لضعف الروایة</w:t>
            </w:r>
            <w:r>
              <w:rPr>
                <w:rStyle w:val="IndexLink"/>
                <w:rtl w:val="true"/>
              </w:rPr>
              <w:tab/>
            </w:r>
            <w:r>
              <w:rPr>
                <w:rStyle w:val="IndexLink"/>
              </w:rPr>
              <w:t>33</w:t>
            </w:r>
          </w:hyperlink>
        </w:p>
        <w:p>
          <w:pPr>
            <w:pStyle w:val="Contents4"/>
            <w:tabs>
              <w:tab w:val="clear" w:pos="8176"/>
              <w:tab w:val="right" w:pos="9026" w:leader="dot"/>
            </w:tabs>
            <w:rPr/>
          </w:pPr>
          <w:hyperlink w:anchor="__RefHeading___Toc2087427_388300464">
            <w:r>
              <w:rPr>
                <w:webHidden/>
                <w:rStyle w:val="IndexLink"/>
                <w:rtl w:val="true"/>
              </w:rPr>
              <w:t>الخدشة فی أدلّة القائلین بالتسویة بین المتوسطة والکثیرة</w:t>
            </w:r>
            <w:r>
              <w:rPr>
                <w:rStyle w:val="IndexLink"/>
                <w:rtl w:val="true"/>
              </w:rPr>
              <w:tab/>
            </w:r>
            <w:r>
              <w:rPr>
                <w:rStyle w:val="IndexLink"/>
              </w:rPr>
              <w:t>34</w:t>
            </w:r>
          </w:hyperlink>
        </w:p>
        <w:p>
          <w:pPr>
            <w:pStyle w:val="Contents4"/>
            <w:tabs>
              <w:tab w:val="clear" w:pos="8176"/>
              <w:tab w:val="right" w:pos="9026" w:leader="dot"/>
            </w:tabs>
            <w:rPr/>
          </w:pPr>
          <w:hyperlink w:anchor="__RefHeading___Toc2087429_388300464">
            <w:r>
              <w:rPr>
                <w:webHidden/>
                <w:rStyle w:val="IndexLink"/>
                <w:rtl w:val="true"/>
              </w:rPr>
              <w:t>الاستحاضة الکثیرة</w:t>
            </w:r>
            <w:r>
              <w:rPr>
                <w:rStyle w:val="IndexLink"/>
                <w:rtl w:val="true"/>
              </w:rPr>
              <w:tab/>
            </w:r>
            <w:r>
              <w:rPr>
                <w:rStyle w:val="IndexLink"/>
              </w:rPr>
              <w:t>35</w:t>
            </w:r>
          </w:hyperlink>
        </w:p>
        <w:p>
          <w:pPr>
            <w:pStyle w:val="Contents4"/>
            <w:tabs>
              <w:tab w:val="clear" w:pos="8176"/>
              <w:tab w:val="right" w:pos="9026" w:leader="dot"/>
            </w:tabs>
            <w:rPr/>
          </w:pPr>
          <w:hyperlink w:anchor="__RefHeading___Toc2087431_388300464">
            <w:r>
              <w:rPr>
                <w:webHidden/>
                <w:rStyle w:val="IndexLink"/>
                <w:rtl w:val="true"/>
              </w:rPr>
              <w:t>عدم وجوب الوضوء مع کلّ غسل فی الاستحاضة الکثیرة</w:t>
            </w:r>
            <w:r>
              <w:rPr>
                <w:rStyle w:val="IndexLink"/>
                <w:rtl w:val="true"/>
              </w:rPr>
              <w:tab/>
            </w:r>
            <w:r>
              <w:rPr>
                <w:rStyle w:val="IndexLink"/>
              </w:rPr>
              <w:t>35</w:t>
            </w:r>
          </w:hyperlink>
        </w:p>
        <w:p>
          <w:pPr>
            <w:pStyle w:val="Contents4"/>
            <w:tabs>
              <w:tab w:val="clear" w:pos="8176"/>
              <w:tab w:val="right" w:pos="9026" w:leader="dot"/>
            </w:tabs>
            <w:rPr/>
          </w:pPr>
          <w:hyperlink w:anchor="__RefHeading___Toc2087433_388300464">
            <w:r>
              <w:rPr>
                <w:webHidden/>
                <w:rStyle w:val="IndexLink"/>
                <w:rtl w:val="true"/>
              </w:rPr>
              <w:t>هل تجب مقارنة الغسل والوضوء للصلاة؟</w:t>
            </w:r>
            <w:r>
              <w:rPr>
                <w:rStyle w:val="IndexLink"/>
                <w:rtl w:val="true"/>
              </w:rPr>
              <w:tab/>
            </w:r>
            <w:r>
              <w:rPr>
                <w:rStyle w:val="IndexLink"/>
              </w:rPr>
              <w:t>36</w:t>
            </w:r>
          </w:hyperlink>
        </w:p>
        <w:p>
          <w:pPr>
            <w:pStyle w:val="Contents4"/>
            <w:tabs>
              <w:tab w:val="clear" w:pos="8176"/>
              <w:tab w:val="right" w:pos="9026" w:leader="dot"/>
            </w:tabs>
            <w:rPr/>
          </w:pPr>
          <w:hyperlink w:anchor="__RefHeading___Toc2087435_388300464">
            <w:r>
              <w:rPr>
                <w:webHidden/>
                <w:rStyle w:val="IndexLink"/>
                <w:rtl w:val="true"/>
              </w:rPr>
              <w:t>جواز دخول المستحاضة المساجد</w:t>
            </w:r>
            <w:r>
              <w:rPr>
                <w:rStyle w:val="IndexLink"/>
                <w:rtl w:val="true"/>
              </w:rPr>
              <w:tab/>
            </w:r>
            <w:r>
              <w:rPr>
                <w:rStyle w:val="IndexLink"/>
              </w:rPr>
              <w:t>36</w:t>
            </w:r>
          </w:hyperlink>
        </w:p>
        <w:p>
          <w:pPr>
            <w:pStyle w:val="Contents4"/>
            <w:tabs>
              <w:tab w:val="clear" w:pos="8176"/>
              <w:tab w:val="right" w:pos="9026" w:leader="dot"/>
            </w:tabs>
            <w:rPr/>
          </w:pPr>
          <w:hyperlink w:anchor="__RefHeading___Toc2087437_388300464">
            <w:r>
              <w:rPr>
                <w:webHidden/>
                <w:rStyle w:val="IndexLink"/>
                <w:rtl w:val="true"/>
              </w:rPr>
              <w:t>حکم وطء المستحاضة</w:t>
            </w:r>
            <w:r>
              <w:rPr>
                <w:rStyle w:val="IndexLink"/>
                <w:rtl w:val="true"/>
              </w:rPr>
              <w:tab/>
            </w:r>
            <w:r>
              <w:rPr>
                <w:rStyle w:val="IndexLink"/>
              </w:rPr>
              <w:t>36</w:t>
            </w:r>
          </w:hyperlink>
        </w:p>
        <w:p>
          <w:pPr>
            <w:pStyle w:val="Contents2"/>
            <w:tabs>
              <w:tab w:val="clear" w:pos="8743"/>
              <w:tab w:val="right" w:pos="9026" w:leader="dot"/>
            </w:tabs>
            <w:rPr/>
          </w:pPr>
          <w:hyperlink w:anchor="__RefHeading___Toc2087439_388300464">
            <w:r>
              <w:rPr>
                <w:webHidden/>
                <w:rStyle w:val="IndexLink"/>
                <w:rtl w:val="true"/>
              </w:rPr>
              <w:t>غسل النفاس</w:t>
            </w:r>
            <w:r>
              <w:rPr>
                <w:rStyle w:val="IndexLink"/>
                <w:rtl w:val="true"/>
              </w:rPr>
              <w:tab/>
            </w:r>
            <w:r>
              <w:rPr>
                <w:rStyle w:val="IndexLink"/>
              </w:rPr>
              <w:t>38</w:t>
            </w:r>
          </w:hyperlink>
        </w:p>
        <w:p>
          <w:pPr>
            <w:pStyle w:val="Contents3"/>
            <w:tabs>
              <w:tab w:val="clear" w:pos="8459"/>
              <w:tab w:val="right" w:pos="9026" w:leader="dot"/>
            </w:tabs>
            <w:rPr/>
          </w:pPr>
          <w:hyperlink w:anchor="__RefHeading___Toc2087441_388300464">
            <w:r>
              <w:rPr>
                <w:webHidden/>
                <w:rStyle w:val="IndexLink"/>
                <w:rtl w:val="true"/>
              </w:rPr>
              <w:t>معنی النفاس</w:t>
            </w:r>
            <w:r>
              <w:rPr>
                <w:rStyle w:val="IndexLink"/>
                <w:rtl w:val="true"/>
              </w:rPr>
              <w:tab/>
            </w:r>
            <w:r>
              <w:rPr>
                <w:rStyle w:val="IndexLink"/>
              </w:rPr>
              <w:t>38</w:t>
            </w:r>
          </w:hyperlink>
        </w:p>
        <w:p>
          <w:pPr>
            <w:pStyle w:val="Contents3"/>
            <w:tabs>
              <w:tab w:val="clear" w:pos="8459"/>
              <w:tab w:val="right" w:pos="9026" w:leader="dot"/>
            </w:tabs>
            <w:rPr/>
          </w:pPr>
          <w:hyperlink w:anchor="__RefHeading___Toc2087443_388300464">
            <w:r>
              <w:rPr>
                <w:webHidden/>
                <w:rStyle w:val="IndexLink"/>
                <w:rtl w:val="true"/>
              </w:rPr>
              <w:t>حکم من تری الدم قبل الولادة</w:t>
            </w:r>
            <w:r>
              <w:rPr>
                <w:rStyle w:val="IndexLink"/>
                <w:rtl w:val="true"/>
              </w:rPr>
              <w:tab/>
            </w:r>
            <w:r>
              <w:rPr>
                <w:rStyle w:val="IndexLink"/>
              </w:rPr>
              <w:t>38</w:t>
            </w:r>
          </w:hyperlink>
        </w:p>
        <w:p>
          <w:pPr>
            <w:pStyle w:val="Contents3"/>
            <w:tabs>
              <w:tab w:val="clear" w:pos="8459"/>
              <w:tab w:val="right" w:pos="9026" w:leader="dot"/>
            </w:tabs>
            <w:rPr/>
          </w:pPr>
          <w:hyperlink w:anchor="__RefHeading___Toc2087445_388300464">
            <w:r>
              <w:rPr>
                <w:webHidden/>
                <w:rStyle w:val="IndexLink"/>
                <w:rtl w:val="true"/>
              </w:rPr>
              <w:t>أکثر النفاس</w:t>
            </w:r>
            <w:r>
              <w:rPr>
                <w:rStyle w:val="IndexLink"/>
                <w:rtl w:val="true"/>
              </w:rPr>
              <w:tab/>
            </w:r>
            <w:r>
              <w:rPr>
                <w:rStyle w:val="IndexLink"/>
              </w:rPr>
              <w:t>39</w:t>
            </w:r>
          </w:hyperlink>
        </w:p>
        <w:p>
          <w:pPr>
            <w:pStyle w:val="Contents3"/>
            <w:tabs>
              <w:tab w:val="clear" w:pos="8459"/>
              <w:tab w:val="right" w:pos="9026" w:leader="dot"/>
            </w:tabs>
            <w:rPr/>
          </w:pPr>
          <w:hyperlink w:anchor="__RefHeading___Toc2087447_388300464">
            <w:r>
              <w:rPr>
                <w:webHidden/>
                <w:rStyle w:val="IndexLink"/>
                <w:rtl w:val="true"/>
              </w:rPr>
              <w:t>النفساء کالحائض فی الأحکام</w:t>
            </w:r>
            <w:r>
              <w:rPr>
                <w:rStyle w:val="IndexLink"/>
                <w:rtl w:val="true"/>
              </w:rPr>
              <w:tab/>
            </w:r>
            <w:r>
              <w:rPr>
                <w:rStyle w:val="IndexLink"/>
              </w:rPr>
              <w:t>42</w:t>
            </w:r>
          </w:hyperlink>
        </w:p>
        <w:p>
          <w:pPr>
            <w:pStyle w:val="Contents2"/>
            <w:tabs>
              <w:tab w:val="clear" w:pos="8743"/>
              <w:tab w:val="right" w:pos="9026" w:leader="dot"/>
            </w:tabs>
            <w:rPr/>
          </w:pPr>
          <w:hyperlink w:anchor="__RefHeading___Toc2087449_388300464">
            <w:r>
              <w:rPr>
                <w:webHidden/>
                <w:rStyle w:val="IndexLink"/>
                <w:rtl w:val="true"/>
              </w:rPr>
              <w:t>أحکام الأموات</w:t>
            </w:r>
            <w:r>
              <w:rPr>
                <w:rStyle w:val="IndexLink"/>
                <w:rtl w:val="true"/>
              </w:rPr>
              <w:tab/>
            </w:r>
            <w:r>
              <w:rPr>
                <w:rStyle w:val="IndexLink"/>
              </w:rPr>
              <w:t>42</w:t>
            </w:r>
          </w:hyperlink>
        </w:p>
        <w:p>
          <w:pPr>
            <w:pStyle w:val="Contents3"/>
            <w:tabs>
              <w:tab w:val="clear" w:pos="8459"/>
              <w:tab w:val="right" w:pos="9026" w:leader="dot"/>
            </w:tabs>
            <w:rPr/>
          </w:pPr>
          <w:hyperlink w:anchor="__RefHeading___Toc2087451_388300464">
            <w:r>
              <w:rPr>
                <w:webHidden/>
                <w:rStyle w:val="IndexLink"/>
                <w:rtl w:val="true"/>
              </w:rPr>
              <w:t>الاحتضار</w:t>
            </w:r>
            <w:r>
              <w:rPr>
                <w:rStyle w:val="IndexLink"/>
                <w:rtl w:val="true"/>
              </w:rPr>
              <w:tab/>
            </w:r>
            <w:r>
              <w:rPr>
                <w:rStyle w:val="IndexLink"/>
              </w:rPr>
              <w:t>42</w:t>
            </w:r>
          </w:hyperlink>
        </w:p>
        <w:p>
          <w:pPr>
            <w:pStyle w:val="Contents3"/>
            <w:tabs>
              <w:tab w:val="clear" w:pos="8459"/>
              <w:tab w:val="right" w:pos="9026" w:leader="dot"/>
            </w:tabs>
            <w:rPr/>
          </w:pPr>
          <w:hyperlink w:anchor="__RefHeading___Toc2087453_388300464">
            <w:r>
              <w:rPr>
                <w:webHidden/>
                <w:rStyle w:val="IndexLink"/>
                <w:rtl w:val="true"/>
              </w:rPr>
              <w:t>سلیمان بن خالد ثقة عند العلماء</w:t>
            </w:r>
            <w:r>
              <w:rPr>
                <w:rStyle w:val="IndexLink"/>
                <w:rtl w:val="true"/>
              </w:rPr>
              <w:tab/>
            </w:r>
            <w:r>
              <w:rPr>
                <w:rStyle w:val="IndexLink"/>
              </w:rPr>
              <w:t>42</w:t>
            </w:r>
          </w:hyperlink>
        </w:p>
        <w:p>
          <w:pPr>
            <w:pStyle w:val="Contents3"/>
            <w:tabs>
              <w:tab w:val="clear" w:pos="8459"/>
              <w:tab w:val="right" w:pos="9026" w:leader="dot"/>
            </w:tabs>
            <w:rPr/>
          </w:pPr>
          <w:hyperlink w:anchor="__RefHeading___Toc2087455_388300464">
            <w:r>
              <w:rPr>
                <w:webHidden/>
                <w:rStyle w:val="IndexLink"/>
                <w:rtl w:val="true"/>
              </w:rPr>
              <w:t>وجوب توجیه المحتضر إلی القبلة</w:t>
            </w:r>
            <w:r>
              <w:rPr>
                <w:rStyle w:val="IndexLink"/>
                <w:rtl w:val="true"/>
              </w:rPr>
              <w:tab/>
            </w:r>
            <w:r>
              <w:rPr>
                <w:rStyle w:val="IndexLink"/>
              </w:rPr>
              <w:t>42</w:t>
            </w:r>
          </w:hyperlink>
        </w:p>
        <w:p>
          <w:pPr>
            <w:pStyle w:val="Contents3"/>
            <w:tabs>
              <w:tab w:val="clear" w:pos="8459"/>
              <w:tab w:val="right" w:pos="9026" w:leader="dot"/>
            </w:tabs>
            <w:rPr/>
          </w:pPr>
          <w:hyperlink w:anchor="__RefHeading___Toc2087457_388300464">
            <w:r>
              <w:rPr>
                <w:webHidden/>
                <w:rStyle w:val="IndexLink"/>
                <w:rtl w:val="true"/>
              </w:rPr>
              <w:t>التوجیه واجب کفائی</w:t>
            </w:r>
            <w:r>
              <w:rPr>
                <w:rStyle w:val="IndexLink"/>
                <w:rtl w:val="true"/>
              </w:rPr>
              <w:tab/>
            </w:r>
            <w:r>
              <w:rPr>
                <w:rStyle w:val="IndexLink"/>
              </w:rPr>
              <w:t>43</w:t>
            </w:r>
          </w:hyperlink>
        </w:p>
        <w:p>
          <w:pPr>
            <w:pStyle w:val="Contents3"/>
            <w:tabs>
              <w:tab w:val="clear" w:pos="8459"/>
              <w:tab w:val="right" w:pos="9026" w:leader="dot"/>
            </w:tabs>
            <w:rPr/>
          </w:pPr>
          <w:hyperlink w:anchor="__RefHeading___Toc2087459_388300464">
            <w:r>
              <w:rPr>
                <w:webHidden/>
                <w:rStyle w:val="IndexLink"/>
                <w:rtl w:val="true"/>
              </w:rPr>
              <w:t>استحباب نقل المحتضر إلی مصلاّه</w:t>
            </w:r>
            <w:r>
              <w:rPr>
                <w:rStyle w:val="IndexLink"/>
                <w:rtl w:val="true"/>
              </w:rPr>
              <w:tab/>
            </w:r>
            <w:r>
              <w:rPr>
                <w:rStyle w:val="IndexLink"/>
              </w:rPr>
              <w:t>44</w:t>
            </w:r>
          </w:hyperlink>
        </w:p>
        <w:p>
          <w:pPr>
            <w:pStyle w:val="Contents3"/>
            <w:tabs>
              <w:tab w:val="clear" w:pos="8459"/>
              <w:tab w:val="right" w:pos="9026" w:leader="dot"/>
            </w:tabs>
            <w:rPr/>
          </w:pPr>
          <w:hyperlink w:anchor="__RefHeading___Toc2087461_388300464">
            <w:r>
              <w:rPr>
                <w:webHidden/>
                <w:rStyle w:val="IndexLink"/>
                <w:rtl w:val="true"/>
              </w:rPr>
              <w:t>استحباب الإسراج عنده إن مات لیلاً</w:t>
            </w:r>
            <w:r>
              <w:rPr>
                <w:rStyle w:val="IndexLink"/>
                <w:rtl w:val="true"/>
              </w:rPr>
              <w:tab/>
            </w:r>
            <w:r>
              <w:rPr>
                <w:rStyle w:val="IndexLink"/>
              </w:rPr>
              <w:t>44</w:t>
            </w:r>
          </w:hyperlink>
        </w:p>
        <w:p>
          <w:pPr>
            <w:pStyle w:val="Contents3"/>
            <w:tabs>
              <w:tab w:val="clear" w:pos="8459"/>
              <w:tab w:val="right" w:pos="9026" w:leader="dot"/>
            </w:tabs>
            <w:rPr/>
          </w:pPr>
          <w:hyperlink w:anchor="__RefHeading___Toc2087463_388300464">
            <w:r>
              <w:rPr>
                <w:webHidden/>
                <w:rStyle w:val="IndexLink"/>
                <w:rtl w:val="true"/>
              </w:rPr>
              <w:t>وجوب الصبر لمن اشتبه موته</w:t>
            </w:r>
            <w:r>
              <w:rPr>
                <w:rStyle w:val="IndexLink"/>
                <w:rtl w:val="true"/>
              </w:rPr>
              <w:tab/>
            </w:r>
            <w:r>
              <w:rPr>
                <w:rStyle w:val="IndexLink"/>
              </w:rPr>
              <w:t>44</w:t>
            </w:r>
          </w:hyperlink>
        </w:p>
        <w:p>
          <w:pPr>
            <w:pStyle w:val="Contents3"/>
            <w:tabs>
              <w:tab w:val="clear" w:pos="8459"/>
              <w:tab w:val="right" w:pos="9026" w:leader="dot"/>
            </w:tabs>
            <w:rPr/>
          </w:pPr>
          <w:hyperlink w:anchor="__RefHeading___Toc2087465_388300464">
            <w:r>
              <w:rPr>
                <w:webHidden/>
                <w:rStyle w:val="IndexLink"/>
                <w:rtl w:val="true"/>
              </w:rPr>
              <w:t>التغسیل</w:t>
            </w:r>
            <w:r>
              <w:rPr>
                <w:rStyle w:val="IndexLink"/>
                <w:rtl w:val="true"/>
              </w:rPr>
              <w:tab/>
            </w:r>
            <w:r>
              <w:rPr>
                <w:rStyle w:val="IndexLink"/>
              </w:rPr>
              <w:t>44</w:t>
            </w:r>
          </w:hyperlink>
        </w:p>
        <w:p>
          <w:pPr>
            <w:pStyle w:val="Contents4"/>
            <w:tabs>
              <w:tab w:val="clear" w:pos="8176"/>
              <w:tab w:val="right" w:pos="9026" w:leader="dot"/>
            </w:tabs>
            <w:rPr/>
          </w:pPr>
          <w:hyperlink w:anchor="__RefHeading___Toc2087467_388300464">
            <w:r>
              <w:rPr>
                <w:webHidden/>
                <w:rStyle w:val="IndexLink"/>
                <w:rtl w:val="true"/>
              </w:rPr>
              <w:t>الکلام فی الغاسل</w:t>
            </w:r>
            <w:r>
              <w:rPr>
                <w:rStyle w:val="IndexLink"/>
                <w:rtl w:val="true"/>
              </w:rPr>
              <w:tab/>
            </w:r>
            <w:r>
              <w:rPr>
                <w:rStyle w:val="IndexLink"/>
              </w:rPr>
              <w:t>44</w:t>
            </w:r>
          </w:hyperlink>
        </w:p>
        <w:p>
          <w:pPr>
            <w:pStyle w:val="Contents5"/>
            <w:tabs>
              <w:tab w:val="clear" w:pos="7892"/>
              <w:tab w:val="right" w:pos="9026" w:leader="dot"/>
            </w:tabs>
            <w:rPr/>
          </w:pPr>
          <w:hyperlink w:anchor="__RefHeading___Toc2087469_388300464">
            <w:r>
              <w:rPr>
                <w:webHidden/>
                <w:rStyle w:val="IndexLink"/>
                <w:rtl w:val="true"/>
              </w:rPr>
              <w:t>أولی الناس بالتغسیل أولاهم بالمیت</w:t>
            </w:r>
            <w:r>
              <w:rPr>
                <w:rStyle w:val="IndexLink"/>
                <w:rtl w:val="true"/>
              </w:rPr>
              <w:tab/>
            </w:r>
            <w:r>
              <w:rPr>
                <w:rStyle w:val="IndexLink"/>
              </w:rPr>
              <w:t>44</w:t>
            </w:r>
          </w:hyperlink>
        </w:p>
        <w:p>
          <w:pPr>
            <w:pStyle w:val="Contents5"/>
            <w:tabs>
              <w:tab w:val="clear" w:pos="7892"/>
              <w:tab w:val="right" w:pos="9026" w:leader="dot"/>
            </w:tabs>
            <w:rPr/>
          </w:pPr>
          <w:hyperlink w:anchor="__RefHeading___Toc2087471_388300464">
            <w:r>
              <w:rPr>
                <w:webHidden/>
                <w:rStyle w:val="IndexLink"/>
                <w:rtl w:val="true"/>
              </w:rPr>
              <w:t>فی أنّ الزوج أولی بالمرأة</w:t>
            </w:r>
            <w:r>
              <w:rPr>
                <w:rStyle w:val="IndexLink"/>
                <w:rtl w:val="true"/>
              </w:rPr>
              <w:tab/>
            </w:r>
            <w:r>
              <w:rPr>
                <w:rStyle w:val="IndexLink"/>
              </w:rPr>
              <w:t>44</w:t>
            </w:r>
          </w:hyperlink>
        </w:p>
        <w:p>
          <w:pPr>
            <w:pStyle w:val="Contents5"/>
            <w:tabs>
              <w:tab w:val="clear" w:pos="7892"/>
              <w:tab w:val="right" w:pos="9026" w:leader="dot"/>
            </w:tabs>
            <w:rPr/>
          </w:pPr>
          <w:hyperlink w:anchor="__RefHeading___Toc2087473_388300464">
            <w:r>
              <w:rPr>
                <w:webHidden/>
                <w:rStyle w:val="IndexLink"/>
                <w:rtl w:val="true"/>
              </w:rPr>
              <w:t>الخبر الضعیف المعمول به مقدم علی الصحیح غیر المعمول به</w:t>
            </w:r>
            <w:r>
              <w:rPr>
                <w:rStyle w:val="IndexLink"/>
                <w:rtl w:val="true"/>
              </w:rPr>
              <w:tab/>
            </w:r>
            <w:r>
              <w:rPr>
                <w:rStyle w:val="IndexLink"/>
              </w:rPr>
              <w:t>44</w:t>
            </w:r>
          </w:hyperlink>
        </w:p>
        <w:p>
          <w:pPr>
            <w:pStyle w:val="Contents5"/>
            <w:tabs>
              <w:tab w:val="clear" w:pos="7892"/>
              <w:tab w:val="right" w:pos="9026" w:leader="dot"/>
            </w:tabs>
            <w:rPr/>
          </w:pPr>
          <w:hyperlink w:anchor="__RefHeading___Toc2087475_388300464">
            <w:r>
              <w:rPr>
                <w:webHidden/>
                <w:rStyle w:val="IndexLink"/>
                <w:rtl w:val="true"/>
              </w:rPr>
              <w:t>هل یجوز أن یغسل الکافر المسلم؟</w:t>
            </w:r>
            <w:r>
              <w:rPr>
                <w:rStyle w:val="IndexLink"/>
                <w:rtl w:val="true"/>
              </w:rPr>
              <w:tab/>
            </w:r>
            <w:r>
              <w:rPr>
                <w:rStyle w:val="IndexLink"/>
              </w:rPr>
              <w:t>45</w:t>
            </w:r>
          </w:hyperlink>
        </w:p>
        <w:p>
          <w:pPr>
            <w:pStyle w:val="Contents4"/>
            <w:tabs>
              <w:tab w:val="clear" w:pos="8176"/>
              <w:tab w:val="right" w:pos="9026" w:leader="dot"/>
            </w:tabs>
            <w:rPr/>
          </w:pPr>
          <w:hyperlink w:anchor="__RefHeading___Toc2087477_388300464">
            <w:r>
              <w:rPr>
                <w:webHidden/>
                <w:rStyle w:val="IndexLink"/>
                <w:rtl w:val="true"/>
              </w:rPr>
              <w:t>الکلام فی المغسول</w:t>
            </w:r>
            <w:r>
              <w:rPr>
                <w:rStyle w:val="IndexLink"/>
                <w:rtl w:val="true"/>
              </w:rPr>
              <w:tab/>
            </w:r>
            <w:r>
              <w:rPr>
                <w:rStyle w:val="IndexLink"/>
              </w:rPr>
              <w:t>46</w:t>
            </w:r>
          </w:hyperlink>
        </w:p>
        <w:p>
          <w:pPr>
            <w:pStyle w:val="Contents5"/>
            <w:tabs>
              <w:tab w:val="clear" w:pos="7892"/>
              <w:tab w:val="right" w:pos="9026" w:leader="dot"/>
            </w:tabs>
            <w:rPr/>
          </w:pPr>
          <w:hyperlink w:anchor="__RefHeading___Toc2087479_388300464">
            <w:r>
              <w:rPr>
                <w:webHidden/>
                <w:rStyle w:val="IndexLink"/>
                <w:rtl w:val="true"/>
              </w:rPr>
              <w:t>حکم تغسیل المخالف للحق</w:t>
            </w:r>
            <w:r>
              <w:rPr>
                <w:rStyle w:val="IndexLink"/>
                <w:rtl w:val="true"/>
              </w:rPr>
              <w:tab/>
            </w:r>
            <w:r>
              <w:rPr>
                <w:rStyle w:val="IndexLink"/>
              </w:rPr>
              <w:t>46</w:t>
            </w:r>
          </w:hyperlink>
        </w:p>
        <w:p>
          <w:pPr>
            <w:pStyle w:val="Contents5"/>
            <w:tabs>
              <w:tab w:val="clear" w:pos="7892"/>
              <w:tab w:val="right" w:pos="9026" w:leader="dot"/>
            </w:tabs>
            <w:rPr/>
          </w:pPr>
          <w:hyperlink w:anchor="__RefHeading___Toc2087481_388300464">
            <w:r>
              <w:rPr>
                <w:webHidden/>
                <w:rStyle w:val="IndexLink"/>
                <w:rtl w:val="true"/>
              </w:rPr>
              <w:t>سقوط الغسل عن الشهید</w:t>
            </w:r>
            <w:r>
              <w:rPr>
                <w:rStyle w:val="IndexLink"/>
                <w:rtl w:val="true"/>
              </w:rPr>
              <w:tab/>
            </w:r>
            <w:r>
              <w:rPr>
                <w:rStyle w:val="IndexLink"/>
              </w:rPr>
              <w:t>47</w:t>
            </w:r>
          </w:hyperlink>
        </w:p>
        <w:p>
          <w:pPr>
            <w:pStyle w:val="Contents5"/>
            <w:tabs>
              <w:tab w:val="clear" w:pos="7892"/>
              <w:tab w:val="right" w:pos="9026" w:leader="dot"/>
            </w:tabs>
            <w:rPr/>
          </w:pPr>
          <w:hyperlink w:anchor="__RefHeading___Toc2087483_388300464">
            <w:r>
              <w:rPr>
                <w:webHidden/>
                <w:rStyle w:val="IndexLink"/>
                <w:rtl w:val="true"/>
              </w:rPr>
              <w:t>بیان المراد من الشهید</w:t>
            </w:r>
            <w:r>
              <w:rPr>
                <w:rStyle w:val="IndexLink"/>
                <w:rtl w:val="true"/>
              </w:rPr>
              <w:tab/>
            </w:r>
            <w:r>
              <w:rPr>
                <w:rStyle w:val="IndexLink"/>
              </w:rPr>
              <w:t>48</w:t>
            </w:r>
          </w:hyperlink>
        </w:p>
        <w:p>
          <w:pPr>
            <w:pStyle w:val="Contents5"/>
            <w:tabs>
              <w:tab w:val="clear" w:pos="7892"/>
              <w:tab w:val="right" w:pos="9026" w:leader="dot"/>
            </w:tabs>
            <w:rPr/>
          </w:pPr>
          <w:hyperlink w:anchor="__RefHeading___Toc2087485_388300464">
            <w:r>
              <w:rPr>
                <w:webHidden/>
                <w:rStyle w:val="IndexLink"/>
                <w:rtl w:val="true"/>
              </w:rPr>
              <w:t>إشارة إلی حجّیة الإجماع المنقول</w:t>
            </w:r>
            <w:r>
              <w:rPr>
                <w:rStyle w:val="IndexLink"/>
                <w:rtl w:val="true"/>
              </w:rPr>
              <w:t>.</w:t>
              <w:tab/>
            </w:r>
            <w:r>
              <w:rPr>
                <w:rStyle w:val="IndexLink"/>
              </w:rPr>
              <w:t>48</w:t>
            </w:r>
          </w:hyperlink>
        </w:p>
        <w:p>
          <w:pPr>
            <w:pStyle w:val="Contents5"/>
            <w:tabs>
              <w:tab w:val="clear" w:pos="7892"/>
              <w:tab w:val="right" w:pos="9026" w:leader="dot"/>
            </w:tabs>
            <w:rPr/>
          </w:pPr>
          <w:hyperlink w:anchor="__RefHeading___Toc2087487_388300464">
            <w:r>
              <w:rPr>
                <w:webHidden/>
                <w:rStyle w:val="IndexLink"/>
                <w:rtl w:val="true"/>
              </w:rPr>
              <w:t>حکم تغسیل السقط</w:t>
            </w:r>
            <w:r>
              <w:rPr>
                <w:rStyle w:val="IndexLink"/>
                <w:rtl w:val="true"/>
              </w:rPr>
              <w:tab/>
            </w:r>
            <w:r>
              <w:rPr>
                <w:rStyle w:val="IndexLink"/>
              </w:rPr>
              <w:t>49</w:t>
            </w:r>
          </w:hyperlink>
        </w:p>
        <w:p>
          <w:pPr>
            <w:pStyle w:val="Contents4"/>
            <w:tabs>
              <w:tab w:val="clear" w:pos="8176"/>
              <w:tab w:val="right" w:pos="9026" w:leader="dot"/>
            </w:tabs>
            <w:rPr/>
          </w:pPr>
          <w:hyperlink w:anchor="__RefHeading___Toc2087489_388300464">
            <w:r>
              <w:rPr>
                <w:webHidden/>
                <w:rStyle w:val="IndexLink"/>
                <w:rtl w:val="true"/>
              </w:rPr>
              <w:t>الکلام فی الغسل</w:t>
            </w:r>
            <w:r>
              <w:rPr>
                <w:rStyle w:val="IndexLink"/>
                <w:rtl w:val="true"/>
              </w:rPr>
              <w:tab/>
            </w:r>
            <w:r>
              <w:rPr>
                <w:rStyle w:val="IndexLink"/>
              </w:rPr>
              <w:t>49</w:t>
            </w:r>
          </w:hyperlink>
        </w:p>
        <w:p>
          <w:pPr>
            <w:pStyle w:val="Contents3"/>
            <w:tabs>
              <w:tab w:val="clear" w:pos="8459"/>
              <w:tab w:val="right" w:pos="9026" w:leader="dot"/>
            </w:tabs>
            <w:rPr/>
          </w:pPr>
          <w:hyperlink w:anchor="__RefHeading___Toc2087491_388300464">
            <w:r>
              <w:rPr>
                <w:webHidden/>
                <w:rStyle w:val="IndexLink"/>
                <w:rtl w:val="true"/>
              </w:rPr>
              <w:t>واجبات الغسل</w:t>
            </w:r>
            <w:r>
              <w:rPr>
                <w:rStyle w:val="IndexLink"/>
                <w:rtl w:val="true"/>
              </w:rPr>
              <w:tab/>
            </w:r>
            <w:r>
              <w:rPr>
                <w:rStyle w:val="IndexLink"/>
              </w:rPr>
              <w:t>49</w:t>
            </w:r>
          </w:hyperlink>
        </w:p>
        <w:p>
          <w:pPr>
            <w:pStyle w:val="Contents4"/>
            <w:tabs>
              <w:tab w:val="clear" w:pos="8176"/>
              <w:tab w:val="right" w:pos="9026" w:leader="dot"/>
            </w:tabs>
            <w:rPr/>
          </w:pPr>
          <w:hyperlink w:anchor="__RefHeading___Toc2087493_388300464">
            <w:r>
              <w:rPr>
                <w:webHidden/>
                <w:rStyle w:val="IndexLink"/>
                <w:rtl w:val="true"/>
              </w:rPr>
              <w:t>إزالة النجاسة عن بدن المیت</w:t>
            </w:r>
            <w:r>
              <w:rPr>
                <w:rStyle w:val="IndexLink"/>
                <w:rtl w:val="true"/>
              </w:rPr>
              <w:tab/>
            </w:r>
            <w:r>
              <w:rPr>
                <w:rStyle w:val="IndexLink"/>
              </w:rPr>
              <w:t>49</w:t>
            </w:r>
          </w:hyperlink>
        </w:p>
        <w:p>
          <w:pPr>
            <w:pStyle w:val="Contents4"/>
            <w:tabs>
              <w:tab w:val="clear" w:pos="8176"/>
              <w:tab w:val="right" w:pos="9026" w:leader="dot"/>
            </w:tabs>
            <w:rPr/>
          </w:pPr>
          <w:hyperlink w:anchor="__RefHeading___Toc2087495_388300464">
            <w:r>
              <w:rPr>
                <w:webHidden/>
                <w:rStyle w:val="IndexLink"/>
                <w:rtl w:val="true"/>
              </w:rPr>
              <w:t>تغسیله بماء السدر</w:t>
            </w:r>
            <w:r>
              <w:rPr>
                <w:rStyle w:val="IndexLink"/>
                <w:rtl w:val="true"/>
              </w:rPr>
              <w:tab/>
            </w:r>
            <w:r>
              <w:rPr>
                <w:rStyle w:val="IndexLink"/>
              </w:rPr>
              <w:t>50</w:t>
            </w:r>
          </w:hyperlink>
        </w:p>
        <w:p>
          <w:pPr>
            <w:pStyle w:val="Contents4"/>
            <w:tabs>
              <w:tab w:val="clear" w:pos="8176"/>
              <w:tab w:val="right" w:pos="9026" w:leader="dot"/>
            </w:tabs>
            <w:rPr/>
          </w:pPr>
          <w:hyperlink w:anchor="__RefHeading___Toc2087497_388300464">
            <w:r>
              <w:rPr>
                <w:webHidden/>
                <w:rStyle w:val="IndexLink"/>
                <w:rtl w:val="true"/>
              </w:rPr>
              <w:t>النیّة</w:t>
            </w:r>
            <w:r>
              <w:rPr>
                <w:rStyle w:val="IndexLink"/>
                <w:rtl w:val="true"/>
              </w:rPr>
              <w:tab/>
            </w:r>
            <w:r>
              <w:rPr>
                <w:rStyle w:val="IndexLink"/>
              </w:rPr>
              <w:t>51</w:t>
            </w:r>
          </w:hyperlink>
        </w:p>
        <w:p>
          <w:pPr>
            <w:pStyle w:val="Contents4"/>
            <w:tabs>
              <w:tab w:val="clear" w:pos="8176"/>
              <w:tab w:val="right" w:pos="9026" w:leader="dot"/>
            </w:tabs>
            <w:rPr/>
          </w:pPr>
          <w:hyperlink w:anchor="__RefHeading___Toc2087499_388300464">
            <w:r>
              <w:rPr>
                <w:webHidden/>
                <w:rStyle w:val="IndexLink"/>
                <w:rtl w:val="true"/>
              </w:rPr>
              <w:t>هل یجب تعدد النیّة بتعدد الغسلات</w:t>
            </w:r>
            <w:r>
              <w:rPr>
                <w:rStyle w:val="IndexLink"/>
                <w:rtl w:val="true"/>
              </w:rPr>
              <w:tab/>
            </w:r>
            <w:r>
              <w:rPr>
                <w:rStyle w:val="IndexLink"/>
              </w:rPr>
              <w:t>52</w:t>
            </w:r>
          </w:hyperlink>
        </w:p>
        <w:p>
          <w:pPr>
            <w:pStyle w:val="Contents4"/>
            <w:tabs>
              <w:tab w:val="clear" w:pos="8176"/>
              <w:tab w:val="right" w:pos="9026" w:leader="dot"/>
            </w:tabs>
            <w:rPr/>
          </w:pPr>
          <w:hyperlink w:anchor="__RefHeading___Toc2087501_388300464">
            <w:r>
              <w:rPr>
                <w:webHidden/>
                <w:rStyle w:val="IndexLink"/>
                <w:rtl w:val="true"/>
              </w:rPr>
              <w:t>حکم توضئة المیت</w:t>
            </w:r>
            <w:r>
              <w:rPr>
                <w:rStyle w:val="IndexLink"/>
                <w:rtl w:val="true"/>
              </w:rPr>
              <w:tab/>
            </w:r>
            <w:r>
              <w:rPr>
                <w:rStyle w:val="IndexLink"/>
              </w:rPr>
              <w:t>52</w:t>
            </w:r>
          </w:hyperlink>
        </w:p>
        <w:p>
          <w:pPr>
            <w:pStyle w:val="Contents4"/>
            <w:tabs>
              <w:tab w:val="clear" w:pos="8176"/>
              <w:tab w:val="right" w:pos="9026" w:leader="dot"/>
            </w:tabs>
            <w:rPr/>
          </w:pPr>
          <w:hyperlink w:anchor="__RefHeading___Toc2087503_388300464">
            <w:r>
              <w:rPr>
                <w:webHidden/>
                <w:rStyle w:val="IndexLink"/>
                <w:rtl w:val="true"/>
              </w:rPr>
              <w:t>لو تعذّر السدر والکافور</w:t>
            </w:r>
            <w:r>
              <w:rPr>
                <w:rStyle w:val="IndexLink"/>
                <w:rtl w:val="true"/>
              </w:rPr>
              <w:tab/>
            </w:r>
            <w:r>
              <w:rPr>
                <w:rStyle w:val="IndexLink"/>
              </w:rPr>
              <w:t>53</w:t>
            </w:r>
          </w:hyperlink>
        </w:p>
        <w:p>
          <w:pPr>
            <w:pStyle w:val="Contents4"/>
            <w:tabs>
              <w:tab w:val="clear" w:pos="8176"/>
              <w:tab w:val="right" w:pos="9026" w:leader="dot"/>
            </w:tabs>
            <w:rPr/>
          </w:pPr>
          <w:hyperlink w:anchor="__RefHeading___Toc2087505_388300464">
            <w:r>
              <w:rPr>
                <w:webHidden/>
                <w:rStyle w:val="IndexLink"/>
                <w:rtl w:val="true"/>
              </w:rPr>
              <w:t>تیمّم المیت لو خیف تناثر جلده</w:t>
            </w:r>
            <w:r>
              <w:rPr>
                <w:rStyle w:val="IndexLink"/>
                <w:rtl w:val="true"/>
              </w:rPr>
              <w:tab/>
            </w:r>
            <w:r>
              <w:rPr>
                <w:rStyle w:val="IndexLink"/>
              </w:rPr>
              <w:t>54</w:t>
            </w:r>
          </w:hyperlink>
        </w:p>
        <w:p>
          <w:pPr>
            <w:pStyle w:val="Contents3"/>
            <w:tabs>
              <w:tab w:val="clear" w:pos="8459"/>
              <w:tab w:val="right" w:pos="9026" w:leader="dot"/>
            </w:tabs>
            <w:rPr/>
          </w:pPr>
          <w:hyperlink w:anchor="__RefHeading___Toc2087507_388300464">
            <w:r>
              <w:rPr>
                <w:webHidden/>
                <w:rStyle w:val="IndexLink"/>
                <w:rtl w:val="true"/>
              </w:rPr>
              <w:t>سنن غسل المیت</w:t>
            </w:r>
            <w:r>
              <w:rPr>
                <w:rStyle w:val="IndexLink"/>
                <w:rtl w:val="true"/>
              </w:rPr>
              <w:tab/>
            </w:r>
            <w:r>
              <w:rPr>
                <w:rStyle w:val="IndexLink"/>
              </w:rPr>
              <w:t>54</w:t>
            </w:r>
          </w:hyperlink>
        </w:p>
        <w:p>
          <w:pPr>
            <w:pStyle w:val="Contents4"/>
            <w:tabs>
              <w:tab w:val="clear" w:pos="8176"/>
              <w:tab w:val="right" w:pos="9026" w:leader="dot"/>
            </w:tabs>
            <w:rPr/>
          </w:pPr>
          <w:hyperlink w:anchor="__RefHeading___Toc2087509_388300464">
            <w:r>
              <w:rPr>
                <w:webHidden/>
                <w:rStyle w:val="IndexLink"/>
                <w:rtl w:val="true"/>
              </w:rPr>
              <w:t>وضع المیت علی شیء مرتفع</w:t>
            </w:r>
            <w:r>
              <w:rPr>
                <w:rStyle w:val="IndexLink"/>
                <w:rtl w:val="true"/>
              </w:rPr>
              <w:tab/>
            </w:r>
            <w:r>
              <w:rPr>
                <w:rStyle w:val="IndexLink"/>
              </w:rPr>
              <w:t>54</w:t>
            </w:r>
          </w:hyperlink>
        </w:p>
        <w:p>
          <w:pPr>
            <w:pStyle w:val="Contents4"/>
            <w:tabs>
              <w:tab w:val="clear" w:pos="8176"/>
              <w:tab w:val="right" w:pos="9026" w:leader="dot"/>
            </w:tabs>
            <w:rPr/>
          </w:pPr>
          <w:hyperlink w:anchor="__RefHeading___Toc2087511_388300464">
            <w:r>
              <w:rPr>
                <w:webHidden/>
                <w:rStyle w:val="IndexLink"/>
                <w:rtl w:val="true"/>
              </w:rPr>
              <w:t>فتق قمیصه ونزعه</w:t>
            </w:r>
            <w:r>
              <w:rPr>
                <w:rStyle w:val="IndexLink"/>
                <w:rtl w:val="true"/>
              </w:rPr>
              <w:tab/>
            </w:r>
            <w:r>
              <w:rPr>
                <w:rStyle w:val="IndexLink"/>
              </w:rPr>
              <w:t>55</w:t>
            </w:r>
          </w:hyperlink>
        </w:p>
        <w:p>
          <w:pPr>
            <w:pStyle w:val="Contents4"/>
            <w:tabs>
              <w:tab w:val="clear" w:pos="8176"/>
              <w:tab w:val="right" w:pos="9026" w:leader="dot"/>
            </w:tabs>
            <w:rPr/>
          </w:pPr>
          <w:hyperlink w:anchor="__RefHeading___Toc2087513_388300464">
            <w:r>
              <w:rPr>
                <w:webHidden/>
                <w:rStyle w:val="IndexLink"/>
                <w:rtl w:val="true"/>
              </w:rPr>
              <w:t>تلیین الأصابع والمفاصل</w:t>
            </w:r>
            <w:r>
              <w:rPr>
                <w:rStyle w:val="IndexLink"/>
                <w:rtl w:val="true"/>
              </w:rPr>
              <w:tab/>
            </w:r>
            <w:r>
              <w:rPr>
                <w:rStyle w:val="IndexLink"/>
              </w:rPr>
              <w:t>55</w:t>
            </w:r>
          </w:hyperlink>
        </w:p>
        <w:p>
          <w:pPr>
            <w:pStyle w:val="Contents4"/>
            <w:tabs>
              <w:tab w:val="clear" w:pos="8176"/>
              <w:tab w:val="right" w:pos="9026" w:leader="dot"/>
            </w:tabs>
            <w:rPr/>
          </w:pPr>
          <w:hyperlink w:anchor="__RefHeading___Toc2087515_388300464">
            <w:r>
              <w:rPr>
                <w:webHidden/>
                <w:rStyle w:val="IndexLink"/>
                <w:rtl w:val="true"/>
              </w:rPr>
              <w:t>غسل رأسه برغوة السدر</w:t>
            </w:r>
            <w:r>
              <w:rPr>
                <w:rStyle w:val="IndexLink"/>
                <w:rtl w:val="true"/>
              </w:rPr>
              <w:tab/>
            </w:r>
            <w:r>
              <w:rPr>
                <w:rStyle w:val="IndexLink"/>
              </w:rPr>
              <w:t>55</w:t>
            </w:r>
          </w:hyperlink>
        </w:p>
        <w:p>
          <w:pPr>
            <w:pStyle w:val="Contents4"/>
            <w:tabs>
              <w:tab w:val="clear" w:pos="8176"/>
              <w:tab w:val="right" w:pos="9026" w:leader="dot"/>
            </w:tabs>
            <w:rPr/>
          </w:pPr>
          <w:hyperlink w:anchor="__RefHeading___Toc2087517_388300464">
            <w:r>
              <w:rPr>
                <w:webHidden/>
                <w:rStyle w:val="IndexLink"/>
                <w:rtl w:val="true"/>
              </w:rPr>
              <w:t>کراهة إقعاد المیت</w:t>
            </w:r>
            <w:r>
              <w:rPr>
                <w:rStyle w:val="IndexLink"/>
                <w:rtl w:val="true"/>
              </w:rPr>
              <w:tab/>
            </w:r>
            <w:r>
              <w:rPr>
                <w:rStyle w:val="IndexLink"/>
              </w:rPr>
              <w:t>55</w:t>
            </w:r>
          </w:hyperlink>
        </w:p>
        <w:p>
          <w:pPr>
            <w:pStyle w:val="Contents4"/>
            <w:tabs>
              <w:tab w:val="clear" w:pos="8176"/>
              <w:tab w:val="right" w:pos="9026" w:leader="dot"/>
            </w:tabs>
            <w:rPr/>
          </w:pPr>
          <w:hyperlink w:anchor="__RefHeading___Toc2087519_388300464">
            <w:r>
              <w:rPr>
                <w:webHidden/>
                <w:rStyle w:val="IndexLink"/>
                <w:rtl w:val="true"/>
              </w:rPr>
              <w:t>کراهة تغسیل المخالف</w:t>
            </w:r>
            <w:r>
              <w:rPr>
                <w:rStyle w:val="IndexLink"/>
                <w:rtl w:val="true"/>
              </w:rPr>
              <w:tab/>
            </w:r>
            <w:r>
              <w:rPr>
                <w:rStyle w:val="IndexLink"/>
              </w:rPr>
              <w:t>55</w:t>
            </w:r>
          </w:hyperlink>
        </w:p>
        <w:p>
          <w:pPr>
            <w:pStyle w:val="Contents3"/>
            <w:tabs>
              <w:tab w:val="clear" w:pos="8459"/>
              <w:tab w:val="right" w:pos="9026" w:leader="dot"/>
            </w:tabs>
            <w:rPr/>
          </w:pPr>
          <w:hyperlink w:anchor="__RefHeading___Toc2087521_388300464">
            <w:r>
              <w:rPr>
                <w:webHidden/>
                <w:rStyle w:val="IndexLink"/>
                <w:rtl w:val="true"/>
              </w:rPr>
              <w:t>التکفین</w:t>
            </w:r>
            <w:r>
              <w:rPr>
                <w:rStyle w:val="IndexLink"/>
                <w:rtl w:val="true"/>
              </w:rPr>
              <w:tab/>
            </w:r>
            <w:r>
              <w:rPr>
                <w:rStyle w:val="IndexLink"/>
              </w:rPr>
              <w:t>56</w:t>
            </w:r>
          </w:hyperlink>
        </w:p>
        <w:p>
          <w:pPr>
            <w:pStyle w:val="Contents4"/>
            <w:tabs>
              <w:tab w:val="clear" w:pos="8176"/>
              <w:tab w:val="right" w:pos="9026" w:leader="dot"/>
            </w:tabs>
            <w:rPr/>
          </w:pPr>
          <w:hyperlink w:anchor="__RefHeading___Toc2087523_388300464">
            <w:r>
              <w:rPr>
                <w:webHidden/>
                <w:rStyle w:val="IndexLink"/>
                <w:rtl w:val="true"/>
              </w:rPr>
              <w:t xml:space="preserve">الواجب من الکفن ثلاث قطع </w:t>
            </w:r>
            <w:r>
              <w:rPr>
                <w:rStyle w:val="IndexLink"/>
                <w:rtl w:val="true"/>
              </w:rPr>
              <w:t xml:space="preserve">: </w:t>
            </w:r>
            <w:r>
              <w:rPr>
                <w:rStyle w:val="IndexLink"/>
                <w:rtl w:val="true"/>
              </w:rPr>
              <w:t>الإزار والقمیص والمئزر</w:t>
            </w:r>
            <w:r>
              <w:rPr>
                <w:rStyle w:val="IndexLink"/>
                <w:rtl w:val="true"/>
              </w:rPr>
              <w:tab/>
            </w:r>
            <w:r>
              <w:rPr>
                <w:rStyle w:val="IndexLink"/>
              </w:rPr>
              <w:t>56</w:t>
            </w:r>
          </w:hyperlink>
        </w:p>
        <w:p>
          <w:pPr>
            <w:pStyle w:val="Contents4"/>
            <w:tabs>
              <w:tab w:val="clear" w:pos="8176"/>
              <w:tab w:val="right" w:pos="9026" w:leader="dot"/>
            </w:tabs>
            <w:rPr/>
          </w:pPr>
          <w:hyperlink w:anchor="__RefHeading___Toc2087525_388300464">
            <w:r>
              <w:rPr>
                <w:webHidden/>
                <w:rStyle w:val="IndexLink"/>
                <w:rtl w:val="true"/>
              </w:rPr>
              <w:t>إشارة إلی أن الکلینی أضبط من الشیخ</w:t>
            </w:r>
            <w:r>
              <w:rPr>
                <w:rStyle w:val="IndexLink"/>
                <w:rtl w:val="true"/>
              </w:rPr>
              <w:tab/>
            </w:r>
            <w:r>
              <w:rPr>
                <w:rStyle w:val="IndexLink"/>
              </w:rPr>
              <w:t>57</w:t>
            </w:r>
          </w:hyperlink>
        </w:p>
        <w:p>
          <w:pPr>
            <w:pStyle w:val="Contents4"/>
            <w:tabs>
              <w:tab w:val="clear" w:pos="8176"/>
              <w:tab w:val="right" w:pos="9026" w:leader="dot"/>
            </w:tabs>
            <w:rPr/>
          </w:pPr>
          <w:hyperlink w:anchor="__RefHeading___Toc2087527_388300464">
            <w:r>
              <w:rPr>
                <w:webHidden/>
                <w:rStyle w:val="IndexLink"/>
                <w:rtl w:val="true"/>
              </w:rPr>
              <w:t>دلیل من اقتصر فی التکفین علی ثوب واحد</w:t>
            </w:r>
            <w:r>
              <w:rPr>
                <w:rStyle w:val="IndexLink"/>
                <w:rtl w:val="true"/>
              </w:rPr>
              <w:tab/>
            </w:r>
            <w:r>
              <w:rPr>
                <w:rStyle w:val="IndexLink"/>
              </w:rPr>
              <w:t>58</w:t>
            </w:r>
          </w:hyperlink>
        </w:p>
        <w:p>
          <w:pPr>
            <w:pStyle w:val="Contents4"/>
            <w:tabs>
              <w:tab w:val="clear" w:pos="8176"/>
              <w:tab w:val="right" w:pos="9026" w:leader="dot"/>
            </w:tabs>
            <w:rPr/>
          </w:pPr>
          <w:hyperlink w:anchor="__RefHeading___Toc2087529_388300464">
            <w:r>
              <w:rPr>
                <w:webHidden/>
                <w:rStyle w:val="IndexLink"/>
                <w:rtl w:val="true"/>
              </w:rPr>
              <w:t>بحث حول الروایات الدالة علی التخییر بین الأثواب الثلاثة وبین القمیص والثوبین</w:t>
            </w:r>
            <w:r>
              <w:rPr>
                <w:rStyle w:val="IndexLink"/>
                <w:rtl w:val="true"/>
              </w:rPr>
              <w:tab/>
            </w:r>
            <w:r>
              <w:rPr>
                <w:rStyle w:val="IndexLink"/>
              </w:rPr>
              <w:t>59</w:t>
            </w:r>
          </w:hyperlink>
        </w:p>
        <w:p>
          <w:pPr>
            <w:pStyle w:val="Contents4"/>
            <w:tabs>
              <w:tab w:val="clear" w:pos="8176"/>
              <w:tab w:val="right" w:pos="9026" w:leader="dot"/>
            </w:tabs>
            <w:rPr/>
          </w:pPr>
          <w:hyperlink w:anchor="__RefHeading___Toc2087531_388300464">
            <w:r>
              <w:rPr>
                <w:webHidden/>
                <w:rStyle w:val="IndexLink"/>
                <w:rtl w:val="true"/>
              </w:rPr>
              <w:t>بحث فی تعیین المراد من الثوبین</w:t>
            </w:r>
            <w:r>
              <w:rPr>
                <w:rStyle w:val="IndexLink"/>
                <w:rtl w:val="true"/>
              </w:rPr>
              <w:tab/>
            </w:r>
            <w:r>
              <w:rPr>
                <w:rStyle w:val="IndexLink"/>
              </w:rPr>
              <w:t>61</w:t>
            </w:r>
          </w:hyperlink>
        </w:p>
        <w:p>
          <w:pPr>
            <w:pStyle w:val="Contents4"/>
            <w:tabs>
              <w:tab w:val="clear" w:pos="8176"/>
              <w:tab w:val="right" w:pos="9026" w:leader="dot"/>
            </w:tabs>
            <w:rPr/>
          </w:pPr>
          <w:hyperlink w:anchor="__RefHeading___Toc2087533_388300464">
            <w:r>
              <w:rPr>
                <w:webHidden/>
                <w:rStyle w:val="IndexLink"/>
                <w:rtl w:val="true"/>
              </w:rPr>
              <w:t>فی معنی الإزار وأنّه غیر اللفافة</w:t>
            </w:r>
            <w:r>
              <w:rPr>
                <w:rStyle w:val="IndexLink"/>
                <w:rtl w:val="true"/>
              </w:rPr>
              <w:tab/>
            </w:r>
            <w:r>
              <w:rPr>
                <w:rStyle w:val="IndexLink"/>
              </w:rPr>
              <w:t>63</w:t>
            </w:r>
          </w:hyperlink>
        </w:p>
        <w:p>
          <w:pPr>
            <w:pStyle w:val="Contents4"/>
            <w:tabs>
              <w:tab w:val="clear" w:pos="8176"/>
              <w:tab w:val="right" w:pos="9026" w:leader="dot"/>
            </w:tabs>
            <w:rPr/>
          </w:pPr>
          <w:hyperlink w:anchor="__RefHeading___Toc2087535_388300464">
            <w:r>
              <w:rPr>
                <w:webHidden/>
                <w:rStyle w:val="IndexLink"/>
                <w:rtl w:val="true"/>
              </w:rPr>
              <w:t>بحث حول المئزر</w:t>
            </w:r>
            <w:r>
              <w:rPr>
                <w:rStyle w:val="IndexLink"/>
                <w:rtl w:val="true"/>
              </w:rPr>
              <w:tab/>
            </w:r>
            <w:r>
              <w:rPr>
                <w:rStyle w:val="IndexLink"/>
              </w:rPr>
              <w:t>66</w:t>
            </w:r>
          </w:hyperlink>
        </w:p>
        <w:p>
          <w:pPr>
            <w:pStyle w:val="Contents4"/>
            <w:tabs>
              <w:tab w:val="clear" w:pos="8176"/>
              <w:tab w:val="right" w:pos="9026" w:leader="dot"/>
            </w:tabs>
            <w:rPr/>
          </w:pPr>
          <w:hyperlink w:anchor="__RefHeading___Toc2087537_388300464">
            <w:r>
              <w:rPr>
                <w:webHidden/>
                <w:rStyle w:val="IndexLink"/>
                <w:rtl w:val="true"/>
              </w:rPr>
              <w:t>بحث حول الأثواب الثلاثة</w:t>
            </w:r>
            <w:r>
              <w:rPr>
                <w:rStyle w:val="IndexLink"/>
                <w:rtl w:val="true"/>
              </w:rPr>
              <w:tab/>
            </w:r>
            <w:r>
              <w:rPr>
                <w:rStyle w:val="IndexLink"/>
              </w:rPr>
              <w:t>69</w:t>
            </w:r>
          </w:hyperlink>
        </w:p>
        <w:p>
          <w:pPr>
            <w:pStyle w:val="Contents4"/>
            <w:tabs>
              <w:tab w:val="clear" w:pos="8176"/>
              <w:tab w:val="right" w:pos="9026" w:leader="dot"/>
            </w:tabs>
            <w:rPr/>
          </w:pPr>
          <w:hyperlink w:anchor="__RefHeading___Toc2087539_388300464">
            <w:r>
              <w:rPr>
                <w:webHidden/>
                <w:rStyle w:val="IndexLink"/>
                <w:rtl w:val="true"/>
              </w:rPr>
              <w:t xml:space="preserve">قال الصدوق </w:t>
            </w:r>
            <w:r>
              <w:rPr>
                <w:rStyle w:val="IndexLink"/>
                <w:rtl w:val="true"/>
              </w:rPr>
              <w:t xml:space="preserve">: </w:t>
            </w:r>
            <w:r>
              <w:rPr>
                <w:rStyle w:val="IndexLink"/>
                <w:rtl w:val="true"/>
              </w:rPr>
              <w:t xml:space="preserve">الکفن المفروض ثلاثة </w:t>
            </w:r>
            <w:r>
              <w:rPr>
                <w:rStyle w:val="IndexLink"/>
                <w:rtl w:val="true"/>
              </w:rPr>
              <w:t xml:space="preserve">: </w:t>
            </w:r>
            <w:r>
              <w:rPr>
                <w:rStyle w:val="IndexLink"/>
                <w:rtl w:val="true"/>
              </w:rPr>
              <w:t>قمیص وإزار ولفافة والمناقشة فیه</w:t>
            </w:r>
            <w:r>
              <w:rPr>
                <w:rStyle w:val="IndexLink"/>
                <w:rtl w:val="true"/>
              </w:rPr>
              <w:tab/>
            </w:r>
            <w:r>
              <w:rPr>
                <w:rStyle w:val="IndexLink"/>
              </w:rPr>
              <w:t>71</w:t>
            </w:r>
          </w:hyperlink>
        </w:p>
        <w:p>
          <w:pPr>
            <w:pStyle w:val="Contents4"/>
            <w:tabs>
              <w:tab w:val="clear" w:pos="8176"/>
              <w:tab w:val="right" w:pos="9026" w:leader="dot"/>
            </w:tabs>
            <w:rPr/>
          </w:pPr>
          <w:hyperlink w:anchor="__RefHeading___Toc2087541_388300464">
            <w:r>
              <w:rPr>
                <w:webHidden/>
                <w:rStyle w:val="IndexLink"/>
                <w:rtl w:val="true"/>
              </w:rPr>
              <w:t>إجزاء قطعة عند الضرورة</w:t>
            </w:r>
            <w:r>
              <w:rPr>
                <w:rStyle w:val="IndexLink"/>
                <w:rtl w:val="true"/>
              </w:rPr>
              <w:tab/>
            </w:r>
            <w:r>
              <w:rPr>
                <w:rStyle w:val="IndexLink"/>
              </w:rPr>
              <w:t>74</w:t>
            </w:r>
          </w:hyperlink>
        </w:p>
        <w:p>
          <w:pPr>
            <w:pStyle w:val="Contents4"/>
            <w:tabs>
              <w:tab w:val="clear" w:pos="8176"/>
              <w:tab w:val="right" w:pos="9026" w:leader="dot"/>
            </w:tabs>
            <w:rPr/>
          </w:pPr>
          <w:hyperlink w:anchor="__RefHeading___Toc2087543_388300464">
            <w:r>
              <w:rPr>
                <w:webHidden/>
                <w:rStyle w:val="IndexLink"/>
                <w:rtl w:val="true"/>
              </w:rPr>
              <w:t>عدم جواز التکفین بالحریر والجلد</w:t>
            </w:r>
            <w:r>
              <w:rPr>
                <w:rStyle w:val="IndexLink"/>
                <w:rtl w:val="true"/>
              </w:rPr>
              <w:tab/>
            </w:r>
            <w:r>
              <w:rPr>
                <w:rStyle w:val="IndexLink"/>
              </w:rPr>
              <w:t>75</w:t>
            </w:r>
          </w:hyperlink>
        </w:p>
        <w:p>
          <w:pPr>
            <w:pStyle w:val="Contents4"/>
            <w:tabs>
              <w:tab w:val="clear" w:pos="8176"/>
              <w:tab w:val="right" w:pos="9026" w:leader="dot"/>
            </w:tabs>
            <w:rPr/>
          </w:pPr>
          <w:hyperlink w:anchor="__RefHeading___Toc2087545_388300464">
            <w:r>
              <w:rPr>
                <w:webHidden/>
                <w:rStyle w:val="IndexLink"/>
                <w:rtl w:val="true"/>
              </w:rPr>
              <w:t>وجوب مسح مساجد المیت بالکافور</w:t>
            </w:r>
            <w:r>
              <w:rPr>
                <w:rStyle w:val="IndexLink"/>
                <w:rtl w:val="true"/>
              </w:rPr>
              <w:tab/>
            </w:r>
            <w:r>
              <w:rPr>
                <w:rStyle w:val="IndexLink"/>
              </w:rPr>
              <w:t>75</w:t>
            </w:r>
          </w:hyperlink>
        </w:p>
        <w:p>
          <w:pPr>
            <w:pStyle w:val="Contents4"/>
            <w:tabs>
              <w:tab w:val="clear" w:pos="8176"/>
              <w:tab w:val="right" w:pos="9026" w:leader="dot"/>
            </w:tabs>
            <w:rPr/>
          </w:pPr>
          <w:hyperlink w:anchor="__RefHeading___Toc2087547_388300464">
            <w:r>
              <w:rPr>
                <w:webHidden/>
                <w:rStyle w:val="IndexLink"/>
                <w:rtl w:val="true"/>
              </w:rPr>
              <w:t>القدر الواجب من الحنوط</w:t>
            </w:r>
            <w:r>
              <w:rPr>
                <w:rStyle w:val="IndexLink"/>
                <w:rtl w:val="true"/>
              </w:rPr>
              <w:tab/>
            </w:r>
            <w:r>
              <w:rPr>
                <w:rStyle w:val="IndexLink"/>
              </w:rPr>
              <w:t>75</w:t>
            </w:r>
          </w:hyperlink>
        </w:p>
        <w:p>
          <w:pPr>
            <w:pStyle w:val="Contents3"/>
            <w:tabs>
              <w:tab w:val="clear" w:pos="8459"/>
              <w:tab w:val="right" w:pos="9026" w:leader="dot"/>
            </w:tabs>
            <w:rPr/>
          </w:pPr>
          <w:hyperlink w:anchor="__RefHeading___Toc2087549_388300464">
            <w:r>
              <w:rPr>
                <w:webHidden/>
                <w:rStyle w:val="IndexLink"/>
                <w:rtl w:val="true"/>
              </w:rPr>
              <w:t>سنن التکفین</w:t>
            </w:r>
            <w:r>
              <w:rPr>
                <w:rStyle w:val="IndexLink"/>
                <w:rtl w:val="true"/>
              </w:rPr>
              <w:tab/>
            </w:r>
            <w:r>
              <w:rPr>
                <w:rStyle w:val="IndexLink"/>
              </w:rPr>
              <w:t>76</w:t>
            </w:r>
          </w:hyperlink>
        </w:p>
        <w:p>
          <w:pPr>
            <w:pStyle w:val="Contents4"/>
            <w:tabs>
              <w:tab w:val="clear" w:pos="8176"/>
              <w:tab w:val="right" w:pos="9026" w:leader="dot"/>
            </w:tabs>
            <w:rPr/>
          </w:pPr>
          <w:hyperlink w:anchor="__RefHeading___Toc2087551_388300464">
            <w:r>
              <w:rPr>
                <w:webHidden/>
                <w:rStyle w:val="IndexLink"/>
                <w:rtl w:val="true"/>
              </w:rPr>
              <w:t>ازدیاد الحبرة للرجل</w:t>
            </w:r>
            <w:r>
              <w:rPr>
                <w:rStyle w:val="IndexLink"/>
                <w:rtl w:val="true"/>
              </w:rPr>
              <w:tab/>
            </w:r>
            <w:r>
              <w:rPr>
                <w:rStyle w:val="IndexLink"/>
              </w:rPr>
              <w:t>76</w:t>
            </w:r>
          </w:hyperlink>
        </w:p>
        <w:p>
          <w:pPr>
            <w:pStyle w:val="Contents4"/>
            <w:tabs>
              <w:tab w:val="clear" w:pos="8176"/>
              <w:tab w:val="right" w:pos="9026" w:leader="dot"/>
            </w:tabs>
            <w:rPr/>
          </w:pPr>
          <w:hyperlink w:anchor="__RefHeading___Toc2087553_388300464">
            <w:r>
              <w:rPr>
                <w:webHidden/>
                <w:rStyle w:val="IndexLink"/>
                <w:rtl w:val="true"/>
              </w:rPr>
              <w:t>ازدیاد لفافة لثدیی امرأة ونمطاً</w:t>
            </w:r>
            <w:r>
              <w:rPr>
                <w:rStyle w:val="IndexLink"/>
                <w:rtl w:val="true"/>
              </w:rPr>
              <w:tab/>
            </w:r>
            <w:r>
              <w:rPr>
                <w:rStyle w:val="IndexLink"/>
              </w:rPr>
              <w:t>76</w:t>
            </w:r>
          </w:hyperlink>
        </w:p>
        <w:p>
          <w:pPr>
            <w:pStyle w:val="Contents4"/>
            <w:tabs>
              <w:tab w:val="clear" w:pos="8176"/>
              <w:tab w:val="right" w:pos="9026" w:leader="dot"/>
            </w:tabs>
            <w:rPr/>
          </w:pPr>
          <w:hyperlink w:anchor="__RefHeading___Toc2087555_388300464">
            <w:r>
              <w:rPr>
                <w:webHidden/>
                <w:rStyle w:val="IndexLink"/>
                <w:rtl w:val="true"/>
              </w:rPr>
              <w:t>بحث فی معنی المنطق الوارد فی الروایات</w:t>
            </w:r>
            <w:r>
              <w:rPr>
                <w:rStyle w:val="IndexLink"/>
                <w:rtl w:val="true"/>
              </w:rPr>
              <w:tab/>
            </w:r>
            <w:r>
              <w:rPr>
                <w:rStyle w:val="IndexLink"/>
              </w:rPr>
              <w:t>77</w:t>
            </w:r>
          </w:hyperlink>
        </w:p>
        <w:p>
          <w:pPr>
            <w:pStyle w:val="Contents4"/>
            <w:tabs>
              <w:tab w:val="clear" w:pos="8176"/>
              <w:tab w:val="right" w:pos="9026" w:leader="dot"/>
            </w:tabs>
            <w:rPr/>
          </w:pPr>
          <w:hyperlink w:anchor="__RefHeading___Toc2087557_388300464">
            <w:r>
              <w:rPr>
                <w:webHidden/>
                <w:rStyle w:val="IndexLink"/>
                <w:rtl w:val="true"/>
              </w:rPr>
              <w:t>أن یکون الکفن قطناً أبیضاً</w:t>
            </w:r>
            <w:r>
              <w:rPr>
                <w:rStyle w:val="IndexLink"/>
                <w:rtl w:val="true"/>
              </w:rPr>
              <w:tab/>
            </w:r>
            <w:r>
              <w:rPr>
                <w:rStyle w:val="IndexLink"/>
              </w:rPr>
              <w:t>78</w:t>
            </w:r>
          </w:hyperlink>
        </w:p>
        <w:p>
          <w:pPr>
            <w:pStyle w:val="Contents4"/>
            <w:tabs>
              <w:tab w:val="clear" w:pos="8176"/>
              <w:tab w:val="right" w:pos="9026" w:leader="dot"/>
            </w:tabs>
            <w:rPr/>
          </w:pPr>
          <w:hyperlink w:anchor="__RefHeading___Toc2087559_388300464">
            <w:r>
              <w:rPr>
                <w:webHidden/>
                <w:rStyle w:val="IndexLink"/>
                <w:rtl w:val="true"/>
              </w:rPr>
              <w:t>أن یطیّب الکفن بالذریرة</w:t>
            </w:r>
            <w:r>
              <w:rPr>
                <w:rStyle w:val="IndexLink"/>
                <w:rtl w:val="true"/>
              </w:rPr>
              <w:tab/>
            </w:r>
            <w:r>
              <w:rPr>
                <w:rStyle w:val="IndexLink"/>
              </w:rPr>
              <w:t>78</w:t>
            </w:r>
          </w:hyperlink>
        </w:p>
        <w:p>
          <w:pPr>
            <w:pStyle w:val="Contents4"/>
            <w:tabs>
              <w:tab w:val="clear" w:pos="8176"/>
              <w:tab w:val="right" w:pos="9026" w:leader="dot"/>
            </w:tabs>
            <w:rPr/>
          </w:pPr>
          <w:hyperlink w:anchor="__RefHeading___Toc2087561_388300464">
            <w:r>
              <w:rPr>
                <w:webHidden/>
                <w:rStyle w:val="IndexLink"/>
                <w:rtl w:val="true"/>
              </w:rPr>
              <w:t>بحث حول التشریع المحرم</w:t>
            </w:r>
            <w:r>
              <w:rPr>
                <w:rStyle w:val="IndexLink"/>
                <w:rtl w:val="true"/>
              </w:rPr>
              <w:tab/>
            </w:r>
            <w:r>
              <w:rPr>
                <w:rStyle w:val="IndexLink"/>
              </w:rPr>
              <w:t>79</w:t>
            </w:r>
          </w:hyperlink>
        </w:p>
        <w:p>
          <w:pPr>
            <w:pStyle w:val="Contents4"/>
            <w:tabs>
              <w:tab w:val="clear" w:pos="8176"/>
              <w:tab w:val="right" w:pos="9026" w:leader="dot"/>
            </w:tabs>
            <w:rPr/>
          </w:pPr>
          <w:hyperlink w:anchor="__RefHeading___Toc2087563_388300464">
            <w:r>
              <w:rPr>
                <w:webHidden/>
                <w:rStyle w:val="IndexLink"/>
                <w:rtl w:val="true"/>
              </w:rPr>
              <w:t>کتابة الشهادتین والإقرار بالأئمّة علی الحبرة والقمیص والإزار بالتربة الحسینیّة</w:t>
            </w:r>
            <w:r>
              <w:rPr>
                <w:rStyle w:val="IndexLink"/>
                <w:rtl w:val="true"/>
              </w:rPr>
              <w:tab/>
            </w:r>
            <w:r>
              <w:rPr>
                <w:rStyle w:val="IndexLink"/>
              </w:rPr>
              <w:t>79</w:t>
            </w:r>
          </w:hyperlink>
        </w:p>
        <w:p>
          <w:pPr>
            <w:pStyle w:val="Contents4"/>
            <w:tabs>
              <w:tab w:val="clear" w:pos="8176"/>
              <w:tab w:val="right" w:pos="9026" w:leader="dot"/>
            </w:tabs>
            <w:rPr/>
          </w:pPr>
          <w:hyperlink w:anchor="__RefHeading___Toc2087565_388300464">
            <w:r>
              <w:rPr>
                <w:webHidden/>
                <w:rStyle w:val="IndexLink"/>
                <w:rtl w:val="true"/>
              </w:rPr>
              <w:t>أن یجعل مع المیت جریدتان من سعف النخل</w:t>
            </w:r>
            <w:r>
              <w:rPr>
                <w:rStyle w:val="IndexLink"/>
                <w:rtl w:val="true"/>
              </w:rPr>
              <w:tab/>
            </w:r>
            <w:r>
              <w:rPr>
                <w:rStyle w:val="IndexLink"/>
              </w:rPr>
              <w:t>80</w:t>
            </w:r>
          </w:hyperlink>
        </w:p>
        <w:p>
          <w:pPr>
            <w:pStyle w:val="Contents4"/>
            <w:tabs>
              <w:tab w:val="clear" w:pos="8176"/>
              <w:tab w:val="right" w:pos="9026" w:leader="dot"/>
            </w:tabs>
            <w:rPr/>
          </w:pPr>
          <w:hyperlink w:anchor="__RefHeading___Toc2087567_388300464">
            <w:r>
              <w:rPr>
                <w:webHidden/>
                <w:rStyle w:val="IndexLink"/>
                <w:rtl w:val="true"/>
              </w:rPr>
              <w:t>مع فقد الجریدة یجعل بدلها عود الرمان</w:t>
            </w:r>
            <w:r>
              <w:rPr>
                <w:rStyle w:val="IndexLink"/>
                <w:rtl w:val="true"/>
              </w:rPr>
              <w:tab/>
            </w:r>
            <w:r>
              <w:rPr>
                <w:rStyle w:val="IndexLink"/>
              </w:rPr>
              <w:t>81</w:t>
            </w:r>
          </w:hyperlink>
        </w:p>
        <w:p>
          <w:pPr>
            <w:pStyle w:val="Contents4"/>
            <w:tabs>
              <w:tab w:val="clear" w:pos="8176"/>
              <w:tab w:val="right" w:pos="9026" w:leader="dot"/>
            </w:tabs>
            <w:rPr/>
          </w:pPr>
          <w:hyperlink w:anchor="__RefHeading___Toc2087569_388300464">
            <w:r>
              <w:rPr>
                <w:webHidden/>
                <w:rStyle w:val="IndexLink"/>
                <w:rtl w:val="true"/>
              </w:rPr>
              <w:t>کیفیّة وضع الجریدتین</w:t>
            </w:r>
            <w:r>
              <w:rPr>
                <w:rStyle w:val="IndexLink"/>
                <w:rtl w:val="true"/>
              </w:rPr>
              <w:tab/>
            </w:r>
            <w:r>
              <w:rPr>
                <w:rStyle w:val="IndexLink"/>
              </w:rPr>
              <w:t>81</w:t>
            </w:r>
          </w:hyperlink>
        </w:p>
        <w:p>
          <w:pPr>
            <w:pStyle w:val="Contents4"/>
            <w:tabs>
              <w:tab w:val="clear" w:pos="8176"/>
              <w:tab w:val="right" w:pos="9026" w:leader="dot"/>
            </w:tabs>
            <w:rPr/>
          </w:pPr>
          <w:hyperlink w:anchor="__RefHeading___Toc2087571_388300464">
            <w:r>
              <w:rPr>
                <w:webHidden/>
                <w:rStyle w:val="IndexLink"/>
                <w:rtl w:val="true"/>
              </w:rPr>
              <w:t>أن یطوی جانب اللفافة الأیسر علی الأیمن وبالعکس</w:t>
            </w:r>
            <w:r>
              <w:rPr>
                <w:rStyle w:val="IndexLink"/>
                <w:rtl w:val="true"/>
              </w:rPr>
              <w:tab/>
            </w:r>
            <w:r>
              <w:rPr>
                <w:rStyle w:val="IndexLink"/>
              </w:rPr>
              <w:t>81</w:t>
            </w:r>
          </w:hyperlink>
        </w:p>
        <w:p>
          <w:pPr>
            <w:pStyle w:val="Contents4"/>
            <w:tabs>
              <w:tab w:val="clear" w:pos="8176"/>
              <w:tab w:val="right" w:pos="9026" w:leader="dot"/>
            </w:tabs>
            <w:rPr/>
          </w:pPr>
          <w:hyperlink w:anchor="__RefHeading___Toc2087573_388300464">
            <w:r>
              <w:rPr>
                <w:webHidden/>
                <w:rStyle w:val="IndexLink"/>
                <w:rtl w:val="true"/>
              </w:rPr>
              <w:t>إشارة إلی عمل الأصحاب بروایات کتاب فقه الرضا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2087575_388300464">
            <w:r>
              <w:rPr>
                <w:webHidden/>
                <w:rStyle w:val="IndexLink"/>
                <w:rtl w:val="true"/>
              </w:rPr>
              <w:t>کراهة جعل الکافور فی سمع المیت وبصره</w:t>
            </w:r>
            <w:r>
              <w:rPr>
                <w:rStyle w:val="IndexLink"/>
                <w:rtl w:val="true"/>
              </w:rPr>
              <w:tab/>
            </w:r>
            <w:r>
              <w:rPr>
                <w:rStyle w:val="IndexLink"/>
              </w:rPr>
              <w:t>82</w:t>
            </w:r>
          </w:hyperlink>
        </w:p>
        <w:p>
          <w:pPr>
            <w:pStyle w:val="Contents3"/>
            <w:tabs>
              <w:tab w:val="clear" w:pos="8459"/>
              <w:tab w:val="right" w:pos="9026" w:leader="dot"/>
            </w:tabs>
            <w:rPr/>
          </w:pPr>
          <w:hyperlink w:anchor="__RefHeading___Toc2087577_388300464">
            <w:r>
              <w:rPr>
                <w:webHidden/>
                <w:rStyle w:val="IndexLink"/>
                <w:rtl w:val="true"/>
              </w:rPr>
              <w:t>بعض مسائل التکفین</w:t>
            </w:r>
            <w:r>
              <w:rPr>
                <w:rStyle w:val="IndexLink"/>
                <w:rtl w:val="true"/>
              </w:rPr>
              <w:tab/>
            </w:r>
            <w:r>
              <w:rPr>
                <w:rStyle w:val="IndexLink"/>
              </w:rPr>
              <w:t>82</w:t>
            </w:r>
          </w:hyperlink>
        </w:p>
        <w:p>
          <w:pPr>
            <w:pStyle w:val="Contents4"/>
            <w:tabs>
              <w:tab w:val="clear" w:pos="8176"/>
              <w:tab w:val="right" w:pos="9026" w:leader="dot"/>
            </w:tabs>
            <w:rPr/>
          </w:pPr>
          <w:hyperlink w:anchor="__RefHeading___Toc2087579_388300464">
            <w:r>
              <w:rPr>
                <w:webHidden/>
                <w:rStyle w:val="IndexLink"/>
                <w:rtl w:val="true"/>
              </w:rPr>
              <w:t>حکم النجاسة الخارجة من المیت</w:t>
            </w:r>
            <w:r>
              <w:rPr>
                <w:rStyle w:val="IndexLink"/>
                <w:rtl w:val="true"/>
              </w:rPr>
              <w:tab/>
            </w:r>
            <w:r>
              <w:rPr>
                <w:rStyle w:val="IndexLink"/>
              </w:rPr>
              <w:t>82</w:t>
            </w:r>
          </w:hyperlink>
        </w:p>
        <w:p>
          <w:pPr>
            <w:pStyle w:val="Contents4"/>
            <w:tabs>
              <w:tab w:val="clear" w:pos="8176"/>
              <w:tab w:val="right" w:pos="9026" w:leader="dot"/>
            </w:tabs>
            <w:rPr/>
          </w:pPr>
          <w:hyperlink w:anchor="__RefHeading___Toc2087581_388300464">
            <w:r>
              <w:rPr>
                <w:webHidden/>
                <w:rStyle w:val="IndexLink"/>
                <w:rtl w:val="true"/>
              </w:rPr>
              <w:t>إشارة إلی مقبولیّة مراسیل ابن أبی عمیر</w:t>
            </w:r>
            <w:r>
              <w:rPr>
                <w:rStyle w:val="IndexLink"/>
                <w:rtl w:val="true"/>
              </w:rPr>
              <w:tab/>
            </w:r>
            <w:r>
              <w:rPr>
                <w:rStyle w:val="IndexLink"/>
              </w:rPr>
              <w:t>82</w:t>
            </w:r>
          </w:hyperlink>
        </w:p>
        <w:p>
          <w:pPr>
            <w:pStyle w:val="Contents4"/>
            <w:tabs>
              <w:tab w:val="clear" w:pos="8176"/>
              <w:tab w:val="right" w:pos="9026" w:leader="dot"/>
            </w:tabs>
            <w:rPr/>
          </w:pPr>
          <w:hyperlink w:anchor="__RefHeading___Toc2087583_388300464">
            <w:r>
              <w:rPr>
                <w:webHidden/>
                <w:rStyle w:val="IndexLink"/>
                <w:rtl w:val="true"/>
              </w:rPr>
              <w:t>عبد الله بن یحیی الکاهلی من الممدوحین</w:t>
            </w:r>
            <w:r>
              <w:rPr>
                <w:rStyle w:val="IndexLink"/>
                <w:rtl w:val="true"/>
              </w:rPr>
              <w:tab/>
            </w:r>
            <w:r>
              <w:rPr>
                <w:rStyle w:val="IndexLink"/>
              </w:rPr>
              <w:t>83</w:t>
            </w:r>
          </w:hyperlink>
        </w:p>
        <w:p>
          <w:pPr>
            <w:pStyle w:val="Contents4"/>
            <w:tabs>
              <w:tab w:val="clear" w:pos="8176"/>
              <w:tab w:val="right" w:pos="9026" w:leader="dot"/>
            </w:tabs>
            <w:rPr/>
          </w:pPr>
          <w:hyperlink w:anchor="__RefHeading___Toc2087585_388300464">
            <w:r>
              <w:rPr>
                <w:webHidden/>
                <w:rStyle w:val="IndexLink"/>
                <w:rtl w:val="true"/>
              </w:rPr>
              <w:t>الکفن الواجب للمرأة علی زوجها</w:t>
            </w:r>
            <w:r>
              <w:rPr>
                <w:rStyle w:val="IndexLink"/>
                <w:rtl w:val="true"/>
              </w:rPr>
              <w:tab/>
            </w:r>
            <w:r>
              <w:rPr>
                <w:rStyle w:val="IndexLink"/>
              </w:rPr>
              <w:t>83</w:t>
            </w:r>
          </w:hyperlink>
        </w:p>
        <w:p>
          <w:pPr>
            <w:pStyle w:val="Contents4"/>
            <w:tabs>
              <w:tab w:val="clear" w:pos="8176"/>
              <w:tab w:val="right" w:pos="9026" w:leader="dot"/>
            </w:tabs>
            <w:rPr/>
          </w:pPr>
          <w:hyperlink w:anchor="__RefHeading___Toc2087587_388300464">
            <w:r>
              <w:rPr>
                <w:webHidden/>
                <w:rStyle w:val="IndexLink"/>
                <w:rtl w:val="true"/>
              </w:rPr>
              <w:t>وجوب إخراج الکفن من أصل الترکة</w:t>
            </w:r>
            <w:r>
              <w:rPr>
                <w:rStyle w:val="IndexLink"/>
                <w:rtl w:val="true"/>
              </w:rPr>
              <w:tab/>
            </w:r>
            <w:r>
              <w:rPr>
                <w:rStyle w:val="IndexLink"/>
              </w:rPr>
              <w:t>84</w:t>
            </w:r>
          </w:hyperlink>
        </w:p>
        <w:p>
          <w:pPr>
            <w:pStyle w:val="Contents4"/>
            <w:tabs>
              <w:tab w:val="clear" w:pos="8176"/>
              <w:tab w:val="right" w:pos="9026" w:leader="dot"/>
            </w:tabs>
            <w:rPr/>
          </w:pPr>
          <w:hyperlink w:anchor="__RefHeading___Toc2087589_388300464">
            <w:r>
              <w:rPr>
                <w:webHidden/>
                <w:rStyle w:val="IndexLink"/>
                <w:rtl w:val="true"/>
              </w:rPr>
              <w:t>الفضل بن یونس واقفی ثقة</w:t>
            </w:r>
            <w:r>
              <w:rPr>
                <w:rStyle w:val="IndexLink"/>
                <w:rtl w:val="true"/>
              </w:rPr>
              <w:tab/>
            </w:r>
            <w:r>
              <w:rPr>
                <w:rStyle w:val="IndexLink"/>
              </w:rPr>
              <w:t>85</w:t>
            </w:r>
          </w:hyperlink>
        </w:p>
        <w:p>
          <w:pPr>
            <w:pStyle w:val="Contents3"/>
            <w:tabs>
              <w:tab w:val="clear" w:pos="8459"/>
              <w:tab w:val="right" w:pos="9026" w:leader="dot"/>
            </w:tabs>
            <w:rPr/>
          </w:pPr>
          <w:hyperlink w:anchor="__RefHeading___Toc2087591_388300464">
            <w:r>
              <w:rPr>
                <w:webHidden/>
                <w:rStyle w:val="IndexLink"/>
                <w:rtl w:val="true"/>
              </w:rPr>
              <w:t>الدفن</w:t>
            </w:r>
            <w:r>
              <w:rPr>
                <w:rStyle w:val="IndexLink"/>
                <w:rtl w:val="true"/>
              </w:rPr>
              <w:tab/>
            </w:r>
            <w:r>
              <w:rPr>
                <w:rStyle w:val="IndexLink"/>
              </w:rPr>
              <w:t>86</w:t>
            </w:r>
          </w:hyperlink>
        </w:p>
        <w:p>
          <w:pPr>
            <w:pStyle w:val="Contents4"/>
            <w:tabs>
              <w:tab w:val="clear" w:pos="8176"/>
              <w:tab w:val="right" w:pos="9026" w:leader="dot"/>
            </w:tabs>
            <w:rPr/>
          </w:pPr>
          <w:hyperlink w:anchor="__RefHeading___Toc2087593_388300464">
            <w:r>
              <w:rPr>
                <w:webHidden/>
                <w:rStyle w:val="IndexLink"/>
                <w:rtl w:val="true"/>
              </w:rPr>
              <w:t xml:space="preserve">ما یتعلق بالدفن </w:t>
            </w:r>
            <w:r>
              <w:rPr>
                <w:rStyle w:val="IndexLink"/>
                <w:rtl w:val="true"/>
              </w:rPr>
              <w:t xml:space="preserve">: </w:t>
            </w:r>
            <w:r>
              <w:rPr>
                <w:rStyle w:val="IndexLink"/>
                <w:rtl w:val="true"/>
              </w:rPr>
              <w:t>استحباب تشییع الجنازة</w:t>
            </w:r>
            <w:r>
              <w:rPr>
                <w:rStyle w:val="IndexLink"/>
                <w:rtl w:val="true"/>
              </w:rPr>
              <w:tab/>
            </w:r>
            <w:r>
              <w:rPr>
                <w:rStyle w:val="IndexLink"/>
              </w:rPr>
              <w:t>86</w:t>
            </w:r>
          </w:hyperlink>
        </w:p>
        <w:p>
          <w:pPr>
            <w:pStyle w:val="Contents4"/>
            <w:tabs>
              <w:tab w:val="clear" w:pos="8176"/>
              <w:tab w:val="right" w:pos="9026" w:leader="dot"/>
            </w:tabs>
            <w:rPr/>
          </w:pPr>
          <w:hyperlink w:anchor="__RefHeading___Toc2087595_388300464">
            <w:r>
              <w:rPr>
                <w:webHidden/>
                <w:rStyle w:val="IndexLink"/>
                <w:rtl w:val="true"/>
              </w:rPr>
              <w:t>کراهة الرکوب فی تشییع الجنازة</w:t>
            </w:r>
            <w:r>
              <w:rPr>
                <w:rStyle w:val="IndexLink"/>
                <w:rtl w:val="true"/>
              </w:rPr>
              <w:tab/>
            </w:r>
            <w:r>
              <w:rPr>
                <w:rStyle w:val="IndexLink"/>
              </w:rPr>
              <w:t>86</w:t>
            </w:r>
          </w:hyperlink>
        </w:p>
        <w:p>
          <w:pPr>
            <w:pStyle w:val="Contents4"/>
            <w:tabs>
              <w:tab w:val="clear" w:pos="8176"/>
              <w:tab w:val="right" w:pos="9026" w:leader="dot"/>
            </w:tabs>
            <w:rPr/>
          </w:pPr>
          <w:hyperlink w:anchor="__RefHeading___Toc2087597_388300464">
            <w:r>
              <w:rPr>
                <w:webHidden/>
                <w:rStyle w:val="IndexLink"/>
                <w:rtl w:val="true"/>
              </w:rPr>
              <w:t>استحباب المشی وراء الجنازة أو أحد جانبیها</w:t>
            </w:r>
            <w:r>
              <w:rPr>
                <w:rStyle w:val="IndexLink"/>
                <w:rtl w:val="true"/>
              </w:rPr>
              <w:tab/>
            </w:r>
            <w:r>
              <w:rPr>
                <w:rStyle w:val="IndexLink"/>
              </w:rPr>
              <w:t>86</w:t>
            </w:r>
          </w:hyperlink>
        </w:p>
        <w:p>
          <w:pPr>
            <w:pStyle w:val="Contents4"/>
            <w:tabs>
              <w:tab w:val="clear" w:pos="8176"/>
              <w:tab w:val="right" w:pos="9026" w:leader="dot"/>
            </w:tabs>
            <w:rPr/>
          </w:pPr>
          <w:hyperlink w:anchor="__RefHeading___Toc2087599_388300464">
            <w:r>
              <w:rPr>
                <w:webHidden/>
                <w:rStyle w:val="IndexLink"/>
                <w:rtl w:val="true"/>
              </w:rPr>
              <w:t>کراهة الجلوس للمشیّع</w:t>
            </w:r>
            <w:r>
              <w:rPr>
                <w:rStyle w:val="IndexLink"/>
                <w:rtl w:val="true"/>
              </w:rPr>
              <w:tab/>
            </w:r>
            <w:r>
              <w:rPr>
                <w:rStyle w:val="IndexLink"/>
              </w:rPr>
              <w:t>87</w:t>
            </w:r>
          </w:hyperlink>
        </w:p>
        <w:p>
          <w:pPr>
            <w:pStyle w:val="Contents4"/>
            <w:tabs>
              <w:tab w:val="clear" w:pos="8176"/>
              <w:tab w:val="right" w:pos="9026" w:leader="dot"/>
            </w:tabs>
            <w:rPr/>
          </w:pPr>
          <w:hyperlink w:anchor="__RefHeading___Toc2087601_388300464">
            <w:r>
              <w:rPr>
                <w:webHidden/>
                <w:rStyle w:val="IndexLink"/>
                <w:rtl w:val="true"/>
              </w:rPr>
              <w:t>استحباب تربیع الجنازة</w:t>
            </w:r>
            <w:r>
              <w:rPr>
                <w:rStyle w:val="IndexLink"/>
                <w:rtl w:val="true"/>
              </w:rPr>
              <w:tab/>
            </w:r>
            <w:r>
              <w:rPr>
                <w:rStyle w:val="IndexLink"/>
              </w:rPr>
              <w:t>87</w:t>
            </w:r>
          </w:hyperlink>
        </w:p>
        <w:p>
          <w:pPr>
            <w:pStyle w:val="Contents4"/>
            <w:tabs>
              <w:tab w:val="clear" w:pos="8176"/>
              <w:tab w:val="right" w:pos="9026" w:leader="dot"/>
            </w:tabs>
            <w:rPr/>
          </w:pPr>
          <w:hyperlink w:anchor="__RefHeading___Toc2087603_388300464">
            <w:r>
              <w:rPr>
                <w:webHidden/>
                <w:rStyle w:val="IndexLink"/>
                <w:rtl w:val="true"/>
              </w:rPr>
              <w:t>استحباب وضع الجنازة قرب القبر</w:t>
            </w:r>
            <w:r>
              <w:rPr>
                <w:rStyle w:val="IndexLink"/>
                <w:rtl w:val="true"/>
              </w:rPr>
              <w:tab/>
            </w:r>
            <w:r>
              <w:rPr>
                <w:rStyle w:val="IndexLink"/>
              </w:rPr>
              <w:t>87</w:t>
            </w:r>
          </w:hyperlink>
        </w:p>
        <w:p>
          <w:pPr>
            <w:pStyle w:val="Contents4"/>
            <w:tabs>
              <w:tab w:val="clear" w:pos="8176"/>
              <w:tab w:val="right" w:pos="9026" w:leader="dot"/>
            </w:tabs>
            <w:rPr/>
          </w:pPr>
          <w:hyperlink w:anchor="__RefHeading___Toc2087605_388300464">
            <w:r>
              <w:rPr>
                <w:webHidden/>
                <w:rStyle w:val="IndexLink"/>
                <w:rtl w:val="true"/>
              </w:rPr>
              <w:t>کیفیة إرسال المیت فی القبر</w:t>
            </w:r>
            <w:r>
              <w:rPr>
                <w:rStyle w:val="IndexLink"/>
                <w:rtl w:val="true"/>
              </w:rPr>
              <w:tab/>
            </w:r>
            <w:r>
              <w:rPr>
                <w:rStyle w:val="IndexLink"/>
              </w:rPr>
              <w:t>88</w:t>
            </w:r>
          </w:hyperlink>
        </w:p>
        <w:p>
          <w:pPr>
            <w:pStyle w:val="Contents4"/>
            <w:tabs>
              <w:tab w:val="clear" w:pos="8176"/>
              <w:tab w:val="right" w:pos="9026" w:leader="dot"/>
            </w:tabs>
            <w:rPr/>
          </w:pPr>
          <w:hyperlink w:anchor="__RefHeading___Toc2087607_388300464">
            <w:r>
              <w:rPr>
                <w:webHidden/>
                <w:rStyle w:val="IndexLink"/>
                <w:rtl w:val="true"/>
              </w:rPr>
              <w:t>استحباب تحفّی النازل فی القبر وکشف رأسه</w:t>
            </w:r>
            <w:r>
              <w:rPr>
                <w:rStyle w:val="IndexLink"/>
                <w:rtl w:val="true"/>
              </w:rPr>
              <w:tab/>
            </w:r>
            <w:r>
              <w:rPr>
                <w:rStyle w:val="IndexLink"/>
              </w:rPr>
              <w:t>89</w:t>
            </w:r>
          </w:hyperlink>
        </w:p>
        <w:p>
          <w:pPr>
            <w:pStyle w:val="Contents3"/>
            <w:tabs>
              <w:tab w:val="clear" w:pos="8459"/>
              <w:tab w:val="right" w:pos="9026" w:leader="dot"/>
            </w:tabs>
            <w:rPr/>
          </w:pPr>
          <w:hyperlink w:anchor="__RefHeading___Toc2087609_388300464">
            <w:r>
              <w:rPr>
                <w:webHidden/>
                <w:rStyle w:val="IndexLink"/>
                <w:rtl w:val="true"/>
              </w:rPr>
              <w:t>فروض الدفن</w:t>
            </w:r>
            <w:r>
              <w:rPr>
                <w:rStyle w:val="IndexLink"/>
                <w:rtl w:val="true"/>
              </w:rPr>
              <w:tab/>
            </w:r>
            <w:r>
              <w:rPr>
                <w:rStyle w:val="IndexLink"/>
              </w:rPr>
              <w:t>89</w:t>
            </w:r>
          </w:hyperlink>
        </w:p>
        <w:p>
          <w:pPr>
            <w:pStyle w:val="Contents4"/>
            <w:tabs>
              <w:tab w:val="clear" w:pos="8176"/>
              <w:tab w:val="right" w:pos="9026" w:leader="dot"/>
            </w:tabs>
            <w:rPr/>
          </w:pPr>
          <w:hyperlink w:anchor="__RefHeading___Toc2087611_388300464">
            <w:r>
              <w:rPr>
                <w:webHidden/>
                <w:rStyle w:val="IndexLink"/>
                <w:rtl w:val="true"/>
              </w:rPr>
              <w:t>مواراة المیت</w:t>
            </w:r>
            <w:r>
              <w:rPr>
                <w:rStyle w:val="IndexLink"/>
                <w:rtl w:val="true"/>
              </w:rPr>
              <w:tab/>
            </w:r>
            <w:r>
              <w:rPr>
                <w:rStyle w:val="IndexLink"/>
              </w:rPr>
              <w:t>89</w:t>
            </w:r>
          </w:hyperlink>
        </w:p>
        <w:p>
          <w:pPr>
            <w:pStyle w:val="Contents4"/>
            <w:tabs>
              <w:tab w:val="clear" w:pos="8176"/>
              <w:tab w:val="right" w:pos="9026" w:leader="dot"/>
            </w:tabs>
            <w:rPr/>
          </w:pPr>
          <w:hyperlink w:anchor="__RefHeading___Toc2087613_388300464">
            <w:r>
              <w:rPr>
                <w:webHidden/>
                <w:rStyle w:val="IndexLink"/>
                <w:rtl w:val="true"/>
              </w:rPr>
              <w:t>کیفیّة دفن من مات فی البحر</w:t>
            </w:r>
            <w:r>
              <w:rPr>
                <w:rStyle w:val="IndexLink"/>
                <w:rtl w:val="true"/>
              </w:rPr>
              <w:tab/>
            </w:r>
            <w:r>
              <w:rPr>
                <w:rStyle w:val="IndexLink"/>
              </w:rPr>
              <w:t>89</w:t>
            </w:r>
          </w:hyperlink>
        </w:p>
        <w:p>
          <w:pPr>
            <w:pStyle w:val="Contents4"/>
            <w:tabs>
              <w:tab w:val="clear" w:pos="8176"/>
              <w:tab w:val="right" w:pos="9026" w:leader="dot"/>
            </w:tabs>
            <w:rPr/>
          </w:pPr>
          <w:hyperlink w:anchor="__RefHeading___Toc2087615_388300464">
            <w:r>
              <w:rPr>
                <w:webHidden/>
                <w:rStyle w:val="IndexLink"/>
                <w:rtl w:val="true"/>
              </w:rPr>
              <w:t>اضجاع المیت علی جنبه الأیمن</w:t>
            </w:r>
            <w:r>
              <w:rPr>
                <w:rStyle w:val="IndexLink"/>
                <w:rtl w:val="true"/>
              </w:rPr>
              <w:tab/>
            </w:r>
            <w:r>
              <w:rPr>
                <w:rStyle w:val="IndexLink"/>
              </w:rPr>
              <w:t>90</w:t>
            </w:r>
          </w:hyperlink>
        </w:p>
        <w:p>
          <w:pPr>
            <w:pStyle w:val="Contents3"/>
            <w:tabs>
              <w:tab w:val="clear" w:pos="8459"/>
              <w:tab w:val="right" w:pos="9026" w:leader="dot"/>
            </w:tabs>
            <w:rPr/>
          </w:pPr>
          <w:hyperlink w:anchor="__RefHeading___Toc2087617_388300464">
            <w:r>
              <w:rPr>
                <w:webHidden/>
                <w:rStyle w:val="IndexLink"/>
                <w:rtl w:val="true"/>
              </w:rPr>
              <w:t>سنن الدفن</w:t>
            </w:r>
            <w:r>
              <w:rPr>
                <w:rStyle w:val="IndexLink"/>
                <w:rtl w:val="true"/>
              </w:rPr>
              <w:tab/>
            </w:r>
            <w:r>
              <w:rPr>
                <w:rStyle w:val="IndexLink"/>
              </w:rPr>
              <w:t>91</w:t>
            </w:r>
          </w:hyperlink>
        </w:p>
        <w:p>
          <w:pPr>
            <w:pStyle w:val="Contents4"/>
            <w:tabs>
              <w:tab w:val="clear" w:pos="8176"/>
              <w:tab w:val="right" w:pos="9026" w:leader="dot"/>
            </w:tabs>
            <w:rPr/>
          </w:pPr>
          <w:hyperlink w:anchor="__RefHeading___Toc2087619_388300464">
            <w:r>
              <w:rPr>
                <w:webHidden/>
                <w:rStyle w:val="IndexLink"/>
                <w:rtl w:val="true"/>
              </w:rPr>
              <w:t>موسی بن أشیم ضعّفه النجاشی</w:t>
            </w:r>
            <w:r>
              <w:rPr>
                <w:rStyle w:val="IndexLink"/>
                <w:rtl w:val="true"/>
              </w:rPr>
              <w:tab/>
            </w:r>
            <w:r>
              <w:rPr>
                <w:rStyle w:val="IndexLink"/>
              </w:rPr>
              <w:t>91</w:t>
            </w:r>
          </w:hyperlink>
        </w:p>
        <w:p>
          <w:pPr>
            <w:pStyle w:val="Contents4"/>
            <w:tabs>
              <w:tab w:val="clear" w:pos="8176"/>
              <w:tab w:val="right" w:pos="9026" w:leader="dot"/>
            </w:tabs>
            <w:rPr/>
          </w:pPr>
          <w:hyperlink w:anchor="__RefHeading___Toc2087621_388300464">
            <w:r>
              <w:rPr>
                <w:webHidden/>
                <w:rStyle w:val="IndexLink"/>
                <w:rtl w:val="true"/>
              </w:rPr>
              <w:t>حفر القبر إلی الترقوة</w:t>
            </w:r>
            <w:r>
              <w:rPr>
                <w:rStyle w:val="IndexLink"/>
                <w:rtl w:val="true"/>
              </w:rPr>
              <w:tab/>
            </w:r>
            <w:r>
              <w:rPr>
                <w:rStyle w:val="IndexLink"/>
              </w:rPr>
              <w:t>91</w:t>
            </w:r>
          </w:hyperlink>
        </w:p>
        <w:p>
          <w:pPr>
            <w:pStyle w:val="Contents4"/>
            <w:tabs>
              <w:tab w:val="clear" w:pos="8176"/>
              <w:tab w:val="right" w:pos="9026" w:leader="dot"/>
            </w:tabs>
            <w:rPr/>
          </w:pPr>
          <w:hyperlink w:anchor="__RefHeading___Toc2087623_388300464">
            <w:r>
              <w:rPr>
                <w:webHidden/>
                <w:rStyle w:val="IndexLink"/>
                <w:rtl w:val="true"/>
              </w:rPr>
              <w:t>جعل اللحد للمیت</w:t>
            </w:r>
            <w:r>
              <w:rPr>
                <w:rStyle w:val="IndexLink"/>
                <w:rtl w:val="true"/>
              </w:rPr>
              <w:tab/>
            </w:r>
            <w:r>
              <w:rPr>
                <w:rStyle w:val="IndexLink"/>
              </w:rPr>
              <w:t>91</w:t>
            </w:r>
          </w:hyperlink>
        </w:p>
        <w:p>
          <w:pPr>
            <w:pStyle w:val="Contents4"/>
            <w:tabs>
              <w:tab w:val="clear" w:pos="8176"/>
              <w:tab w:val="right" w:pos="9026" w:leader="dot"/>
            </w:tabs>
            <w:rPr/>
          </w:pPr>
          <w:hyperlink w:anchor="__RefHeading___Toc2087625_388300464">
            <w:r>
              <w:rPr>
                <w:webHidden/>
                <w:rStyle w:val="IndexLink"/>
                <w:rtl w:val="true"/>
              </w:rPr>
              <w:t>حل عقد کفنه</w:t>
            </w:r>
            <w:r>
              <w:rPr>
                <w:rStyle w:val="IndexLink"/>
                <w:rtl w:val="true"/>
              </w:rPr>
              <w:tab/>
            </w:r>
            <w:r>
              <w:rPr>
                <w:rStyle w:val="IndexLink"/>
              </w:rPr>
              <w:t>92</w:t>
            </w:r>
          </w:hyperlink>
        </w:p>
        <w:p>
          <w:pPr>
            <w:pStyle w:val="Contents4"/>
            <w:tabs>
              <w:tab w:val="clear" w:pos="8176"/>
              <w:tab w:val="right" w:pos="9026" w:leader="dot"/>
            </w:tabs>
            <w:rPr/>
          </w:pPr>
          <w:hyperlink w:anchor="__RefHeading___Toc2087627_388300464">
            <w:r>
              <w:rPr>
                <w:webHidden/>
                <w:rStyle w:val="IndexLink"/>
                <w:rtl w:val="true"/>
              </w:rPr>
              <w:t>جعل تربة الحسین علیه السلام مع المیت</w:t>
            </w:r>
            <w:r>
              <w:rPr>
                <w:rStyle w:val="IndexLink"/>
                <w:rtl w:val="true"/>
              </w:rPr>
              <w:tab/>
            </w:r>
            <w:r>
              <w:rPr>
                <w:rStyle w:val="IndexLink"/>
              </w:rPr>
              <w:t>92</w:t>
            </w:r>
          </w:hyperlink>
        </w:p>
        <w:p>
          <w:pPr>
            <w:pStyle w:val="Contents4"/>
            <w:tabs>
              <w:tab w:val="clear" w:pos="8176"/>
              <w:tab w:val="right" w:pos="9026" w:leader="dot"/>
            </w:tabs>
            <w:rPr/>
          </w:pPr>
          <w:hyperlink w:anchor="__RefHeading___Toc2087629_388300464">
            <w:r>
              <w:rPr>
                <w:webHidden/>
                <w:rStyle w:val="IndexLink"/>
                <w:rtl w:val="true"/>
              </w:rPr>
              <w:t>إهالة الحاضرین التراب بظهور الأکف</w:t>
            </w:r>
            <w:r>
              <w:rPr>
                <w:rStyle w:val="IndexLink"/>
                <w:rtl w:val="true"/>
              </w:rPr>
              <w:tab/>
            </w:r>
            <w:r>
              <w:rPr>
                <w:rStyle w:val="IndexLink"/>
              </w:rPr>
              <w:t>92</w:t>
            </w:r>
          </w:hyperlink>
        </w:p>
        <w:p>
          <w:pPr>
            <w:pStyle w:val="Contents4"/>
            <w:tabs>
              <w:tab w:val="clear" w:pos="8176"/>
              <w:tab w:val="right" w:pos="9026" w:leader="dot"/>
            </w:tabs>
            <w:rPr/>
          </w:pPr>
          <w:hyperlink w:anchor="__RefHeading___Toc2087631_388300464">
            <w:r>
              <w:rPr>
                <w:webHidden/>
                <w:rStyle w:val="IndexLink"/>
                <w:rtl w:val="true"/>
              </w:rPr>
              <w:t>رفع القبر مقدار أربع أصابع</w:t>
            </w:r>
            <w:r>
              <w:rPr>
                <w:rStyle w:val="IndexLink"/>
                <w:rtl w:val="true"/>
              </w:rPr>
              <w:tab/>
            </w:r>
            <w:r>
              <w:rPr>
                <w:rStyle w:val="IndexLink"/>
              </w:rPr>
              <w:t>93</w:t>
            </w:r>
          </w:hyperlink>
        </w:p>
        <w:p>
          <w:pPr>
            <w:pStyle w:val="Contents4"/>
            <w:tabs>
              <w:tab w:val="clear" w:pos="8176"/>
              <w:tab w:val="right" w:pos="9026" w:leader="dot"/>
            </w:tabs>
            <w:rPr/>
          </w:pPr>
          <w:hyperlink w:anchor="__RefHeading___Toc2087633_388300464">
            <w:r>
              <w:rPr>
                <w:webHidden/>
                <w:rStyle w:val="IndexLink"/>
                <w:rtl w:val="true"/>
              </w:rPr>
              <w:t>صب الماء علی القبر</w:t>
            </w:r>
            <w:r>
              <w:rPr>
                <w:rStyle w:val="IndexLink"/>
                <w:rtl w:val="true"/>
              </w:rPr>
              <w:tab/>
            </w:r>
            <w:r>
              <w:rPr>
                <w:rStyle w:val="IndexLink"/>
              </w:rPr>
              <w:t>93</w:t>
            </w:r>
          </w:hyperlink>
        </w:p>
        <w:p>
          <w:pPr>
            <w:pStyle w:val="Contents4"/>
            <w:tabs>
              <w:tab w:val="clear" w:pos="8176"/>
              <w:tab w:val="right" w:pos="9026" w:leader="dot"/>
            </w:tabs>
            <w:rPr/>
          </w:pPr>
          <w:hyperlink w:anchor="__RefHeading___Toc2087635_388300464">
            <w:r>
              <w:rPr>
                <w:webHidden/>
                <w:rStyle w:val="IndexLink"/>
                <w:rtl w:val="true"/>
              </w:rPr>
              <w:t>تلقین الولی المیت بعد انصراف الحاضرین</w:t>
            </w:r>
            <w:r>
              <w:rPr>
                <w:rStyle w:val="IndexLink"/>
                <w:rtl w:val="true"/>
              </w:rPr>
              <w:tab/>
            </w:r>
            <w:r>
              <w:rPr>
                <w:rStyle w:val="IndexLink"/>
              </w:rPr>
              <w:t>93</w:t>
            </w:r>
          </w:hyperlink>
        </w:p>
        <w:p>
          <w:pPr>
            <w:pStyle w:val="Contents4"/>
            <w:tabs>
              <w:tab w:val="clear" w:pos="8176"/>
              <w:tab w:val="right" w:pos="9026" w:leader="dot"/>
            </w:tabs>
            <w:rPr/>
          </w:pPr>
          <w:hyperlink w:anchor="__RefHeading___Toc2087637_388300464">
            <w:r>
              <w:rPr>
                <w:webHidden/>
                <w:rStyle w:val="IndexLink"/>
                <w:rtl w:val="true"/>
              </w:rPr>
              <w:t>نقل المیت إلی المشاهد الشریفة</w:t>
            </w:r>
            <w:r>
              <w:rPr>
                <w:rStyle w:val="IndexLink"/>
                <w:rtl w:val="true"/>
              </w:rPr>
              <w:tab/>
            </w:r>
            <w:r>
              <w:rPr>
                <w:rStyle w:val="IndexLink"/>
              </w:rPr>
              <w:t>93</w:t>
            </w:r>
          </w:hyperlink>
        </w:p>
        <w:p>
          <w:pPr>
            <w:pStyle w:val="Contents3"/>
            <w:tabs>
              <w:tab w:val="clear" w:pos="8459"/>
              <w:tab w:val="right" w:pos="9026" w:leader="dot"/>
            </w:tabs>
            <w:rPr/>
          </w:pPr>
          <w:hyperlink w:anchor="__RefHeading___Toc2087639_388300464">
            <w:r>
              <w:rPr>
                <w:webHidden/>
                <w:rStyle w:val="IndexLink"/>
                <w:rtl w:val="true"/>
              </w:rPr>
              <w:t>لواحق تتعلق</w:t>
            </w:r>
            <w:r>
              <w:rPr>
                <w:rStyle w:val="IndexLink"/>
                <w:rtl w:val="true"/>
              </w:rPr>
              <w:tab/>
            </w:r>
            <w:r>
              <w:rPr>
                <w:rStyle w:val="IndexLink"/>
              </w:rPr>
              <w:t>93</w:t>
            </w:r>
          </w:hyperlink>
        </w:p>
        <w:p>
          <w:pPr>
            <w:pStyle w:val="Contents4"/>
            <w:tabs>
              <w:tab w:val="clear" w:pos="8176"/>
              <w:tab w:val="right" w:pos="9026" w:leader="dot"/>
            </w:tabs>
            <w:rPr/>
          </w:pPr>
          <w:hyperlink w:anchor="__RefHeading___Toc2087641_388300464">
            <w:r>
              <w:rPr>
                <w:webHidden/>
                <w:rStyle w:val="IndexLink"/>
                <w:rtl w:val="true"/>
              </w:rPr>
              <w:t>بالدفن حرمة نبش القبر</w:t>
            </w:r>
            <w:r>
              <w:rPr>
                <w:rStyle w:val="IndexLink"/>
                <w:rtl w:val="true"/>
              </w:rPr>
              <w:tab/>
            </w:r>
            <w:r>
              <w:rPr>
                <w:rStyle w:val="IndexLink"/>
              </w:rPr>
              <w:t>93</w:t>
            </w:r>
          </w:hyperlink>
        </w:p>
        <w:p>
          <w:pPr>
            <w:pStyle w:val="Contents4"/>
            <w:tabs>
              <w:tab w:val="clear" w:pos="8176"/>
              <w:tab w:val="right" w:pos="9026" w:leader="dot"/>
            </w:tabs>
            <w:rPr/>
          </w:pPr>
          <w:hyperlink w:anchor="__RefHeading___Toc2087643_388300464">
            <w:r>
              <w:rPr>
                <w:webHidden/>
                <w:rStyle w:val="IndexLink"/>
                <w:rtl w:val="true"/>
              </w:rPr>
              <w:t>حرمة شق الثوب علی غیر الأب والأخ</w:t>
            </w:r>
            <w:r>
              <w:rPr>
                <w:rStyle w:val="IndexLink"/>
                <w:rtl w:val="true"/>
              </w:rPr>
              <w:tab/>
            </w:r>
            <w:r>
              <w:rPr>
                <w:rStyle w:val="IndexLink"/>
              </w:rPr>
              <w:t>94</w:t>
            </w:r>
          </w:hyperlink>
        </w:p>
        <w:p>
          <w:pPr>
            <w:pStyle w:val="Contents4"/>
            <w:tabs>
              <w:tab w:val="clear" w:pos="8176"/>
              <w:tab w:val="right" w:pos="9026" w:leader="dot"/>
            </w:tabs>
            <w:rPr/>
          </w:pPr>
          <w:hyperlink w:anchor="__RefHeading___Toc2087645_388300464">
            <w:r>
              <w:rPr>
                <w:webHidden/>
                <w:rStyle w:val="IndexLink"/>
                <w:rtl w:val="true"/>
              </w:rPr>
              <w:t>حکم ما إذا ماتت الحامل دون الولد</w:t>
            </w:r>
            <w:r>
              <w:rPr>
                <w:rStyle w:val="IndexLink"/>
                <w:rtl w:val="true"/>
              </w:rPr>
              <w:tab/>
            </w:r>
            <w:r>
              <w:rPr>
                <w:rStyle w:val="IndexLink"/>
              </w:rPr>
              <w:t>94</w:t>
            </w:r>
          </w:hyperlink>
        </w:p>
        <w:p>
          <w:pPr>
            <w:pStyle w:val="Contents2"/>
            <w:tabs>
              <w:tab w:val="clear" w:pos="8743"/>
              <w:tab w:val="right" w:pos="9026" w:leader="dot"/>
            </w:tabs>
            <w:rPr/>
          </w:pPr>
          <w:hyperlink w:anchor="__RefHeading___Toc2087647_388300464">
            <w:r>
              <w:rPr>
                <w:webHidden/>
                <w:rStyle w:val="IndexLink"/>
                <w:rtl w:val="true"/>
              </w:rPr>
              <w:t>الأغسال المسنونة</w:t>
            </w:r>
            <w:r>
              <w:rPr>
                <w:rStyle w:val="IndexLink"/>
                <w:rtl w:val="true"/>
              </w:rPr>
              <w:tab/>
            </w:r>
            <w:r>
              <w:rPr>
                <w:rStyle w:val="IndexLink"/>
              </w:rPr>
              <w:t>94</w:t>
            </w:r>
          </w:hyperlink>
        </w:p>
        <w:p>
          <w:pPr>
            <w:pStyle w:val="Contents3"/>
            <w:tabs>
              <w:tab w:val="clear" w:pos="8459"/>
              <w:tab w:val="right" w:pos="9026" w:leader="dot"/>
            </w:tabs>
            <w:rPr/>
          </w:pPr>
          <w:hyperlink w:anchor="__RefHeading___Toc2087649_388300464">
            <w:r>
              <w:rPr>
                <w:webHidden/>
                <w:rStyle w:val="IndexLink"/>
                <w:rtl w:val="true"/>
              </w:rPr>
              <w:t>غسل الجمعة</w:t>
            </w:r>
            <w:r>
              <w:rPr>
                <w:rStyle w:val="IndexLink"/>
                <w:rtl w:val="true"/>
              </w:rPr>
              <w:tab/>
            </w:r>
            <w:r>
              <w:rPr>
                <w:rStyle w:val="IndexLink"/>
              </w:rPr>
              <w:t>94</w:t>
            </w:r>
          </w:hyperlink>
        </w:p>
        <w:p>
          <w:pPr>
            <w:pStyle w:val="Contents3"/>
            <w:tabs>
              <w:tab w:val="clear" w:pos="8459"/>
              <w:tab w:val="right" w:pos="9026" w:leader="dot"/>
            </w:tabs>
            <w:rPr/>
          </w:pPr>
          <w:hyperlink w:anchor="__RefHeading___Toc2087651_388300464">
            <w:r>
              <w:rPr>
                <w:webHidden/>
                <w:rStyle w:val="IndexLink"/>
                <w:rtl w:val="true"/>
              </w:rPr>
              <w:t xml:space="preserve">معنی قوله علیه السلام </w:t>
            </w:r>
            <w:r>
              <w:rPr>
                <w:rStyle w:val="IndexLink"/>
                <w:rtl w:val="true"/>
              </w:rPr>
              <w:t xml:space="preserve">: </w:t>
            </w:r>
            <w:r>
              <w:rPr>
                <w:rStyle w:val="IndexLink"/>
                <w:rtl w:val="true"/>
              </w:rPr>
              <w:t>غسل الجمعة سنة واجبة</w:t>
            </w:r>
            <w:r>
              <w:rPr>
                <w:rStyle w:val="IndexLink"/>
                <w:rtl w:val="true"/>
              </w:rPr>
              <w:tab/>
            </w:r>
            <w:r>
              <w:rPr>
                <w:rStyle w:val="IndexLink"/>
              </w:rPr>
              <w:t>94</w:t>
            </w:r>
          </w:hyperlink>
        </w:p>
        <w:p>
          <w:pPr>
            <w:pStyle w:val="Contents3"/>
            <w:tabs>
              <w:tab w:val="clear" w:pos="8459"/>
              <w:tab w:val="right" w:pos="9026" w:leader="dot"/>
            </w:tabs>
            <w:rPr/>
          </w:pPr>
          <w:hyperlink w:anchor="__RefHeading___Toc2087653_388300464">
            <w:r>
              <w:rPr>
                <w:webHidden/>
                <w:rStyle w:val="IndexLink"/>
                <w:rtl w:val="true"/>
              </w:rPr>
              <w:t>وقت غسل الجمعة</w:t>
            </w:r>
            <w:r>
              <w:rPr>
                <w:rStyle w:val="IndexLink"/>
                <w:rtl w:val="true"/>
              </w:rPr>
              <w:tab/>
            </w:r>
            <w:r>
              <w:rPr>
                <w:rStyle w:val="IndexLink"/>
              </w:rPr>
              <w:t>97</w:t>
            </w:r>
          </w:hyperlink>
        </w:p>
        <w:p>
          <w:pPr>
            <w:pStyle w:val="Contents3"/>
            <w:tabs>
              <w:tab w:val="clear" w:pos="8459"/>
              <w:tab w:val="right" w:pos="9026" w:leader="dot"/>
            </w:tabs>
            <w:rPr/>
          </w:pPr>
          <w:hyperlink w:anchor="__RefHeading___Toc2087655_388300464">
            <w:r>
              <w:rPr>
                <w:webHidden/>
                <w:rStyle w:val="IndexLink"/>
                <w:rtl w:val="true"/>
              </w:rPr>
              <w:t>جواز تقدیمه یوم الخمیس لمن خاف عوز الماء</w:t>
            </w:r>
            <w:r>
              <w:rPr>
                <w:rStyle w:val="IndexLink"/>
                <w:rtl w:val="true"/>
              </w:rPr>
              <w:tab/>
            </w:r>
            <w:r>
              <w:rPr>
                <w:rStyle w:val="IndexLink"/>
              </w:rPr>
              <w:t>97</w:t>
            </w:r>
          </w:hyperlink>
        </w:p>
        <w:p>
          <w:pPr>
            <w:pStyle w:val="Contents3"/>
            <w:tabs>
              <w:tab w:val="clear" w:pos="8459"/>
              <w:tab w:val="right" w:pos="9026" w:leader="dot"/>
            </w:tabs>
            <w:rPr/>
          </w:pPr>
          <w:hyperlink w:anchor="__RefHeading___Toc2087657_388300464">
            <w:r>
              <w:rPr>
                <w:webHidden/>
                <w:rStyle w:val="IndexLink"/>
                <w:rtl w:val="true"/>
              </w:rPr>
              <w:t>جواز قضائه یوم السبت</w:t>
            </w:r>
            <w:r>
              <w:rPr>
                <w:rStyle w:val="IndexLink"/>
                <w:rtl w:val="true"/>
              </w:rPr>
              <w:tab/>
            </w:r>
            <w:r>
              <w:rPr>
                <w:rStyle w:val="IndexLink"/>
              </w:rPr>
              <w:t>98</w:t>
            </w:r>
          </w:hyperlink>
        </w:p>
        <w:p>
          <w:pPr>
            <w:pStyle w:val="Contents3"/>
            <w:tabs>
              <w:tab w:val="clear" w:pos="8459"/>
              <w:tab w:val="right" w:pos="9026" w:leader="dot"/>
            </w:tabs>
            <w:rPr/>
          </w:pPr>
          <w:hyperlink w:anchor="__RefHeading___Toc2087659_388300464">
            <w:r>
              <w:rPr>
                <w:webHidden/>
                <w:rStyle w:val="IndexLink"/>
                <w:rtl w:val="true"/>
              </w:rPr>
              <w:t>غسل لیلة النصف من شهر مضان</w:t>
            </w:r>
            <w:r>
              <w:rPr>
                <w:rStyle w:val="IndexLink"/>
                <w:rtl w:val="true"/>
              </w:rPr>
              <w:tab/>
            </w:r>
            <w:r>
              <w:rPr>
                <w:rStyle w:val="IndexLink"/>
              </w:rPr>
              <w:t>98</w:t>
            </w:r>
          </w:hyperlink>
        </w:p>
        <w:p>
          <w:pPr>
            <w:pStyle w:val="Contents3"/>
            <w:tabs>
              <w:tab w:val="clear" w:pos="8459"/>
              <w:tab w:val="right" w:pos="9026" w:leader="dot"/>
            </w:tabs>
            <w:rPr/>
          </w:pPr>
          <w:hyperlink w:anchor="__RefHeading___Toc2087661_388300464">
            <w:r>
              <w:rPr>
                <w:webHidden/>
                <w:rStyle w:val="IndexLink"/>
                <w:rtl w:val="true"/>
              </w:rPr>
              <w:t>غسل لیالی فرادی شهر رمضان</w:t>
            </w:r>
            <w:r>
              <w:rPr>
                <w:rStyle w:val="IndexLink"/>
                <w:rtl w:val="true"/>
              </w:rPr>
              <w:tab/>
            </w:r>
            <w:r>
              <w:rPr>
                <w:rStyle w:val="IndexLink"/>
              </w:rPr>
              <w:t>98</w:t>
            </w:r>
          </w:hyperlink>
        </w:p>
        <w:p>
          <w:pPr>
            <w:pStyle w:val="Contents3"/>
            <w:tabs>
              <w:tab w:val="clear" w:pos="8459"/>
              <w:tab w:val="right" w:pos="9026" w:leader="dot"/>
            </w:tabs>
            <w:rPr/>
          </w:pPr>
          <w:hyperlink w:anchor="__RefHeading___Toc2087663_388300464">
            <w:r>
              <w:rPr>
                <w:webHidden/>
                <w:rStyle w:val="IndexLink"/>
                <w:rtl w:val="true"/>
              </w:rPr>
              <w:t>غسل الإحرام</w:t>
            </w:r>
            <w:r>
              <w:rPr>
                <w:rStyle w:val="IndexLink"/>
                <w:rtl w:val="true"/>
              </w:rPr>
              <w:tab/>
            </w:r>
            <w:r>
              <w:rPr>
                <w:rStyle w:val="IndexLink"/>
              </w:rPr>
              <w:t>98</w:t>
            </w:r>
          </w:hyperlink>
        </w:p>
        <w:p>
          <w:pPr>
            <w:pStyle w:val="Contents3"/>
            <w:tabs>
              <w:tab w:val="clear" w:pos="8459"/>
              <w:tab w:val="right" w:pos="9026" w:leader="dot"/>
            </w:tabs>
            <w:rPr/>
          </w:pPr>
          <w:hyperlink w:anchor="__RefHeading___Toc2087665_388300464">
            <w:r>
              <w:rPr>
                <w:webHidden/>
                <w:rStyle w:val="IndexLink"/>
                <w:rtl w:val="true"/>
              </w:rPr>
              <w:t>بحث رجالی حول محمّد بن عیسی</w:t>
            </w:r>
            <w:r>
              <w:rPr>
                <w:rStyle w:val="IndexLink"/>
                <w:rtl w:val="true"/>
              </w:rPr>
              <w:tab/>
            </w:r>
            <w:r>
              <w:rPr>
                <w:rStyle w:val="IndexLink"/>
              </w:rPr>
              <w:t>99</w:t>
            </w:r>
          </w:hyperlink>
        </w:p>
        <w:p>
          <w:pPr>
            <w:pStyle w:val="Contents3"/>
            <w:tabs>
              <w:tab w:val="clear" w:pos="8459"/>
              <w:tab w:val="right" w:pos="9026" w:leader="dot"/>
            </w:tabs>
            <w:rPr/>
          </w:pPr>
          <w:hyperlink w:anchor="__RefHeading___Toc2087667_388300464">
            <w:r>
              <w:rPr>
                <w:webHidden/>
                <w:rStyle w:val="IndexLink"/>
                <w:rtl w:val="true"/>
              </w:rPr>
              <w:t>غسل زیارة النبی صلی الله علیه و آله والأئمة علیهم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087669_388300464">
            <w:r>
              <w:rPr>
                <w:webHidden/>
                <w:rStyle w:val="IndexLink"/>
                <w:rtl w:val="true"/>
              </w:rPr>
              <w:t>غسل التوبة</w:t>
            </w:r>
            <w:r>
              <w:rPr>
                <w:rStyle w:val="IndexLink"/>
                <w:rtl w:val="true"/>
              </w:rPr>
              <w:tab/>
            </w:r>
            <w:r>
              <w:rPr>
                <w:rStyle w:val="IndexLink"/>
              </w:rPr>
              <w:t>99</w:t>
            </w:r>
          </w:hyperlink>
        </w:p>
        <w:p>
          <w:pPr>
            <w:pStyle w:val="Contents3"/>
            <w:tabs>
              <w:tab w:val="clear" w:pos="8459"/>
              <w:tab w:val="right" w:pos="9026" w:leader="dot"/>
            </w:tabs>
            <w:rPr/>
          </w:pPr>
          <w:hyperlink w:anchor="__RefHeading___Toc2087671_388300464">
            <w:r>
              <w:rPr>
                <w:webHidden/>
                <w:rStyle w:val="IndexLink"/>
                <w:rtl w:val="true"/>
              </w:rPr>
              <w:t>مسائل</w:t>
            </w:r>
            <w:r>
              <w:rPr>
                <w:rStyle w:val="IndexLink"/>
                <w:rtl w:val="true"/>
              </w:rPr>
              <w:tab/>
            </w:r>
            <w:r>
              <w:rPr>
                <w:rStyle w:val="IndexLink"/>
              </w:rPr>
              <w:t>100</w:t>
            </w:r>
          </w:hyperlink>
        </w:p>
        <w:p>
          <w:pPr>
            <w:pStyle w:val="Contents4"/>
            <w:tabs>
              <w:tab w:val="clear" w:pos="8176"/>
              <w:tab w:val="right" w:pos="9026" w:leader="dot"/>
            </w:tabs>
            <w:rPr/>
          </w:pPr>
          <w:hyperlink w:anchor="__RefHeading___Toc2087673_388300464">
            <w:r>
              <w:rPr>
                <w:webHidden/>
                <w:rStyle w:val="IndexLink"/>
                <w:rtl w:val="true"/>
              </w:rPr>
              <w:t>کلمة فی تداخل الأغسال</w:t>
            </w:r>
            <w:r>
              <w:rPr>
                <w:rStyle w:val="IndexLink"/>
                <w:rtl w:val="true"/>
              </w:rPr>
              <w:tab/>
            </w:r>
            <w:r>
              <w:rPr>
                <w:rStyle w:val="IndexLink"/>
              </w:rPr>
              <w:t>100</w:t>
            </w:r>
          </w:hyperlink>
        </w:p>
        <w:p>
          <w:pPr>
            <w:pStyle w:val="Contents4"/>
            <w:tabs>
              <w:tab w:val="clear" w:pos="8176"/>
              <w:tab w:val="right" w:pos="9026" w:leader="dot"/>
            </w:tabs>
            <w:rPr/>
          </w:pPr>
          <w:hyperlink w:anchor="__RefHeading___Toc2087675_388300464">
            <w:r>
              <w:rPr>
                <w:webHidden/>
                <w:rStyle w:val="IndexLink"/>
                <w:rtl w:val="true"/>
              </w:rPr>
              <w:t>حکم غسل السعی لرؤیة المصلوب</w:t>
            </w:r>
            <w:r>
              <w:rPr>
                <w:rStyle w:val="IndexLink"/>
                <w:rtl w:val="true"/>
              </w:rPr>
              <w:tab/>
            </w:r>
            <w:r>
              <w:rPr>
                <w:rStyle w:val="IndexLink"/>
              </w:rPr>
              <w:t>100</w:t>
            </w:r>
          </w:hyperlink>
        </w:p>
        <w:p>
          <w:pPr>
            <w:pStyle w:val="Contents4"/>
            <w:tabs>
              <w:tab w:val="clear" w:pos="8176"/>
              <w:tab w:val="right" w:pos="9026" w:leader="dot"/>
            </w:tabs>
            <w:rPr/>
          </w:pPr>
          <w:hyperlink w:anchor="__RefHeading___Toc2087677_388300464">
            <w:r>
              <w:rPr>
                <w:webHidden/>
                <w:rStyle w:val="IndexLink"/>
                <w:rtl w:val="true"/>
              </w:rPr>
              <w:t>حکم غسل المولود حین ولادته</w:t>
            </w:r>
            <w:r>
              <w:rPr>
                <w:rStyle w:val="IndexLink"/>
                <w:rtl w:val="true"/>
              </w:rPr>
              <w:tab/>
            </w:r>
            <w:r>
              <w:rPr>
                <w:rStyle w:val="IndexLink"/>
              </w:rPr>
              <w:t>100</w:t>
            </w:r>
          </w:hyperlink>
        </w:p>
        <w:p>
          <w:pPr>
            <w:pStyle w:val="Contents2"/>
            <w:tabs>
              <w:tab w:val="clear" w:pos="8743"/>
              <w:tab w:val="right" w:pos="9026" w:leader="dot"/>
            </w:tabs>
            <w:rPr/>
          </w:pPr>
          <w:hyperlink w:anchor="__RefHeading___Toc2087679_388300464">
            <w:r>
              <w:rPr>
                <w:webHidden/>
                <w:rStyle w:val="IndexLink"/>
                <w:rtl w:val="true"/>
              </w:rPr>
              <w:t>التیمم</w:t>
            </w:r>
            <w:r>
              <w:rPr>
                <w:rStyle w:val="IndexLink"/>
                <w:rtl w:val="true"/>
              </w:rPr>
              <w:tab/>
            </w:r>
            <w:r>
              <w:rPr>
                <w:rStyle w:val="IndexLink"/>
              </w:rPr>
              <w:t>100</w:t>
            </w:r>
          </w:hyperlink>
        </w:p>
        <w:p>
          <w:pPr>
            <w:pStyle w:val="Contents3"/>
            <w:tabs>
              <w:tab w:val="clear" w:pos="8459"/>
              <w:tab w:val="right" w:pos="9026" w:leader="dot"/>
            </w:tabs>
            <w:rPr/>
          </w:pPr>
          <w:hyperlink w:anchor="__RefHeading___Toc2087681_388300464">
            <w:r>
              <w:rPr>
                <w:webHidden/>
                <w:rStyle w:val="IndexLink"/>
                <w:rtl w:val="true"/>
              </w:rPr>
              <w:t>مسوغات التیمم</w:t>
            </w:r>
            <w:r>
              <w:rPr>
                <w:rStyle w:val="IndexLink"/>
                <w:rtl w:val="true"/>
              </w:rPr>
              <w:tab/>
            </w:r>
            <w:r>
              <w:rPr>
                <w:rStyle w:val="IndexLink"/>
              </w:rPr>
              <w:t>100</w:t>
            </w:r>
          </w:hyperlink>
        </w:p>
        <w:p>
          <w:pPr>
            <w:pStyle w:val="Contents4"/>
            <w:tabs>
              <w:tab w:val="clear" w:pos="8176"/>
              <w:tab w:val="right" w:pos="9026" w:leader="dot"/>
            </w:tabs>
            <w:rPr/>
          </w:pPr>
          <w:hyperlink w:anchor="__RefHeading___Toc2087683_388300464">
            <w:r>
              <w:rPr>
                <w:webHidden/>
                <w:rStyle w:val="IndexLink"/>
                <w:rtl w:val="true"/>
              </w:rPr>
              <w:t>عدم وجدان الماء</w:t>
            </w:r>
            <w:r>
              <w:rPr>
                <w:rStyle w:val="IndexLink"/>
                <w:rtl w:val="true"/>
              </w:rPr>
              <w:tab/>
            </w:r>
            <w:r>
              <w:rPr>
                <w:rStyle w:val="IndexLink"/>
              </w:rPr>
              <w:t>100</w:t>
            </w:r>
          </w:hyperlink>
        </w:p>
        <w:p>
          <w:pPr>
            <w:pStyle w:val="Contents4"/>
            <w:tabs>
              <w:tab w:val="clear" w:pos="8176"/>
              <w:tab w:val="right" w:pos="9026" w:leader="dot"/>
            </w:tabs>
            <w:rPr/>
          </w:pPr>
          <w:hyperlink w:anchor="__RefHeading___Toc2087685_388300464">
            <w:r>
              <w:rPr>
                <w:webHidden/>
                <w:rStyle w:val="IndexLink"/>
                <w:rtl w:val="true"/>
              </w:rPr>
              <w:t>وجوب طلب الماء ومقداره</w:t>
            </w:r>
            <w:r>
              <w:rPr>
                <w:rStyle w:val="IndexLink"/>
                <w:rtl w:val="true"/>
              </w:rPr>
              <w:tab/>
            </w:r>
            <w:r>
              <w:rPr>
                <w:rStyle w:val="IndexLink"/>
              </w:rPr>
              <w:t>101</w:t>
            </w:r>
          </w:hyperlink>
        </w:p>
        <w:p>
          <w:pPr>
            <w:pStyle w:val="Contents4"/>
            <w:tabs>
              <w:tab w:val="clear" w:pos="8176"/>
              <w:tab w:val="right" w:pos="9026" w:leader="dot"/>
            </w:tabs>
            <w:rPr/>
          </w:pPr>
          <w:hyperlink w:anchor="__RefHeading___Toc2087687_388300464">
            <w:r>
              <w:rPr>
                <w:webHidden/>
                <w:rStyle w:val="IndexLink"/>
                <w:rtl w:val="true"/>
              </w:rPr>
              <w:t>بحث رجالی حول السکونی</w:t>
            </w:r>
            <w:r>
              <w:rPr>
                <w:rStyle w:val="IndexLink"/>
                <w:rtl w:val="true"/>
              </w:rPr>
              <w:tab/>
            </w:r>
            <w:r>
              <w:rPr>
                <w:rStyle w:val="IndexLink"/>
              </w:rPr>
              <w:t>101</w:t>
            </w:r>
          </w:hyperlink>
        </w:p>
        <w:p>
          <w:pPr>
            <w:pStyle w:val="Contents4"/>
            <w:tabs>
              <w:tab w:val="clear" w:pos="8176"/>
              <w:tab w:val="right" w:pos="9026" w:leader="dot"/>
            </w:tabs>
            <w:rPr/>
          </w:pPr>
          <w:hyperlink w:anchor="__RefHeading___Toc2087689_388300464">
            <w:r>
              <w:rPr>
                <w:webHidden/>
                <w:rStyle w:val="IndexLink"/>
                <w:rtl w:val="true"/>
              </w:rPr>
              <w:t>حکم من أخل بالطلب</w:t>
            </w:r>
            <w:r>
              <w:rPr>
                <w:rStyle w:val="IndexLink"/>
                <w:rtl w:val="true"/>
              </w:rPr>
              <w:tab/>
            </w:r>
            <w:r>
              <w:rPr>
                <w:rStyle w:val="IndexLink"/>
              </w:rPr>
              <w:t>103</w:t>
            </w:r>
          </w:hyperlink>
        </w:p>
        <w:p>
          <w:pPr>
            <w:pStyle w:val="Contents4"/>
            <w:tabs>
              <w:tab w:val="clear" w:pos="8176"/>
              <w:tab w:val="right" w:pos="9026" w:leader="dot"/>
            </w:tabs>
            <w:rPr/>
          </w:pPr>
          <w:hyperlink w:anchor="__RefHeading___Toc2087691_388300464">
            <w:r>
              <w:rPr>
                <w:webHidden/>
                <w:rStyle w:val="IndexLink"/>
                <w:rtl w:val="true"/>
              </w:rPr>
              <w:t>عدم الوصول إلی الماء</w:t>
            </w:r>
            <w:r>
              <w:rPr>
                <w:rStyle w:val="IndexLink"/>
                <w:rtl w:val="true"/>
              </w:rPr>
              <w:tab/>
            </w:r>
            <w:r>
              <w:rPr>
                <w:rStyle w:val="IndexLink"/>
              </w:rPr>
              <w:t>106</w:t>
            </w:r>
          </w:hyperlink>
        </w:p>
        <w:p>
          <w:pPr>
            <w:pStyle w:val="Contents4"/>
            <w:tabs>
              <w:tab w:val="clear" w:pos="8176"/>
              <w:tab w:val="right" w:pos="9026" w:leader="dot"/>
            </w:tabs>
            <w:rPr/>
          </w:pPr>
          <w:hyperlink w:anchor="__RefHeading___Toc2087693_388300464">
            <w:r>
              <w:rPr>
                <w:webHidden/>
                <w:rStyle w:val="IndexLink"/>
                <w:rtl w:val="true"/>
              </w:rPr>
              <w:t>عدم وجوب شراء الماء إذا أضرّ فی الحال</w:t>
            </w:r>
            <w:r>
              <w:rPr>
                <w:rStyle w:val="IndexLink"/>
                <w:rtl w:val="true"/>
              </w:rPr>
              <w:tab/>
            </w:r>
            <w:r>
              <w:rPr>
                <w:rStyle w:val="IndexLink"/>
              </w:rPr>
              <w:t>106</w:t>
            </w:r>
          </w:hyperlink>
        </w:p>
        <w:p>
          <w:pPr>
            <w:pStyle w:val="Contents4"/>
            <w:tabs>
              <w:tab w:val="clear" w:pos="8176"/>
              <w:tab w:val="right" w:pos="9026" w:leader="dot"/>
            </w:tabs>
            <w:rPr/>
          </w:pPr>
          <w:hyperlink w:anchor="__RefHeading___Toc2087695_388300464">
            <w:r>
              <w:rPr>
                <w:webHidden/>
                <w:rStyle w:val="IndexLink"/>
                <w:rtl w:val="true"/>
              </w:rPr>
              <w:t>الخوف</w:t>
            </w:r>
            <w:r>
              <w:rPr>
                <w:rStyle w:val="IndexLink"/>
                <w:rtl w:val="true"/>
              </w:rPr>
              <w:tab/>
            </w:r>
            <w:r>
              <w:rPr>
                <w:rStyle w:val="IndexLink"/>
              </w:rPr>
              <w:t>107</w:t>
            </w:r>
          </w:hyperlink>
        </w:p>
        <w:p>
          <w:pPr>
            <w:pStyle w:val="Contents4"/>
            <w:tabs>
              <w:tab w:val="clear" w:pos="8176"/>
              <w:tab w:val="right" w:pos="9026" w:leader="dot"/>
            </w:tabs>
            <w:rPr/>
          </w:pPr>
          <w:hyperlink w:anchor="__RefHeading___Toc2087697_388300464">
            <w:r>
              <w:rPr>
                <w:webHidden/>
                <w:rStyle w:val="IndexLink"/>
                <w:rtl w:val="true"/>
              </w:rPr>
              <w:t>الخوف من اللص والسبع أو ضیاع المال</w:t>
            </w:r>
            <w:r>
              <w:rPr>
                <w:rStyle w:val="IndexLink"/>
                <w:rtl w:val="true"/>
              </w:rPr>
              <w:tab/>
            </w:r>
            <w:r>
              <w:rPr>
                <w:rStyle w:val="IndexLink"/>
              </w:rPr>
              <w:t>107</w:t>
            </w:r>
          </w:hyperlink>
        </w:p>
        <w:p>
          <w:pPr>
            <w:pStyle w:val="Contents4"/>
            <w:tabs>
              <w:tab w:val="clear" w:pos="8176"/>
              <w:tab w:val="right" w:pos="9026" w:leader="dot"/>
            </w:tabs>
            <w:rPr/>
          </w:pPr>
          <w:hyperlink w:anchor="__RefHeading___Toc2087699_388300464">
            <w:r>
              <w:rPr>
                <w:webHidden/>
                <w:rStyle w:val="IndexLink"/>
                <w:rtl w:val="true"/>
              </w:rPr>
              <w:t>جواز التیمم مع خوف المرض</w:t>
            </w:r>
            <w:r>
              <w:rPr>
                <w:rStyle w:val="IndexLink"/>
                <w:rtl w:val="true"/>
              </w:rPr>
              <w:tab/>
            </w:r>
            <w:r>
              <w:rPr>
                <w:rStyle w:val="IndexLink"/>
              </w:rPr>
              <w:t>107</w:t>
            </w:r>
          </w:hyperlink>
        </w:p>
        <w:p>
          <w:pPr>
            <w:pStyle w:val="Contents4"/>
            <w:tabs>
              <w:tab w:val="clear" w:pos="8176"/>
              <w:tab w:val="right" w:pos="9026" w:leader="dot"/>
            </w:tabs>
            <w:rPr/>
          </w:pPr>
          <w:hyperlink w:anchor="__RefHeading___Toc2087701_388300464">
            <w:r>
              <w:rPr>
                <w:webHidden/>
                <w:rStyle w:val="IndexLink"/>
                <w:rtl w:val="true"/>
              </w:rPr>
              <w:t>حکم الجنب المختار لو خاف بالغسل التلف أو الزیادة فی المرض</w:t>
            </w:r>
            <w:r>
              <w:rPr>
                <w:rStyle w:val="IndexLink"/>
                <w:rtl w:val="true"/>
              </w:rPr>
              <w:tab/>
            </w:r>
            <w:r>
              <w:rPr>
                <w:rStyle w:val="IndexLink"/>
              </w:rPr>
              <w:t>108</w:t>
            </w:r>
          </w:hyperlink>
        </w:p>
        <w:p>
          <w:pPr>
            <w:pStyle w:val="Contents4"/>
            <w:tabs>
              <w:tab w:val="clear" w:pos="8176"/>
              <w:tab w:val="right" w:pos="9026" w:leader="dot"/>
            </w:tabs>
            <w:rPr/>
          </w:pPr>
          <w:hyperlink w:anchor="__RefHeading___Toc2087703_388300464">
            <w:r>
              <w:rPr>
                <w:webHidden/>
                <w:rStyle w:val="IndexLink"/>
                <w:rtl w:val="true"/>
              </w:rPr>
              <w:t>جواز التیمم مع خوف الشین</w:t>
            </w:r>
            <w:r>
              <w:rPr>
                <w:rStyle w:val="IndexLink"/>
                <w:rtl w:val="true"/>
              </w:rPr>
              <w:tab/>
            </w:r>
            <w:r>
              <w:rPr>
                <w:rStyle w:val="IndexLink"/>
              </w:rPr>
              <w:t>109</w:t>
            </w:r>
          </w:hyperlink>
        </w:p>
        <w:p>
          <w:pPr>
            <w:pStyle w:val="Contents4"/>
            <w:tabs>
              <w:tab w:val="clear" w:pos="8176"/>
              <w:tab w:val="right" w:pos="9026" w:leader="dot"/>
            </w:tabs>
            <w:rPr/>
          </w:pPr>
          <w:hyperlink w:anchor="__RefHeading___Toc2087705_388300464">
            <w:r>
              <w:rPr>
                <w:webHidden/>
                <w:rStyle w:val="IndexLink"/>
                <w:rtl w:val="true"/>
              </w:rPr>
              <w:t>جواز التیمم مع خوف العطش علی رفیقه أو دوابّه</w:t>
            </w:r>
            <w:r>
              <w:rPr>
                <w:rStyle w:val="IndexLink"/>
                <w:rtl w:val="true"/>
              </w:rPr>
              <w:tab/>
            </w:r>
            <w:r>
              <w:rPr>
                <w:rStyle w:val="IndexLink"/>
              </w:rPr>
              <w:t>109</w:t>
            </w:r>
          </w:hyperlink>
        </w:p>
        <w:p>
          <w:pPr>
            <w:pStyle w:val="Contents3"/>
            <w:tabs>
              <w:tab w:val="clear" w:pos="8459"/>
              <w:tab w:val="right" w:pos="9026" w:leader="dot"/>
            </w:tabs>
            <w:rPr/>
          </w:pPr>
          <w:hyperlink w:anchor="__RefHeading___Toc2087707_388300464">
            <w:r>
              <w:rPr>
                <w:webHidden/>
                <w:rStyle w:val="IndexLink"/>
                <w:rtl w:val="true"/>
              </w:rPr>
              <w:t>ما یجوز التیمم به</w:t>
            </w:r>
            <w:r>
              <w:rPr>
                <w:rStyle w:val="IndexLink"/>
                <w:rtl w:val="true"/>
              </w:rPr>
              <w:tab/>
            </w:r>
            <w:r>
              <w:rPr>
                <w:rStyle w:val="IndexLink"/>
              </w:rPr>
              <w:t>109</w:t>
            </w:r>
          </w:hyperlink>
        </w:p>
        <w:p>
          <w:pPr>
            <w:pStyle w:val="Contents4"/>
            <w:tabs>
              <w:tab w:val="clear" w:pos="8176"/>
              <w:tab w:val="right" w:pos="9026" w:leader="dot"/>
            </w:tabs>
            <w:rPr/>
          </w:pPr>
          <w:hyperlink w:anchor="__RefHeading___Toc2087709_388300464">
            <w:r>
              <w:rPr>
                <w:webHidden/>
                <w:rStyle w:val="IndexLink"/>
                <w:rtl w:val="true"/>
              </w:rPr>
              <w:t>بحث لغوی فی معنی الصعید</w:t>
            </w:r>
            <w:r>
              <w:rPr>
                <w:rStyle w:val="IndexLink"/>
                <w:rtl w:val="true"/>
              </w:rPr>
              <w:tab/>
            </w:r>
            <w:r>
              <w:rPr>
                <w:rStyle w:val="IndexLink"/>
              </w:rPr>
              <w:t>109</w:t>
            </w:r>
          </w:hyperlink>
        </w:p>
        <w:p>
          <w:pPr>
            <w:pStyle w:val="Contents4"/>
            <w:tabs>
              <w:tab w:val="clear" w:pos="8176"/>
              <w:tab w:val="right" w:pos="9026" w:leader="dot"/>
            </w:tabs>
            <w:rPr/>
          </w:pPr>
          <w:hyperlink w:anchor="__RefHeading___Toc2087711_388300464">
            <w:r>
              <w:rPr>
                <w:webHidden/>
                <w:rStyle w:val="IndexLink"/>
                <w:rtl w:val="true"/>
              </w:rPr>
              <w:t>حکم التیمم بغیر التراب</w:t>
            </w:r>
            <w:r>
              <w:rPr>
                <w:rStyle w:val="IndexLink"/>
                <w:rtl w:val="true"/>
              </w:rPr>
              <w:tab/>
            </w:r>
            <w:r>
              <w:rPr>
                <w:rStyle w:val="IndexLink"/>
              </w:rPr>
              <w:t>112</w:t>
            </w:r>
          </w:hyperlink>
        </w:p>
        <w:p>
          <w:pPr>
            <w:pStyle w:val="Contents4"/>
            <w:tabs>
              <w:tab w:val="clear" w:pos="8176"/>
              <w:tab w:val="right" w:pos="9026" w:leader="dot"/>
            </w:tabs>
            <w:rPr/>
          </w:pPr>
          <w:hyperlink w:anchor="__RefHeading___Toc2087713_388300464">
            <w:r>
              <w:rPr>
                <w:webHidden/>
                <w:rStyle w:val="IndexLink"/>
                <w:rtl w:val="true"/>
              </w:rPr>
              <w:t>حکم التیمم بالمعادن</w:t>
            </w:r>
            <w:r>
              <w:rPr>
                <w:rStyle w:val="IndexLink"/>
                <w:rtl w:val="true"/>
              </w:rPr>
              <w:tab/>
            </w:r>
            <w:r>
              <w:rPr>
                <w:rStyle w:val="IndexLink"/>
              </w:rPr>
              <w:t>113</w:t>
            </w:r>
          </w:hyperlink>
        </w:p>
        <w:p>
          <w:pPr>
            <w:pStyle w:val="Contents4"/>
            <w:tabs>
              <w:tab w:val="clear" w:pos="8176"/>
              <w:tab w:val="right" w:pos="9026" w:leader="dot"/>
            </w:tabs>
            <w:rPr/>
          </w:pPr>
          <w:hyperlink w:anchor="__RefHeading___Toc2087715_388300464">
            <w:r>
              <w:rPr>
                <w:webHidden/>
                <w:rStyle w:val="IndexLink"/>
                <w:rtl w:val="true"/>
              </w:rPr>
              <w:t>جواز التیمم بالحجر عند فقد التراب</w:t>
            </w:r>
            <w:r>
              <w:rPr>
                <w:rStyle w:val="IndexLink"/>
                <w:rtl w:val="true"/>
              </w:rPr>
              <w:tab/>
            </w:r>
            <w:r>
              <w:rPr>
                <w:rStyle w:val="IndexLink"/>
              </w:rPr>
              <w:t>114</w:t>
            </w:r>
          </w:hyperlink>
        </w:p>
        <w:p>
          <w:pPr>
            <w:pStyle w:val="Contents4"/>
            <w:tabs>
              <w:tab w:val="clear" w:pos="8176"/>
              <w:tab w:val="right" w:pos="9026" w:leader="dot"/>
            </w:tabs>
            <w:rPr/>
          </w:pPr>
          <w:hyperlink w:anchor="__RefHeading___Toc2087717_388300464">
            <w:r>
              <w:rPr>
                <w:webHidden/>
                <w:rStyle w:val="IndexLink"/>
                <w:rtl w:val="true"/>
              </w:rPr>
              <w:t>بحث فی أنّ إطلاق لفظ الأرض علی التراب یکون من قبیل إطلاق الکلی علی الفرد</w:t>
            </w:r>
            <w:r>
              <w:rPr>
                <w:rStyle w:val="IndexLink"/>
                <w:rtl w:val="true"/>
              </w:rPr>
              <w:tab/>
            </w:r>
            <w:r>
              <w:rPr>
                <w:rStyle w:val="IndexLink"/>
              </w:rPr>
              <w:t>116</w:t>
            </w:r>
          </w:hyperlink>
        </w:p>
        <w:p>
          <w:pPr>
            <w:pStyle w:val="Contents4"/>
            <w:tabs>
              <w:tab w:val="clear" w:pos="8176"/>
              <w:tab w:val="right" w:pos="9026" w:leader="dot"/>
            </w:tabs>
            <w:rPr/>
          </w:pPr>
          <w:hyperlink w:anchor="__RefHeading___Toc2087719_388300464">
            <w:r>
              <w:rPr>
                <w:webHidden/>
                <w:rStyle w:val="IndexLink"/>
                <w:rtl w:val="true"/>
              </w:rPr>
              <w:t>دلیل ما قاله السیّد المرتضی من أنّه لا یجزئ فی التیمم إلاّ التراب الخالص</w:t>
            </w:r>
            <w:r>
              <w:rPr>
                <w:rStyle w:val="IndexLink"/>
                <w:rtl w:val="true"/>
              </w:rPr>
              <w:tab/>
            </w:r>
            <w:r>
              <w:rPr>
                <w:rStyle w:val="IndexLink"/>
              </w:rPr>
              <w:t>117</w:t>
            </w:r>
          </w:hyperlink>
        </w:p>
        <w:p>
          <w:pPr>
            <w:pStyle w:val="Contents4"/>
            <w:tabs>
              <w:tab w:val="clear" w:pos="8176"/>
              <w:tab w:val="right" w:pos="9026" w:leader="dot"/>
            </w:tabs>
            <w:rPr/>
          </w:pPr>
          <w:hyperlink w:anchor="__RefHeading___Toc2087721_388300464">
            <w:r>
              <w:rPr>
                <w:webHidden/>
                <w:rStyle w:val="IndexLink"/>
                <w:rtl w:val="true"/>
              </w:rPr>
              <w:t>جواز التیمم بأرض الجصّ والنورة</w:t>
            </w:r>
            <w:r>
              <w:rPr>
                <w:rStyle w:val="IndexLink"/>
                <w:rtl w:val="true"/>
              </w:rPr>
              <w:tab/>
            </w:r>
            <w:r>
              <w:rPr>
                <w:rStyle w:val="IndexLink"/>
              </w:rPr>
              <w:t>120</w:t>
            </w:r>
          </w:hyperlink>
        </w:p>
        <w:p>
          <w:pPr>
            <w:pStyle w:val="Contents4"/>
            <w:tabs>
              <w:tab w:val="clear" w:pos="8176"/>
              <w:tab w:val="right" w:pos="9026" w:leader="dot"/>
            </w:tabs>
            <w:rPr/>
          </w:pPr>
          <w:hyperlink w:anchor="__RefHeading___Toc2087723_388300464">
            <w:r>
              <w:rPr>
                <w:webHidden/>
                <w:rStyle w:val="IndexLink"/>
                <w:rtl w:val="true"/>
              </w:rPr>
              <w:t>حکم التیمم بالخزف</w:t>
            </w:r>
            <w:r>
              <w:rPr>
                <w:rStyle w:val="IndexLink"/>
                <w:rtl w:val="true"/>
              </w:rPr>
              <w:tab/>
            </w:r>
            <w:r>
              <w:rPr>
                <w:rStyle w:val="IndexLink"/>
              </w:rPr>
              <w:t>123</w:t>
            </w:r>
          </w:hyperlink>
        </w:p>
        <w:p>
          <w:pPr>
            <w:pStyle w:val="Contents4"/>
            <w:tabs>
              <w:tab w:val="clear" w:pos="8176"/>
              <w:tab w:val="right" w:pos="9026" w:leader="dot"/>
            </w:tabs>
            <w:rPr/>
          </w:pPr>
          <w:hyperlink w:anchor="__RefHeading___Toc2087725_388300464">
            <w:r>
              <w:rPr>
                <w:webHidden/>
                <w:rStyle w:val="IndexLink"/>
                <w:rtl w:val="true"/>
              </w:rPr>
              <w:t>حکم التیمم فی المکان المغصوب</w:t>
            </w:r>
            <w:r>
              <w:rPr>
                <w:rStyle w:val="IndexLink"/>
                <w:rtl w:val="true"/>
              </w:rPr>
              <w:tab/>
            </w:r>
            <w:r>
              <w:rPr>
                <w:rStyle w:val="IndexLink"/>
              </w:rPr>
              <w:t>123</w:t>
            </w:r>
          </w:hyperlink>
        </w:p>
        <w:p>
          <w:pPr>
            <w:pStyle w:val="Contents4"/>
            <w:tabs>
              <w:tab w:val="clear" w:pos="8176"/>
              <w:tab w:val="right" w:pos="9026" w:leader="dot"/>
            </w:tabs>
            <w:rPr/>
          </w:pPr>
          <w:hyperlink w:anchor="__RefHeading___Toc2087727_388300464">
            <w:r>
              <w:rPr>
                <w:webHidden/>
                <w:rStyle w:val="IndexLink"/>
                <w:rtl w:val="true"/>
              </w:rPr>
              <w:t>عدم صحة التیمم بالوحل مع وجود التراب</w:t>
            </w:r>
            <w:r>
              <w:rPr>
                <w:rStyle w:val="IndexLink"/>
                <w:rtl w:val="true"/>
              </w:rPr>
              <w:tab/>
            </w:r>
            <w:r>
              <w:rPr>
                <w:rStyle w:val="IndexLink"/>
              </w:rPr>
              <w:t>123</w:t>
            </w:r>
          </w:hyperlink>
        </w:p>
        <w:p>
          <w:pPr>
            <w:pStyle w:val="Contents4"/>
            <w:tabs>
              <w:tab w:val="clear" w:pos="8176"/>
              <w:tab w:val="right" w:pos="9026" w:leader="dot"/>
            </w:tabs>
            <w:rPr/>
          </w:pPr>
          <w:hyperlink w:anchor="__RefHeading___Toc2087729_388300464">
            <w:r>
              <w:rPr>
                <w:webHidden/>
                <w:rStyle w:val="IndexLink"/>
                <w:rtl w:val="true"/>
              </w:rPr>
              <w:t>کراهة التیمم بالأرض السبخة</w:t>
            </w:r>
            <w:r>
              <w:rPr>
                <w:rStyle w:val="IndexLink"/>
                <w:rtl w:val="true"/>
              </w:rPr>
              <w:tab/>
            </w:r>
            <w:r>
              <w:rPr>
                <w:rStyle w:val="IndexLink"/>
              </w:rPr>
              <w:t>124</w:t>
            </w:r>
          </w:hyperlink>
        </w:p>
        <w:p>
          <w:pPr>
            <w:pStyle w:val="Contents4"/>
            <w:tabs>
              <w:tab w:val="clear" w:pos="8176"/>
              <w:tab w:val="right" w:pos="9026" w:leader="dot"/>
            </w:tabs>
            <w:rPr/>
          </w:pPr>
          <w:hyperlink w:anchor="__RefHeading___Toc2087731_388300464">
            <w:r>
              <w:rPr>
                <w:webHidden/>
                <w:rStyle w:val="IndexLink"/>
                <w:rtl w:val="true"/>
              </w:rPr>
              <w:t>استحباب التیمم من ربا الأرض</w:t>
            </w:r>
            <w:r>
              <w:rPr>
                <w:rStyle w:val="IndexLink"/>
                <w:rtl w:val="true"/>
              </w:rPr>
              <w:tab/>
            </w:r>
            <w:r>
              <w:rPr>
                <w:rStyle w:val="IndexLink"/>
              </w:rPr>
              <w:t>125</w:t>
            </w:r>
          </w:hyperlink>
        </w:p>
        <w:p>
          <w:pPr>
            <w:pStyle w:val="Contents4"/>
            <w:tabs>
              <w:tab w:val="clear" w:pos="8176"/>
              <w:tab w:val="right" w:pos="9026" w:leader="dot"/>
            </w:tabs>
            <w:rPr/>
          </w:pPr>
          <w:hyperlink w:anchor="__RefHeading___Toc2087733_388300464">
            <w:r>
              <w:rPr>
                <w:webHidden/>
                <w:rStyle w:val="IndexLink"/>
                <w:rtl w:val="true"/>
              </w:rPr>
              <w:t>جواز التیمم بغبار الثوب أو لبد السرج عند فقد التراب</w:t>
            </w:r>
            <w:r>
              <w:rPr>
                <w:rStyle w:val="IndexLink"/>
                <w:rtl w:val="true"/>
              </w:rPr>
              <w:tab/>
            </w:r>
            <w:r>
              <w:rPr>
                <w:rStyle w:val="IndexLink"/>
              </w:rPr>
              <w:t>125</w:t>
            </w:r>
          </w:hyperlink>
        </w:p>
        <w:p>
          <w:pPr>
            <w:pStyle w:val="Contents4"/>
            <w:tabs>
              <w:tab w:val="clear" w:pos="8176"/>
              <w:tab w:val="right" w:pos="9026" w:leader="dot"/>
            </w:tabs>
            <w:rPr/>
          </w:pPr>
          <w:hyperlink w:anchor="__RefHeading___Toc2087735_388300464">
            <w:r>
              <w:rPr>
                <w:webHidden/>
                <w:rStyle w:val="IndexLink"/>
                <w:rtl w:val="true"/>
              </w:rPr>
              <w:t>إشارة إلی أنّ أبا بصیر مشترک بین الثقات</w:t>
            </w:r>
            <w:r>
              <w:rPr>
                <w:rStyle w:val="IndexLink"/>
                <w:rtl w:val="true"/>
              </w:rPr>
              <w:tab/>
            </w:r>
            <w:r>
              <w:rPr>
                <w:rStyle w:val="IndexLink"/>
              </w:rPr>
              <w:t>125</w:t>
            </w:r>
          </w:hyperlink>
        </w:p>
        <w:p>
          <w:pPr>
            <w:pStyle w:val="Contents4"/>
            <w:tabs>
              <w:tab w:val="clear" w:pos="8176"/>
              <w:tab w:val="right" w:pos="9026" w:leader="dot"/>
            </w:tabs>
            <w:rPr/>
          </w:pPr>
          <w:hyperlink w:anchor="__RefHeading___Toc2087737_388300464">
            <w:r>
              <w:rPr>
                <w:webHidden/>
                <w:rStyle w:val="IndexLink"/>
                <w:rtl w:val="true"/>
              </w:rPr>
              <w:t>دلیل السیّد المرتضی بجواز التیمم بالثلج والمناقشة فیه</w:t>
            </w:r>
            <w:r>
              <w:rPr>
                <w:rStyle w:val="IndexLink"/>
                <w:rtl w:val="true"/>
              </w:rPr>
              <w:tab/>
            </w:r>
            <w:r>
              <w:rPr>
                <w:rStyle w:val="IndexLink"/>
              </w:rPr>
              <w:t>127</w:t>
            </w:r>
          </w:hyperlink>
        </w:p>
        <w:p>
          <w:pPr>
            <w:pStyle w:val="Contents3"/>
            <w:tabs>
              <w:tab w:val="clear" w:pos="8459"/>
              <w:tab w:val="right" w:pos="9026" w:leader="dot"/>
            </w:tabs>
            <w:rPr/>
          </w:pPr>
          <w:hyperlink w:anchor="__RefHeading___Toc2087739_388300464">
            <w:r>
              <w:rPr>
                <w:webHidden/>
                <w:rStyle w:val="IndexLink"/>
                <w:rtl w:val="true"/>
              </w:rPr>
              <w:t>کیفیة التیمم</w:t>
            </w:r>
            <w:r>
              <w:rPr>
                <w:rStyle w:val="IndexLink"/>
                <w:rtl w:val="true"/>
              </w:rPr>
              <w:tab/>
            </w:r>
            <w:r>
              <w:rPr>
                <w:rStyle w:val="IndexLink"/>
              </w:rPr>
              <w:t>128</w:t>
            </w:r>
          </w:hyperlink>
        </w:p>
        <w:p>
          <w:pPr>
            <w:pStyle w:val="Contents4"/>
            <w:tabs>
              <w:tab w:val="clear" w:pos="8176"/>
              <w:tab w:val="right" w:pos="9026" w:leader="dot"/>
            </w:tabs>
            <w:rPr/>
          </w:pPr>
          <w:hyperlink w:anchor="__RefHeading___Toc2087741_388300464">
            <w:r>
              <w:rPr>
                <w:webHidden/>
                <w:rStyle w:val="IndexLink"/>
                <w:rtl w:val="true"/>
              </w:rPr>
              <w:t>وقت التیمم</w:t>
            </w:r>
            <w:r>
              <w:rPr>
                <w:rStyle w:val="IndexLink"/>
                <w:rtl w:val="true"/>
              </w:rPr>
              <w:tab/>
            </w:r>
            <w:r>
              <w:rPr>
                <w:rStyle w:val="IndexLink"/>
              </w:rPr>
              <w:t>128</w:t>
            </w:r>
          </w:hyperlink>
        </w:p>
        <w:p>
          <w:pPr>
            <w:pStyle w:val="Contents4"/>
            <w:tabs>
              <w:tab w:val="clear" w:pos="8176"/>
              <w:tab w:val="right" w:pos="9026" w:leader="dot"/>
            </w:tabs>
            <w:rPr/>
          </w:pPr>
          <w:hyperlink w:anchor="__RefHeading___Toc2087743_388300464">
            <w:r>
              <w:rPr>
                <w:webHidden/>
                <w:rStyle w:val="IndexLink"/>
                <w:rtl w:val="true"/>
              </w:rPr>
              <w:t>تحقیق فی الاجماع المنقول</w:t>
            </w:r>
            <w:r>
              <w:rPr>
                <w:rStyle w:val="IndexLink"/>
                <w:rtl w:val="true"/>
              </w:rPr>
              <w:tab/>
            </w:r>
            <w:r>
              <w:rPr>
                <w:rStyle w:val="IndexLink"/>
              </w:rPr>
              <w:t>129</w:t>
            </w:r>
          </w:hyperlink>
        </w:p>
        <w:p>
          <w:pPr>
            <w:pStyle w:val="Contents4"/>
            <w:tabs>
              <w:tab w:val="clear" w:pos="8176"/>
              <w:tab w:val="right" w:pos="9026" w:leader="dot"/>
            </w:tabs>
            <w:rPr/>
          </w:pPr>
          <w:hyperlink w:anchor="__RefHeading___Toc2087745_388300464">
            <w:r>
              <w:rPr>
                <w:webHidden/>
                <w:rStyle w:val="IndexLink"/>
                <w:rtl w:val="true"/>
              </w:rPr>
              <w:t xml:space="preserve">أدلّة القائلین بوجوب تأخیر التیمم </w:t>
            </w:r>
            <w:r>
              <w:rPr>
                <w:rStyle w:val="IndexLink"/>
                <w:rtl w:val="true"/>
              </w:rPr>
              <w:t xml:space="preserve">... </w:t>
            </w:r>
            <w:r>
              <w:rPr>
                <w:rStyle w:val="IndexLink"/>
                <w:rtl w:val="true"/>
              </w:rPr>
              <w:t>إلی آخر الوقت والجواب عنها</w:t>
            </w:r>
            <w:r>
              <w:rPr>
                <w:rStyle w:val="IndexLink"/>
                <w:rtl w:val="true"/>
              </w:rPr>
              <w:tab/>
            </w:r>
            <w:r>
              <w:rPr>
                <w:rStyle w:val="IndexLink"/>
              </w:rPr>
              <w:t>130</w:t>
            </w:r>
          </w:hyperlink>
        </w:p>
        <w:p>
          <w:pPr>
            <w:pStyle w:val="Contents4"/>
            <w:tabs>
              <w:tab w:val="clear" w:pos="8176"/>
              <w:tab w:val="right" w:pos="9026" w:leader="dot"/>
            </w:tabs>
            <w:rPr/>
          </w:pPr>
          <w:hyperlink w:anchor="__RefHeading___Toc2087747_388300464">
            <w:r>
              <w:rPr>
                <w:webHidden/>
                <w:rStyle w:val="IndexLink"/>
                <w:rtl w:val="true"/>
              </w:rPr>
              <w:t>أدلّة القائلین بجواز التیمم مع سعة الوقت</w:t>
            </w:r>
            <w:r>
              <w:rPr>
                <w:rStyle w:val="IndexLink"/>
                <w:rtl w:val="true"/>
              </w:rPr>
              <w:tab/>
            </w:r>
            <w:r>
              <w:rPr>
                <w:rStyle w:val="IndexLink"/>
              </w:rPr>
              <w:t>132</w:t>
            </w:r>
          </w:hyperlink>
        </w:p>
        <w:p>
          <w:pPr>
            <w:pStyle w:val="Contents4"/>
            <w:tabs>
              <w:tab w:val="clear" w:pos="8176"/>
              <w:tab w:val="right" w:pos="9026" w:leader="dot"/>
            </w:tabs>
            <w:rPr/>
          </w:pPr>
          <w:hyperlink w:anchor="__RefHeading___Toc2087749_388300464">
            <w:r>
              <w:rPr>
                <w:webHidden/>
                <w:rStyle w:val="IndexLink"/>
                <w:rtl w:val="true"/>
              </w:rPr>
              <w:t>هل یجوز للمتیمم الصلاة فی أوّل الوقت؟</w:t>
            </w:r>
            <w:r>
              <w:rPr>
                <w:rStyle w:val="IndexLink"/>
                <w:rtl w:val="true"/>
              </w:rPr>
              <w:tab/>
            </w:r>
            <w:r>
              <w:rPr>
                <w:rStyle w:val="IndexLink"/>
              </w:rPr>
              <w:t>134</w:t>
            </w:r>
          </w:hyperlink>
        </w:p>
        <w:p>
          <w:pPr>
            <w:pStyle w:val="Contents4"/>
            <w:tabs>
              <w:tab w:val="clear" w:pos="8176"/>
              <w:tab w:val="right" w:pos="9026" w:leader="dot"/>
            </w:tabs>
            <w:rPr/>
          </w:pPr>
          <w:hyperlink w:anchor="__RefHeading___Toc2087751_388300464">
            <w:r>
              <w:rPr>
                <w:webHidden/>
                <w:rStyle w:val="IndexLink"/>
                <w:rtl w:val="true"/>
              </w:rPr>
              <w:t>حکم التیمم للنافلة</w:t>
            </w:r>
            <w:r>
              <w:rPr>
                <w:rStyle w:val="IndexLink"/>
                <w:rtl w:val="true"/>
              </w:rPr>
              <w:tab/>
            </w:r>
            <w:r>
              <w:rPr>
                <w:rStyle w:val="IndexLink"/>
              </w:rPr>
              <w:t>135</w:t>
            </w:r>
          </w:hyperlink>
        </w:p>
        <w:p>
          <w:pPr>
            <w:pStyle w:val="Contents3"/>
            <w:tabs>
              <w:tab w:val="clear" w:pos="8459"/>
              <w:tab w:val="right" w:pos="9026" w:leader="dot"/>
            </w:tabs>
            <w:rPr/>
          </w:pPr>
          <w:hyperlink w:anchor="__RefHeading___Toc2087753_388300464">
            <w:r>
              <w:rPr>
                <w:webHidden/>
                <w:rStyle w:val="IndexLink"/>
                <w:rtl w:val="true"/>
              </w:rPr>
              <w:t>واجبات التیمم</w:t>
            </w:r>
            <w:r>
              <w:rPr>
                <w:rStyle w:val="IndexLink"/>
                <w:rtl w:val="true"/>
              </w:rPr>
              <w:tab/>
            </w:r>
            <w:r>
              <w:rPr>
                <w:rStyle w:val="IndexLink"/>
              </w:rPr>
              <w:t>135</w:t>
            </w:r>
          </w:hyperlink>
        </w:p>
        <w:p>
          <w:pPr>
            <w:pStyle w:val="Contents4"/>
            <w:tabs>
              <w:tab w:val="clear" w:pos="8176"/>
              <w:tab w:val="right" w:pos="9026" w:leader="dot"/>
            </w:tabs>
            <w:rPr/>
          </w:pPr>
          <w:hyperlink w:anchor="__RefHeading___Toc2087755_388300464">
            <w:r>
              <w:rPr>
                <w:webHidden/>
                <w:rStyle w:val="IndexLink"/>
                <w:rtl w:val="true"/>
              </w:rPr>
              <w:t>النیّة</w:t>
            </w:r>
            <w:r>
              <w:rPr>
                <w:rStyle w:val="IndexLink"/>
                <w:rtl w:val="true"/>
              </w:rPr>
              <w:tab/>
            </w:r>
            <w:r>
              <w:rPr>
                <w:rStyle w:val="IndexLink"/>
              </w:rPr>
              <w:t>135</w:t>
            </w:r>
          </w:hyperlink>
        </w:p>
        <w:p>
          <w:pPr>
            <w:pStyle w:val="Contents4"/>
            <w:tabs>
              <w:tab w:val="clear" w:pos="8176"/>
              <w:tab w:val="right" w:pos="9026" w:leader="dot"/>
            </w:tabs>
            <w:rPr/>
          </w:pPr>
          <w:hyperlink w:anchor="__RefHeading___Toc2087757_388300464">
            <w:r>
              <w:rPr>
                <w:webHidden/>
                <w:rStyle w:val="IndexLink"/>
                <w:rtl w:val="true"/>
              </w:rPr>
              <w:t>وقت النیّة</w:t>
            </w:r>
            <w:r>
              <w:rPr>
                <w:rStyle w:val="IndexLink"/>
                <w:rtl w:val="true"/>
              </w:rPr>
              <w:tab/>
            </w:r>
            <w:r>
              <w:rPr>
                <w:rStyle w:val="IndexLink"/>
              </w:rPr>
              <w:t>137</w:t>
            </w:r>
          </w:hyperlink>
        </w:p>
        <w:p>
          <w:pPr>
            <w:pStyle w:val="Contents4"/>
            <w:tabs>
              <w:tab w:val="clear" w:pos="8176"/>
              <w:tab w:val="right" w:pos="9026" w:leader="dot"/>
            </w:tabs>
            <w:rPr/>
          </w:pPr>
          <w:hyperlink w:anchor="__RefHeading___Toc2087759_388300464">
            <w:r>
              <w:rPr>
                <w:webHidden/>
                <w:rStyle w:val="IndexLink"/>
                <w:rtl w:val="true"/>
              </w:rPr>
              <w:t>وضع الیدین معاً علی الأرض</w:t>
            </w:r>
            <w:r>
              <w:rPr>
                <w:rStyle w:val="IndexLink"/>
                <w:rtl w:val="true"/>
              </w:rPr>
              <w:tab/>
            </w:r>
            <w:r>
              <w:rPr>
                <w:rStyle w:val="IndexLink"/>
              </w:rPr>
              <w:t>137</w:t>
            </w:r>
          </w:hyperlink>
        </w:p>
        <w:p>
          <w:pPr>
            <w:pStyle w:val="Contents4"/>
            <w:tabs>
              <w:tab w:val="clear" w:pos="8176"/>
              <w:tab w:val="right" w:pos="9026" w:leader="dot"/>
            </w:tabs>
            <w:rPr/>
          </w:pPr>
          <w:hyperlink w:anchor="__RefHeading___Toc2087761_388300464">
            <w:r>
              <w:rPr>
                <w:webHidden/>
                <w:rStyle w:val="IndexLink"/>
                <w:rtl w:val="true"/>
              </w:rPr>
              <w:t>المناقشة فی اشتراط علوق التراب بالید وعدمه</w:t>
            </w:r>
            <w:r>
              <w:rPr>
                <w:rStyle w:val="IndexLink"/>
                <w:rtl w:val="true"/>
              </w:rPr>
              <w:tab/>
            </w:r>
            <w:r>
              <w:rPr>
                <w:rStyle w:val="IndexLink"/>
              </w:rPr>
              <w:t>140</w:t>
            </w:r>
          </w:hyperlink>
        </w:p>
        <w:p>
          <w:pPr>
            <w:pStyle w:val="Contents4"/>
            <w:tabs>
              <w:tab w:val="clear" w:pos="8176"/>
              <w:tab w:val="right" w:pos="9026" w:leader="dot"/>
            </w:tabs>
            <w:rPr/>
          </w:pPr>
          <w:hyperlink w:anchor="__RefHeading___Toc2087763_388300464">
            <w:r>
              <w:rPr>
                <w:webHidden/>
                <w:rStyle w:val="IndexLink"/>
                <w:rtl w:val="true"/>
              </w:rPr>
              <w:t>مسح الجبهة</w:t>
            </w:r>
            <w:r>
              <w:rPr>
                <w:rStyle w:val="IndexLink"/>
                <w:rtl w:val="true"/>
              </w:rPr>
              <w:tab/>
            </w:r>
            <w:r>
              <w:rPr>
                <w:rStyle w:val="IndexLink"/>
              </w:rPr>
              <w:t>143</w:t>
            </w:r>
          </w:hyperlink>
        </w:p>
        <w:p>
          <w:pPr>
            <w:pStyle w:val="Contents4"/>
            <w:tabs>
              <w:tab w:val="clear" w:pos="8176"/>
              <w:tab w:val="right" w:pos="9026" w:leader="dot"/>
            </w:tabs>
            <w:rPr/>
          </w:pPr>
          <w:hyperlink w:anchor="__RefHeading___Toc2087765_388300464">
            <w:r>
              <w:rPr>
                <w:webHidden/>
                <w:rStyle w:val="IndexLink"/>
                <w:rtl w:val="true"/>
              </w:rPr>
              <w:t>وجوب الابتداء فی مسح الجبهة بالأعلی</w:t>
            </w:r>
            <w:r>
              <w:rPr>
                <w:rStyle w:val="IndexLink"/>
                <w:rtl w:val="true"/>
              </w:rPr>
              <w:tab/>
            </w:r>
            <w:r>
              <w:rPr>
                <w:rStyle w:val="IndexLink"/>
              </w:rPr>
              <w:t>144</w:t>
            </w:r>
          </w:hyperlink>
        </w:p>
        <w:p>
          <w:pPr>
            <w:pStyle w:val="Contents4"/>
            <w:tabs>
              <w:tab w:val="clear" w:pos="8176"/>
              <w:tab w:val="right" w:pos="9026" w:leader="dot"/>
            </w:tabs>
            <w:rPr/>
          </w:pPr>
          <w:hyperlink w:anchor="__RefHeading___Toc2087767_388300464">
            <w:r>
              <w:rPr>
                <w:webHidden/>
                <w:rStyle w:val="IndexLink"/>
                <w:rtl w:val="true"/>
              </w:rPr>
              <w:t>مسح ظاهر الکفین</w:t>
            </w:r>
            <w:r>
              <w:rPr>
                <w:rStyle w:val="IndexLink"/>
                <w:rtl w:val="true"/>
              </w:rPr>
              <w:tab/>
            </w:r>
            <w:r>
              <w:rPr>
                <w:rStyle w:val="IndexLink"/>
              </w:rPr>
              <w:t>146</w:t>
            </w:r>
          </w:hyperlink>
        </w:p>
        <w:p>
          <w:pPr>
            <w:pStyle w:val="Contents4"/>
            <w:tabs>
              <w:tab w:val="clear" w:pos="8176"/>
              <w:tab w:val="right" w:pos="9026" w:leader="dot"/>
            </w:tabs>
            <w:rPr/>
          </w:pPr>
          <w:hyperlink w:anchor="__RefHeading___Toc2087769_388300464">
            <w:r>
              <w:rPr>
                <w:webHidden/>
                <w:rStyle w:val="IndexLink"/>
                <w:rtl w:val="true"/>
              </w:rPr>
              <w:t>وجوب مسح ظاهر الکفین</w:t>
            </w:r>
            <w:r>
              <w:rPr>
                <w:rStyle w:val="IndexLink"/>
                <w:rtl w:val="true"/>
              </w:rPr>
              <w:tab/>
            </w:r>
            <w:r>
              <w:rPr>
                <w:rStyle w:val="IndexLink"/>
              </w:rPr>
              <w:t>147</w:t>
            </w:r>
          </w:hyperlink>
        </w:p>
        <w:p>
          <w:pPr>
            <w:pStyle w:val="Contents4"/>
            <w:tabs>
              <w:tab w:val="clear" w:pos="8176"/>
              <w:tab w:val="right" w:pos="9026" w:leader="dot"/>
            </w:tabs>
            <w:rPr/>
          </w:pPr>
          <w:hyperlink w:anchor="__RefHeading___Toc2087771_388300464">
            <w:r>
              <w:rPr>
                <w:webHidden/>
                <w:rStyle w:val="IndexLink"/>
                <w:rtl w:val="true"/>
              </w:rPr>
              <w:t>الترتیب</w:t>
            </w:r>
            <w:r>
              <w:rPr>
                <w:rStyle w:val="IndexLink"/>
                <w:rtl w:val="true"/>
              </w:rPr>
              <w:tab/>
            </w:r>
            <w:r>
              <w:rPr>
                <w:rStyle w:val="IndexLink"/>
              </w:rPr>
              <w:t>147</w:t>
            </w:r>
          </w:hyperlink>
        </w:p>
        <w:p>
          <w:pPr>
            <w:pStyle w:val="Contents4"/>
            <w:tabs>
              <w:tab w:val="clear" w:pos="8176"/>
              <w:tab w:val="right" w:pos="9026" w:leader="dot"/>
            </w:tabs>
            <w:rPr/>
          </w:pPr>
          <w:hyperlink w:anchor="__RefHeading___Toc2087773_388300464">
            <w:r>
              <w:rPr>
                <w:webHidden/>
                <w:rStyle w:val="IndexLink"/>
                <w:rtl w:val="true"/>
              </w:rPr>
              <w:t>إشارة إلی معنی التأسی بفعل المعصوم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2087775_388300464">
            <w:r>
              <w:rPr>
                <w:webHidden/>
                <w:rStyle w:val="IndexLink"/>
                <w:rtl w:val="true"/>
              </w:rPr>
              <w:t>اختلاف الأقوال فی عدد الضربات</w:t>
            </w:r>
            <w:r>
              <w:rPr>
                <w:rStyle w:val="IndexLink"/>
                <w:rtl w:val="true"/>
              </w:rPr>
              <w:tab/>
            </w:r>
            <w:r>
              <w:rPr>
                <w:rStyle w:val="IndexLink"/>
              </w:rPr>
              <w:t>150</w:t>
            </w:r>
          </w:hyperlink>
        </w:p>
        <w:p>
          <w:pPr>
            <w:pStyle w:val="Contents4"/>
            <w:tabs>
              <w:tab w:val="clear" w:pos="8176"/>
              <w:tab w:val="right" w:pos="9026" w:leader="dot"/>
            </w:tabs>
            <w:rPr/>
          </w:pPr>
          <w:hyperlink w:anchor="__RefHeading___Toc2087777_388300464">
            <w:r>
              <w:rPr>
                <w:webHidden/>
                <w:rStyle w:val="IndexLink"/>
                <w:rtl w:val="true"/>
              </w:rPr>
              <w:t>حکم مقطوع الکفین</w:t>
            </w:r>
            <w:r>
              <w:rPr>
                <w:rStyle w:val="IndexLink"/>
                <w:rtl w:val="true"/>
              </w:rPr>
              <w:tab/>
            </w:r>
            <w:r>
              <w:rPr>
                <w:rStyle w:val="IndexLink"/>
              </w:rPr>
              <w:t>158</w:t>
            </w:r>
          </w:hyperlink>
        </w:p>
        <w:p>
          <w:pPr>
            <w:pStyle w:val="Contents3"/>
            <w:tabs>
              <w:tab w:val="clear" w:pos="8459"/>
              <w:tab w:val="right" w:pos="9026" w:leader="dot"/>
            </w:tabs>
            <w:rPr/>
          </w:pPr>
          <w:hyperlink w:anchor="__RefHeading___Toc2087779_388300464">
            <w:r>
              <w:rPr>
                <w:webHidden/>
                <w:rStyle w:val="IndexLink"/>
                <w:rtl w:val="true"/>
              </w:rPr>
              <w:t>أحکام التیمم</w:t>
            </w:r>
            <w:r>
              <w:rPr>
                <w:rStyle w:val="IndexLink"/>
                <w:rtl w:val="true"/>
              </w:rPr>
              <w:tab/>
            </w:r>
            <w:r>
              <w:rPr>
                <w:rStyle w:val="IndexLink"/>
              </w:rPr>
              <w:t>158</w:t>
            </w:r>
          </w:hyperlink>
        </w:p>
        <w:p>
          <w:pPr>
            <w:pStyle w:val="Contents4"/>
            <w:tabs>
              <w:tab w:val="clear" w:pos="8176"/>
              <w:tab w:val="right" w:pos="9026" w:leader="dot"/>
            </w:tabs>
            <w:rPr/>
          </w:pPr>
          <w:hyperlink w:anchor="__RefHeading___Toc2087781_388300464">
            <w:r>
              <w:rPr>
                <w:webHidden/>
                <w:rStyle w:val="IndexLink"/>
                <w:rtl w:val="true"/>
              </w:rPr>
              <w:t>حکم من صلّی متیمماً</w:t>
            </w:r>
            <w:r>
              <w:rPr>
                <w:rStyle w:val="IndexLink"/>
                <w:rtl w:val="true"/>
              </w:rPr>
              <w:tab/>
            </w:r>
            <w:r>
              <w:rPr>
                <w:rStyle w:val="IndexLink"/>
              </w:rPr>
              <w:t>158</w:t>
            </w:r>
          </w:hyperlink>
        </w:p>
        <w:p>
          <w:pPr>
            <w:pStyle w:val="Contents4"/>
            <w:tabs>
              <w:tab w:val="clear" w:pos="8176"/>
              <w:tab w:val="right" w:pos="9026" w:leader="dot"/>
            </w:tabs>
            <w:rPr/>
          </w:pPr>
          <w:hyperlink w:anchor="__RefHeading___Toc2087783_388300464">
            <w:r>
              <w:rPr>
                <w:webHidden/>
                <w:rStyle w:val="IndexLink"/>
                <w:rtl w:val="true"/>
              </w:rPr>
              <w:t>جواز التیمم لمتعمد الجنابة إذا خشی علی نفسه</w:t>
            </w:r>
            <w:r>
              <w:rPr>
                <w:rStyle w:val="IndexLink"/>
                <w:rtl w:val="true"/>
              </w:rPr>
              <w:tab/>
            </w:r>
            <w:r>
              <w:rPr>
                <w:rStyle w:val="IndexLink"/>
              </w:rPr>
              <w:t>159</w:t>
            </w:r>
          </w:hyperlink>
        </w:p>
        <w:p>
          <w:pPr>
            <w:pStyle w:val="Contents4"/>
            <w:tabs>
              <w:tab w:val="clear" w:pos="8176"/>
              <w:tab w:val="right" w:pos="9026" w:leader="dot"/>
            </w:tabs>
            <w:rPr/>
          </w:pPr>
          <w:hyperlink w:anchor="__RefHeading___Toc2087785_388300464">
            <w:r>
              <w:rPr>
                <w:webHidden/>
                <w:rStyle w:val="IndexLink"/>
                <w:rtl w:val="true"/>
              </w:rPr>
              <w:t>جواز التیمم لمن منعه زحام الجمعة علی الخروج</w:t>
            </w:r>
            <w:r>
              <w:rPr>
                <w:rStyle w:val="IndexLink"/>
                <w:rtl w:val="true"/>
              </w:rPr>
              <w:tab/>
            </w:r>
            <w:r>
              <w:rPr>
                <w:rStyle w:val="IndexLink"/>
              </w:rPr>
              <w:t>161</w:t>
            </w:r>
          </w:hyperlink>
        </w:p>
        <w:p>
          <w:pPr>
            <w:pStyle w:val="Contents4"/>
            <w:tabs>
              <w:tab w:val="clear" w:pos="8176"/>
              <w:tab w:val="right" w:pos="9026" w:leader="dot"/>
            </w:tabs>
            <w:rPr/>
          </w:pPr>
          <w:hyperlink w:anchor="__RefHeading___Toc2087787_388300464">
            <w:r>
              <w:rPr>
                <w:webHidden/>
                <w:rStyle w:val="IndexLink"/>
                <w:rtl w:val="true"/>
              </w:rPr>
              <w:t>بحث رجالی حول السکونی</w:t>
            </w:r>
            <w:r>
              <w:rPr>
                <w:rStyle w:val="IndexLink"/>
                <w:rtl w:val="true"/>
              </w:rPr>
              <w:tab/>
            </w:r>
            <w:r>
              <w:rPr>
                <w:rStyle w:val="IndexLink"/>
              </w:rPr>
              <w:t>161</w:t>
            </w:r>
          </w:hyperlink>
        </w:p>
        <w:p>
          <w:pPr>
            <w:pStyle w:val="Contents4"/>
            <w:tabs>
              <w:tab w:val="clear" w:pos="8176"/>
              <w:tab w:val="right" w:pos="9026" w:leader="dot"/>
            </w:tabs>
            <w:rPr/>
          </w:pPr>
          <w:hyperlink w:anchor="__RefHeading___Toc2087789_388300464">
            <w:r>
              <w:rPr>
                <w:webHidden/>
                <w:rStyle w:val="IndexLink"/>
                <w:rtl w:val="true"/>
              </w:rPr>
              <w:t>حکم المتیمم إذا صلّی وعلی جسده النجاسة</w:t>
            </w:r>
            <w:r>
              <w:rPr>
                <w:rStyle w:val="IndexLink"/>
                <w:rtl w:val="true"/>
              </w:rPr>
              <w:tab/>
            </w:r>
            <w:r>
              <w:rPr>
                <w:rStyle w:val="IndexLink"/>
              </w:rPr>
              <w:t>161</w:t>
            </w:r>
          </w:hyperlink>
        </w:p>
        <w:p>
          <w:pPr>
            <w:pStyle w:val="Contents4"/>
            <w:tabs>
              <w:tab w:val="clear" w:pos="8176"/>
              <w:tab w:val="right" w:pos="9026" w:leader="dot"/>
            </w:tabs>
            <w:rPr/>
          </w:pPr>
          <w:hyperlink w:anchor="__RefHeading___Toc2087791_388300464">
            <w:r>
              <w:rPr>
                <w:webHidden/>
                <w:rStyle w:val="IndexLink"/>
                <w:rtl w:val="true"/>
              </w:rPr>
              <w:t>عدم سقوط الصلاة مع عدم التمکن من التیمم</w:t>
            </w:r>
            <w:r>
              <w:rPr>
                <w:rStyle w:val="IndexLink"/>
                <w:rtl w:val="true"/>
              </w:rPr>
              <w:tab/>
            </w:r>
            <w:r>
              <w:rPr>
                <w:rStyle w:val="IndexLink"/>
              </w:rPr>
              <w:t>162</w:t>
            </w:r>
          </w:hyperlink>
        </w:p>
        <w:p>
          <w:pPr>
            <w:pStyle w:val="Contents4"/>
            <w:tabs>
              <w:tab w:val="clear" w:pos="8176"/>
              <w:tab w:val="right" w:pos="9026" w:leader="dot"/>
            </w:tabs>
            <w:rPr/>
          </w:pPr>
          <w:hyperlink w:anchor="__RefHeading___Toc2087793_388300464">
            <w:r>
              <w:rPr>
                <w:webHidden/>
                <w:rStyle w:val="IndexLink"/>
                <w:rtl w:val="true"/>
              </w:rPr>
              <w:t>حکم من تیمم ثم وجد الماء قبل الشروع فی الصلاة</w:t>
            </w:r>
            <w:r>
              <w:rPr>
                <w:rStyle w:val="IndexLink"/>
                <w:rtl w:val="true"/>
              </w:rPr>
              <w:tab/>
            </w:r>
            <w:r>
              <w:rPr>
                <w:rStyle w:val="IndexLink"/>
              </w:rPr>
              <w:t>162</w:t>
            </w:r>
          </w:hyperlink>
        </w:p>
        <w:p>
          <w:pPr>
            <w:pStyle w:val="Contents4"/>
            <w:tabs>
              <w:tab w:val="clear" w:pos="8176"/>
              <w:tab w:val="right" w:pos="9026" w:leader="dot"/>
            </w:tabs>
            <w:rPr/>
          </w:pPr>
          <w:hyperlink w:anchor="__RefHeading___Toc2087795_388300464">
            <w:r>
              <w:rPr>
                <w:webHidden/>
                <w:rStyle w:val="IndexLink"/>
                <w:rtl w:val="true"/>
              </w:rPr>
              <w:t>حکم من تیمم ثم وجد الماء فی أثناء الصلاة</w:t>
            </w:r>
            <w:r>
              <w:rPr>
                <w:rStyle w:val="IndexLink"/>
                <w:rtl w:val="true"/>
              </w:rPr>
              <w:tab/>
            </w:r>
            <w:r>
              <w:rPr>
                <w:rStyle w:val="IndexLink"/>
              </w:rPr>
              <w:t>163</w:t>
            </w:r>
          </w:hyperlink>
        </w:p>
        <w:p>
          <w:pPr>
            <w:pStyle w:val="Contents4"/>
            <w:tabs>
              <w:tab w:val="clear" w:pos="8176"/>
              <w:tab w:val="right" w:pos="9026" w:leader="dot"/>
            </w:tabs>
            <w:rPr/>
          </w:pPr>
          <w:hyperlink w:anchor="__RefHeading___Toc2087797_388300464">
            <w:r>
              <w:rPr>
                <w:webHidden/>
                <w:rStyle w:val="IndexLink"/>
                <w:rtl w:val="true"/>
              </w:rPr>
              <w:t>حکم اجتماع المیت والجنب والمحدث مع کفایة الماء لأحدهم</w:t>
            </w:r>
            <w:r>
              <w:rPr>
                <w:rStyle w:val="IndexLink"/>
                <w:rtl w:val="true"/>
              </w:rPr>
              <w:tab/>
            </w:r>
            <w:r>
              <w:rPr>
                <w:rStyle w:val="IndexLink"/>
              </w:rPr>
              <w:t>166</w:t>
            </w:r>
          </w:hyperlink>
        </w:p>
        <w:p>
          <w:pPr>
            <w:pStyle w:val="Contents4"/>
            <w:tabs>
              <w:tab w:val="clear" w:pos="8176"/>
              <w:tab w:val="right" w:pos="9026" w:leader="dot"/>
            </w:tabs>
            <w:rPr/>
          </w:pPr>
          <w:hyperlink w:anchor="__RefHeading___Toc2087799_388300464">
            <w:r>
              <w:rPr>
                <w:webHidden/>
                <w:rStyle w:val="IndexLink"/>
                <w:rtl w:val="true"/>
              </w:rPr>
              <w:t>فی أن التیمم لا یرفع الحدث</w:t>
            </w:r>
            <w:r>
              <w:rPr>
                <w:rStyle w:val="IndexLink"/>
                <w:rtl w:val="true"/>
              </w:rPr>
              <w:tab/>
            </w:r>
            <w:r>
              <w:rPr>
                <w:rStyle w:val="IndexLink"/>
              </w:rPr>
              <w:t>166</w:t>
            </w:r>
          </w:hyperlink>
        </w:p>
        <w:p>
          <w:pPr>
            <w:pStyle w:val="Contents4"/>
            <w:tabs>
              <w:tab w:val="clear" w:pos="8176"/>
              <w:tab w:val="right" w:pos="9026" w:leader="dot"/>
            </w:tabs>
            <w:rPr/>
          </w:pPr>
          <w:hyperlink w:anchor="__RefHeading___Toc2087801_388300464">
            <w:r>
              <w:rPr>
                <w:webHidden/>
                <w:rStyle w:val="IndexLink"/>
                <w:rtl w:val="true"/>
              </w:rPr>
              <w:t>فیما إذا تیمم الجنب بدلاً من الغسل ثم أحدث حدثاً</w:t>
            </w:r>
            <w:r>
              <w:rPr>
                <w:rStyle w:val="IndexLink"/>
                <w:rtl w:val="true"/>
              </w:rPr>
              <w:tab/>
            </w:r>
            <w:r>
              <w:rPr>
                <w:rStyle w:val="IndexLink"/>
              </w:rPr>
              <w:t>167</w:t>
            </w:r>
          </w:hyperlink>
        </w:p>
        <w:p>
          <w:pPr>
            <w:pStyle w:val="Contents2"/>
            <w:tabs>
              <w:tab w:val="clear" w:pos="8743"/>
              <w:tab w:val="right" w:pos="9026" w:leader="dot"/>
            </w:tabs>
            <w:rPr/>
          </w:pPr>
          <w:hyperlink w:anchor="__RefHeading___Toc2087803_388300464">
            <w:r>
              <w:rPr>
                <w:webHidden/>
                <w:rStyle w:val="IndexLink"/>
                <w:rtl w:val="true"/>
              </w:rPr>
              <w:t>النجاسات</w:t>
            </w:r>
            <w:r>
              <w:rPr>
                <w:rStyle w:val="IndexLink"/>
                <w:rtl w:val="true"/>
              </w:rPr>
              <w:tab/>
            </w:r>
            <w:r>
              <w:rPr>
                <w:rStyle w:val="IndexLink"/>
              </w:rPr>
              <w:t>167</w:t>
            </w:r>
          </w:hyperlink>
        </w:p>
        <w:p>
          <w:pPr>
            <w:pStyle w:val="Contents3"/>
            <w:tabs>
              <w:tab w:val="clear" w:pos="8459"/>
              <w:tab w:val="right" w:pos="9026" w:leader="dot"/>
            </w:tabs>
            <w:rPr/>
          </w:pPr>
          <w:hyperlink w:anchor="__RefHeading___Toc2087805_388300464">
            <w:r>
              <w:rPr>
                <w:webHidden/>
                <w:rStyle w:val="IndexLink"/>
                <w:rtl w:val="true"/>
              </w:rPr>
              <w:t>أنواع النجاسات</w:t>
            </w:r>
            <w:r>
              <w:rPr>
                <w:rStyle w:val="IndexLink"/>
                <w:rtl w:val="true"/>
              </w:rPr>
              <w:tab/>
            </w:r>
            <w:r>
              <w:rPr>
                <w:rStyle w:val="IndexLink"/>
              </w:rPr>
              <w:t>167</w:t>
            </w:r>
          </w:hyperlink>
        </w:p>
        <w:p>
          <w:pPr>
            <w:pStyle w:val="Contents4"/>
            <w:tabs>
              <w:tab w:val="clear" w:pos="8176"/>
              <w:tab w:val="right" w:pos="9026" w:leader="dot"/>
            </w:tabs>
            <w:rPr/>
          </w:pPr>
          <w:hyperlink w:anchor="__RefHeading___Toc2087807_388300464">
            <w:r>
              <w:rPr>
                <w:webHidden/>
                <w:rStyle w:val="IndexLink"/>
                <w:rtl w:val="true"/>
              </w:rPr>
              <w:t>البول والغائط</w:t>
            </w:r>
            <w:r>
              <w:rPr>
                <w:rStyle w:val="IndexLink"/>
                <w:rtl w:val="true"/>
              </w:rPr>
              <w:tab/>
            </w:r>
            <w:r>
              <w:rPr>
                <w:rStyle w:val="IndexLink"/>
              </w:rPr>
              <w:t>167</w:t>
            </w:r>
          </w:hyperlink>
        </w:p>
        <w:p>
          <w:pPr>
            <w:pStyle w:val="Contents4"/>
            <w:tabs>
              <w:tab w:val="clear" w:pos="8176"/>
              <w:tab w:val="right" w:pos="9026" w:leader="dot"/>
            </w:tabs>
            <w:rPr/>
          </w:pPr>
          <w:hyperlink w:anchor="__RefHeading___Toc2087809_388300464">
            <w:r>
              <w:rPr>
                <w:webHidden/>
                <w:rStyle w:val="IndexLink"/>
                <w:rtl w:val="true"/>
              </w:rPr>
              <w:t>حکم رجیع الطیر</w:t>
            </w:r>
            <w:r>
              <w:rPr>
                <w:rStyle w:val="IndexLink"/>
                <w:rtl w:val="true"/>
              </w:rPr>
              <w:tab/>
            </w:r>
            <w:r>
              <w:rPr>
                <w:rStyle w:val="IndexLink"/>
              </w:rPr>
              <w:t>169</w:t>
            </w:r>
          </w:hyperlink>
        </w:p>
        <w:p>
          <w:pPr>
            <w:pStyle w:val="Contents4"/>
            <w:tabs>
              <w:tab w:val="clear" w:pos="8176"/>
              <w:tab w:val="right" w:pos="9026" w:leader="dot"/>
            </w:tabs>
            <w:rPr/>
          </w:pPr>
          <w:hyperlink w:anchor="__RefHeading___Toc2087811_388300464">
            <w:r>
              <w:rPr>
                <w:webHidden/>
                <w:rStyle w:val="IndexLink"/>
                <w:rtl w:val="true"/>
              </w:rPr>
              <w:t>إشارة إلی أنّ عبد الله بن سنان ثقة</w:t>
            </w:r>
            <w:r>
              <w:rPr>
                <w:rStyle w:val="IndexLink"/>
                <w:rtl w:val="true"/>
              </w:rPr>
              <w:tab/>
            </w:r>
            <w:r>
              <w:rPr>
                <w:rStyle w:val="IndexLink"/>
              </w:rPr>
              <w:t>172</w:t>
            </w:r>
          </w:hyperlink>
        </w:p>
        <w:p>
          <w:pPr>
            <w:pStyle w:val="Contents4"/>
            <w:tabs>
              <w:tab w:val="clear" w:pos="8176"/>
              <w:tab w:val="right" w:pos="9026" w:leader="dot"/>
            </w:tabs>
            <w:rPr/>
          </w:pPr>
          <w:hyperlink w:anchor="__RefHeading___Toc2087813_388300464">
            <w:r>
              <w:rPr>
                <w:webHidden/>
                <w:rStyle w:val="IndexLink"/>
                <w:rtl w:val="true"/>
              </w:rPr>
              <w:t>حکم بول ما لا یؤکل لحمه</w:t>
            </w:r>
            <w:r>
              <w:rPr>
                <w:rStyle w:val="IndexLink"/>
                <w:rtl w:val="true"/>
              </w:rPr>
              <w:tab/>
            </w:r>
            <w:r>
              <w:rPr>
                <w:rStyle w:val="IndexLink"/>
              </w:rPr>
              <w:t>173</w:t>
            </w:r>
          </w:hyperlink>
        </w:p>
        <w:p>
          <w:pPr>
            <w:pStyle w:val="Contents4"/>
            <w:tabs>
              <w:tab w:val="clear" w:pos="8176"/>
              <w:tab w:val="right" w:pos="9026" w:leader="dot"/>
            </w:tabs>
            <w:rPr/>
          </w:pPr>
          <w:hyperlink w:anchor="__RefHeading___Toc2087815_388300464">
            <w:r>
              <w:rPr>
                <w:webHidden/>
                <w:rStyle w:val="IndexLink"/>
                <w:rtl w:val="true"/>
              </w:rPr>
              <w:t>حکم بول الرضیع</w:t>
            </w:r>
            <w:r>
              <w:rPr>
                <w:rStyle w:val="IndexLink"/>
                <w:rtl w:val="true"/>
              </w:rPr>
              <w:tab/>
            </w:r>
            <w:r>
              <w:rPr>
                <w:rStyle w:val="IndexLink"/>
              </w:rPr>
              <w:t>175</w:t>
            </w:r>
          </w:hyperlink>
        </w:p>
        <w:p>
          <w:pPr>
            <w:pStyle w:val="Contents4"/>
            <w:tabs>
              <w:tab w:val="clear" w:pos="8176"/>
              <w:tab w:val="right" w:pos="9026" w:leader="dot"/>
            </w:tabs>
            <w:rPr/>
          </w:pPr>
          <w:hyperlink w:anchor="__RefHeading___Toc2087817_388300464">
            <w:r>
              <w:rPr>
                <w:webHidden/>
                <w:rStyle w:val="IndexLink"/>
                <w:rtl w:val="true"/>
              </w:rPr>
              <w:t>حکم رجیع ما لا نفس له</w:t>
            </w:r>
            <w:r>
              <w:rPr>
                <w:rStyle w:val="IndexLink"/>
                <w:rtl w:val="true"/>
              </w:rPr>
              <w:tab/>
            </w:r>
            <w:r>
              <w:rPr>
                <w:rStyle w:val="IndexLink"/>
              </w:rPr>
              <w:t>176</w:t>
            </w:r>
          </w:hyperlink>
        </w:p>
        <w:p>
          <w:pPr>
            <w:pStyle w:val="Contents4"/>
            <w:tabs>
              <w:tab w:val="clear" w:pos="8176"/>
              <w:tab w:val="right" w:pos="9026" w:leader="dot"/>
            </w:tabs>
            <w:rPr/>
          </w:pPr>
          <w:hyperlink w:anchor="__RefHeading___Toc2087819_388300464">
            <w:r>
              <w:rPr>
                <w:webHidden/>
                <w:rStyle w:val="IndexLink"/>
                <w:rtl w:val="true"/>
              </w:rPr>
              <w:t>حکم ذرق الدجاج الجلاّل</w:t>
            </w:r>
            <w:r>
              <w:rPr>
                <w:rStyle w:val="IndexLink"/>
                <w:rtl w:val="true"/>
              </w:rPr>
              <w:tab/>
            </w:r>
            <w:r>
              <w:rPr>
                <w:rStyle w:val="IndexLink"/>
              </w:rPr>
              <w:t>176</w:t>
            </w:r>
          </w:hyperlink>
        </w:p>
        <w:p>
          <w:pPr>
            <w:pStyle w:val="Contents4"/>
            <w:tabs>
              <w:tab w:val="clear" w:pos="8176"/>
              <w:tab w:val="right" w:pos="9026" w:leader="dot"/>
            </w:tabs>
            <w:rPr/>
          </w:pPr>
          <w:hyperlink w:anchor="__RefHeading___Toc2087821_388300464">
            <w:r>
              <w:rPr>
                <w:webHidden/>
                <w:rStyle w:val="IndexLink"/>
                <w:rtl w:val="true"/>
              </w:rPr>
              <w:t>المیتة</w:t>
            </w:r>
            <w:r>
              <w:rPr>
                <w:rStyle w:val="IndexLink"/>
                <w:rtl w:val="true"/>
              </w:rPr>
              <w:tab/>
            </w:r>
            <w:r>
              <w:rPr>
                <w:rStyle w:val="IndexLink"/>
              </w:rPr>
              <w:t>177</w:t>
            </w:r>
          </w:hyperlink>
        </w:p>
        <w:p>
          <w:pPr>
            <w:pStyle w:val="Contents4"/>
            <w:tabs>
              <w:tab w:val="clear" w:pos="8176"/>
              <w:tab w:val="right" w:pos="9026" w:leader="dot"/>
            </w:tabs>
            <w:rPr/>
          </w:pPr>
          <w:hyperlink w:anchor="__RefHeading___Toc2087823_388300464">
            <w:r>
              <w:rPr>
                <w:webHidden/>
                <w:rStyle w:val="IndexLink"/>
                <w:rtl w:val="true"/>
              </w:rPr>
              <w:t>میتة غیر الآدمی</w:t>
            </w:r>
            <w:r>
              <w:rPr>
                <w:rStyle w:val="IndexLink"/>
                <w:rtl w:val="true"/>
              </w:rPr>
              <w:tab/>
            </w:r>
            <w:r>
              <w:rPr>
                <w:rStyle w:val="IndexLink"/>
              </w:rPr>
              <w:t>177</w:t>
            </w:r>
          </w:hyperlink>
        </w:p>
        <w:p>
          <w:pPr>
            <w:pStyle w:val="Contents4"/>
            <w:tabs>
              <w:tab w:val="clear" w:pos="8176"/>
              <w:tab w:val="right" w:pos="9026" w:leader="dot"/>
            </w:tabs>
            <w:rPr/>
          </w:pPr>
          <w:hyperlink w:anchor="__RefHeading___Toc2087825_388300464">
            <w:r>
              <w:rPr>
                <w:webHidden/>
                <w:rStyle w:val="IndexLink"/>
                <w:rtl w:val="true"/>
              </w:rPr>
              <w:t>بحث حول ما ذکره الصدوق فی مقدمة الفقیه</w:t>
            </w:r>
            <w:r>
              <w:rPr>
                <w:rStyle w:val="IndexLink"/>
                <w:rtl w:val="true"/>
              </w:rPr>
              <w:tab/>
            </w:r>
            <w:r>
              <w:rPr>
                <w:rStyle w:val="IndexLink"/>
              </w:rPr>
              <w:t>180</w:t>
            </w:r>
          </w:hyperlink>
        </w:p>
        <w:p>
          <w:pPr>
            <w:pStyle w:val="Contents4"/>
            <w:tabs>
              <w:tab w:val="clear" w:pos="8176"/>
              <w:tab w:val="right" w:pos="9026" w:leader="dot"/>
            </w:tabs>
            <w:rPr/>
          </w:pPr>
          <w:hyperlink w:anchor="__RefHeading___Toc2087827_388300464">
            <w:r>
              <w:rPr>
                <w:webHidden/>
                <w:rStyle w:val="IndexLink"/>
                <w:rtl w:val="true"/>
              </w:rPr>
              <w:t>میتة الآدمی</w:t>
            </w:r>
            <w:r>
              <w:rPr>
                <w:rStyle w:val="IndexLink"/>
                <w:rtl w:val="true"/>
              </w:rPr>
              <w:tab/>
            </w:r>
            <w:r>
              <w:rPr>
                <w:rStyle w:val="IndexLink"/>
              </w:rPr>
              <w:t>182</w:t>
            </w:r>
          </w:hyperlink>
        </w:p>
        <w:p>
          <w:pPr>
            <w:pStyle w:val="Contents4"/>
            <w:tabs>
              <w:tab w:val="clear" w:pos="8176"/>
              <w:tab w:val="right" w:pos="9026" w:leader="dot"/>
            </w:tabs>
            <w:rPr/>
          </w:pPr>
          <w:hyperlink w:anchor="__RefHeading___Toc2087829_388300464">
            <w:r>
              <w:rPr>
                <w:webHidden/>
                <w:rStyle w:val="IndexLink"/>
                <w:rtl w:val="true"/>
              </w:rPr>
              <w:t>نجاسة ما قطع من المیتة</w:t>
            </w:r>
            <w:r>
              <w:rPr>
                <w:rStyle w:val="IndexLink"/>
                <w:rtl w:val="true"/>
              </w:rPr>
              <w:tab/>
            </w:r>
            <w:r>
              <w:rPr>
                <w:rStyle w:val="IndexLink"/>
              </w:rPr>
              <w:t>183</w:t>
            </w:r>
          </w:hyperlink>
        </w:p>
        <w:p>
          <w:pPr>
            <w:pStyle w:val="Contents4"/>
            <w:tabs>
              <w:tab w:val="clear" w:pos="8176"/>
              <w:tab w:val="right" w:pos="9026" w:leader="dot"/>
            </w:tabs>
            <w:rPr/>
          </w:pPr>
          <w:hyperlink w:anchor="__RefHeading___Toc2087831_388300464">
            <w:r>
              <w:rPr>
                <w:webHidden/>
                <w:rStyle w:val="IndexLink"/>
                <w:rtl w:val="true"/>
              </w:rPr>
              <w:t>طهارة ما لا تحلّه الحیاة من المیتة</w:t>
            </w:r>
            <w:r>
              <w:rPr>
                <w:rStyle w:val="IndexLink"/>
                <w:rtl w:val="true"/>
              </w:rPr>
              <w:tab/>
            </w:r>
            <w:r>
              <w:rPr>
                <w:rStyle w:val="IndexLink"/>
              </w:rPr>
              <w:t>184</w:t>
            </w:r>
          </w:hyperlink>
        </w:p>
        <w:p>
          <w:pPr>
            <w:pStyle w:val="Contents4"/>
            <w:tabs>
              <w:tab w:val="clear" w:pos="8176"/>
              <w:tab w:val="right" w:pos="9026" w:leader="dot"/>
            </w:tabs>
            <w:rPr/>
          </w:pPr>
          <w:hyperlink w:anchor="__RefHeading___Toc2087833_388300464">
            <w:r>
              <w:rPr>
                <w:webHidden/>
                <w:rStyle w:val="IndexLink"/>
                <w:rtl w:val="true"/>
              </w:rPr>
              <w:t>توضیح ما ذکره النجاشی من أنّ وهب بن وهب کذّاب</w:t>
            </w:r>
            <w:r>
              <w:rPr>
                <w:rStyle w:val="IndexLink"/>
                <w:rtl w:val="true"/>
              </w:rPr>
              <w:tab/>
            </w:r>
            <w:r>
              <w:rPr>
                <w:rStyle w:val="IndexLink"/>
              </w:rPr>
              <w:t>185</w:t>
            </w:r>
          </w:hyperlink>
        </w:p>
        <w:p>
          <w:pPr>
            <w:pStyle w:val="Contents4"/>
            <w:tabs>
              <w:tab w:val="clear" w:pos="8176"/>
              <w:tab w:val="right" w:pos="9026" w:leader="dot"/>
            </w:tabs>
            <w:rPr/>
          </w:pPr>
          <w:hyperlink w:anchor="__RefHeading___Toc2087835_388300464">
            <w:r>
              <w:rPr>
                <w:webHidden/>
                <w:rStyle w:val="IndexLink"/>
                <w:rtl w:val="true"/>
              </w:rPr>
              <w:t>أدلّة القائلین بنجاسة ما لا تحله الحیاة من المیتة والجواب عنها</w:t>
            </w:r>
            <w:r>
              <w:rPr>
                <w:rStyle w:val="IndexLink"/>
                <w:rtl w:val="true"/>
              </w:rPr>
              <w:tab/>
            </w:r>
            <w:r>
              <w:rPr>
                <w:rStyle w:val="IndexLink"/>
              </w:rPr>
              <w:t>186</w:t>
            </w:r>
          </w:hyperlink>
        </w:p>
        <w:p>
          <w:pPr>
            <w:pStyle w:val="Contents4"/>
            <w:tabs>
              <w:tab w:val="clear" w:pos="8176"/>
              <w:tab w:val="right" w:pos="9026" w:leader="dot"/>
            </w:tabs>
            <w:rPr/>
          </w:pPr>
          <w:hyperlink w:anchor="__RefHeading___Toc2087837_388300464">
            <w:r>
              <w:rPr>
                <w:webHidden/>
                <w:rStyle w:val="IndexLink"/>
                <w:rtl w:val="true"/>
              </w:rPr>
              <w:t>حکم ما لا تحله الحیاة من نجس العین</w:t>
            </w:r>
            <w:r>
              <w:rPr>
                <w:rStyle w:val="IndexLink"/>
                <w:rtl w:val="true"/>
              </w:rPr>
              <w:tab/>
            </w:r>
            <w:r>
              <w:rPr>
                <w:rStyle w:val="IndexLink"/>
              </w:rPr>
              <w:t>189</w:t>
            </w:r>
          </w:hyperlink>
        </w:p>
        <w:p>
          <w:pPr>
            <w:pStyle w:val="Contents4"/>
            <w:tabs>
              <w:tab w:val="clear" w:pos="8176"/>
              <w:tab w:val="right" w:pos="9026" w:leader="dot"/>
            </w:tabs>
            <w:rPr/>
          </w:pPr>
          <w:hyperlink w:anchor="__RefHeading___Toc2087839_388300464">
            <w:r>
              <w:rPr>
                <w:webHidden/>
                <w:rStyle w:val="IndexLink"/>
                <w:rtl w:val="true"/>
              </w:rPr>
              <w:t>وجوب الغسل بمس المیت</w:t>
            </w:r>
            <w:r>
              <w:rPr>
                <w:rStyle w:val="IndexLink"/>
                <w:rtl w:val="true"/>
              </w:rPr>
              <w:tab/>
            </w:r>
            <w:r>
              <w:rPr>
                <w:rStyle w:val="IndexLink"/>
              </w:rPr>
              <w:t>190</w:t>
            </w:r>
          </w:hyperlink>
        </w:p>
        <w:p>
          <w:pPr>
            <w:pStyle w:val="Contents4"/>
            <w:tabs>
              <w:tab w:val="clear" w:pos="8176"/>
              <w:tab w:val="right" w:pos="9026" w:leader="dot"/>
            </w:tabs>
            <w:rPr/>
          </w:pPr>
          <w:hyperlink w:anchor="__RefHeading___Toc2087841_388300464">
            <w:r>
              <w:rPr>
                <w:webHidden/>
                <w:rStyle w:val="IndexLink"/>
                <w:rtl w:val="true"/>
              </w:rPr>
              <w:t>حکم مس عضوٍ کمل غسله</w:t>
            </w:r>
            <w:r>
              <w:rPr>
                <w:rStyle w:val="IndexLink"/>
                <w:rtl w:val="true"/>
              </w:rPr>
              <w:tab/>
            </w:r>
            <w:r>
              <w:rPr>
                <w:rStyle w:val="IndexLink"/>
              </w:rPr>
              <w:t>195</w:t>
            </w:r>
          </w:hyperlink>
        </w:p>
        <w:p>
          <w:pPr>
            <w:pStyle w:val="Contents4"/>
            <w:tabs>
              <w:tab w:val="clear" w:pos="8176"/>
              <w:tab w:val="right" w:pos="9026" w:leader="dot"/>
            </w:tabs>
            <w:rPr/>
          </w:pPr>
          <w:hyperlink w:anchor="__RefHeading___Toc2087843_388300464">
            <w:r>
              <w:rPr>
                <w:webHidden/>
                <w:rStyle w:val="IndexLink"/>
                <w:rtl w:val="true"/>
              </w:rPr>
              <w:t>الدم</w:t>
            </w:r>
            <w:r>
              <w:rPr>
                <w:rStyle w:val="IndexLink"/>
                <w:rtl w:val="true"/>
              </w:rPr>
              <w:tab/>
            </w:r>
            <w:r>
              <w:rPr>
                <w:rStyle w:val="IndexLink"/>
              </w:rPr>
              <w:t>196</w:t>
            </w:r>
          </w:hyperlink>
        </w:p>
        <w:p>
          <w:pPr>
            <w:pStyle w:val="Contents4"/>
            <w:tabs>
              <w:tab w:val="clear" w:pos="8176"/>
              <w:tab w:val="right" w:pos="9026" w:leader="dot"/>
            </w:tabs>
            <w:rPr/>
          </w:pPr>
          <w:hyperlink w:anchor="__RefHeading___Toc2087845_388300464">
            <w:r>
              <w:rPr>
                <w:webHidden/>
                <w:rStyle w:val="IndexLink"/>
                <w:rtl w:val="true"/>
              </w:rPr>
              <w:t>طهارة القیح والقیء</w:t>
            </w:r>
            <w:r>
              <w:rPr>
                <w:rStyle w:val="IndexLink"/>
                <w:rtl w:val="true"/>
              </w:rPr>
              <w:tab/>
            </w:r>
            <w:r>
              <w:rPr>
                <w:rStyle w:val="IndexLink"/>
              </w:rPr>
              <w:t>196</w:t>
            </w:r>
          </w:hyperlink>
        </w:p>
        <w:p>
          <w:pPr>
            <w:pStyle w:val="Contents4"/>
            <w:tabs>
              <w:tab w:val="clear" w:pos="8176"/>
              <w:tab w:val="right" w:pos="9026" w:leader="dot"/>
            </w:tabs>
            <w:rPr/>
          </w:pPr>
          <w:hyperlink w:anchor="__RefHeading___Toc2087847_388300464">
            <w:r>
              <w:rPr>
                <w:webHidden/>
                <w:rStyle w:val="IndexLink"/>
                <w:rtl w:val="true"/>
              </w:rPr>
              <w:t>حکم ما لو اشتبه الدم بالطاهر والنجس</w:t>
            </w:r>
            <w:r>
              <w:rPr>
                <w:rStyle w:val="IndexLink"/>
                <w:rtl w:val="true"/>
              </w:rPr>
              <w:tab/>
            </w:r>
            <w:r>
              <w:rPr>
                <w:rStyle w:val="IndexLink"/>
              </w:rPr>
              <w:t>197</w:t>
            </w:r>
          </w:hyperlink>
        </w:p>
        <w:p>
          <w:pPr>
            <w:pStyle w:val="Contents4"/>
            <w:tabs>
              <w:tab w:val="clear" w:pos="8176"/>
              <w:tab w:val="right" w:pos="9026" w:leader="dot"/>
            </w:tabs>
            <w:rPr/>
          </w:pPr>
          <w:hyperlink w:anchor="__RefHeading___Toc2087849_388300464">
            <w:r>
              <w:rPr>
                <w:webHidden/>
                <w:rStyle w:val="IndexLink"/>
                <w:rtl w:val="true"/>
              </w:rPr>
              <w:t>المسکر</w:t>
            </w:r>
            <w:r>
              <w:rPr>
                <w:rStyle w:val="IndexLink"/>
                <w:rtl w:val="true"/>
              </w:rPr>
              <w:tab/>
            </w:r>
            <w:r>
              <w:rPr>
                <w:rStyle w:val="IndexLink"/>
              </w:rPr>
              <w:t>197</w:t>
            </w:r>
          </w:hyperlink>
        </w:p>
        <w:p>
          <w:pPr>
            <w:pStyle w:val="Contents4"/>
            <w:tabs>
              <w:tab w:val="clear" w:pos="8176"/>
              <w:tab w:val="right" w:pos="9026" w:leader="dot"/>
            </w:tabs>
            <w:rPr/>
          </w:pPr>
          <w:hyperlink w:anchor="__RefHeading___Toc2087851_388300464">
            <w:r>
              <w:rPr>
                <w:webHidden/>
                <w:rStyle w:val="IndexLink"/>
                <w:rtl w:val="true"/>
              </w:rPr>
              <w:t>حکم الخمر</w:t>
            </w:r>
            <w:r>
              <w:rPr>
                <w:rStyle w:val="IndexLink"/>
                <w:rtl w:val="true"/>
              </w:rPr>
              <w:tab/>
            </w:r>
            <w:r>
              <w:rPr>
                <w:rStyle w:val="IndexLink"/>
              </w:rPr>
              <w:t>197</w:t>
            </w:r>
          </w:hyperlink>
        </w:p>
        <w:p>
          <w:pPr>
            <w:pStyle w:val="Contents4"/>
            <w:tabs>
              <w:tab w:val="clear" w:pos="8176"/>
              <w:tab w:val="right" w:pos="9026" w:leader="dot"/>
            </w:tabs>
            <w:rPr/>
          </w:pPr>
          <w:hyperlink w:anchor="__RefHeading___Toc2087853_388300464">
            <w:r>
              <w:rPr>
                <w:webHidden/>
                <w:rStyle w:val="IndexLink"/>
                <w:rtl w:val="true"/>
              </w:rPr>
              <w:t>حکم النبیذ</w:t>
            </w:r>
            <w:r>
              <w:rPr>
                <w:rStyle w:val="IndexLink"/>
                <w:rtl w:val="true"/>
              </w:rPr>
              <w:tab/>
            </w:r>
            <w:r>
              <w:rPr>
                <w:rStyle w:val="IndexLink"/>
              </w:rPr>
              <w:t>199</w:t>
            </w:r>
          </w:hyperlink>
        </w:p>
        <w:p>
          <w:pPr>
            <w:pStyle w:val="Contents4"/>
            <w:tabs>
              <w:tab w:val="clear" w:pos="8176"/>
              <w:tab w:val="right" w:pos="9026" w:leader="dot"/>
            </w:tabs>
            <w:rPr/>
          </w:pPr>
          <w:hyperlink w:anchor="__RefHeading___Toc2087855_388300464">
            <w:r>
              <w:rPr>
                <w:webHidden/>
                <w:rStyle w:val="IndexLink"/>
                <w:rtl w:val="true"/>
              </w:rPr>
              <w:t>أدلّة نجاسة الخمر</w:t>
            </w:r>
            <w:r>
              <w:rPr>
                <w:rStyle w:val="IndexLink"/>
                <w:rtl w:val="true"/>
              </w:rPr>
              <w:tab/>
            </w:r>
            <w:r>
              <w:rPr>
                <w:rStyle w:val="IndexLink"/>
              </w:rPr>
              <w:t>199</w:t>
            </w:r>
          </w:hyperlink>
        </w:p>
        <w:p>
          <w:pPr>
            <w:pStyle w:val="Contents4"/>
            <w:tabs>
              <w:tab w:val="clear" w:pos="8176"/>
              <w:tab w:val="right" w:pos="9026" w:leader="dot"/>
            </w:tabs>
            <w:rPr/>
          </w:pPr>
          <w:hyperlink w:anchor="__RefHeading___Toc2087857_388300464">
            <w:r>
              <w:rPr>
                <w:webHidden/>
                <w:rStyle w:val="IndexLink"/>
                <w:rtl w:val="true"/>
              </w:rPr>
              <w:t>حکم العصیر العنبی</w:t>
            </w:r>
            <w:r>
              <w:rPr>
                <w:rStyle w:val="IndexLink"/>
                <w:rtl w:val="true"/>
              </w:rPr>
              <w:tab/>
            </w:r>
            <w:r>
              <w:rPr>
                <w:rStyle w:val="IndexLink"/>
              </w:rPr>
              <w:t>204</w:t>
            </w:r>
          </w:hyperlink>
        </w:p>
        <w:p>
          <w:pPr>
            <w:pStyle w:val="Contents4"/>
            <w:tabs>
              <w:tab w:val="clear" w:pos="8176"/>
              <w:tab w:val="right" w:pos="9026" w:leader="dot"/>
            </w:tabs>
            <w:rPr/>
          </w:pPr>
          <w:hyperlink w:anchor="__RefHeading___Toc2087859_388300464">
            <w:r>
              <w:rPr>
                <w:webHidden/>
                <w:rStyle w:val="IndexLink"/>
                <w:rtl w:val="true"/>
              </w:rPr>
              <w:t>الفقاع</w:t>
            </w:r>
            <w:r>
              <w:rPr>
                <w:rStyle w:val="IndexLink"/>
                <w:rtl w:val="true"/>
              </w:rPr>
              <w:tab/>
            </w:r>
            <w:r>
              <w:rPr>
                <w:rStyle w:val="IndexLink"/>
              </w:rPr>
              <w:t>208</w:t>
            </w:r>
          </w:hyperlink>
        </w:p>
        <w:p>
          <w:pPr>
            <w:pStyle w:val="Contents4"/>
            <w:tabs>
              <w:tab w:val="clear" w:pos="8176"/>
              <w:tab w:val="right" w:pos="9026" w:leader="dot"/>
            </w:tabs>
            <w:rPr/>
          </w:pPr>
          <w:hyperlink w:anchor="__RefHeading___Toc2087861_388300464">
            <w:r>
              <w:rPr>
                <w:webHidden/>
                <w:rStyle w:val="IndexLink"/>
                <w:rtl w:val="true"/>
              </w:rPr>
              <w:t>الکافر</w:t>
            </w:r>
            <w:r>
              <w:rPr>
                <w:rStyle w:val="IndexLink"/>
                <w:rtl w:val="true"/>
              </w:rPr>
              <w:tab/>
            </w:r>
            <w:r>
              <w:rPr>
                <w:rStyle w:val="IndexLink"/>
              </w:rPr>
              <w:t>209</w:t>
            </w:r>
          </w:hyperlink>
        </w:p>
        <w:p>
          <w:pPr>
            <w:pStyle w:val="Contents4"/>
            <w:tabs>
              <w:tab w:val="clear" w:pos="8176"/>
              <w:tab w:val="right" w:pos="9026" w:leader="dot"/>
            </w:tabs>
            <w:rPr/>
          </w:pPr>
          <w:hyperlink w:anchor="__RefHeading___Toc2087863_388300464">
            <w:r>
              <w:rPr>
                <w:webHidden/>
                <w:rStyle w:val="IndexLink"/>
                <w:rtl w:val="true"/>
              </w:rPr>
              <w:t>أدلّة القائلین بطهارته والمناقشة فیها</w:t>
            </w:r>
            <w:r>
              <w:rPr>
                <w:rStyle w:val="IndexLink"/>
                <w:rtl w:val="true"/>
              </w:rPr>
              <w:tab/>
            </w:r>
            <w:r>
              <w:rPr>
                <w:rStyle w:val="IndexLink"/>
              </w:rPr>
              <w:t>211</w:t>
            </w:r>
          </w:hyperlink>
        </w:p>
        <w:p>
          <w:pPr>
            <w:pStyle w:val="Contents4"/>
            <w:tabs>
              <w:tab w:val="clear" w:pos="8176"/>
              <w:tab w:val="right" w:pos="9026" w:leader="dot"/>
            </w:tabs>
            <w:rPr/>
          </w:pPr>
          <w:hyperlink w:anchor="__RefHeading___Toc2087865_388300464">
            <w:r>
              <w:rPr>
                <w:webHidden/>
                <w:rStyle w:val="IndexLink"/>
                <w:rtl w:val="true"/>
              </w:rPr>
              <w:t>حکم عرق الجنب من الحرام</w:t>
            </w:r>
            <w:r>
              <w:rPr>
                <w:rStyle w:val="IndexLink"/>
                <w:rtl w:val="true"/>
              </w:rPr>
              <w:tab/>
            </w:r>
            <w:r>
              <w:rPr>
                <w:rStyle w:val="IndexLink"/>
              </w:rPr>
              <w:t>216</w:t>
            </w:r>
          </w:hyperlink>
        </w:p>
        <w:p>
          <w:pPr>
            <w:pStyle w:val="Contents4"/>
            <w:tabs>
              <w:tab w:val="clear" w:pos="8176"/>
              <w:tab w:val="right" w:pos="9026" w:leader="dot"/>
            </w:tabs>
            <w:rPr/>
          </w:pPr>
          <w:hyperlink w:anchor="__RefHeading___Toc2087867_388300464">
            <w:r>
              <w:rPr>
                <w:webHidden/>
                <w:rStyle w:val="IndexLink"/>
                <w:rtl w:val="true"/>
              </w:rPr>
              <w:t>حکم عرق الإبل الجلالة</w:t>
            </w:r>
            <w:r>
              <w:rPr>
                <w:rStyle w:val="IndexLink"/>
                <w:rtl w:val="true"/>
              </w:rPr>
              <w:tab/>
            </w:r>
            <w:r>
              <w:rPr>
                <w:rStyle w:val="IndexLink"/>
              </w:rPr>
              <w:t>219</w:t>
            </w:r>
          </w:hyperlink>
        </w:p>
        <w:p>
          <w:pPr>
            <w:pStyle w:val="Contents4"/>
            <w:tabs>
              <w:tab w:val="clear" w:pos="8176"/>
              <w:tab w:val="right" w:pos="9026" w:leader="dot"/>
            </w:tabs>
            <w:rPr/>
          </w:pPr>
          <w:hyperlink w:anchor="__RefHeading___Toc2087869_388300464">
            <w:r>
              <w:rPr>
                <w:webHidden/>
                <w:rStyle w:val="IndexLink"/>
                <w:rtl w:val="true"/>
              </w:rPr>
              <w:t>طهارة أبوال البغال والحمیر والدواب</w:t>
            </w:r>
            <w:r>
              <w:rPr>
                <w:rStyle w:val="IndexLink"/>
                <w:rtl w:val="true"/>
              </w:rPr>
              <w:tab/>
            </w:r>
            <w:r>
              <w:rPr>
                <w:rStyle w:val="IndexLink"/>
              </w:rPr>
              <w:t>219</w:t>
            </w:r>
          </w:hyperlink>
        </w:p>
        <w:p>
          <w:pPr>
            <w:pStyle w:val="Contents4"/>
            <w:tabs>
              <w:tab w:val="clear" w:pos="8176"/>
              <w:tab w:val="right" w:pos="9026" w:leader="dot"/>
            </w:tabs>
            <w:rPr/>
          </w:pPr>
          <w:hyperlink w:anchor="__RefHeading___Toc2087871_388300464">
            <w:r>
              <w:rPr>
                <w:webHidden/>
                <w:rStyle w:val="IndexLink"/>
                <w:rtl w:val="true"/>
              </w:rPr>
              <w:t>أدلّة القائلین بعدم النجاسة</w:t>
            </w:r>
            <w:r>
              <w:rPr>
                <w:rStyle w:val="IndexLink"/>
                <w:rtl w:val="true"/>
              </w:rPr>
              <w:tab/>
            </w:r>
            <w:r>
              <w:rPr>
                <w:rStyle w:val="IndexLink"/>
              </w:rPr>
              <w:t>221</w:t>
            </w:r>
          </w:hyperlink>
        </w:p>
        <w:p>
          <w:pPr>
            <w:pStyle w:val="Contents4"/>
            <w:tabs>
              <w:tab w:val="clear" w:pos="8176"/>
              <w:tab w:val="right" w:pos="9026" w:leader="dot"/>
            </w:tabs>
            <w:rPr/>
          </w:pPr>
          <w:hyperlink w:anchor="__RefHeading___Toc2087873_388300464">
            <w:r>
              <w:rPr>
                <w:webHidden/>
                <w:rStyle w:val="IndexLink"/>
                <w:rtl w:val="true"/>
              </w:rPr>
              <w:t>بحث رجالی حول الحکم بن مسکین</w:t>
            </w:r>
            <w:r>
              <w:rPr>
                <w:rStyle w:val="IndexLink"/>
                <w:rtl w:val="true"/>
              </w:rPr>
              <w:tab/>
            </w:r>
            <w:r>
              <w:rPr>
                <w:rStyle w:val="IndexLink"/>
              </w:rPr>
              <w:t>221</w:t>
            </w:r>
          </w:hyperlink>
        </w:p>
        <w:p>
          <w:pPr>
            <w:pStyle w:val="Contents4"/>
            <w:tabs>
              <w:tab w:val="clear" w:pos="8176"/>
              <w:tab w:val="right" w:pos="9026" w:leader="dot"/>
            </w:tabs>
            <w:rPr/>
          </w:pPr>
          <w:hyperlink w:anchor="__RefHeading___Toc2087875_388300464">
            <w:r>
              <w:rPr>
                <w:webHidden/>
                <w:rStyle w:val="IndexLink"/>
                <w:rtl w:val="true"/>
              </w:rPr>
              <w:t>بحث رجالی فی أبی الأغر النخاس</w:t>
            </w:r>
            <w:r>
              <w:rPr>
                <w:rStyle w:val="IndexLink"/>
                <w:rtl w:val="true"/>
              </w:rPr>
              <w:tab/>
            </w:r>
            <w:r>
              <w:rPr>
                <w:rStyle w:val="IndexLink"/>
              </w:rPr>
              <w:t>222</w:t>
            </w:r>
          </w:hyperlink>
        </w:p>
        <w:p>
          <w:pPr>
            <w:pStyle w:val="Contents4"/>
            <w:tabs>
              <w:tab w:val="clear" w:pos="8176"/>
              <w:tab w:val="right" w:pos="9026" w:leader="dot"/>
            </w:tabs>
            <w:rPr/>
          </w:pPr>
          <w:hyperlink w:anchor="__RefHeading___Toc2087877_388300464">
            <w:r>
              <w:rPr>
                <w:webHidden/>
                <w:rStyle w:val="IndexLink"/>
                <w:rtl w:val="true"/>
              </w:rPr>
              <w:t>طهارة أرواث البغال والحمیر والدواب</w:t>
            </w:r>
            <w:r>
              <w:rPr>
                <w:rStyle w:val="IndexLink"/>
                <w:rtl w:val="true"/>
              </w:rPr>
              <w:tab/>
            </w:r>
            <w:r>
              <w:rPr>
                <w:rStyle w:val="IndexLink"/>
              </w:rPr>
              <w:t>222</w:t>
            </w:r>
          </w:hyperlink>
        </w:p>
        <w:p>
          <w:pPr>
            <w:pStyle w:val="Contents3"/>
            <w:tabs>
              <w:tab w:val="clear" w:pos="8459"/>
              <w:tab w:val="right" w:pos="9026" w:leader="dot"/>
            </w:tabs>
            <w:rPr/>
          </w:pPr>
          <w:hyperlink w:anchor="__RefHeading___Toc2087879_388300464">
            <w:r>
              <w:rPr>
                <w:webHidden/>
                <w:rStyle w:val="IndexLink"/>
                <w:rtl w:val="true"/>
              </w:rPr>
              <w:t>أحکام النجاسات</w:t>
            </w:r>
            <w:r>
              <w:rPr>
                <w:rStyle w:val="IndexLink"/>
                <w:rtl w:val="true"/>
              </w:rPr>
              <w:tab/>
            </w:r>
            <w:r>
              <w:rPr>
                <w:rStyle w:val="IndexLink"/>
              </w:rPr>
              <w:t>222</w:t>
            </w:r>
          </w:hyperlink>
        </w:p>
        <w:p>
          <w:pPr>
            <w:pStyle w:val="Contents4"/>
            <w:tabs>
              <w:tab w:val="clear" w:pos="8176"/>
              <w:tab w:val="right" w:pos="9026" w:leader="dot"/>
            </w:tabs>
            <w:rPr/>
          </w:pPr>
          <w:hyperlink w:anchor="__RefHeading___Toc2087881_388300464">
            <w:r>
              <w:rPr>
                <w:webHidden/>
                <w:rStyle w:val="IndexLink"/>
                <w:rtl w:val="true"/>
              </w:rPr>
              <w:t>وجوب إزالة النجاسة عن الثوب والبدن للصلاة ونحوها</w:t>
            </w:r>
            <w:r>
              <w:rPr>
                <w:rStyle w:val="IndexLink"/>
                <w:rtl w:val="true"/>
              </w:rPr>
              <w:tab/>
            </w:r>
            <w:r>
              <w:rPr>
                <w:rStyle w:val="IndexLink"/>
              </w:rPr>
              <w:t>222</w:t>
            </w:r>
          </w:hyperlink>
        </w:p>
        <w:p>
          <w:pPr>
            <w:pStyle w:val="Contents4"/>
            <w:tabs>
              <w:tab w:val="clear" w:pos="8176"/>
              <w:tab w:val="right" w:pos="9026" w:leader="dot"/>
            </w:tabs>
            <w:rPr/>
          </w:pPr>
          <w:hyperlink w:anchor="__RefHeading___Toc2087883_388300464">
            <w:r>
              <w:rPr>
                <w:webHidden/>
                <w:rStyle w:val="IndexLink"/>
                <w:rtl w:val="true"/>
              </w:rPr>
              <w:t>وجوب إزالة النجاسة عن المساجد</w:t>
            </w:r>
            <w:r>
              <w:rPr>
                <w:rStyle w:val="IndexLink"/>
                <w:rtl w:val="true"/>
              </w:rPr>
              <w:tab/>
            </w:r>
            <w:r>
              <w:rPr>
                <w:rStyle w:val="IndexLink"/>
              </w:rPr>
              <w:t>222</w:t>
            </w:r>
          </w:hyperlink>
        </w:p>
        <w:p>
          <w:pPr>
            <w:pStyle w:val="Contents4"/>
            <w:tabs>
              <w:tab w:val="clear" w:pos="8176"/>
              <w:tab w:val="right" w:pos="9026" w:leader="dot"/>
            </w:tabs>
            <w:rPr/>
          </w:pPr>
          <w:hyperlink w:anchor="__RefHeading___Toc2087885_388300464">
            <w:r>
              <w:rPr>
                <w:webHidden/>
                <w:rStyle w:val="IndexLink"/>
                <w:rtl w:val="true"/>
              </w:rPr>
              <w:t>حکم إدخال النجاسة الغیر المتعدیة إلی المسجد أو فرشه</w:t>
            </w:r>
            <w:r>
              <w:rPr>
                <w:rStyle w:val="IndexLink"/>
                <w:rtl w:val="true"/>
              </w:rPr>
              <w:tab/>
            </w:r>
            <w:r>
              <w:rPr>
                <w:rStyle w:val="IndexLink"/>
              </w:rPr>
              <w:t>224</w:t>
            </w:r>
          </w:hyperlink>
        </w:p>
        <w:p>
          <w:pPr>
            <w:pStyle w:val="Contents4"/>
            <w:tabs>
              <w:tab w:val="clear" w:pos="8176"/>
              <w:tab w:val="right" w:pos="9026" w:leader="dot"/>
            </w:tabs>
            <w:rPr/>
          </w:pPr>
          <w:hyperlink w:anchor="__RefHeading___Toc2087887_388300464">
            <w:r>
              <w:rPr>
                <w:webHidden/>
                <w:rStyle w:val="IndexLink"/>
                <w:rtl w:val="true"/>
              </w:rPr>
              <w:t>تحقیق فی أنّ الأمر بالشیء هل یقتضی النهی عن ضدّه أو لا؟</w:t>
            </w:r>
            <w:r>
              <w:rPr>
                <w:rStyle w:val="IndexLink"/>
                <w:rtl w:val="true"/>
              </w:rPr>
              <w:tab/>
            </w:r>
            <w:r>
              <w:rPr>
                <w:rStyle w:val="IndexLink"/>
              </w:rPr>
              <w:t>225</w:t>
            </w:r>
          </w:hyperlink>
        </w:p>
        <w:p>
          <w:pPr>
            <w:pStyle w:val="Contents4"/>
            <w:tabs>
              <w:tab w:val="clear" w:pos="8176"/>
              <w:tab w:val="right" w:pos="9026" w:leader="dot"/>
            </w:tabs>
            <w:rPr/>
          </w:pPr>
          <w:hyperlink w:anchor="__RefHeading___Toc2087889_388300464">
            <w:r>
              <w:rPr>
                <w:webHidden/>
                <w:rStyle w:val="IndexLink"/>
                <w:rtl w:val="true"/>
              </w:rPr>
              <w:t>العفو عما دون الدرهم من الدم فی الصلاة</w:t>
            </w:r>
            <w:r>
              <w:rPr>
                <w:rStyle w:val="IndexLink"/>
                <w:rtl w:val="true"/>
              </w:rPr>
              <w:tab/>
            </w:r>
            <w:r>
              <w:rPr>
                <w:rStyle w:val="IndexLink"/>
              </w:rPr>
              <w:t>227</w:t>
            </w:r>
          </w:hyperlink>
        </w:p>
        <w:p>
          <w:pPr>
            <w:pStyle w:val="Contents4"/>
            <w:tabs>
              <w:tab w:val="clear" w:pos="8176"/>
              <w:tab w:val="right" w:pos="9026" w:leader="dot"/>
            </w:tabs>
            <w:rPr/>
          </w:pPr>
          <w:hyperlink w:anchor="__RefHeading___Toc2087891_388300464">
            <w:r>
              <w:rPr>
                <w:webHidden/>
                <w:rStyle w:val="IndexLink"/>
                <w:rtl w:val="true"/>
              </w:rPr>
              <w:t>عدم العفو عن الدماء الثلاثة فی الصلاة</w:t>
            </w:r>
            <w:r>
              <w:rPr>
                <w:rStyle w:val="IndexLink"/>
                <w:rtl w:val="true"/>
              </w:rPr>
              <w:tab/>
            </w:r>
            <w:r>
              <w:rPr>
                <w:rStyle w:val="IndexLink"/>
              </w:rPr>
              <w:t>229</w:t>
            </w:r>
          </w:hyperlink>
        </w:p>
        <w:p>
          <w:pPr>
            <w:pStyle w:val="Contents4"/>
            <w:tabs>
              <w:tab w:val="clear" w:pos="8176"/>
              <w:tab w:val="right" w:pos="9026" w:leader="dot"/>
            </w:tabs>
            <w:rPr/>
          </w:pPr>
          <w:hyperlink w:anchor="__RefHeading___Toc2087893_388300464">
            <w:r>
              <w:rPr>
                <w:webHidden/>
                <w:rStyle w:val="IndexLink"/>
                <w:rtl w:val="true"/>
              </w:rPr>
              <w:t>حکم الدم المتفرق الذی یبلغ مجموعه الدرهم</w:t>
            </w:r>
            <w:r>
              <w:rPr>
                <w:rStyle w:val="IndexLink"/>
                <w:rtl w:val="true"/>
              </w:rPr>
              <w:tab/>
            </w:r>
            <w:r>
              <w:rPr>
                <w:rStyle w:val="IndexLink"/>
              </w:rPr>
              <w:t>231</w:t>
            </w:r>
          </w:hyperlink>
        </w:p>
        <w:p>
          <w:pPr>
            <w:pStyle w:val="Contents4"/>
            <w:tabs>
              <w:tab w:val="clear" w:pos="8176"/>
              <w:tab w:val="right" w:pos="9026" w:leader="dot"/>
            </w:tabs>
            <w:rPr/>
          </w:pPr>
          <w:hyperlink w:anchor="__RefHeading___Toc2087895_388300464">
            <w:r>
              <w:rPr>
                <w:webHidden/>
                <w:rStyle w:val="IndexLink"/>
                <w:rtl w:val="true"/>
              </w:rPr>
              <w:t>جواز الصلاة فیما لا تتم الصلاة فیه مع نجاسته</w:t>
            </w:r>
            <w:r>
              <w:rPr>
                <w:rStyle w:val="IndexLink"/>
                <w:rtl w:val="true"/>
              </w:rPr>
              <w:tab/>
            </w:r>
            <w:r>
              <w:rPr>
                <w:rStyle w:val="IndexLink"/>
              </w:rPr>
              <w:t>232</w:t>
            </w:r>
          </w:hyperlink>
        </w:p>
        <w:p>
          <w:pPr>
            <w:pStyle w:val="Contents4"/>
            <w:tabs>
              <w:tab w:val="clear" w:pos="8176"/>
              <w:tab w:val="right" w:pos="9026" w:leader="dot"/>
            </w:tabs>
            <w:rPr/>
          </w:pPr>
          <w:hyperlink w:anchor="__RefHeading___Toc2087897_388300464">
            <w:r>
              <w:rPr>
                <w:webHidden/>
                <w:rStyle w:val="IndexLink"/>
                <w:rtl w:val="true"/>
              </w:rPr>
              <w:t>حکم من جبر عظمه بعظم نجس</w:t>
            </w:r>
            <w:r>
              <w:rPr>
                <w:rStyle w:val="IndexLink"/>
                <w:rtl w:val="true"/>
              </w:rPr>
              <w:tab/>
            </w:r>
            <w:r>
              <w:rPr>
                <w:rStyle w:val="IndexLink"/>
              </w:rPr>
              <w:t>233</w:t>
            </w:r>
          </w:hyperlink>
        </w:p>
        <w:p>
          <w:pPr>
            <w:pStyle w:val="Contents4"/>
            <w:tabs>
              <w:tab w:val="clear" w:pos="8176"/>
              <w:tab w:val="right" w:pos="9026" w:leader="dot"/>
            </w:tabs>
            <w:rPr/>
          </w:pPr>
          <w:hyperlink w:anchor="__RefHeading___Toc2087899_388300464">
            <w:r>
              <w:rPr>
                <w:webHidden/>
                <w:rStyle w:val="IndexLink"/>
                <w:rtl w:val="true"/>
              </w:rPr>
              <w:t>وجوب عصر الثیاب من النجاسات</w:t>
            </w:r>
            <w:r>
              <w:rPr>
                <w:rStyle w:val="IndexLink"/>
                <w:rtl w:val="true"/>
              </w:rPr>
              <w:tab/>
            </w:r>
            <w:r>
              <w:rPr>
                <w:rStyle w:val="IndexLink"/>
              </w:rPr>
              <w:t>234</w:t>
            </w:r>
          </w:hyperlink>
        </w:p>
        <w:p>
          <w:pPr>
            <w:pStyle w:val="Contents4"/>
            <w:tabs>
              <w:tab w:val="clear" w:pos="8176"/>
              <w:tab w:val="right" w:pos="9026" w:leader="dot"/>
            </w:tabs>
            <w:rPr/>
          </w:pPr>
          <w:hyperlink w:anchor="__RefHeading___Toc2087901_388300464">
            <w:r>
              <w:rPr>
                <w:webHidden/>
                <w:rStyle w:val="IndexLink"/>
                <w:rtl w:val="true"/>
              </w:rPr>
              <w:t>وجوب دلک الصلب فی تطهیره</w:t>
            </w:r>
            <w:r>
              <w:rPr>
                <w:rStyle w:val="IndexLink"/>
                <w:rtl w:val="true"/>
              </w:rPr>
              <w:tab/>
            </w:r>
            <w:r>
              <w:rPr>
                <w:rStyle w:val="IndexLink"/>
              </w:rPr>
              <w:t>240</w:t>
            </w:r>
          </w:hyperlink>
        </w:p>
        <w:p>
          <w:pPr>
            <w:pStyle w:val="Contents4"/>
            <w:tabs>
              <w:tab w:val="clear" w:pos="8176"/>
              <w:tab w:val="right" w:pos="9026" w:leader="dot"/>
            </w:tabs>
            <w:rPr/>
          </w:pPr>
          <w:hyperlink w:anchor="__RefHeading___Toc2087903_388300464">
            <w:r>
              <w:rPr>
                <w:webHidden/>
                <w:rStyle w:val="IndexLink"/>
                <w:rtl w:val="true"/>
              </w:rPr>
              <w:t>حکم ما یعسر عصره</w:t>
            </w:r>
            <w:r>
              <w:rPr>
                <w:rStyle w:val="IndexLink"/>
                <w:rtl w:val="true"/>
              </w:rPr>
              <w:tab/>
            </w:r>
            <w:r>
              <w:rPr>
                <w:rStyle w:val="IndexLink"/>
              </w:rPr>
              <w:t>240</w:t>
            </w:r>
          </w:hyperlink>
        </w:p>
        <w:p>
          <w:pPr>
            <w:pStyle w:val="Contents4"/>
            <w:tabs>
              <w:tab w:val="clear" w:pos="8176"/>
              <w:tab w:val="right" w:pos="9026" w:leader="dot"/>
            </w:tabs>
            <w:rPr/>
          </w:pPr>
          <w:hyperlink w:anchor="__RefHeading___Toc2087905_388300464">
            <w:r>
              <w:rPr>
                <w:webHidden/>
                <w:rStyle w:val="IndexLink"/>
                <w:rtl w:val="true"/>
              </w:rPr>
              <w:t>حکم الصابون وأمثاله إذا تنجس</w:t>
            </w:r>
            <w:r>
              <w:rPr>
                <w:rStyle w:val="IndexLink"/>
                <w:rtl w:val="true"/>
              </w:rPr>
              <w:tab/>
            </w:r>
            <w:r>
              <w:rPr>
                <w:rStyle w:val="IndexLink"/>
              </w:rPr>
              <w:t>242</w:t>
            </w:r>
          </w:hyperlink>
        </w:p>
        <w:p>
          <w:pPr>
            <w:pStyle w:val="Contents4"/>
            <w:tabs>
              <w:tab w:val="clear" w:pos="8176"/>
              <w:tab w:val="right" w:pos="9026" w:leader="dot"/>
            </w:tabs>
            <w:rPr/>
          </w:pPr>
          <w:hyperlink w:anchor="__RefHeading___Toc2087907_388300464">
            <w:r>
              <w:rPr>
                <w:webHidden/>
                <w:rStyle w:val="IndexLink"/>
                <w:rtl w:val="true"/>
              </w:rPr>
              <w:t>عدم وجوب العصر فی بول الصبی</w:t>
            </w:r>
            <w:r>
              <w:rPr>
                <w:rStyle w:val="IndexLink"/>
                <w:rtl w:val="true"/>
              </w:rPr>
              <w:tab/>
            </w:r>
            <w:r>
              <w:rPr>
                <w:rStyle w:val="IndexLink"/>
              </w:rPr>
              <w:t>244</w:t>
            </w:r>
          </w:hyperlink>
        </w:p>
        <w:p>
          <w:pPr>
            <w:pStyle w:val="Contents4"/>
            <w:tabs>
              <w:tab w:val="clear" w:pos="8176"/>
              <w:tab w:val="right" w:pos="9026" w:leader="dot"/>
            </w:tabs>
            <w:rPr/>
          </w:pPr>
          <w:hyperlink w:anchor="__RefHeading___Toc2087909_388300464">
            <w:r>
              <w:rPr>
                <w:webHidden/>
                <w:rStyle w:val="IndexLink"/>
                <w:rtl w:val="true"/>
              </w:rPr>
              <w:t>لزوم غسل أطراف الشبهة المحصورة</w:t>
            </w:r>
            <w:r>
              <w:rPr>
                <w:rStyle w:val="IndexLink"/>
                <w:rtl w:val="true"/>
              </w:rPr>
              <w:tab/>
            </w:r>
            <w:r>
              <w:rPr>
                <w:rStyle w:val="IndexLink"/>
              </w:rPr>
              <w:t>246</w:t>
            </w:r>
          </w:hyperlink>
        </w:p>
        <w:p>
          <w:pPr>
            <w:pStyle w:val="Contents4"/>
            <w:tabs>
              <w:tab w:val="clear" w:pos="8176"/>
              <w:tab w:val="right" w:pos="9026" w:leader="dot"/>
            </w:tabs>
            <w:rPr/>
          </w:pPr>
          <w:hyperlink w:anchor="__RefHeading___Toc2087911_388300464">
            <w:r>
              <w:rPr>
                <w:webHidden/>
                <w:rStyle w:val="IndexLink"/>
                <w:rtl w:val="true"/>
              </w:rPr>
              <w:t>اعتبار التعدد فی غسل الثوب من البول</w:t>
            </w:r>
            <w:r>
              <w:rPr>
                <w:rStyle w:val="IndexLink"/>
                <w:rtl w:val="true"/>
              </w:rPr>
              <w:tab/>
            </w:r>
            <w:r>
              <w:rPr>
                <w:rStyle w:val="IndexLink"/>
              </w:rPr>
              <w:t>247</w:t>
            </w:r>
          </w:hyperlink>
        </w:p>
        <w:p>
          <w:pPr>
            <w:pStyle w:val="Contents4"/>
            <w:tabs>
              <w:tab w:val="clear" w:pos="8176"/>
              <w:tab w:val="right" w:pos="9026" w:leader="dot"/>
            </w:tabs>
            <w:rPr/>
          </w:pPr>
          <w:hyperlink w:anchor="__RefHeading___Toc2087913_388300464">
            <w:r>
              <w:rPr>
                <w:webHidden/>
                <w:rStyle w:val="IndexLink"/>
                <w:rtl w:val="true"/>
              </w:rPr>
              <w:t>عدم وجوب إزالة اللون والرائحة</w:t>
            </w:r>
            <w:r>
              <w:rPr>
                <w:rStyle w:val="IndexLink"/>
                <w:rtl w:val="true"/>
              </w:rPr>
              <w:tab/>
            </w:r>
            <w:r>
              <w:rPr>
                <w:rStyle w:val="IndexLink"/>
              </w:rPr>
              <w:t>248</w:t>
            </w:r>
          </w:hyperlink>
        </w:p>
        <w:p>
          <w:pPr>
            <w:pStyle w:val="Contents4"/>
            <w:tabs>
              <w:tab w:val="clear" w:pos="8176"/>
              <w:tab w:val="right" w:pos="9026" w:leader="dot"/>
            </w:tabs>
            <w:rPr/>
          </w:pPr>
          <w:hyperlink w:anchor="__RefHeading___Toc2087915_388300464">
            <w:r>
              <w:rPr>
                <w:webHidden/>
                <w:rStyle w:val="IndexLink"/>
                <w:rtl w:val="true"/>
              </w:rPr>
              <w:t>حکم من أخلّ بإزالة النجاسة عن ثوبه أو بدنه فصلّی</w:t>
            </w:r>
            <w:r>
              <w:rPr>
                <w:rStyle w:val="IndexLink"/>
                <w:rtl w:val="true"/>
              </w:rPr>
              <w:tab/>
            </w:r>
            <w:r>
              <w:rPr>
                <w:rStyle w:val="IndexLink"/>
              </w:rPr>
              <w:t>249</w:t>
            </w:r>
          </w:hyperlink>
        </w:p>
        <w:p>
          <w:pPr>
            <w:pStyle w:val="Contents4"/>
            <w:tabs>
              <w:tab w:val="clear" w:pos="8176"/>
              <w:tab w:val="right" w:pos="9026" w:leader="dot"/>
            </w:tabs>
            <w:rPr/>
          </w:pPr>
          <w:hyperlink w:anchor="__RefHeading___Toc2087917_388300464">
            <w:r>
              <w:rPr>
                <w:webHidden/>
                <w:rStyle w:val="IndexLink"/>
                <w:rtl w:val="true"/>
              </w:rPr>
              <w:t>عدم وجوب الإعادة والقضاء مع الجهل بالنجاسة حتّی فرغ من صلاته</w:t>
            </w:r>
            <w:r>
              <w:rPr>
                <w:rStyle w:val="IndexLink"/>
                <w:rtl w:val="true"/>
              </w:rPr>
              <w:tab/>
            </w:r>
            <w:r>
              <w:rPr>
                <w:rStyle w:val="IndexLink"/>
              </w:rPr>
              <w:t>256</w:t>
            </w:r>
          </w:hyperlink>
        </w:p>
        <w:p>
          <w:pPr>
            <w:pStyle w:val="Contents4"/>
            <w:tabs>
              <w:tab w:val="clear" w:pos="8176"/>
              <w:tab w:val="right" w:pos="9026" w:leader="dot"/>
            </w:tabs>
            <w:rPr/>
          </w:pPr>
          <w:hyperlink w:anchor="__RefHeading___Toc2087919_388300464">
            <w:r>
              <w:rPr>
                <w:webHidden/>
                <w:rStyle w:val="IndexLink"/>
                <w:rtl w:val="true"/>
              </w:rPr>
              <w:t>حکم رؤیة النجاسة فی أثناء الصلاة مع العلم بسبقها</w:t>
            </w:r>
            <w:r>
              <w:rPr>
                <w:rStyle w:val="IndexLink"/>
                <w:rtl w:val="true"/>
              </w:rPr>
              <w:tab/>
            </w:r>
            <w:r>
              <w:rPr>
                <w:rStyle w:val="IndexLink"/>
              </w:rPr>
              <w:t>258</w:t>
            </w:r>
          </w:hyperlink>
        </w:p>
        <w:p>
          <w:pPr>
            <w:pStyle w:val="Contents4"/>
            <w:tabs>
              <w:tab w:val="clear" w:pos="8176"/>
              <w:tab w:val="right" w:pos="9026" w:leader="dot"/>
            </w:tabs>
            <w:rPr/>
          </w:pPr>
          <w:hyperlink w:anchor="__RefHeading___Toc2087921_388300464">
            <w:r>
              <w:rPr>
                <w:webHidden/>
                <w:rStyle w:val="IndexLink"/>
                <w:rtl w:val="true"/>
              </w:rPr>
              <w:t>حکم رؤیة النجاسة فی أثناء الصلاة مع عدم العلم بسبقها</w:t>
            </w:r>
            <w:r>
              <w:rPr>
                <w:rStyle w:val="IndexLink"/>
                <w:rtl w:val="true"/>
              </w:rPr>
              <w:tab/>
            </w:r>
            <w:r>
              <w:rPr>
                <w:rStyle w:val="IndexLink"/>
              </w:rPr>
              <w:t>260</w:t>
            </w:r>
          </w:hyperlink>
        </w:p>
        <w:p>
          <w:pPr>
            <w:pStyle w:val="Contents4"/>
            <w:tabs>
              <w:tab w:val="clear" w:pos="8176"/>
              <w:tab w:val="right" w:pos="9026" w:leader="dot"/>
            </w:tabs>
            <w:rPr/>
          </w:pPr>
          <w:hyperlink w:anchor="__RefHeading___Toc2087923_388300464">
            <w:r>
              <w:rPr>
                <w:webHidden/>
                <w:rStyle w:val="IndexLink"/>
                <w:rtl w:val="true"/>
              </w:rPr>
              <w:t>حکم رؤیة النجاسة فی أثناء الصلاة مع ضیق الوقت</w:t>
            </w:r>
            <w:r>
              <w:rPr>
                <w:rStyle w:val="IndexLink"/>
                <w:rtl w:val="true"/>
              </w:rPr>
              <w:tab/>
            </w:r>
            <w:r>
              <w:rPr>
                <w:rStyle w:val="IndexLink"/>
              </w:rPr>
              <w:t>260</w:t>
            </w:r>
          </w:hyperlink>
        </w:p>
        <w:p>
          <w:pPr>
            <w:pStyle w:val="Contents4"/>
            <w:tabs>
              <w:tab w:val="clear" w:pos="8176"/>
              <w:tab w:val="right" w:pos="9026" w:leader="dot"/>
            </w:tabs>
            <w:rPr/>
          </w:pPr>
          <w:hyperlink w:anchor="__RefHeading___Toc2087925_388300464">
            <w:r>
              <w:rPr>
                <w:webHidden/>
                <w:rStyle w:val="IndexLink"/>
                <w:rtl w:val="true"/>
              </w:rPr>
              <w:t>المربیّة للصبی إذا لم یکن لها ثوب تغسل ثوبها مرّة بالیوم</w:t>
            </w:r>
            <w:r>
              <w:rPr>
                <w:rStyle w:val="IndexLink"/>
                <w:rtl w:val="true"/>
              </w:rPr>
              <w:tab/>
            </w:r>
            <w:r>
              <w:rPr>
                <w:rStyle w:val="IndexLink"/>
              </w:rPr>
              <w:t>261</w:t>
            </w:r>
          </w:hyperlink>
        </w:p>
        <w:p>
          <w:pPr>
            <w:pStyle w:val="Contents4"/>
            <w:tabs>
              <w:tab w:val="clear" w:pos="8176"/>
              <w:tab w:val="right" w:pos="9026" w:leader="dot"/>
            </w:tabs>
            <w:rPr/>
          </w:pPr>
          <w:hyperlink w:anchor="__RefHeading___Toc2087927_388300464">
            <w:r>
              <w:rPr>
                <w:webHidden/>
                <w:rStyle w:val="IndexLink"/>
                <w:rtl w:val="true"/>
              </w:rPr>
              <w:t>حکم الصلاة فی الثوب المشتبه بالنجس</w:t>
            </w:r>
            <w:r>
              <w:rPr>
                <w:rStyle w:val="IndexLink"/>
                <w:rtl w:val="true"/>
              </w:rPr>
              <w:tab/>
            </w:r>
            <w:r>
              <w:rPr>
                <w:rStyle w:val="IndexLink"/>
              </w:rPr>
              <w:t>262</w:t>
            </w:r>
          </w:hyperlink>
        </w:p>
        <w:p>
          <w:pPr>
            <w:pStyle w:val="Contents4"/>
            <w:tabs>
              <w:tab w:val="clear" w:pos="8176"/>
              <w:tab w:val="right" w:pos="9026" w:leader="dot"/>
            </w:tabs>
            <w:rPr/>
          </w:pPr>
          <w:hyperlink w:anchor="__RefHeading___Toc2087929_388300464">
            <w:r>
              <w:rPr>
                <w:webHidden/>
                <w:rStyle w:val="IndexLink"/>
                <w:rtl w:val="true"/>
              </w:rPr>
              <w:t>حکم من لیس له ثوب طاهر</w:t>
            </w:r>
            <w:r>
              <w:rPr>
                <w:rStyle w:val="IndexLink"/>
                <w:rtl w:val="true"/>
              </w:rPr>
              <w:tab/>
            </w:r>
            <w:r>
              <w:rPr>
                <w:rStyle w:val="IndexLink"/>
              </w:rPr>
              <w:t>264</w:t>
            </w:r>
          </w:hyperlink>
        </w:p>
        <w:p>
          <w:pPr>
            <w:pStyle w:val="Contents2"/>
            <w:tabs>
              <w:tab w:val="clear" w:pos="8743"/>
              <w:tab w:val="right" w:pos="9026" w:leader="dot"/>
            </w:tabs>
            <w:rPr/>
          </w:pPr>
          <w:hyperlink w:anchor="__RefHeading___Toc2087931_388300464">
            <w:r>
              <w:rPr>
                <w:webHidden/>
                <w:rStyle w:val="IndexLink"/>
                <w:rtl w:val="true"/>
              </w:rPr>
              <w:t>المطهرات</w:t>
            </w:r>
            <w:r>
              <w:rPr>
                <w:rStyle w:val="IndexLink"/>
                <w:rtl w:val="true"/>
              </w:rPr>
              <w:tab/>
            </w:r>
            <w:r>
              <w:rPr>
                <w:rStyle w:val="IndexLink"/>
              </w:rPr>
              <w:t>266</w:t>
            </w:r>
          </w:hyperlink>
        </w:p>
        <w:p>
          <w:pPr>
            <w:pStyle w:val="Contents3"/>
            <w:tabs>
              <w:tab w:val="clear" w:pos="8459"/>
              <w:tab w:val="right" w:pos="9026" w:leader="dot"/>
            </w:tabs>
            <w:rPr/>
          </w:pPr>
          <w:hyperlink w:anchor="__RefHeading___Toc2087933_388300464">
            <w:r>
              <w:rPr>
                <w:webHidden/>
                <w:rStyle w:val="IndexLink"/>
                <w:rtl w:val="true"/>
              </w:rPr>
              <w:t>مطهریة الشمس وموردها</w:t>
            </w:r>
            <w:r>
              <w:rPr>
                <w:rStyle w:val="IndexLink"/>
                <w:rtl w:val="true"/>
              </w:rPr>
              <w:tab/>
            </w:r>
            <w:r>
              <w:rPr>
                <w:rStyle w:val="IndexLink"/>
              </w:rPr>
              <w:t>266</w:t>
            </w:r>
          </w:hyperlink>
        </w:p>
        <w:p>
          <w:pPr>
            <w:pStyle w:val="Contents3"/>
            <w:tabs>
              <w:tab w:val="clear" w:pos="8459"/>
              <w:tab w:val="right" w:pos="9026" w:leader="dot"/>
            </w:tabs>
            <w:rPr/>
          </w:pPr>
          <w:hyperlink w:anchor="__RefHeading___Toc2087935_388300464">
            <w:r>
              <w:rPr>
                <w:webHidden/>
                <w:rStyle w:val="IndexLink"/>
                <w:rtl w:val="true"/>
              </w:rPr>
              <w:t>حکم الجفاف بغیر الشمس من ریح أو غیرها</w:t>
            </w:r>
            <w:r>
              <w:rPr>
                <w:rStyle w:val="IndexLink"/>
                <w:rtl w:val="true"/>
              </w:rPr>
              <w:tab/>
            </w:r>
            <w:r>
              <w:rPr>
                <w:rStyle w:val="IndexLink"/>
              </w:rPr>
              <w:t>284</w:t>
            </w:r>
          </w:hyperlink>
        </w:p>
        <w:p>
          <w:pPr>
            <w:pStyle w:val="Contents3"/>
            <w:tabs>
              <w:tab w:val="clear" w:pos="8459"/>
              <w:tab w:val="right" w:pos="9026" w:leader="dot"/>
            </w:tabs>
            <w:rPr/>
          </w:pPr>
          <w:hyperlink w:anchor="__RefHeading___Toc2087937_388300464">
            <w:r>
              <w:rPr>
                <w:webHidden/>
                <w:rStyle w:val="IndexLink"/>
                <w:rtl w:val="true"/>
              </w:rPr>
              <w:t>مطهریة الاستحالة بالنار وغیرها</w:t>
            </w:r>
            <w:r>
              <w:rPr>
                <w:rStyle w:val="IndexLink"/>
                <w:rtl w:val="true"/>
              </w:rPr>
              <w:tab/>
            </w:r>
            <w:r>
              <w:rPr>
                <w:rStyle w:val="IndexLink"/>
              </w:rPr>
              <w:t>286</w:t>
            </w:r>
          </w:hyperlink>
        </w:p>
        <w:p>
          <w:pPr>
            <w:pStyle w:val="Contents3"/>
            <w:tabs>
              <w:tab w:val="clear" w:pos="8459"/>
              <w:tab w:val="right" w:pos="9026" w:leader="dot"/>
            </w:tabs>
            <w:rPr/>
          </w:pPr>
          <w:hyperlink w:anchor="__RefHeading___Toc2087939_388300464">
            <w:r>
              <w:rPr>
                <w:webHidden/>
                <w:rStyle w:val="IndexLink"/>
                <w:rtl w:val="true"/>
              </w:rPr>
              <w:t>حکم اللبن المضروب من طین نجس</w:t>
            </w:r>
            <w:r>
              <w:rPr>
                <w:rStyle w:val="IndexLink"/>
                <w:rtl w:val="true"/>
              </w:rPr>
              <w:tab/>
            </w:r>
            <w:r>
              <w:rPr>
                <w:rStyle w:val="IndexLink"/>
              </w:rPr>
              <w:t>287</w:t>
            </w:r>
          </w:hyperlink>
        </w:p>
        <w:p>
          <w:pPr>
            <w:pStyle w:val="Contents3"/>
            <w:tabs>
              <w:tab w:val="clear" w:pos="8459"/>
              <w:tab w:val="right" w:pos="9026" w:leader="dot"/>
            </w:tabs>
            <w:rPr/>
          </w:pPr>
          <w:hyperlink w:anchor="__RefHeading___Toc2087941_388300464">
            <w:r>
              <w:rPr>
                <w:webHidden/>
                <w:rStyle w:val="IndexLink"/>
                <w:rtl w:val="true"/>
              </w:rPr>
              <w:t>حکم العجین النجس</w:t>
            </w:r>
            <w:r>
              <w:rPr>
                <w:rStyle w:val="IndexLink"/>
                <w:rtl w:val="true"/>
              </w:rPr>
              <w:tab/>
            </w:r>
            <w:r>
              <w:rPr>
                <w:rStyle w:val="IndexLink"/>
              </w:rPr>
              <w:t>288</w:t>
            </w:r>
          </w:hyperlink>
        </w:p>
        <w:p>
          <w:pPr>
            <w:pStyle w:val="Contents3"/>
            <w:tabs>
              <w:tab w:val="clear" w:pos="8459"/>
              <w:tab w:val="right" w:pos="9026" w:leader="dot"/>
            </w:tabs>
            <w:rPr/>
          </w:pPr>
          <w:hyperlink w:anchor="__RefHeading___Toc2087943_388300464">
            <w:r>
              <w:rPr>
                <w:webHidden/>
                <w:rStyle w:val="IndexLink"/>
                <w:rtl w:val="true"/>
              </w:rPr>
              <w:t>مطهریة الأرض</w:t>
            </w:r>
            <w:r>
              <w:rPr>
                <w:rStyle w:val="IndexLink"/>
                <w:rtl w:val="true"/>
              </w:rPr>
              <w:tab/>
            </w:r>
            <w:r>
              <w:rPr>
                <w:rStyle w:val="IndexLink"/>
              </w:rPr>
              <w:t>289</w:t>
            </w:r>
          </w:hyperlink>
        </w:p>
        <w:p>
          <w:pPr>
            <w:pStyle w:val="Contents3"/>
            <w:tabs>
              <w:tab w:val="clear" w:pos="8459"/>
              <w:tab w:val="right" w:pos="9026" w:leader="dot"/>
            </w:tabs>
            <w:rPr/>
          </w:pPr>
          <w:hyperlink w:anchor="__RefHeading___Toc2087945_388300464">
            <w:r>
              <w:rPr>
                <w:webHidden/>
                <w:rStyle w:val="IndexLink"/>
                <w:rtl w:val="true"/>
              </w:rPr>
              <w:t>تطهر الأرض باطن الخف والقدم</w:t>
            </w:r>
            <w:r>
              <w:rPr>
                <w:rStyle w:val="IndexLink"/>
                <w:rtl w:val="true"/>
              </w:rPr>
              <w:tab/>
            </w:r>
            <w:r>
              <w:rPr>
                <w:rStyle w:val="IndexLink"/>
              </w:rPr>
              <w:t>289</w:t>
            </w:r>
          </w:hyperlink>
        </w:p>
        <w:p>
          <w:pPr>
            <w:pStyle w:val="Contents3"/>
            <w:tabs>
              <w:tab w:val="clear" w:pos="8459"/>
              <w:tab w:val="right" w:pos="9026" w:leader="dot"/>
            </w:tabs>
            <w:rPr/>
          </w:pPr>
          <w:hyperlink w:anchor="__RefHeading___Toc2087947_388300464">
            <w:r>
              <w:rPr>
                <w:webHidden/>
                <w:rStyle w:val="IndexLink"/>
                <w:rtl w:val="true"/>
              </w:rPr>
              <w:t>حکم ماء الغیث الواقع علی النجاسة</w:t>
            </w:r>
            <w:r>
              <w:rPr>
                <w:rStyle w:val="IndexLink"/>
                <w:rtl w:val="true"/>
              </w:rPr>
              <w:tab/>
            </w:r>
            <w:r>
              <w:rPr>
                <w:rStyle w:val="IndexLink"/>
              </w:rPr>
              <w:t>290</w:t>
            </w:r>
          </w:hyperlink>
        </w:p>
        <w:p>
          <w:pPr>
            <w:pStyle w:val="Contents2"/>
            <w:tabs>
              <w:tab w:val="clear" w:pos="8743"/>
              <w:tab w:val="right" w:pos="9026" w:leader="dot"/>
            </w:tabs>
            <w:rPr/>
          </w:pPr>
          <w:hyperlink w:anchor="__RefHeading___Toc2087949_388300464">
            <w:r>
              <w:rPr>
                <w:webHidden/>
                <w:rStyle w:val="IndexLink"/>
                <w:rtl w:val="true"/>
              </w:rPr>
              <w:t>الأوانی والجلود</w:t>
            </w:r>
            <w:r>
              <w:rPr>
                <w:rStyle w:val="IndexLink"/>
                <w:rtl w:val="true"/>
              </w:rPr>
              <w:tab/>
            </w:r>
            <w:r>
              <w:rPr>
                <w:rStyle w:val="IndexLink"/>
              </w:rPr>
              <w:t>291</w:t>
            </w:r>
          </w:hyperlink>
        </w:p>
        <w:p>
          <w:pPr>
            <w:pStyle w:val="Contents3"/>
            <w:tabs>
              <w:tab w:val="clear" w:pos="8459"/>
              <w:tab w:val="right" w:pos="9026" w:leader="dot"/>
            </w:tabs>
            <w:rPr/>
          </w:pPr>
          <w:hyperlink w:anchor="__RefHeading___Toc2087951_388300464">
            <w:r>
              <w:rPr>
                <w:webHidden/>
                <w:rStyle w:val="IndexLink"/>
                <w:rtl w:val="true"/>
              </w:rPr>
              <w:t>حرمة الأکل والشرب فی آنیة الذهب والفضة</w:t>
            </w:r>
            <w:r>
              <w:rPr>
                <w:rStyle w:val="IndexLink"/>
                <w:rtl w:val="true"/>
              </w:rPr>
              <w:tab/>
            </w:r>
            <w:r>
              <w:rPr>
                <w:rStyle w:val="IndexLink"/>
              </w:rPr>
              <w:t>291</w:t>
            </w:r>
          </w:hyperlink>
        </w:p>
        <w:p>
          <w:pPr>
            <w:pStyle w:val="Contents3"/>
            <w:tabs>
              <w:tab w:val="clear" w:pos="8459"/>
              <w:tab w:val="right" w:pos="9026" w:leader="dot"/>
            </w:tabs>
            <w:rPr/>
          </w:pPr>
          <w:hyperlink w:anchor="__RefHeading___Toc2087953_388300464">
            <w:r>
              <w:rPr>
                <w:webHidden/>
                <w:rStyle w:val="IndexLink"/>
                <w:rtl w:val="true"/>
              </w:rPr>
              <w:t>کراهة استعمال الإناء المفضّض</w:t>
            </w:r>
            <w:r>
              <w:rPr>
                <w:rStyle w:val="IndexLink"/>
                <w:rtl w:val="true"/>
              </w:rPr>
              <w:tab/>
            </w:r>
            <w:r>
              <w:rPr>
                <w:rStyle w:val="IndexLink"/>
              </w:rPr>
              <w:t>292</w:t>
            </w:r>
          </w:hyperlink>
        </w:p>
        <w:p>
          <w:pPr>
            <w:pStyle w:val="Contents3"/>
            <w:tabs>
              <w:tab w:val="clear" w:pos="8459"/>
              <w:tab w:val="right" w:pos="9026" w:leader="dot"/>
            </w:tabs>
            <w:rPr/>
          </w:pPr>
          <w:hyperlink w:anchor="__RefHeading___Toc2087955_388300464">
            <w:r>
              <w:rPr>
                <w:webHidden/>
                <w:rStyle w:val="IndexLink"/>
                <w:rtl w:val="true"/>
              </w:rPr>
              <w:t>کراهة استعمال الأوانی الخشبیّة ونحوها</w:t>
            </w:r>
            <w:r>
              <w:rPr>
                <w:rStyle w:val="IndexLink"/>
                <w:rtl w:val="true"/>
              </w:rPr>
              <w:tab/>
            </w:r>
            <w:r>
              <w:rPr>
                <w:rStyle w:val="IndexLink"/>
              </w:rPr>
              <w:t>293</w:t>
            </w:r>
          </w:hyperlink>
        </w:p>
        <w:p>
          <w:pPr>
            <w:pStyle w:val="Contents3"/>
            <w:tabs>
              <w:tab w:val="clear" w:pos="8459"/>
              <w:tab w:val="right" w:pos="9026" w:leader="dot"/>
            </w:tabs>
            <w:rPr/>
          </w:pPr>
          <w:hyperlink w:anchor="__RefHeading___Toc2087957_388300464">
            <w:r>
              <w:rPr>
                <w:webHidden/>
                <w:rStyle w:val="IndexLink"/>
                <w:rtl w:val="true"/>
              </w:rPr>
              <w:t>حکم الإناء الذی ولغ فیه الکلب</w:t>
            </w:r>
            <w:r>
              <w:rPr>
                <w:rStyle w:val="IndexLink"/>
                <w:rtl w:val="true"/>
              </w:rPr>
              <w:tab/>
            </w:r>
            <w:r>
              <w:rPr>
                <w:rStyle w:val="IndexLink"/>
              </w:rPr>
              <w:t>294</w:t>
            </w:r>
          </w:hyperlink>
        </w:p>
        <w:p>
          <w:pPr>
            <w:pStyle w:val="Contents3"/>
            <w:tabs>
              <w:tab w:val="clear" w:pos="8459"/>
              <w:tab w:val="right" w:pos="9026" w:leader="dot"/>
            </w:tabs>
            <w:rPr/>
          </w:pPr>
          <w:hyperlink w:anchor="__RefHeading___Toc2087959_388300464">
            <w:r>
              <w:rPr>
                <w:webHidden/>
                <w:rStyle w:val="IndexLink"/>
                <w:rtl w:val="true"/>
              </w:rPr>
              <w:t>وجوب غسل الإناء من الخمر ثلاث مرّات</w:t>
            </w:r>
            <w:r>
              <w:rPr>
                <w:rStyle w:val="IndexLink"/>
                <w:rtl w:val="true"/>
              </w:rPr>
              <w:tab/>
            </w:r>
            <w:r>
              <w:rPr>
                <w:rStyle w:val="IndexLink"/>
              </w:rPr>
              <w:t>296</w:t>
            </w:r>
          </w:hyperlink>
        </w:p>
        <w:p>
          <w:pPr>
            <w:pStyle w:val="Contents3"/>
            <w:tabs>
              <w:tab w:val="clear" w:pos="8459"/>
              <w:tab w:val="right" w:pos="9026" w:leader="dot"/>
            </w:tabs>
            <w:rPr/>
          </w:pPr>
          <w:hyperlink w:anchor="__RefHeading___Toc2087961_388300464">
            <w:r>
              <w:rPr>
                <w:webHidden/>
                <w:rStyle w:val="IndexLink"/>
                <w:rtl w:val="true"/>
              </w:rPr>
              <w:t>حکم التعدد فی غسل الإناء من سائر النجاسات</w:t>
            </w:r>
            <w:r>
              <w:rPr>
                <w:rStyle w:val="IndexLink"/>
                <w:rtl w:val="true"/>
              </w:rPr>
              <w:tab/>
            </w:r>
            <w:r>
              <w:rPr>
                <w:rStyle w:val="IndexLink"/>
              </w:rPr>
              <w:t>296</w:t>
            </w:r>
          </w:hyperlink>
        </w:p>
        <w:p>
          <w:pPr>
            <w:pStyle w:val="Contents2"/>
            <w:tabs>
              <w:tab w:val="clear" w:pos="8743"/>
              <w:tab w:val="right" w:pos="9026" w:leader="dot"/>
            </w:tabs>
            <w:rPr/>
          </w:pPr>
          <w:hyperlink w:anchor="__RefHeading___Toc2087963_388300464">
            <w:r>
              <w:rPr>
                <w:webHidden/>
                <w:rStyle w:val="IndexLink"/>
                <w:rtl w:val="true"/>
              </w:rPr>
              <w:t>کتاب الصلاة</w:t>
            </w:r>
            <w:r>
              <w:rPr>
                <w:rStyle w:val="IndexLink"/>
                <w:rtl w:val="true"/>
              </w:rPr>
              <w:tab/>
            </w:r>
            <w:r>
              <w:rPr>
                <w:rStyle w:val="IndexLink"/>
              </w:rPr>
              <w:t>298</w:t>
            </w:r>
          </w:hyperlink>
        </w:p>
        <w:p>
          <w:pPr>
            <w:pStyle w:val="Contents3"/>
            <w:tabs>
              <w:tab w:val="clear" w:pos="8459"/>
              <w:tab w:val="right" w:pos="9026" w:leader="dot"/>
            </w:tabs>
            <w:rPr/>
          </w:pPr>
          <w:hyperlink w:anchor="__RefHeading___Toc2087965_388300464">
            <w:r>
              <w:rPr>
                <w:webHidden/>
                <w:rStyle w:val="IndexLink"/>
                <w:rtl w:val="true"/>
              </w:rPr>
              <w:t>فی معنی الصلاة لغةً</w:t>
            </w:r>
            <w:r>
              <w:rPr>
                <w:rStyle w:val="IndexLink"/>
                <w:rtl w:val="true"/>
              </w:rPr>
              <w:tab/>
            </w:r>
            <w:r>
              <w:rPr>
                <w:rStyle w:val="IndexLink"/>
              </w:rPr>
              <w:t>298</w:t>
            </w:r>
          </w:hyperlink>
        </w:p>
        <w:p>
          <w:pPr>
            <w:pStyle w:val="Contents2"/>
            <w:tabs>
              <w:tab w:val="clear" w:pos="8743"/>
              <w:tab w:val="right" w:pos="9026" w:leader="dot"/>
            </w:tabs>
            <w:rPr/>
          </w:pPr>
          <w:hyperlink w:anchor="__RefHeading___Toc2087967_388300464">
            <w:r>
              <w:rPr>
                <w:webHidden/>
                <w:rStyle w:val="IndexLink"/>
                <w:rtl w:val="true"/>
              </w:rPr>
              <w:t>أعداد الصلاة</w:t>
            </w:r>
            <w:r>
              <w:rPr>
                <w:rStyle w:val="IndexLink"/>
                <w:rtl w:val="true"/>
              </w:rPr>
              <w:tab/>
            </w:r>
            <w:r>
              <w:rPr>
                <w:rStyle w:val="IndexLink"/>
              </w:rPr>
              <w:t>299</w:t>
            </w:r>
          </w:hyperlink>
        </w:p>
        <w:p>
          <w:pPr>
            <w:pStyle w:val="Contents3"/>
            <w:tabs>
              <w:tab w:val="clear" w:pos="8459"/>
              <w:tab w:val="right" w:pos="9026" w:leader="dot"/>
            </w:tabs>
            <w:rPr/>
          </w:pPr>
          <w:hyperlink w:anchor="__RefHeading___Toc2087969_388300464">
            <w:r>
              <w:rPr>
                <w:webHidden/>
                <w:rStyle w:val="IndexLink"/>
                <w:rtl w:val="true"/>
              </w:rPr>
              <w:t>نوافل الصلوات</w:t>
            </w:r>
            <w:r>
              <w:rPr>
                <w:rStyle w:val="IndexLink"/>
                <w:rtl w:val="true"/>
              </w:rPr>
              <w:tab/>
            </w:r>
            <w:r>
              <w:rPr>
                <w:rStyle w:val="IndexLink"/>
              </w:rPr>
              <w:t>299</w:t>
            </w:r>
          </w:hyperlink>
        </w:p>
        <w:p>
          <w:pPr>
            <w:pStyle w:val="Contents3"/>
            <w:tabs>
              <w:tab w:val="clear" w:pos="8459"/>
              <w:tab w:val="right" w:pos="9026" w:leader="dot"/>
            </w:tabs>
            <w:rPr/>
          </w:pPr>
          <w:hyperlink w:anchor="__RefHeading___Toc2087971_388300464">
            <w:r>
              <w:rPr>
                <w:webHidden/>
                <w:rStyle w:val="IndexLink"/>
                <w:rtl w:val="true"/>
              </w:rPr>
              <w:t>نوافل الظهر والعصر</w:t>
            </w:r>
            <w:r>
              <w:rPr>
                <w:rStyle w:val="IndexLink"/>
                <w:rtl w:val="true"/>
              </w:rPr>
              <w:tab/>
            </w:r>
            <w:r>
              <w:rPr>
                <w:rStyle w:val="IndexLink"/>
              </w:rPr>
              <w:t>299</w:t>
            </w:r>
          </w:hyperlink>
        </w:p>
        <w:p>
          <w:pPr>
            <w:pStyle w:val="Contents3"/>
            <w:tabs>
              <w:tab w:val="clear" w:pos="8459"/>
              <w:tab w:val="right" w:pos="9026" w:leader="dot"/>
            </w:tabs>
            <w:rPr/>
          </w:pPr>
          <w:hyperlink w:anchor="__RefHeading___Toc2087973_388300464">
            <w:r>
              <w:rPr>
                <w:webHidden/>
                <w:rStyle w:val="IndexLink"/>
                <w:rtl w:val="true"/>
              </w:rPr>
              <w:t>کراهة الکلام بین المغرب ونافلتها</w:t>
            </w:r>
            <w:r>
              <w:rPr>
                <w:rStyle w:val="IndexLink"/>
                <w:rtl w:val="true"/>
              </w:rPr>
              <w:tab/>
            </w:r>
            <w:r>
              <w:rPr>
                <w:rStyle w:val="IndexLink"/>
              </w:rPr>
              <w:t>300</w:t>
            </w:r>
          </w:hyperlink>
        </w:p>
        <w:p>
          <w:pPr>
            <w:pStyle w:val="Contents3"/>
            <w:tabs>
              <w:tab w:val="clear" w:pos="8459"/>
              <w:tab w:val="right" w:pos="9026" w:leader="dot"/>
            </w:tabs>
            <w:rPr/>
          </w:pPr>
          <w:hyperlink w:anchor="__RefHeading___Toc2087975_388300464">
            <w:r>
              <w:rPr>
                <w:webHidden/>
                <w:rStyle w:val="IndexLink"/>
                <w:rtl w:val="true"/>
              </w:rPr>
              <w:t>إنّ الجلوس فی الرکعتین اللتین بعد الشعاء أفضل من القیام</w:t>
            </w:r>
            <w:r>
              <w:rPr>
                <w:rStyle w:val="IndexLink"/>
                <w:rtl w:val="true"/>
              </w:rPr>
              <w:tab/>
            </w:r>
            <w:r>
              <w:rPr>
                <w:rStyle w:val="IndexLink"/>
              </w:rPr>
              <w:t>301</w:t>
            </w:r>
          </w:hyperlink>
        </w:p>
        <w:p>
          <w:pPr>
            <w:pStyle w:val="Contents3"/>
            <w:tabs>
              <w:tab w:val="clear" w:pos="8459"/>
              <w:tab w:val="right" w:pos="9026" w:leader="dot"/>
            </w:tabs>
            <w:rPr/>
          </w:pPr>
          <w:hyperlink w:anchor="__RefHeading___Toc2087977_388300464">
            <w:r>
              <w:rPr>
                <w:webHidden/>
                <w:rStyle w:val="IndexLink"/>
                <w:rtl w:val="true"/>
              </w:rPr>
              <w:t>المستفاد من الروایات أنّ الوتر اسم للرکعات الثلاثة</w:t>
            </w:r>
            <w:r>
              <w:rPr>
                <w:rStyle w:val="IndexLink"/>
                <w:rtl w:val="true"/>
              </w:rPr>
              <w:tab/>
            </w:r>
            <w:r>
              <w:rPr>
                <w:rStyle w:val="IndexLink"/>
              </w:rPr>
              <w:t>301</w:t>
            </w:r>
          </w:hyperlink>
        </w:p>
        <w:p>
          <w:pPr>
            <w:pStyle w:val="Contents3"/>
            <w:tabs>
              <w:tab w:val="clear" w:pos="8459"/>
              <w:tab w:val="right" w:pos="9026" w:leader="dot"/>
            </w:tabs>
            <w:rPr/>
          </w:pPr>
          <w:hyperlink w:anchor="__RefHeading___Toc2087979_388300464">
            <w:r>
              <w:rPr>
                <w:webHidden/>
                <w:rStyle w:val="IndexLink"/>
                <w:rtl w:val="true"/>
              </w:rPr>
              <w:t>آداب صلاة اللیل</w:t>
            </w:r>
            <w:r>
              <w:rPr>
                <w:rStyle w:val="IndexLink"/>
                <w:rtl w:val="true"/>
              </w:rPr>
              <w:tab/>
            </w:r>
            <w:r>
              <w:rPr>
                <w:rStyle w:val="IndexLink"/>
              </w:rPr>
              <w:t>303</w:t>
            </w:r>
          </w:hyperlink>
        </w:p>
        <w:p>
          <w:pPr>
            <w:pStyle w:val="Contents3"/>
            <w:tabs>
              <w:tab w:val="clear" w:pos="8459"/>
              <w:tab w:val="right" w:pos="9026" w:leader="dot"/>
            </w:tabs>
            <w:rPr/>
          </w:pPr>
          <w:hyperlink w:anchor="__RefHeading___Toc2087981_388300464">
            <w:r>
              <w:rPr>
                <w:webHidden/>
                <w:rStyle w:val="IndexLink"/>
                <w:rtl w:val="true"/>
              </w:rPr>
              <w:t>جواز الجلوس فی النافلة مع الاختیار</w:t>
            </w:r>
            <w:r>
              <w:rPr>
                <w:rStyle w:val="IndexLink"/>
                <w:rtl w:val="true"/>
              </w:rPr>
              <w:tab/>
            </w:r>
            <w:r>
              <w:rPr>
                <w:rStyle w:val="IndexLink"/>
              </w:rPr>
              <w:t>305</w:t>
            </w:r>
          </w:hyperlink>
        </w:p>
        <w:p>
          <w:pPr>
            <w:pStyle w:val="Contents3"/>
            <w:tabs>
              <w:tab w:val="clear" w:pos="8459"/>
              <w:tab w:val="right" w:pos="9026" w:leader="dot"/>
            </w:tabs>
            <w:rPr/>
          </w:pPr>
          <w:hyperlink w:anchor="__RefHeading___Toc2087983_388300464">
            <w:r>
              <w:rPr>
                <w:webHidden/>
                <w:rStyle w:val="IndexLink"/>
                <w:rtl w:val="true"/>
              </w:rPr>
              <w:t>الکلام فی سقوط الوتیرة فی السفر</w:t>
            </w:r>
            <w:r>
              <w:rPr>
                <w:rStyle w:val="IndexLink"/>
                <w:rtl w:val="true"/>
              </w:rPr>
              <w:tab/>
            </w:r>
            <w:r>
              <w:rPr>
                <w:rStyle w:val="IndexLink"/>
              </w:rPr>
              <w:t>305</w:t>
            </w:r>
          </w:hyperlink>
        </w:p>
        <w:p>
          <w:pPr>
            <w:pStyle w:val="Contents3"/>
            <w:tabs>
              <w:tab w:val="clear" w:pos="8459"/>
              <w:tab w:val="right" w:pos="9026" w:leader="dot"/>
            </w:tabs>
            <w:rPr/>
          </w:pPr>
          <w:hyperlink w:anchor="__RefHeading___Toc2087985_388300464">
            <w:r>
              <w:rPr>
                <w:webHidden/>
                <w:rStyle w:val="IndexLink"/>
                <w:rtl w:val="true"/>
              </w:rPr>
              <w:t>إشارة إلی أن عبد الواحد بن عبدوس وعلی بن محمّد القتیبی من مشایخ الإجازة</w:t>
            </w:r>
            <w:r>
              <w:rPr>
                <w:rStyle w:val="IndexLink"/>
                <w:rtl w:val="true"/>
              </w:rPr>
              <w:tab/>
            </w:r>
            <w:r>
              <w:rPr>
                <w:rStyle w:val="IndexLink"/>
              </w:rPr>
              <w:t>306</w:t>
            </w:r>
          </w:hyperlink>
        </w:p>
        <w:p>
          <w:pPr>
            <w:pStyle w:val="Contents2"/>
            <w:tabs>
              <w:tab w:val="clear" w:pos="8743"/>
              <w:tab w:val="right" w:pos="9026" w:leader="dot"/>
            </w:tabs>
            <w:rPr/>
          </w:pPr>
          <w:hyperlink w:anchor="__RefHeading___Toc2087987_388300464">
            <w:r>
              <w:rPr>
                <w:webHidden/>
                <w:rStyle w:val="IndexLink"/>
                <w:rtl w:val="true"/>
              </w:rPr>
              <w:t>مواقیت الصلاة</w:t>
            </w:r>
            <w:r>
              <w:rPr>
                <w:rStyle w:val="IndexLink"/>
                <w:rtl w:val="true"/>
              </w:rPr>
              <w:tab/>
            </w:r>
            <w:r>
              <w:rPr>
                <w:rStyle w:val="IndexLink"/>
              </w:rPr>
              <w:t>307</w:t>
            </w:r>
          </w:hyperlink>
        </w:p>
        <w:p>
          <w:pPr>
            <w:pStyle w:val="Contents3"/>
            <w:tabs>
              <w:tab w:val="clear" w:pos="8459"/>
              <w:tab w:val="right" w:pos="9026" w:leader="dot"/>
            </w:tabs>
            <w:rPr/>
          </w:pPr>
          <w:hyperlink w:anchor="__RefHeading___Toc2087989_388300464">
            <w:r>
              <w:rPr>
                <w:webHidden/>
                <w:rStyle w:val="IndexLink"/>
                <w:rtl w:val="true"/>
              </w:rPr>
              <w:t>وقت المغرب</w:t>
            </w:r>
            <w:r>
              <w:rPr>
                <w:rStyle w:val="IndexLink"/>
                <w:rtl w:val="true"/>
              </w:rPr>
              <w:tab/>
            </w:r>
            <w:r>
              <w:rPr>
                <w:rStyle w:val="IndexLink"/>
              </w:rPr>
              <w:t>307</w:t>
            </w:r>
          </w:hyperlink>
        </w:p>
        <w:p>
          <w:pPr>
            <w:pStyle w:val="Contents3"/>
            <w:tabs>
              <w:tab w:val="clear" w:pos="8459"/>
              <w:tab w:val="right" w:pos="9026" w:leader="dot"/>
            </w:tabs>
            <w:rPr/>
          </w:pPr>
          <w:hyperlink w:anchor="__RefHeading___Toc2087991_388300464">
            <w:r>
              <w:rPr>
                <w:webHidden/>
                <w:rStyle w:val="IndexLink"/>
                <w:rtl w:val="true"/>
              </w:rPr>
              <w:t>اختصاص الظهر بأوّل الوقت</w:t>
            </w:r>
            <w:r>
              <w:rPr>
                <w:rStyle w:val="IndexLink"/>
                <w:rtl w:val="true"/>
              </w:rPr>
              <w:tab/>
            </w:r>
            <w:r>
              <w:rPr>
                <w:rStyle w:val="IndexLink"/>
              </w:rPr>
              <w:t>308</w:t>
            </w:r>
          </w:hyperlink>
        </w:p>
        <w:p>
          <w:pPr>
            <w:pStyle w:val="Contents3"/>
            <w:tabs>
              <w:tab w:val="clear" w:pos="8459"/>
              <w:tab w:val="right" w:pos="9026" w:leader="dot"/>
            </w:tabs>
            <w:rPr/>
          </w:pPr>
          <w:hyperlink w:anchor="__RefHeading___Toc2087993_388300464">
            <w:r>
              <w:rPr>
                <w:webHidden/>
                <w:rStyle w:val="IndexLink"/>
                <w:rtl w:val="true"/>
              </w:rPr>
              <w:t>اختصاص العصر من آخر الوقت بمقدار أدائها</w:t>
            </w:r>
            <w:r>
              <w:rPr>
                <w:rStyle w:val="IndexLink"/>
                <w:rtl w:val="true"/>
              </w:rPr>
              <w:tab/>
            </w:r>
            <w:r>
              <w:rPr>
                <w:rStyle w:val="IndexLink"/>
              </w:rPr>
              <w:t>310</w:t>
            </w:r>
          </w:hyperlink>
        </w:p>
        <w:p>
          <w:pPr>
            <w:pStyle w:val="Contents3"/>
            <w:tabs>
              <w:tab w:val="clear" w:pos="8459"/>
              <w:tab w:val="right" w:pos="9026" w:leader="dot"/>
            </w:tabs>
            <w:rPr/>
          </w:pPr>
          <w:hyperlink w:anchor="__RefHeading___Toc2087995_388300464">
            <w:r>
              <w:rPr>
                <w:webHidden/>
                <w:rStyle w:val="IndexLink"/>
                <w:rtl w:val="true"/>
              </w:rPr>
              <w:t>آخر وقت الظهر</w:t>
            </w:r>
            <w:r>
              <w:rPr>
                <w:rStyle w:val="IndexLink"/>
                <w:rtl w:val="true"/>
              </w:rPr>
              <w:tab/>
            </w:r>
            <w:r>
              <w:rPr>
                <w:rStyle w:val="IndexLink"/>
              </w:rPr>
              <w:t>310</w:t>
            </w:r>
          </w:hyperlink>
        </w:p>
        <w:p>
          <w:pPr>
            <w:pStyle w:val="Contents3"/>
            <w:tabs>
              <w:tab w:val="clear" w:pos="8459"/>
              <w:tab w:val="right" w:pos="9026" w:leader="dot"/>
            </w:tabs>
            <w:rPr/>
          </w:pPr>
          <w:hyperlink w:anchor="__RefHeading___Toc2087997_388300464">
            <w:r>
              <w:rPr>
                <w:webHidden/>
                <w:rStyle w:val="IndexLink"/>
                <w:rtl w:val="true"/>
              </w:rPr>
              <w:t>الضحّاک بن زید هو أبو مالک الحضرمی الثقة</w:t>
            </w:r>
            <w:r>
              <w:rPr>
                <w:rStyle w:val="IndexLink"/>
                <w:rtl w:val="true"/>
              </w:rPr>
              <w:tab/>
            </w:r>
            <w:r>
              <w:rPr>
                <w:rStyle w:val="IndexLink"/>
              </w:rPr>
              <w:t>310</w:t>
            </w:r>
          </w:hyperlink>
        </w:p>
        <w:p>
          <w:pPr>
            <w:pStyle w:val="Contents3"/>
            <w:tabs>
              <w:tab w:val="clear" w:pos="8459"/>
              <w:tab w:val="right" w:pos="9026" w:leader="dot"/>
            </w:tabs>
            <w:rPr/>
          </w:pPr>
          <w:hyperlink w:anchor="__RefHeading___Toc2087999_388300464">
            <w:r>
              <w:rPr>
                <w:webHidden/>
                <w:rStyle w:val="IndexLink"/>
                <w:rtl w:val="true"/>
              </w:rPr>
              <w:t>بحث فی وثاقة قاسم بن عروة وموسی بن بکر</w:t>
            </w:r>
            <w:r>
              <w:rPr>
                <w:rStyle w:val="IndexLink"/>
                <w:rtl w:val="true"/>
              </w:rPr>
              <w:tab/>
            </w:r>
            <w:r>
              <w:rPr>
                <w:rStyle w:val="IndexLink"/>
              </w:rPr>
              <w:t>311</w:t>
            </w:r>
          </w:hyperlink>
        </w:p>
        <w:p>
          <w:pPr>
            <w:pStyle w:val="Contents3"/>
            <w:tabs>
              <w:tab w:val="clear" w:pos="8459"/>
              <w:tab w:val="right" w:pos="9026" w:leader="dot"/>
            </w:tabs>
            <w:rPr/>
          </w:pPr>
          <w:hyperlink w:anchor="__RefHeading___Toc2088001_388300464">
            <w:r>
              <w:rPr>
                <w:webHidden/>
                <w:rStyle w:val="IndexLink"/>
                <w:rtl w:val="true"/>
              </w:rPr>
              <w:t>أوّل وقت العصر وآخره</w:t>
            </w:r>
            <w:r>
              <w:rPr>
                <w:rStyle w:val="IndexLink"/>
                <w:rtl w:val="true"/>
              </w:rPr>
              <w:tab/>
            </w:r>
            <w:r>
              <w:rPr>
                <w:rStyle w:val="IndexLink"/>
              </w:rPr>
              <w:t>312</w:t>
            </w:r>
          </w:hyperlink>
        </w:p>
        <w:p>
          <w:pPr>
            <w:pStyle w:val="Contents3"/>
            <w:tabs>
              <w:tab w:val="clear" w:pos="8459"/>
              <w:tab w:val="right" w:pos="9026" w:leader="dot"/>
            </w:tabs>
            <w:rPr/>
          </w:pPr>
          <w:hyperlink w:anchor="__RefHeading___Toc2088003_388300464">
            <w:r>
              <w:rPr>
                <w:webHidden/>
                <w:rStyle w:val="IndexLink"/>
                <w:rtl w:val="true"/>
              </w:rPr>
              <w:t>أوّل وقت المغرب وما یتحقق به الغروب</w:t>
            </w:r>
            <w:r>
              <w:rPr>
                <w:rStyle w:val="IndexLink"/>
                <w:rtl w:val="true"/>
              </w:rPr>
              <w:tab/>
            </w:r>
            <w:r>
              <w:rPr>
                <w:rStyle w:val="IndexLink"/>
              </w:rPr>
              <w:t>313</w:t>
            </w:r>
          </w:hyperlink>
        </w:p>
        <w:p>
          <w:pPr>
            <w:pStyle w:val="Contents3"/>
            <w:tabs>
              <w:tab w:val="clear" w:pos="8459"/>
              <w:tab w:val="right" w:pos="9026" w:leader="dot"/>
            </w:tabs>
            <w:rPr/>
          </w:pPr>
          <w:hyperlink w:anchor="__RefHeading___Toc2088005_388300464">
            <w:r>
              <w:rPr>
                <w:webHidden/>
                <w:rStyle w:val="IndexLink"/>
                <w:rtl w:val="true"/>
              </w:rPr>
              <w:t>آخر وقت المغرب</w:t>
            </w:r>
            <w:r>
              <w:rPr>
                <w:rStyle w:val="IndexLink"/>
                <w:rtl w:val="true"/>
              </w:rPr>
              <w:tab/>
            </w:r>
            <w:r>
              <w:rPr>
                <w:rStyle w:val="IndexLink"/>
              </w:rPr>
              <w:t>317</w:t>
            </w:r>
          </w:hyperlink>
        </w:p>
        <w:p>
          <w:pPr>
            <w:pStyle w:val="Contents3"/>
            <w:tabs>
              <w:tab w:val="clear" w:pos="8459"/>
              <w:tab w:val="right" w:pos="9026" w:leader="dot"/>
            </w:tabs>
            <w:rPr/>
          </w:pPr>
          <w:hyperlink w:anchor="__RefHeading___Toc2088007_388300464">
            <w:r>
              <w:rPr>
                <w:webHidden/>
                <w:rStyle w:val="IndexLink"/>
                <w:rtl w:val="true"/>
              </w:rPr>
              <w:t>أوّل وقت العشاء وآخره وقت صلاة الفجر</w:t>
            </w:r>
            <w:r>
              <w:rPr>
                <w:rStyle w:val="IndexLink"/>
                <w:rtl w:val="true"/>
              </w:rPr>
              <w:tab/>
            </w:r>
            <w:r>
              <w:rPr>
                <w:rStyle w:val="IndexLink"/>
              </w:rPr>
              <w:t>318</w:t>
            </w:r>
          </w:hyperlink>
        </w:p>
        <w:p>
          <w:pPr>
            <w:pStyle w:val="Contents3"/>
            <w:tabs>
              <w:tab w:val="clear" w:pos="8459"/>
              <w:tab w:val="right" w:pos="9026" w:leader="dot"/>
            </w:tabs>
            <w:rPr/>
          </w:pPr>
          <w:hyperlink w:anchor="__RefHeading___Toc2088009_388300464">
            <w:r>
              <w:rPr>
                <w:webHidden/>
                <w:rStyle w:val="IndexLink"/>
                <w:rtl w:val="true"/>
              </w:rPr>
              <w:t>وقت نوافل الظهر والعصر</w:t>
            </w:r>
            <w:r>
              <w:rPr>
                <w:rStyle w:val="IndexLink"/>
                <w:rtl w:val="true"/>
              </w:rPr>
              <w:tab/>
            </w:r>
            <w:r>
              <w:rPr>
                <w:rStyle w:val="IndexLink"/>
              </w:rPr>
              <w:t>319</w:t>
            </w:r>
          </w:hyperlink>
        </w:p>
        <w:p>
          <w:pPr>
            <w:pStyle w:val="Contents3"/>
            <w:tabs>
              <w:tab w:val="clear" w:pos="8459"/>
              <w:tab w:val="right" w:pos="9026" w:leader="dot"/>
            </w:tabs>
            <w:rPr/>
          </w:pPr>
          <w:hyperlink w:anchor="__RefHeading___Toc2088011_388300464">
            <w:r>
              <w:rPr>
                <w:webHidden/>
                <w:rStyle w:val="IndexLink"/>
                <w:rtl w:val="true"/>
              </w:rPr>
              <w:t>وقت نافلة المغرب</w:t>
            </w:r>
            <w:r>
              <w:rPr>
                <w:rStyle w:val="IndexLink"/>
                <w:rtl w:val="true"/>
              </w:rPr>
              <w:tab/>
            </w:r>
            <w:r>
              <w:rPr>
                <w:rStyle w:val="IndexLink"/>
              </w:rPr>
              <w:t>321</w:t>
            </w:r>
          </w:hyperlink>
        </w:p>
        <w:p>
          <w:pPr>
            <w:pStyle w:val="Contents3"/>
            <w:tabs>
              <w:tab w:val="clear" w:pos="8459"/>
              <w:tab w:val="right" w:pos="9026" w:leader="dot"/>
            </w:tabs>
            <w:rPr/>
          </w:pPr>
          <w:hyperlink w:anchor="__RefHeading___Toc2088013_388300464">
            <w:r>
              <w:rPr>
                <w:webHidden/>
                <w:rStyle w:val="IndexLink"/>
                <w:rtl w:val="true"/>
              </w:rPr>
              <w:t>وقت صلاة اللیل</w:t>
            </w:r>
            <w:r>
              <w:rPr>
                <w:rStyle w:val="IndexLink"/>
                <w:rtl w:val="true"/>
              </w:rPr>
              <w:tab/>
            </w:r>
            <w:r>
              <w:rPr>
                <w:rStyle w:val="IndexLink"/>
              </w:rPr>
              <w:t>326</w:t>
            </w:r>
          </w:hyperlink>
        </w:p>
        <w:p>
          <w:pPr>
            <w:pStyle w:val="Contents3"/>
            <w:tabs>
              <w:tab w:val="clear" w:pos="8459"/>
              <w:tab w:val="right" w:pos="9026" w:leader="dot"/>
            </w:tabs>
            <w:rPr/>
          </w:pPr>
          <w:hyperlink w:anchor="__RefHeading___Toc2088015_388300464">
            <w:r>
              <w:rPr>
                <w:webHidden/>
                <w:rStyle w:val="IndexLink"/>
                <w:rtl w:val="true"/>
              </w:rPr>
              <w:t>وقت النوافل الغیر الراتبة</w:t>
            </w:r>
            <w:r>
              <w:rPr>
                <w:rStyle w:val="IndexLink"/>
                <w:rtl w:val="true"/>
              </w:rPr>
              <w:tab/>
            </w:r>
            <w:r>
              <w:rPr>
                <w:rStyle w:val="IndexLink"/>
              </w:rPr>
              <w:t>327</w:t>
            </w:r>
          </w:hyperlink>
        </w:p>
        <w:p>
          <w:pPr>
            <w:pStyle w:val="Contents3"/>
            <w:tabs>
              <w:tab w:val="clear" w:pos="8459"/>
              <w:tab w:val="right" w:pos="9026" w:leader="dot"/>
            </w:tabs>
            <w:rPr/>
          </w:pPr>
          <w:hyperlink w:anchor="__RefHeading___Toc2088017_388300464">
            <w:r>
              <w:rPr>
                <w:webHidden/>
                <w:rStyle w:val="IndexLink"/>
                <w:rtl w:val="true"/>
              </w:rPr>
              <w:t>أحکام المواقیت</w:t>
            </w:r>
            <w:r>
              <w:rPr>
                <w:rStyle w:val="IndexLink"/>
                <w:rtl w:val="true"/>
              </w:rPr>
              <w:tab/>
            </w:r>
            <w:r>
              <w:rPr>
                <w:rStyle w:val="IndexLink"/>
              </w:rPr>
              <w:t>328</w:t>
            </w:r>
          </w:hyperlink>
        </w:p>
        <w:p>
          <w:pPr>
            <w:pStyle w:val="Contents4"/>
            <w:tabs>
              <w:tab w:val="clear" w:pos="8176"/>
              <w:tab w:val="right" w:pos="9026" w:leader="dot"/>
            </w:tabs>
            <w:rPr/>
          </w:pPr>
          <w:hyperlink w:anchor="__RefHeading___Toc2088019_388300464">
            <w:r>
              <w:rPr>
                <w:webHidden/>
                <w:rStyle w:val="IndexLink"/>
                <w:rtl w:val="true"/>
              </w:rPr>
              <w:t>حکم من حصل له مانع من الصلاة کالجنون قبل دخول الوقت</w:t>
            </w:r>
            <w:r>
              <w:rPr>
                <w:rStyle w:val="IndexLink"/>
                <w:rtl w:val="true"/>
              </w:rPr>
              <w:tab/>
            </w:r>
            <w:r>
              <w:rPr>
                <w:rStyle w:val="IndexLink"/>
              </w:rPr>
              <w:t>328</w:t>
            </w:r>
          </w:hyperlink>
        </w:p>
        <w:p>
          <w:pPr>
            <w:pStyle w:val="Contents4"/>
            <w:tabs>
              <w:tab w:val="clear" w:pos="8176"/>
              <w:tab w:val="right" w:pos="9026" w:leader="dot"/>
            </w:tabs>
            <w:rPr/>
          </w:pPr>
          <w:hyperlink w:anchor="__RefHeading___Toc2088021_388300464">
            <w:r>
              <w:rPr>
                <w:webHidden/>
                <w:rStyle w:val="IndexLink"/>
                <w:rtl w:val="true"/>
              </w:rPr>
              <w:t>حکم ما لو زال المانع والوقت باقٍ</w:t>
            </w:r>
            <w:r>
              <w:rPr>
                <w:rStyle w:val="IndexLink"/>
                <w:rtl w:val="true"/>
              </w:rPr>
              <w:tab/>
            </w:r>
            <w:r>
              <w:rPr>
                <w:rStyle w:val="IndexLink"/>
              </w:rPr>
              <w:t>329</w:t>
            </w:r>
          </w:hyperlink>
        </w:p>
        <w:p>
          <w:pPr>
            <w:pStyle w:val="Contents4"/>
            <w:tabs>
              <w:tab w:val="clear" w:pos="8176"/>
              <w:tab w:val="right" w:pos="9026" w:leader="dot"/>
            </w:tabs>
            <w:rPr/>
          </w:pPr>
          <w:hyperlink w:anchor="__RefHeading___Toc2088023_388300464">
            <w:r>
              <w:rPr>
                <w:webHidden/>
                <w:rStyle w:val="IndexLink"/>
                <w:rtl w:val="true"/>
              </w:rPr>
              <w:t>وجوب تحصیل العلم بالوقت مع التمکن</w:t>
            </w:r>
            <w:r>
              <w:rPr>
                <w:rStyle w:val="IndexLink"/>
                <w:rtl w:val="true"/>
              </w:rPr>
              <w:tab/>
            </w:r>
            <w:r>
              <w:rPr>
                <w:rStyle w:val="IndexLink"/>
              </w:rPr>
              <w:t>330</w:t>
            </w:r>
          </w:hyperlink>
        </w:p>
        <w:p>
          <w:pPr>
            <w:pStyle w:val="Contents4"/>
            <w:tabs>
              <w:tab w:val="clear" w:pos="8176"/>
              <w:tab w:val="right" w:pos="9026" w:leader="dot"/>
            </w:tabs>
            <w:rPr/>
          </w:pPr>
          <w:hyperlink w:anchor="__RefHeading___Toc2088025_388300464">
            <w:r>
              <w:rPr>
                <w:webHidden/>
                <w:rStyle w:val="IndexLink"/>
                <w:rtl w:val="true"/>
              </w:rPr>
              <w:t>جواز التعویل علی الظن مع عدم التمکن من العلم</w:t>
            </w:r>
            <w:r>
              <w:rPr>
                <w:rStyle w:val="IndexLink"/>
                <w:rtl w:val="true"/>
              </w:rPr>
              <w:tab/>
            </w:r>
            <w:r>
              <w:rPr>
                <w:rStyle w:val="IndexLink"/>
              </w:rPr>
              <w:t>331</w:t>
            </w:r>
          </w:hyperlink>
        </w:p>
        <w:p>
          <w:pPr>
            <w:pStyle w:val="Contents4"/>
            <w:tabs>
              <w:tab w:val="clear" w:pos="8176"/>
              <w:tab w:val="right" w:pos="9026" w:leader="dot"/>
            </w:tabs>
            <w:rPr/>
          </w:pPr>
          <w:hyperlink w:anchor="__RefHeading___Toc2088027_388300464">
            <w:r>
              <w:rPr>
                <w:webHidden/>
                <w:rStyle w:val="IndexLink"/>
                <w:rtl w:val="true"/>
              </w:rPr>
              <w:t>أفضلیّة الصلاة فی أوّل الوقت إلاّ ما استثنی</w:t>
            </w:r>
            <w:r>
              <w:rPr>
                <w:rStyle w:val="IndexLink"/>
                <w:rtl w:val="true"/>
              </w:rPr>
              <w:tab/>
            </w:r>
            <w:r>
              <w:rPr>
                <w:rStyle w:val="IndexLink"/>
              </w:rPr>
              <w:t>333</w:t>
            </w:r>
          </w:hyperlink>
        </w:p>
        <w:p>
          <w:pPr>
            <w:pStyle w:val="Contents2"/>
            <w:tabs>
              <w:tab w:val="clear" w:pos="8743"/>
              <w:tab w:val="right" w:pos="9026" w:leader="dot"/>
            </w:tabs>
            <w:rPr/>
          </w:pPr>
          <w:hyperlink w:anchor="__RefHeading___Toc2088029_388300464">
            <w:r>
              <w:rPr>
                <w:webHidden/>
                <w:rStyle w:val="IndexLink"/>
                <w:rtl w:val="true"/>
              </w:rPr>
              <w:t>القبلة</w:t>
            </w:r>
            <w:r>
              <w:rPr>
                <w:rStyle w:val="IndexLink"/>
                <w:rtl w:val="true"/>
              </w:rPr>
              <w:tab/>
            </w:r>
            <w:r>
              <w:rPr>
                <w:rStyle w:val="IndexLink"/>
              </w:rPr>
              <w:t>335</w:t>
            </w:r>
          </w:hyperlink>
        </w:p>
        <w:p>
          <w:pPr>
            <w:pStyle w:val="Contents3"/>
            <w:tabs>
              <w:tab w:val="clear" w:pos="8459"/>
              <w:tab w:val="right" w:pos="9026" w:leader="dot"/>
            </w:tabs>
            <w:rPr/>
          </w:pPr>
          <w:hyperlink w:anchor="__RefHeading___Toc2088031_388300464">
            <w:r>
              <w:rPr>
                <w:webHidden/>
                <w:rStyle w:val="IndexLink"/>
                <w:rtl w:val="true"/>
              </w:rPr>
              <w:t>حقیقة القبلة</w:t>
            </w:r>
            <w:r>
              <w:rPr>
                <w:rStyle w:val="IndexLink"/>
                <w:rtl w:val="true"/>
              </w:rPr>
              <w:tab/>
            </w:r>
            <w:r>
              <w:rPr>
                <w:rStyle w:val="IndexLink"/>
              </w:rPr>
              <w:t>335</w:t>
            </w:r>
          </w:hyperlink>
        </w:p>
        <w:p>
          <w:pPr>
            <w:pStyle w:val="Contents3"/>
            <w:tabs>
              <w:tab w:val="clear" w:pos="8459"/>
              <w:tab w:val="right" w:pos="9026" w:leader="dot"/>
            </w:tabs>
            <w:rPr/>
          </w:pPr>
          <w:hyperlink w:anchor="__RefHeading___Toc2088033_388300464">
            <w:r>
              <w:rPr>
                <w:webHidden/>
                <w:rStyle w:val="IndexLink"/>
                <w:rtl w:val="true"/>
              </w:rPr>
              <w:t>کفایة استقبال جهة الکعبة</w:t>
            </w:r>
            <w:r>
              <w:rPr>
                <w:rStyle w:val="IndexLink"/>
                <w:rtl w:val="true"/>
              </w:rPr>
              <w:tab/>
            </w:r>
            <w:r>
              <w:rPr>
                <w:rStyle w:val="IndexLink"/>
              </w:rPr>
              <w:t>337</w:t>
            </w:r>
          </w:hyperlink>
        </w:p>
        <w:p>
          <w:pPr>
            <w:pStyle w:val="Contents3"/>
            <w:tabs>
              <w:tab w:val="clear" w:pos="8459"/>
              <w:tab w:val="right" w:pos="9026" w:leader="dot"/>
            </w:tabs>
            <w:rPr/>
          </w:pPr>
          <w:hyperlink w:anchor="__RefHeading___Toc2088035_388300464">
            <w:r>
              <w:rPr>
                <w:webHidden/>
                <w:rStyle w:val="IndexLink"/>
                <w:rtl w:val="true"/>
              </w:rPr>
              <w:t>إشارة إلی أنّ روایة الطاطری ، موثقة ، وأنّ ابن مسکان من أصحاب الإجماع</w:t>
            </w:r>
            <w:r>
              <w:rPr>
                <w:rStyle w:val="IndexLink"/>
                <w:rtl w:val="true"/>
              </w:rPr>
              <w:tab/>
            </w:r>
            <w:r>
              <w:rPr>
                <w:rStyle w:val="IndexLink"/>
              </w:rPr>
              <w:t>338</w:t>
            </w:r>
          </w:hyperlink>
        </w:p>
        <w:p>
          <w:pPr>
            <w:pStyle w:val="Contents3"/>
            <w:tabs>
              <w:tab w:val="clear" w:pos="8459"/>
              <w:tab w:val="right" w:pos="9026" w:leader="dot"/>
            </w:tabs>
            <w:rPr/>
          </w:pPr>
          <w:hyperlink w:anchor="__RefHeading___Toc2088037_388300464">
            <w:r>
              <w:rPr>
                <w:webHidden/>
                <w:rStyle w:val="IndexLink"/>
                <w:rtl w:val="true"/>
              </w:rPr>
              <w:t>حکم المصلّی فی جوف الکعبة أو علی سطحها</w:t>
            </w:r>
            <w:r>
              <w:rPr>
                <w:rStyle w:val="IndexLink"/>
                <w:rtl w:val="true"/>
              </w:rPr>
              <w:tab/>
            </w:r>
            <w:r>
              <w:rPr>
                <w:rStyle w:val="IndexLink"/>
              </w:rPr>
              <w:t>339</w:t>
            </w:r>
          </w:hyperlink>
        </w:p>
        <w:p>
          <w:pPr>
            <w:pStyle w:val="Contents3"/>
            <w:tabs>
              <w:tab w:val="clear" w:pos="8459"/>
              <w:tab w:val="right" w:pos="9026" w:leader="dot"/>
            </w:tabs>
            <w:rPr/>
          </w:pPr>
          <w:hyperlink w:anchor="__RefHeading___Toc2088039_388300464">
            <w:r>
              <w:rPr>
                <w:webHidden/>
                <w:rStyle w:val="IndexLink"/>
                <w:rtl w:val="true"/>
              </w:rPr>
              <w:t>استحباب التیاسر لأهل العرق</w:t>
            </w:r>
            <w:r>
              <w:rPr>
                <w:rStyle w:val="IndexLink"/>
                <w:rtl w:val="true"/>
              </w:rPr>
              <w:tab/>
            </w:r>
            <w:r>
              <w:rPr>
                <w:rStyle w:val="IndexLink"/>
              </w:rPr>
              <w:t>341</w:t>
            </w:r>
          </w:hyperlink>
        </w:p>
        <w:p>
          <w:pPr>
            <w:pStyle w:val="Contents3"/>
            <w:tabs>
              <w:tab w:val="clear" w:pos="8459"/>
              <w:tab w:val="right" w:pos="9026" w:leader="dot"/>
            </w:tabs>
            <w:rPr/>
          </w:pPr>
          <w:hyperlink w:anchor="__RefHeading___Toc2088041_388300464">
            <w:r>
              <w:rPr>
                <w:webHidden/>
                <w:rStyle w:val="IndexLink"/>
                <w:rtl w:val="true"/>
              </w:rPr>
              <w:t>حکم فاقد الظن بالقبلة</w:t>
            </w:r>
            <w:r>
              <w:rPr>
                <w:rStyle w:val="IndexLink"/>
                <w:rtl w:val="true"/>
              </w:rPr>
              <w:tab/>
            </w:r>
            <w:r>
              <w:rPr>
                <w:rStyle w:val="IndexLink"/>
              </w:rPr>
              <w:t>341</w:t>
            </w:r>
          </w:hyperlink>
        </w:p>
        <w:p>
          <w:pPr>
            <w:pStyle w:val="Contents3"/>
            <w:tabs>
              <w:tab w:val="clear" w:pos="8459"/>
              <w:tab w:val="right" w:pos="9026" w:leader="dot"/>
            </w:tabs>
            <w:rPr/>
          </w:pPr>
          <w:hyperlink w:anchor="__RefHeading___Toc2088043_388300464">
            <w:r>
              <w:rPr>
                <w:webHidden/>
                <w:rStyle w:val="IndexLink"/>
                <w:rtl w:val="true"/>
              </w:rPr>
              <w:t>إشارة إلی أن محمّد بن أحمد العلوی من شیوخ أصحابنا</w:t>
            </w:r>
            <w:r>
              <w:rPr>
                <w:rStyle w:val="IndexLink"/>
                <w:rtl w:val="true"/>
              </w:rPr>
              <w:tab/>
            </w:r>
            <w:r>
              <w:rPr>
                <w:rStyle w:val="IndexLink"/>
              </w:rPr>
              <w:t>345</w:t>
            </w:r>
          </w:hyperlink>
        </w:p>
        <w:p>
          <w:pPr>
            <w:pStyle w:val="Contents3"/>
            <w:tabs>
              <w:tab w:val="clear" w:pos="8459"/>
              <w:tab w:val="right" w:pos="9026" w:leader="dot"/>
            </w:tabs>
            <w:rPr/>
          </w:pPr>
          <w:hyperlink w:anchor="__RefHeading___Toc2088045_388300464">
            <w:r>
              <w:rPr>
                <w:webHidden/>
                <w:rStyle w:val="IndexLink"/>
                <w:rtl w:val="true"/>
              </w:rPr>
              <w:t>عدم جواز الصلاة علی الراحلة إلاّ عند الضرورة</w:t>
            </w:r>
            <w:r>
              <w:rPr>
                <w:rStyle w:val="IndexLink"/>
                <w:rtl w:val="true"/>
              </w:rPr>
              <w:tab/>
            </w:r>
            <w:r>
              <w:rPr>
                <w:rStyle w:val="IndexLink"/>
              </w:rPr>
              <w:t>345</w:t>
            </w:r>
          </w:hyperlink>
        </w:p>
        <w:p>
          <w:pPr>
            <w:pStyle w:val="Contents3"/>
            <w:tabs>
              <w:tab w:val="clear" w:pos="8459"/>
              <w:tab w:val="right" w:pos="9026" w:leader="dot"/>
            </w:tabs>
            <w:rPr/>
          </w:pPr>
          <w:hyperlink w:anchor="__RefHeading___Toc2088047_388300464">
            <w:r>
              <w:rPr>
                <w:webHidden/>
                <w:rStyle w:val="IndexLink"/>
                <w:rtl w:val="true"/>
              </w:rPr>
              <w:t>حکم الصلاة فی السفینة</w:t>
            </w:r>
            <w:r>
              <w:rPr>
                <w:rStyle w:val="IndexLink"/>
                <w:rtl w:val="true"/>
              </w:rPr>
              <w:tab/>
            </w:r>
            <w:r>
              <w:rPr>
                <w:rStyle w:val="IndexLink"/>
              </w:rPr>
              <w:t>346</w:t>
            </w:r>
          </w:hyperlink>
        </w:p>
        <w:p>
          <w:pPr>
            <w:pStyle w:val="Contents3"/>
            <w:tabs>
              <w:tab w:val="clear" w:pos="8459"/>
              <w:tab w:val="right" w:pos="9026" w:leader="dot"/>
            </w:tabs>
            <w:rPr/>
          </w:pPr>
          <w:hyperlink w:anchor="__RefHeading___Toc2088049_388300464">
            <w:r>
              <w:rPr>
                <w:webHidden/>
                <w:rStyle w:val="IndexLink"/>
                <w:rtl w:val="true"/>
              </w:rPr>
              <w:t>حکم الاستقبال فی النوافل</w:t>
            </w:r>
            <w:r>
              <w:rPr>
                <w:rStyle w:val="IndexLink"/>
                <w:rtl w:val="true"/>
              </w:rPr>
              <w:tab/>
            </w:r>
            <w:r>
              <w:rPr>
                <w:rStyle w:val="IndexLink"/>
              </w:rPr>
              <w:t>347</w:t>
            </w:r>
          </w:hyperlink>
        </w:p>
        <w:p>
          <w:pPr>
            <w:pStyle w:val="Contents3"/>
            <w:tabs>
              <w:tab w:val="clear" w:pos="8459"/>
              <w:tab w:val="right" w:pos="9026" w:leader="dot"/>
            </w:tabs>
            <w:rPr/>
          </w:pPr>
          <w:hyperlink w:anchor="__RefHeading___Toc2088051_388300464">
            <w:r>
              <w:rPr>
                <w:webHidden/>
                <w:rStyle w:val="IndexLink"/>
                <w:rtl w:val="true"/>
              </w:rPr>
              <w:t>الأعمی یرجع إلی غیره فی معرفة القبلة</w:t>
            </w:r>
            <w:r>
              <w:rPr>
                <w:rStyle w:val="IndexLink"/>
                <w:rtl w:val="true"/>
              </w:rPr>
              <w:tab/>
            </w:r>
            <w:r>
              <w:rPr>
                <w:rStyle w:val="IndexLink"/>
              </w:rPr>
              <w:t>349</w:t>
            </w:r>
          </w:hyperlink>
        </w:p>
        <w:p>
          <w:pPr>
            <w:pStyle w:val="Contents2"/>
            <w:tabs>
              <w:tab w:val="clear" w:pos="8743"/>
              <w:tab w:val="right" w:pos="9026" w:leader="dot"/>
            </w:tabs>
            <w:rPr/>
          </w:pPr>
          <w:hyperlink w:anchor="__RefHeading___Toc2088053_388300464">
            <w:r>
              <w:rPr>
                <w:webHidden/>
                <w:rStyle w:val="IndexLink"/>
                <w:rtl w:val="true"/>
              </w:rPr>
              <w:t>لباس المصلّی</w:t>
            </w:r>
            <w:r>
              <w:rPr>
                <w:rStyle w:val="IndexLink"/>
                <w:rtl w:val="true"/>
              </w:rPr>
              <w:tab/>
            </w:r>
            <w:r>
              <w:rPr>
                <w:rStyle w:val="IndexLink"/>
              </w:rPr>
              <w:t>350</w:t>
            </w:r>
          </w:hyperlink>
        </w:p>
        <w:p>
          <w:pPr>
            <w:pStyle w:val="Contents3"/>
            <w:tabs>
              <w:tab w:val="clear" w:pos="8459"/>
              <w:tab w:val="right" w:pos="9026" w:leader="dot"/>
            </w:tabs>
            <w:rPr/>
          </w:pPr>
          <w:hyperlink w:anchor="__RefHeading___Toc2088055_388300464">
            <w:r>
              <w:rPr>
                <w:webHidden/>
                <w:rStyle w:val="IndexLink"/>
                <w:rtl w:val="true"/>
              </w:rPr>
              <w:t>حکم الصلاة فی جلد المیتة</w:t>
            </w:r>
            <w:r>
              <w:rPr>
                <w:rStyle w:val="IndexLink"/>
                <w:rtl w:val="true"/>
              </w:rPr>
              <w:tab/>
            </w:r>
            <w:r>
              <w:rPr>
                <w:rStyle w:val="IndexLink"/>
              </w:rPr>
              <w:t>350</w:t>
            </w:r>
          </w:hyperlink>
        </w:p>
        <w:p>
          <w:pPr>
            <w:pStyle w:val="Contents3"/>
            <w:tabs>
              <w:tab w:val="clear" w:pos="8459"/>
              <w:tab w:val="right" w:pos="9026" w:leader="dot"/>
            </w:tabs>
            <w:rPr/>
          </w:pPr>
          <w:hyperlink w:anchor="__RefHeading___Toc2088057_388300464">
            <w:r>
              <w:rPr>
                <w:webHidden/>
                <w:rStyle w:val="IndexLink"/>
                <w:rtl w:val="true"/>
              </w:rPr>
              <w:t>عبد الله بن بکیر ثقة من فقهاء أصحابنا</w:t>
            </w:r>
            <w:r>
              <w:rPr>
                <w:rStyle w:val="IndexLink"/>
                <w:rtl w:val="true"/>
              </w:rPr>
              <w:tab/>
            </w:r>
            <w:r>
              <w:rPr>
                <w:rStyle w:val="IndexLink"/>
              </w:rPr>
              <w:t>356</w:t>
            </w:r>
          </w:hyperlink>
        </w:p>
        <w:p>
          <w:pPr>
            <w:pStyle w:val="Contents3"/>
            <w:tabs>
              <w:tab w:val="clear" w:pos="8459"/>
              <w:tab w:val="right" w:pos="9026" w:leader="dot"/>
            </w:tabs>
            <w:rPr/>
          </w:pPr>
          <w:hyperlink w:anchor="__RefHeading___Toc2088059_388300464">
            <w:r>
              <w:rPr>
                <w:webHidden/>
                <w:rStyle w:val="IndexLink"/>
                <w:rtl w:val="true"/>
              </w:rPr>
              <w:t>حکم استصحاب شیء مما لا یؤکل لحمه حال الصلاة</w:t>
            </w:r>
            <w:r>
              <w:rPr>
                <w:rStyle w:val="IndexLink"/>
                <w:rtl w:val="true"/>
              </w:rPr>
              <w:tab/>
            </w:r>
            <w:r>
              <w:rPr>
                <w:rStyle w:val="IndexLink"/>
              </w:rPr>
              <w:t>358</w:t>
            </w:r>
          </w:hyperlink>
        </w:p>
        <w:p>
          <w:pPr>
            <w:pStyle w:val="Contents3"/>
            <w:tabs>
              <w:tab w:val="clear" w:pos="8459"/>
              <w:tab w:val="right" w:pos="9026" w:leader="dot"/>
            </w:tabs>
            <w:rPr/>
          </w:pPr>
          <w:hyperlink w:anchor="__RefHeading___Toc2088061_388300464">
            <w:r>
              <w:rPr>
                <w:webHidden/>
                <w:rStyle w:val="IndexLink"/>
                <w:rtl w:val="true"/>
              </w:rPr>
              <w:t>حکم الصلاة فی جلد ما لا یؤکل لحمه وحکم صوفه وشعره ووبره</w:t>
            </w:r>
            <w:r>
              <w:rPr>
                <w:rStyle w:val="IndexLink"/>
                <w:rtl w:val="true"/>
              </w:rPr>
              <w:tab/>
            </w:r>
            <w:r>
              <w:rPr>
                <w:rStyle w:val="IndexLink"/>
              </w:rPr>
              <w:t>359</w:t>
            </w:r>
          </w:hyperlink>
        </w:p>
        <w:p>
          <w:pPr>
            <w:pStyle w:val="Contents3"/>
            <w:tabs>
              <w:tab w:val="clear" w:pos="8459"/>
              <w:tab w:val="right" w:pos="9026" w:leader="dot"/>
            </w:tabs>
            <w:rPr/>
          </w:pPr>
          <w:hyperlink w:anchor="__RefHeading___Toc2088063_388300464">
            <w:r>
              <w:rPr>
                <w:webHidden/>
                <w:rStyle w:val="IndexLink"/>
                <w:rtl w:val="true"/>
              </w:rPr>
              <w:t>بحث رجالی حول إبراهیم بن محمّد الهمدانی</w:t>
            </w:r>
            <w:r>
              <w:rPr>
                <w:rStyle w:val="IndexLink"/>
                <w:rtl w:val="true"/>
              </w:rPr>
              <w:tab/>
            </w:r>
            <w:r>
              <w:rPr>
                <w:rStyle w:val="IndexLink"/>
              </w:rPr>
              <w:t>363</w:t>
            </w:r>
          </w:hyperlink>
        </w:p>
        <w:p>
          <w:pPr>
            <w:pStyle w:val="Contents3"/>
            <w:tabs>
              <w:tab w:val="clear" w:pos="8459"/>
              <w:tab w:val="right" w:pos="9026" w:leader="dot"/>
            </w:tabs>
            <w:rPr/>
          </w:pPr>
          <w:hyperlink w:anchor="__RefHeading___Toc2088065_388300464">
            <w:r>
              <w:rPr>
                <w:webHidden/>
                <w:rStyle w:val="IndexLink"/>
                <w:rtl w:val="true"/>
              </w:rPr>
              <w:t>حکم الصلاة فی التکة والقلنسوة المعمولتین من وبر غیر المأکول</w:t>
            </w:r>
            <w:r>
              <w:rPr>
                <w:rStyle w:val="IndexLink"/>
                <w:rtl w:val="true"/>
              </w:rPr>
              <w:tab/>
            </w:r>
            <w:r>
              <w:rPr>
                <w:rStyle w:val="IndexLink"/>
              </w:rPr>
              <w:t>364</w:t>
            </w:r>
          </w:hyperlink>
        </w:p>
        <w:p>
          <w:pPr>
            <w:pStyle w:val="Contents3"/>
            <w:tabs>
              <w:tab w:val="clear" w:pos="8459"/>
              <w:tab w:val="right" w:pos="9026" w:leader="dot"/>
            </w:tabs>
            <w:rPr/>
          </w:pPr>
          <w:hyperlink w:anchor="__RefHeading___Toc2088067_388300464">
            <w:r>
              <w:rPr>
                <w:webHidden/>
                <w:rStyle w:val="IndexLink"/>
                <w:rtl w:val="true"/>
              </w:rPr>
              <w:t>حکم الصلاة فی فرو السنجاب</w:t>
            </w:r>
            <w:r>
              <w:rPr>
                <w:rStyle w:val="IndexLink"/>
                <w:rtl w:val="true"/>
              </w:rPr>
              <w:tab/>
            </w:r>
            <w:r>
              <w:rPr>
                <w:rStyle w:val="IndexLink"/>
              </w:rPr>
              <w:t>364</w:t>
            </w:r>
          </w:hyperlink>
        </w:p>
        <w:p>
          <w:pPr>
            <w:pStyle w:val="Contents3"/>
            <w:tabs>
              <w:tab w:val="clear" w:pos="8459"/>
              <w:tab w:val="right" w:pos="9026" w:leader="dot"/>
            </w:tabs>
            <w:rPr/>
          </w:pPr>
          <w:hyperlink w:anchor="__RefHeading___Toc2088069_388300464">
            <w:r>
              <w:rPr>
                <w:webHidden/>
                <w:rStyle w:val="IndexLink"/>
                <w:rtl w:val="true"/>
              </w:rPr>
              <w:t>حکم الصلاة فی جلود الثعالب والأرانب</w:t>
            </w:r>
            <w:r>
              <w:rPr>
                <w:rStyle w:val="IndexLink"/>
                <w:rtl w:val="true"/>
              </w:rPr>
              <w:tab/>
            </w:r>
            <w:r>
              <w:rPr>
                <w:rStyle w:val="IndexLink"/>
              </w:rPr>
              <w:t>367</w:t>
            </w:r>
          </w:hyperlink>
        </w:p>
        <w:p>
          <w:pPr>
            <w:pStyle w:val="Contents3"/>
            <w:tabs>
              <w:tab w:val="clear" w:pos="8459"/>
              <w:tab w:val="right" w:pos="9026" w:leader="dot"/>
            </w:tabs>
            <w:rPr/>
          </w:pPr>
          <w:hyperlink w:anchor="__RefHeading___Toc2088071_388300464">
            <w:r>
              <w:rPr>
                <w:webHidden/>
                <w:rStyle w:val="IndexLink"/>
                <w:rtl w:val="true"/>
              </w:rPr>
              <w:t>حکم لبس الحریر للرجال</w:t>
            </w:r>
            <w:r>
              <w:rPr>
                <w:rStyle w:val="IndexLink"/>
                <w:rtl w:val="true"/>
              </w:rPr>
              <w:tab/>
            </w:r>
            <w:r>
              <w:rPr>
                <w:rStyle w:val="IndexLink"/>
              </w:rPr>
              <w:t>368</w:t>
            </w:r>
          </w:hyperlink>
        </w:p>
        <w:p>
          <w:pPr>
            <w:pStyle w:val="Contents3"/>
            <w:tabs>
              <w:tab w:val="clear" w:pos="8459"/>
              <w:tab w:val="right" w:pos="9026" w:leader="dot"/>
            </w:tabs>
            <w:rPr/>
          </w:pPr>
          <w:hyperlink w:anchor="__RefHeading___Toc2088073_388300464">
            <w:r>
              <w:rPr>
                <w:webHidden/>
                <w:rStyle w:val="IndexLink"/>
                <w:rtl w:val="true"/>
              </w:rPr>
              <w:t>حکم الصلاة فی الذهب للرجال</w:t>
            </w:r>
            <w:r>
              <w:rPr>
                <w:rStyle w:val="IndexLink"/>
                <w:rtl w:val="true"/>
              </w:rPr>
              <w:tab/>
            </w:r>
            <w:r>
              <w:rPr>
                <w:rStyle w:val="IndexLink"/>
              </w:rPr>
              <w:t>370</w:t>
            </w:r>
          </w:hyperlink>
        </w:p>
        <w:p>
          <w:pPr>
            <w:pStyle w:val="Contents3"/>
            <w:tabs>
              <w:tab w:val="clear" w:pos="8459"/>
              <w:tab w:val="right" w:pos="9026" w:leader="dot"/>
            </w:tabs>
            <w:rPr/>
          </w:pPr>
          <w:hyperlink w:anchor="__RefHeading___Toc2088075_388300464">
            <w:r>
              <w:rPr>
                <w:webHidden/>
                <w:rStyle w:val="IndexLink"/>
                <w:rtl w:val="true"/>
              </w:rPr>
              <w:t>حکم لبس الحریر للنساء</w:t>
            </w:r>
            <w:r>
              <w:rPr>
                <w:rStyle w:val="IndexLink"/>
                <w:rtl w:val="true"/>
              </w:rPr>
              <w:tab/>
            </w:r>
            <w:r>
              <w:rPr>
                <w:rStyle w:val="IndexLink"/>
              </w:rPr>
              <w:t>373</w:t>
            </w:r>
          </w:hyperlink>
        </w:p>
        <w:p>
          <w:pPr>
            <w:pStyle w:val="Contents3"/>
            <w:tabs>
              <w:tab w:val="clear" w:pos="8459"/>
              <w:tab w:val="right" w:pos="9026" w:leader="dot"/>
            </w:tabs>
            <w:rPr/>
          </w:pPr>
          <w:hyperlink w:anchor="__RefHeading___Toc2088077_388300464">
            <w:r>
              <w:rPr>
                <w:webHidden/>
                <w:rStyle w:val="IndexLink"/>
                <w:rtl w:val="true"/>
              </w:rPr>
              <w:t>حکم الصلاة فی ما لا تتم الصلاة فیه من الحریر کالتکة والقلنسوة</w:t>
            </w:r>
            <w:r>
              <w:rPr>
                <w:rStyle w:val="IndexLink"/>
                <w:rtl w:val="true"/>
              </w:rPr>
              <w:tab/>
            </w:r>
            <w:r>
              <w:rPr>
                <w:rStyle w:val="IndexLink"/>
              </w:rPr>
              <w:t>374</w:t>
            </w:r>
          </w:hyperlink>
        </w:p>
        <w:p>
          <w:pPr>
            <w:pStyle w:val="Contents3"/>
            <w:tabs>
              <w:tab w:val="clear" w:pos="8459"/>
              <w:tab w:val="right" w:pos="9026" w:leader="dot"/>
            </w:tabs>
            <w:rPr/>
          </w:pPr>
          <w:hyperlink w:anchor="__RefHeading___Toc2088079_388300464">
            <w:r>
              <w:rPr>
                <w:webHidden/>
                <w:rStyle w:val="IndexLink"/>
                <w:rtl w:val="true"/>
              </w:rPr>
              <w:t>بحث حول المکاتبة</w:t>
            </w:r>
            <w:r>
              <w:rPr>
                <w:rStyle w:val="IndexLink"/>
                <w:rtl w:val="true"/>
              </w:rPr>
              <w:tab/>
            </w:r>
            <w:r>
              <w:rPr>
                <w:rStyle w:val="IndexLink"/>
              </w:rPr>
              <w:t>376</w:t>
            </w:r>
          </w:hyperlink>
        </w:p>
        <w:p>
          <w:pPr>
            <w:pStyle w:val="Contents3"/>
            <w:tabs>
              <w:tab w:val="clear" w:pos="8459"/>
              <w:tab w:val="right" w:pos="9026" w:leader="dot"/>
            </w:tabs>
            <w:rPr/>
          </w:pPr>
          <w:hyperlink w:anchor="__RefHeading___Toc2088081_388300464">
            <w:r>
              <w:rPr>
                <w:webHidden/>
                <w:rStyle w:val="IndexLink"/>
                <w:rtl w:val="true"/>
              </w:rPr>
              <w:t>بحث رجالی حول أحمد بن الهلال</w:t>
            </w:r>
            <w:r>
              <w:rPr>
                <w:rStyle w:val="IndexLink"/>
                <w:rtl w:val="true"/>
              </w:rPr>
              <w:tab/>
            </w:r>
            <w:r>
              <w:rPr>
                <w:rStyle w:val="IndexLink"/>
              </w:rPr>
              <w:t>377</w:t>
            </w:r>
          </w:hyperlink>
        </w:p>
        <w:p>
          <w:pPr>
            <w:pStyle w:val="Contents3"/>
            <w:tabs>
              <w:tab w:val="clear" w:pos="8459"/>
              <w:tab w:val="right" w:pos="9026" w:leader="dot"/>
            </w:tabs>
            <w:rPr/>
          </w:pPr>
          <w:hyperlink w:anchor="__RefHeading___Toc2088083_388300464">
            <w:r>
              <w:rPr>
                <w:webHidden/>
                <w:rStyle w:val="IndexLink"/>
                <w:rtl w:val="true"/>
              </w:rPr>
              <w:t>جواز الصلاة فی الثوب المکفوف بالحریر</w:t>
            </w:r>
            <w:r>
              <w:rPr>
                <w:rStyle w:val="IndexLink"/>
                <w:rtl w:val="true"/>
              </w:rPr>
              <w:tab/>
            </w:r>
            <w:r>
              <w:rPr>
                <w:rStyle w:val="IndexLink"/>
              </w:rPr>
              <w:t>379</w:t>
            </w:r>
          </w:hyperlink>
        </w:p>
        <w:p>
          <w:pPr>
            <w:pStyle w:val="Contents3"/>
            <w:tabs>
              <w:tab w:val="clear" w:pos="8459"/>
              <w:tab w:val="right" w:pos="9026" w:leader="dot"/>
            </w:tabs>
            <w:rPr/>
          </w:pPr>
          <w:hyperlink w:anchor="__RefHeading___Toc2088085_388300464">
            <w:r>
              <w:rPr>
                <w:webHidden/>
                <w:rStyle w:val="IndexLink"/>
                <w:rtl w:val="true"/>
              </w:rPr>
              <w:t>حرمة الصلاة فی الثوب المغصوب</w:t>
            </w:r>
            <w:r>
              <w:rPr>
                <w:rStyle w:val="IndexLink"/>
                <w:rtl w:val="true"/>
              </w:rPr>
              <w:tab/>
            </w:r>
            <w:r>
              <w:rPr>
                <w:rStyle w:val="IndexLink"/>
              </w:rPr>
              <w:t>380</w:t>
            </w:r>
          </w:hyperlink>
        </w:p>
        <w:p>
          <w:pPr>
            <w:pStyle w:val="Contents3"/>
            <w:tabs>
              <w:tab w:val="clear" w:pos="8459"/>
              <w:tab w:val="right" w:pos="9026" w:leader="dot"/>
            </w:tabs>
            <w:rPr/>
          </w:pPr>
          <w:hyperlink w:anchor="__RefHeading___Toc2088087_388300464">
            <w:r>
              <w:rPr>
                <w:webHidden/>
                <w:rStyle w:val="IndexLink"/>
                <w:rtl w:val="true"/>
              </w:rPr>
              <w:t>جواز الصلاة فی ثوب واحد للرجل دون المرأة</w:t>
            </w:r>
            <w:r>
              <w:rPr>
                <w:rStyle w:val="IndexLink"/>
                <w:rtl w:val="true"/>
              </w:rPr>
              <w:tab/>
            </w:r>
            <w:r>
              <w:rPr>
                <w:rStyle w:val="IndexLink"/>
              </w:rPr>
              <w:t>382</w:t>
            </w:r>
          </w:hyperlink>
        </w:p>
        <w:p>
          <w:pPr>
            <w:pStyle w:val="Contents3"/>
            <w:tabs>
              <w:tab w:val="clear" w:pos="8459"/>
              <w:tab w:val="right" w:pos="9026" w:leader="dot"/>
            </w:tabs>
            <w:rPr/>
          </w:pPr>
          <w:hyperlink w:anchor="__RefHeading___Toc2088089_388300464">
            <w:r>
              <w:rPr>
                <w:webHidden/>
                <w:rStyle w:val="IndexLink"/>
                <w:rtl w:val="true"/>
              </w:rPr>
              <w:t>حکم من لا یجد ثوباً یستر به العورة</w:t>
            </w:r>
            <w:r>
              <w:rPr>
                <w:rStyle w:val="IndexLink"/>
                <w:rtl w:val="true"/>
              </w:rPr>
              <w:tab/>
            </w:r>
            <w:r>
              <w:rPr>
                <w:rStyle w:val="IndexLink"/>
              </w:rPr>
              <w:t>384</w:t>
            </w:r>
          </w:hyperlink>
        </w:p>
        <w:p>
          <w:pPr>
            <w:pStyle w:val="Contents3"/>
            <w:tabs>
              <w:tab w:val="clear" w:pos="8459"/>
              <w:tab w:val="right" w:pos="9026" w:leader="dot"/>
            </w:tabs>
            <w:rPr/>
          </w:pPr>
          <w:hyperlink w:anchor="__RefHeading___Toc2088091_388300464">
            <w:r>
              <w:rPr>
                <w:webHidden/>
                <w:rStyle w:val="IndexLink"/>
                <w:rtl w:val="true"/>
              </w:rPr>
              <w:t>عبد الله بن جَبَلة واقفی ثقة</w:t>
            </w:r>
            <w:r>
              <w:rPr>
                <w:rStyle w:val="IndexLink"/>
                <w:rtl w:val="true"/>
              </w:rPr>
              <w:tab/>
            </w:r>
            <w:r>
              <w:rPr>
                <w:rStyle w:val="IndexLink"/>
              </w:rPr>
              <w:t>387</w:t>
            </w:r>
          </w:hyperlink>
        </w:p>
        <w:p>
          <w:pPr>
            <w:pStyle w:val="Contents3"/>
            <w:tabs>
              <w:tab w:val="clear" w:pos="8459"/>
              <w:tab w:val="right" w:pos="9026" w:leader="dot"/>
            </w:tabs>
            <w:rPr/>
          </w:pPr>
          <w:hyperlink w:anchor="__RefHeading___Toc2088093_388300464">
            <w:r>
              <w:rPr>
                <w:webHidden/>
                <w:rStyle w:val="IndexLink"/>
                <w:rtl w:val="true"/>
              </w:rPr>
              <w:t>إسحاق بن عمّار بن حیّان الکوفی ثقة</w:t>
            </w:r>
            <w:r>
              <w:rPr>
                <w:rStyle w:val="IndexLink"/>
                <w:rtl w:val="true"/>
              </w:rPr>
              <w:tab/>
            </w:r>
            <w:r>
              <w:rPr>
                <w:rStyle w:val="IndexLink"/>
              </w:rPr>
              <w:t>387</w:t>
            </w:r>
          </w:hyperlink>
        </w:p>
        <w:p>
          <w:pPr>
            <w:pStyle w:val="Contents3"/>
            <w:tabs>
              <w:tab w:val="clear" w:pos="8459"/>
              <w:tab w:val="right" w:pos="9026" w:leader="dot"/>
            </w:tabs>
            <w:rPr/>
          </w:pPr>
          <w:hyperlink w:anchor="__RefHeading___Toc2088095_388300464">
            <w:r>
              <w:rPr>
                <w:webHidden/>
                <w:rStyle w:val="IndexLink"/>
                <w:rtl w:val="true"/>
              </w:rPr>
              <w:t>الأمة والصبیّة تصلّیان بدون خمار</w:t>
            </w:r>
            <w:r>
              <w:rPr>
                <w:rStyle w:val="IndexLink"/>
                <w:rtl w:val="true"/>
              </w:rPr>
              <w:tab/>
            </w:r>
            <w:r>
              <w:rPr>
                <w:rStyle w:val="IndexLink"/>
              </w:rPr>
              <w:t>387</w:t>
            </w:r>
          </w:hyperlink>
        </w:p>
        <w:p>
          <w:pPr>
            <w:pStyle w:val="Contents3"/>
            <w:tabs>
              <w:tab w:val="clear" w:pos="8459"/>
              <w:tab w:val="right" w:pos="9026" w:leader="dot"/>
            </w:tabs>
            <w:rPr/>
          </w:pPr>
          <w:hyperlink w:anchor="__RefHeading___Toc2088097_388300464">
            <w:r>
              <w:rPr>
                <w:webHidden/>
                <w:rStyle w:val="IndexLink"/>
                <w:rtl w:val="true"/>
              </w:rPr>
              <w:t>مکروهات لباس المصلّی</w:t>
            </w:r>
            <w:r>
              <w:rPr>
                <w:rStyle w:val="IndexLink"/>
                <w:rtl w:val="true"/>
              </w:rPr>
              <w:tab/>
            </w:r>
            <w:r>
              <w:rPr>
                <w:rStyle w:val="IndexLink"/>
              </w:rPr>
              <w:t>388</w:t>
            </w:r>
          </w:hyperlink>
        </w:p>
        <w:p>
          <w:pPr>
            <w:pStyle w:val="Contents4"/>
            <w:tabs>
              <w:tab w:val="clear" w:pos="8176"/>
              <w:tab w:val="right" w:pos="9026" w:leader="dot"/>
            </w:tabs>
            <w:rPr/>
          </w:pPr>
          <w:hyperlink w:anchor="__RefHeading___Toc2088099_388300464">
            <w:r>
              <w:rPr>
                <w:webHidden/>
                <w:rStyle w:val="IndexLink"/>
                <w:rtl w:val="true"/>
              </w:rPr>
              <w:t>الاتزار فوق القمیص</w:t>
            </w:r>
            <w:r>
              <w:rPr>
                <w:rStyle w:val="IndexLink"/>
                <w:rtl w:val="true"/>
              </w:rPr>
              <w:tab/>
            </w:r>
            <w:r>
              <w:rPr>
                <w:rStyle w:val="IndexLink"/>
              </w:rPr>
              <w:t>388</w:t>
            </w:r>
          </w:hyperlink>
        </w:p>
        <w:p>
          <w:pPr>
            <w:pStyle w:val="Contents4"/>
            <w:tabs>
              <w:tab w:val="clear" w:pos="8176"/>
              <w:tab w:val="right" w:pos="9026" w:leader="dot"/>
            </w:tabs>
            <w:rPr/>
          </w:pPr>
          <w:hyperlink w:anchor="__RefHeading___Toc2088101_388300464">
            <w:r>
              <w:rPr>
                <w:webHidden/>
                <w:rStyle w:val="IndexLink"/>
                <w:rtl w:val="true"/>
              </w:rPr>
              <w:t>معنی التوشح</w:t>
            </w:r>
            <w:r>
              <w:rPr>
                <w:rStyle w:val="IndexLink"/>
                <w:rtl w:val="true"/>
              </w:rPr>
              <w:tab/>
            </w:r>
            <w:r>
              <w:rPr>
                <w:rStyle w:val="IndexLink"/>
              </w:rPr>
              <w:t>389</w:t>
            </w:r>
          </w:hyperlink>
        </w:p>
        <w:p>
          <w:pPr>
            <w:pStyle w:val="Contents4"/>
            <w:tabs>
              <w:tab w:val="clear" w:pos="8176"/>
              <w:tab w:val="right" w:pos="9026" w:leader="dot"/>
            </w:tabs>
            <w:rPr/>
          </w:pPr>
          <w:hyperlink w:anchor="__RefHeading___Toc2088103_388300464">
            <w:r>
              <w:rPr>
                <w:webHidden/>
                <w:rStyle w:val="IndexLink"/>
                <w:rtl w:val="true"/>
              </w:rPr>
              <w:t>الصلاة فی عمامة لا حنک لها</w:t>
            </w:r>
            <w:r>
              <w:rPr>
                <w:rStyle w:val="IndexLink"/>
                <w:rtl w:val="true"/>
              </w:rPr>
              <w:tab/>
            </w:r>
            <w:r>
              <w:rPr>
                <w:rStyle w:val="IndexLink"/>
              </w:rPr>
              <w:t>389</w:t>
            </w:r>
          </w:hyperlink>
        </w:p>
        <w:p>
          <w:pPr>
            <w:pStyle w:val="Contents4"/>
            <w:tabs>
              <w:tab w:val="clear" w:pos="8176"/>
              <w:tab w:val="right" w:pos="9026" w:leader="dot"/>
            </w:tabs>
            <w:rPr/>
          </w:pPr>
          <w:hyperlink w:anchor="__RefHeading___Toc2088105_388300464">
            <w:r>
              <w:rPr>
                <w:webHidden/>
                <w:rStyle w:val="IndexLink"/>
                <w:rtl w:val="true"/>
              </w:rPr>
              <w:t>الصلاة فی قباء مشدود</w:t>
            </w:r>
            <w:r>
              <w:rPr>
                <w:rStyle w:val="IndexLink"/>
                <w:rtl w:val="true"/>
              </w:rPr>
              <w:tab/>
            </w:r>
            <w:r>
              <w:rPr>
                <w:rStyle w:val="IndexLink"/>
              </w:rPr>
              <w:t>390</w:t>
            </w:r>
          </w:hyperlink>
        </w:p>
        <w:p>
          <w:pPr>
            <w:pStyle w:val="Contents4"/>
            <w:tabs>
              <w:tab w:val="clear" w:pos="8176"/>
              <w:tab w:val="right" w:pos="9026" w:leader="dot"/>
            </w:tabs>
            <w:rPr/>
          </w:pPr>
          <w:hyperlink w:anchor="__RefHeading___Toc2088107_388300464">
            <w:r>
              <w:rPr>
                <w:webHidden/>
                <w:rStyle w:val="IndexLink"/>
                <w:rtl w:val="true"/>
              </w:rPr>
              <w:t>الإمامة بغیر رداء</w:t>
            </w:r>
            <w:r>
              <w:rPr>
                <w:rStyle w:val="IndexLink"/>
                <w:rtl w:val="true"/>
              </w:rPr>
              <w:tab/>
            </w:r>
            <w:r>
              <w:rPr>
                <w:rStyle w:val="IndexLink"/>
              </w:rPr>
              <w:t>391</w:t>
            </w:r>
          </w:hyperlink>
        </w:p>
        <w:p>
          <w:pPr>
            <w:pStyle w:val="Contents4"/>
            <w:tabs>
              <w:tab w:val="clear" w:pos="8176"/>
              <w:tab w:val="right" w:pos="9026" w:leader="dot"/>
            </w:tabs>
            <w:rPr/>
          </w:pPr>
          <w:hyperlink w:anchor="__RefHeading___Toc2088109_388300464">
            <w:r>
              <w:rPr>
                <w:webHidden/>
                <w:rStyle w:val="IndexLink"/>
                <w:rtl w:val="true"/>
              </w:rPr>
              <w:t>حکم استصحاب الحدید الظاهر فی الصلاة</w:t>
            </w:r>
            <w:r>
              <w:rPr>
                <w:rStyle w:val="IndexLink"/>
                <w:rtl w:val="true"/>
              </w:rPr>
              <w:tab/>
            </w:r>
            <w:r>
              <w:rPr>
                <w:rStyle w:val="IndexLink"/>
              </w:rPr>
              <w:t>391</w:t>
            </w:r>
          </w:hyperlink>
        </w:p>
        <w:p>
          <w:pPr>
            <w:pStyle w:val="Contents4"/>
            <w:tabs>
              <w:tab w:val="clear" w:pos="8176"/>
              <w:tab w:val="right" w:pos="9026" w:leader="dot"/>
            </w:tabs>
            <w:rPr/>
          </w:pPr>
          <w:hyperlink w:anchor="__RefHeading___Toc2088111_388300464">
            <w:r>
              <w:rPr>
                <w:webHidden/>
                <w:rStyle w:val="IndexLink"/>
                <w:rtl w:val="true"/>
              </w:rPr>
              <w:t>صلاة المرأة فی خلخال له صوّت</w:t>
            </w:r>
            <w:r>
              <w:rPr>
                <w:rStyle w:val="IndexLink"/>
                <w:rtl w:val="true"/>
              </w:rPr>
              <w:tab/>
            </w:r>
            <w:r>
              <w:rPr>
                <w:rStyle w:val="IndexLink"/>
              </w:rPr>
              <w:t>392</w:t>
            </w:r>
          </w:hyperlink>
        </w:p>
        <w:p>
          <w:pPr>
            <w:pStyle w:val="Contents4"/>
            <w:tabs>
              <w:tab w:val="clear" w:pos="8176"/>
              <w:tab w:val="right" w:pos="9026" w:leader="dot"/>
            </w:tabs>
            <w:rPr/>
          </w:pPr>
          <w:hyperlink w:anchor="__RefHeading___Toc2088113_388300464">
            <w:r>
              <w:rPr>
                <w:webHidden/>
                <w:rStyle w:val="IndexLink"/>
                <w:rtl w:val="true"/>
              </w:rPr>
              <w:t>الصلاة فی ثوب علیه تماثیل</w:t>
            </w:r>
            <w:r>
              <w:rPr>
                <w:rStyle w:val="IndexLink"/>
                <w:rtl w:val="true"/>
              </w:rPr>
              <w:tab/>
            </w:r>
            <w:r>
              <w:rPr>
                <w:rStyle w:val="IndexLink"/>
              </w:rPr>
              <w:t>392</w:t>
            </w:r>
          </w:hyperlink>
        </w:p>
        <w:p>
          <w:pPr>
            <w:pStyle w:val="Contents2"/>
            <w:tabs>
              <w:tab w:val="clear" w:pos="8743"/>
              <w:tab w:val="right" w:pos="9026" w:leader="dot"/>
            </w:tabs>
            <w:rPr/>
          </w:pPr>
          <w:hyperlink w:anchor="__RefHeading___Toc2088115_388300464">
            <w:r>
              <w:rPr>
                <w:webHidden/>
                <w:rStyle w:val="IndexLink"/>
                <w:rtl w:val="true"/>
              </w:rPr>
              <w:t>مکان المصلّی</w:t>
            </w:r>
            <w:r>
              <w:rPr>
                <w:rStyle w:val="IndexLink"/>
                <w:rtl w:val="true"/>
              </w:rPr>
              <w:tab/>
            </w:r>
            <w:r>
              <w:rPr>
                <w:rStyle w:val="IndexLink"/>
              </w:rPr>
              <w:t>393</w:t>
            </w:r>
          </w:hyperlink>
        </w:p>
        <w:p>
          <w:pPr>
            <w:pStyle w:val="Contents3"/>
            <w:tabs>
              <w:tab w:val="clear" w:pos="8459"/>
              <w:tab w:val="right" w:pos="9026" w:leader="dot"/>
            </w:tabs>
            <w:rPr/>
          </w:pPr>
          <w:hyperlink w:anchor="__RefHeading___Toc2088117_388300464">
            <w:r>
              <w:rPr>
                <w:webHidden/>
                <w:rStyle w:val="IndexLink"/>
                <w:rtl w:val="true"/>
              </w:rPr>
              <w:t>اشتراط الإباحة فی مکان المصلّی</w:t>
            </w:r>
            <w:r>
              <w:rPr>
                <w:rStyle w:val="IndexLink"/>
                <w:rtl w:val="true"/>
              </w:rPr>
              <w:tab/>
            </w:r>
            <w:r>
              <w:rPr>
                <w:rStyle w:val="IndexLink"/>
              </w:rPr>
              <w:t>393</w:t>
            </w:r>
          </w:hyperlink>
        </w:p>
        <w:p>
          <w:pPr>
            <w:pStyle w:val="Contents3"/>
            <w:tabs>
              <w:tab w:val="clear" w:pos="8459"/>
              <w:tab w:val="right" w:pos="9026" w:leader="dot"/>
            </w:tabs>
            <w:rPr/>
          </w:pPr>
          <w:hyperlink w:anchor="__RefHeading___Toc2088119_388300464">
            <w:r>
              <w:rPr>
                <w:webHidden/>
                <w:rStyle w:val="IndexLink"/>
                <w:rtl w:val="true"/>
              </w:rPr>
              <w:t>حکم تساوی الرجل والمرأة أو تقدّمها علیه فی موقف الصلاة</w:t>
            </w:r>
            <w:r>
              <w:rPr>
                <w:rStyle w:val="IndexLink"/>
                <w:rtl w:val="true"/>
              </w:rPr>
              <w:tab/>
            </w:r>
            <w:r>
              <w:rPr>
                <w:rStyle w:val="IndexLink"/>
              </w:rPr>
              <w:t>400</w:t>
            </w:r>
          </w:hyperlink>
        </w:p>
        <w:p>
          <w:pPr>
            <w:pStyle w:val="Contents3"/>
            <w:tabs>
              <w:tab w:val="clear" w:pos="8459"/>
              <w:tab w:val="right" w:pos="9026" w:leader="dot"/>
            </w:tabs>
            <w:rPr/>
          </w:pPr>
          <w:hyperlink w:anchor="__RefHeading___Toc2088121_388300464">
            <w:r>
              <w:rPr>
                <w:webHidden/>
                <w:rStyle w:val="IndexLink"/>
                <w:rtl w:val="true"/>
              </w:rPr>
              <w:t>اشتراط طهارة موضع السجود</w:t>
            </w:r>
            <w:r>
              <w:rPr>
                <w:rStyle w:val="IndexLink"/>
                <w:rtl w:val="true"/>
              </w:rPr>
              <w:tab/>
            </w:r>
            <w:r>
              <w:rPr>
                <w:rStyle w:val="IndexLink"/>
              </w:rPr>
              <w:t>400</w:t>
            </w:r>
          </w:hyperlink>
        </w:p>
        <w:p>
          <w:pPr>
            <w:pStyle w:val="Contents3"/>
            <w:tabs>
              <w:tab w:val="clear" w:pos="8459"/>
              <w:tab w:val="right" w:pos="9026" w:leader="dot"/>
            </w:tabs>
            <w:rPr/>
          </w:pPr>
          <w:hyperlink w:anchor="__RefHeading___Toc2088123_388300464">
            <w:r>
              <w:rPr>
                <w:webHidden/>
                <w:rStyle w:val="IndexLink"/>
                <w:rtl w:val="true"/>
              </w:rPr>
              <w:t>مکروهات مکان المصلّی</w:t>
            </w:r>
            <w:r>
              <w:rPr>
                <w:rStyle w:val="IndexLink"/>
                <w:rtl w:val="true"/>
              </w:rPr>
              <w:tab/>
            </w:r>
            <w:r>
              <w:rPr>
                <w:rStyle w:val="IndexLink"/>
              </w:rPr>
              <w:t>401</w:t>
            </w:r>
          </w:hyperlink>
        </w:p>
        <w:p>
          <w:pPr>
            <w:pStyle w:val="Contents4"/>
            <w:tabs>
              <w:tab w:val="clear" w:pos="8176"/>
              <w:tab w:val="right" w:pos="9026" w:leader="dot"/>
            </w:tabs>
            <w:rPr/>
          </w:pPr>
          <w:hyperlink w:anchor="__RefHeading___Toc2088125_388300464">
            <w:r>
              <w:rPr>
                <w:webHidden/>
                <w:rStyle w:val="IndexLink"/>
                <w:rtl w:val="true"/>
              </w:rPr>
              <w:t>الصلاة فی الحمام</w:t>
            </w:r>
            <w:r>
              <w:rPr>
                <w:rStyle w:val="IndexLink"/>
                <w:rtl w:val="true"/>
              </w:rPr>
              <w:tab/>
            </w:r>
            <w:r>
              <w:rPr>
                <w:rStyle w:val="IndexLink"/>
              </w:rPr>
              <w:t>401</w:t>
            </w:r>
          </w:hyperlink>
        </w:p>
        <w:p>
          <w:pPr>
            <w:pStyle w:val="Contents4"/>
            <w:tabs>
              <w:tab w:val="clear" w:pos="8176"/>
              <w:tab w:val="right" w:pos="9026" w:leader="dot"/>
            </w:tabs>
            <w:rPr/>
          </w:pPr>
          <w:hyperlink w:anchor="__RefHeading___Toc2088127_388300464">
            <w:r>
              <w:rPr>
                <w:webHidden/>
                <w:rStyle w:val="IndexLink"/>
                <w:rtl w:val="true"/>
              </w:rPr>
              <w:t>الصلاة فی معاطن الإبل</w:t>
            </w:r>
            <w:r>
              <w:rPr>
                <w:rStyle w:val="IndexLink"/>
                <w:rtl w:val="true"/>
              </w:rPr>
              <w:tab/>
            </w:r>
            <w:r>
              <w:rPr>
                <w:rStyle w:val="IndexLink"/>
              </w:rPr>
              <w:t>401</w:t>
            </w:r>
          </w:hyperlink>
        </w:p>
        <w:p>
          <w:pPr>
            <w:pStyle w:val="Contents4"/>
            <w:tabs>
              <w:tab w:val="clear" w:pos="8176"/>
              <w:tab w:val="right" w:pos="9026" w:leader="dot"/>
            </w:tabs>
            <w:rPr/>
          </w:pPr>
          <w:hyperlink w:anchor="__RefHeading___Toc2088129_388300464">
            <w:r>
              <w:rPr>
                <w:webHidden/>
                <w:rStyle w:val="IndexLink"/>
                <w:rtl w:val="true"/>
              </w:rPr>
              <w:t>فی بیوت الخمور إذا لم تتعد إلیه نجاستها</w:t>
            </w:r>
            <w:r>
              <w:rPr>
                <w:rStyle w:val="IndexLink"/>
                <w:rtl w:val="true"/>
              </w:rPr>
              <w:tab/>
            </w:r>
            <w:r>
              <w:rPr>
                <w:rStyle w:val="IndexLink"/>
              </w:rPr>
              <w:t>401</w:t>
            </w:r>
          </w:hyperlink>
        </w:p>
        <w:p>
          <w:pPr>
            <w:pStyle w:val="Contents4"/>
            <w:tabs>
              <w:tab w:val="clear" w:pos="8176"/>
              <w:tab w:val="right" w:pos="9026" w:leader="dot"/>
            </w:tabs>
            <w:rPr/>
          </w:pPr>
          <w:hyperlink w:anchor="__RefHeading___Toc2088131_388300464">
            <w:r>
              <w:rPr>
                <w:webHidden/>
                <w:rStyle w:val="IndexLink"/>
                <w:rtl w:val="true"/>
              </w:rPr>
              <w:t>کراهة الصلاة إذا کان بین یدی المصلّی نار مضرمة</w:t>
            </w:r>
            <w:r>
              <w:rPr>
                <w:rStyle w:val="IndexLink"/>
                <w:rtl w:val="true"/>
              </w:rPr>
              <w:tab/>
            </w:r>
            <w:r>
              <w:rPr>
                <w:rStyle w:val="IndexLink"/>
              </w:rPr>
              <w:t>402</w:t>
            </w:r>
          </w:hyperlink>
        </w:p>
        <w:p>
          <w:pPr>
            <w:pStyle w:val="Contents2"/>
            <w:tabs>
              <w:tab w:val="clear" w:pos="8743"/>
              <w:tab w:val="right" w:pos="9026" w:leader="dot"/>
            </w:tabs>
            <w:rPr/>
          </w:pPr>
          <w:hyperlink w:anchor="__RefHeading___Toc2088133_388300464">
            <w:r>
              <w:rPr>
                <w:webHidden/>
                <w:rStyle w:val="IndexLink"/>
                <w:rtl w:val="true"/>
              </w:rPr>
              <w:t>ما یسجد علیه</w:t>
            </w:r>
            <w:r>
              <w:rPr>
                <w:rStyle w:val="IndexLink"/>
                <w:rtl w:val="true"/>
              </w:rPr>
              <w:tab/>
            </w:r>
            <w:r>
              <w:rPr>
                <w:rStyle w:val="IndexLink"/>
              </w:rPr>
              <w:t>403</w:t>
            </w:r>
          </w:hyperlink>
        </w:p>
        <w:p>
          <w:pPr>
            <w:pStyle w:val="Contents3"/>
            <w:tabs>
              <w:tab w:val="clear" w:pos="8459"/>
              <w:tab w:val="right" w:pos="9026" w:leader="dot"/>
            </w:tabs>
            <w:rPr/>
          </w:pPr>
          <w:hyperlink w:anchor="__RefHeading___Toc2088135_388300464">
            <w:r>
              <w:rPr>
                <w:webHidden/>
                <w:rStyle w:val="IndexLink"/>
                <w:rtl w:val="true"/>
              </w:rPr>
              <w:t>عدم جواز السجود علی المعدن إلاّ عند الضرورة</w:t>
            </w:r>
            <w:r>
              <w:rPr>
                <w:rStyle w:val="IndexLink"/>
                <w:rtl w:val="true"/>
              </w:rPr>
              <w:tab/>
            </w:r>
            <w:r>
              <w:rPr>
                <w:rStyle w:val="IndexLink"/>
              </w:rPr>
              <w:t>403</w:t>
            </w:r>
          </w:hyperlink>
        </w:p>
        <w:p>
          <w:pPr>
            <w:pStyle w:val="Contents3"/>
            <w:tabs>
              <w:tab w:val="clear" w:pos="8459"/>
              <w:tab w:val="right" w:pos="9026" w:leader="dot"/>
            </w:tabs>
            <w:rPr/>
          </w:pPr>
          <w:hyperlink w:anchor="__RefHeading___Toc2088137_388300464">
            <w:r>
              <w:rPr>
                <w:webHidden/>
                <w:rStyle w:val="IndexLink"/>
                <w:rtl w:val="true"/>
              </w:rPr>
              <w:t>حکم السجود علی القطن والکتان</w:t>
            </w:r>
            <w:r>
              <w:rPr>
                <w:rStyle w:val="IndexLink"/>
                <w:rtl w:val="true"/>
              </w:rPr>
              <w:tab/>
            </w:r>
            <w:r>
              <w:rPr>
                <w:rStyle w:val="IndexLink"/>
              </w:rPr>
              <w:t>404</w:t>
            </w:r>
          </w:hyperlink>
        </w:p>
        <w:p>
          <w:pPr>
            <w:pStyle w:val="Contents3"/>
            <w:tabs>
              <w:tab w:val="clear" w:pos="8459"/>
              <w:tab w:val="right" w:pos="9026" w:leader="dot"/>
            </w:tabs>
            <w:rPr/>
          </w:pPr>
          <w:hyperlink w:anchor="__RefHeading___Toc2088139_388300464">
            <w:r>
              <w:rPr>
                <w:webHidden/>
                <w:rStyle w:val="IndexLink"/>
                <w:rtl w:val="true"/>
              </w:rPr>
              <w:t>عدم جواز السجود علی الوحل</w:t>
            </w:r>
            <w:r>
              <w:rPr>
                <w:rStyle w:val="IndexLink"/>
                <w:rtl w:val="true"/>
              </w:rPr>
              <w:tab/>
            </w:r>
            <w:r>
              <w:rPr>
                <w:rStyle w:val="IndexLink"/>
              </w:rPr>
              <w:t>405</w:t>
            </w:r>
          </w:hyperlink>
        </w:p>
        <w:p>
          <w:pPr>
            <w:pStyle w:val="Contents3"/>
            <w:tabs>
              <w:tab w:val="clear" w:pos="8459"/>
              <w:tab w:val="right" w:pos="9026" w:leader="dot"/>
            </w:tabs>
            <w:rPr/>
          </w:pPr>
          <w:hyperlink w:anchor="__RefHeading___Toc2088141_388300464">
            <w:r>
              <w:rPr>
                <w:webHidden/>
                <w:rStyle w:val="IndexLink"/>
                <w:rtl w:val="true"/>
              </w:rPr>
              <w:t>جواز الصلاة علی القرطاس</w:t>
            </w:r>
            <w:r>
              <w:rPr>
                <w:rStyle w:val="IndexLink"/>
                <w:rtl w:val="true"/>
              </w:rPr>
              <w:tab/>
            </w:r>
            <w:r>
              <w:rPr>
                <w:rStyle w:val="IndexLink"/>
              </w:rPr>
              <w:t>405</w:t>
            </w:r>
          </w:hyperlink>
        </w:p>
        <w:p>
          <w:pPr>
            <w:pStyle w:val="Contents3"/>
            <w:tabs>
              <w:tab w:val="clear" w:pos="8459"/>
              <w:tab w:val="right" w:pos="9026" w:leader="dot"/>
            </w:tabs>
            <w:rPr/>
          </w:pPr>
          <w:hyperlink w:anchor="__RefHeading___Toc2088143_388300464">
            <w:r>
              <w:rPr>
                <w:webHidden/>
                <w:rStyle w:val="IndexLink"/>
                <w:rtl w:val="true"/>
              </w:rPr>
              <w:t>حکم اشتباه الموضع النجس بغیره</w:t>
            </w:r>
            <w:r>
              <w:rPr>
                <w:rStyle w:val="IndexLink"/>
                <w:rtl w:val="true"/>
              </w:rPr>
              <w:tab/>
            </w:r>
            <w:r>
              <w:rPr>
                <w:rStyle w:val="IndexLink"/>
              </w:rPr>
              <w:t>405</w:t>
            </w:r>
          </w:hyperlink>
        </w:p>
        <w:p>
          <w:pPr>
            <w:pStyle w:val="Contents2"/>
            <w:tabs>
              <w:tab w:val="clear" w:pos="8743"/>
              <w:tab w:val="right" w:pos="9026" w:leader="dot"/>
            </w:tabs>
            <w:rPr/>
          </w:pPr>
          <w:hyperlink w:anchor="__RefHeading___Toc2088145_388300464">
            <w:r>
              <w:rPr>
                <w:webHidden/>
                <w:rStyle w:val="IndexLink"/>
                <w:rtl w:val="true"/>
              </w:rPr>
              <w:t>الأذان والإقامة</w:t>
            </w:r>
            <w:r>
              <w:rPr>
                <w:rStyle w:val="IndexLink"/>
                <w:rtl w:val="true"/>
              </w:rPr>
              <w:tab/>
            </w:r>
            <w:r>
              <w:rPr>
                <w:rStyle w:val="IndexLink"/>
              </w:rPr>
              <w:t>406</w:t>
            </w:r>
          </w:hyperlink>
        </w:p>
        <w:p>
          <w:pPr>
            <w:pStyle w:val="Contents3"/>
            <w:tabs>
              <w:tab w:val="clear" w:pos="8459"/>
              <w:tab w:val="right" w:pos="9026" w:leader="dot"/>
            </w:tabs>
            <w:rPr/>
          </w:pPr>
          <w:hyperlink w:anchor="__RefHeading___Toc2088147_388300464">
            <w:r>
              <w:rPr>
                <w:webHidden/>
                <w:rStyle w:val="IndexLink"/>
                <w:rtl w:val="true"/>
              </w:rPr>
              <w:t>اختلاف الأصحاب فی استحبابهما أو وجوبهما</w:t>
            </w:r>
            <w:r>
              <w:rPr>
                <w:rStyle w:val="IndexLink"/>
                <w:rtl w:val="true"/>
              </w:rPr>
              <w:tab/>
            </w:r>
            <w:r>
              <w:rPr>
                <w:rStyle w:val="IndexLink"/>
              </w:rPr>
              <w:t>406</w:t>
            </w:r>
          </w:hyperlink>
        </w:p>
        <w:p>
          <w:pPr>
            <w:pStyle w:val="Contents3"/>
            <w:tabs>
              <w:tab w:val="clear" w:pos="8459"/>
              <w:tab w:val="right" w:pos="9026" w:leader="dot"/>
            </w:tabs>
            <w:rPr/>
          </w:pPr>
          <w:hyperlink w:anchor="__RefHeading___Toc2088149_388300464">
            <w:r>
              <w:rPr>
                <w:webHidden/>
                <w:rStyle w:val="IndexLink"/>
                <w:rtl w:val="true"/>
              </w:rPr>
              <w:t>سقوط الأذان والإقامة عمّن أدرک الجماعة</w:t>
            </w:r>
            <w:r>
              <w:rPr>
                <w:rStyle w:val="IndexLink"/>
                <w:rtl w:val="true"/>
              </w:rPr>
              <w:tab/>
            </w:r>
            <w:r>
              <w:rPr>
                <w:rStyle w:val="IndexLink"/>
              </w:rPr>
              <w:t>408</w:t>
            </w:r>
          </w:hyperlink>
        </w:p>
        <w:p>
          <w:pPr>
            <w:pStyle w:val="Contents3"/>
            <w:tabs>
              <w:tab w:val="clear" w:pos="8459"/>
              <w:tab w:val="right" w:pos="9026" w:leader="dot"/>
            </w:tabs>
            <w:rPr/>
          </w:pPr>
          <w:hyperlink w:anchor="__RefHeading___Toc2088151_388300464">
            <w:r>
              <w:rPr>
                <w:webHidden/>
                <w:rStyle w:val="IndexLink"/>
                <w:rtl w:val="true"/>
              </w:rPr>
              <w:t>أبو بصیر یحیی بن القاسم ثقة</w:t>
            </w:r>
            <w:r>
              <w:rPr>
                <w:rStyle w:val="IndexLink"/>
                <w:rtl w:val="true"/>
              </w:rPr>
              <w:tab/>
            </w:r>
            <w:r>
              <w:rPr>
                <w:rStyle w:val="IndexLink"/>
              </w:rPr>
              <w:t>413</w:t>
            </w:r>
          </w:hyperlink>
        </w:p>
        <w:p>
          <w:pPr>
            <w:pStyle w:val="Contents3"/>
            <w:tabs>
              <w:tab w:val="clear" w:pos="8459"/>
              <w:tab w:val="right" w:pos="9026" w:leader="dot"/>
            </w:tabs>
            <w:rPr/>
          </w:pPr>
          <w:hyperlink w:anchor="__RefHeading___Toc2088153_388300464">
            <w:r>
              <w:rPr>
                <w:webHidden/>
                <w:rStyle w:val="IndexLink"/>
                <w:rtl w:val="true"/>
              </w:rPr>
              <w:t>إشارة إلی أن الشهرة جابرة لضعف الخبر</w:t>
            </w:r>
            <w:r>
              <w:rPr>
                <w:rStyle w:val="IndexLink"/>
                <w:rtl w:val="true"/>
              </w:rPr>
              <w:tab/>
            </w:r>
            <w:r>
              <w:rPr>
                <w:rStyle w:val="IndexLink"/>
              </w:rPr>
              <w:t>413</w:t>
            </w:r>
          </w:hyperlink>
        </w:p>
        <w:p>
          <w:pPr>
            <w:pStyle w:val="Contents3"/>
            <w:tabs>
              <w:tab w:val="clear" w:pos="8459"/>
              <w:tab w:val="right" w:pos="9026" w:leader="dot"/>
            </w:tabs>
            <w:rPr/>
          </w:pPr>
          <w:hyperlink w:anchor="__RefHeading___Toc2088155_388300464">
            <w:r>
              <w:rPr>
                <w:webHidden/>
                <w:rStyle w:val="IndexLink"/>
                <w:rtl w:val="true"/>
              </w:rPr>
              <w:t>تُعطی أجرة المؤذن من بیت المال إذا لم یوجد من یتطوع به</w:t>
            </w:r>
            <w:r>
              <w:rPr>
                <w:rStyle w:val="IndexLink"/>
                <w:rtl w:val="true"/>
              </w:rPr>
              <w:tab/>
            </w:r>
            <w:r>
              <w:rPr>
                <w:rStyle w:val="IndexLink"/>
              </w:rPr>
              <w:t>414</w:t>
            </w:r>
          </w:hyperlink>
        </w:p>
        <w:p>
          <w:pPr>
            <w:pStyle w:val="Contents3"/>
            <w:tabs>
              <w:tab w:val="clear" w:pos="8459"/>
              <w:tab w:val="right" w:pos="9026" w:leader="dot"/>
            </w:tabs>
            <w:rPr/>
          </w:pPr>
          <w:hyperlink w:anchor="__RefHeading___Toc2088157_388300464">
            <w:r>
              <w:rPr>
                <w:webHidden/>
                <w:rStyle w:val="IndexLink"/>
                <w:rtl w:val="true"/>
              </w:rPr>
              <w:t>اشتراط کون الأذان بعد دخول الوقت إلاّ فی الصبح</w:t>
            </w:r>
            <w:r>
              <w:rPr>
                <w:rStyle w:val="IndexLink"/>
                <w:rtl w:val="true"/>
              </w:rPr>
              <w:tab/>
            </w:r>
            <w:r>
              <w:rPr>
                <w:rStyle w:val="IndexLink"/>
              </w:rPr>
              <w:t>415</w:t>
            </w:r>
          </w:hyperlink>
        </w:p>
        <w:p>
          <w:pPr>
            <w:pStyle w:val="Contents3"/>
            <w:tabs>
              <w:tab w:val="clear" w:pos="8459"/>
              <w:tab w:val="right" w:pos="9026" w:leader="dot"/>
            </w:tabs>
            <w:rPr/>
          </w:pPr>
          <w:hyperlink w:anchor="__RefHeading___Toc2088159_388300464">
            <w:r>
              <w:rPr>
                <w:webHidden/>
                <w:rStyle w:val="IndexLink"/>
                <w:rtl w:val="true"/>
              </w:rPr>
              <w:t>فصول الأذان والإقامة</w:t>
            </w:r>
            <w:r>
              <w:rPr>
                <w:rStyle w:val="IndexLink"/>
                <w:rtl w:val="true"/>
              </w:rPr>
              <w:tab/>
            </w:r>
            <w:r>
              <w:rPr>
                <w:rStyle w:val="IndexLink"/>
              </w:rPr>
              <w:t>415</w:t>
            </w:r>
          </w:hyperlink>
        </w:p>
        <w:p>
          <w:pPr>
            <w:pStyle w:val="Contents3"/>
            <w:tabs>
              <w:tab w:val="clear" w:pos="8459"/>
              <w:tab w:val="right" w:pos="9026" w:leader="dot"/>
            </w:tabs>
            <w:rPr/>
          </w:pPr>
          <w:hyperlink w:anchor="__RefHeading___Toc2088161_388300464">
            <w:r>
              <w:rPr>
                <w:webHidden/>
                <w:rStyle w:val="IndexLink"/>
                <w:rtl w:val="true"/>
              </w:rPr>
              <w:t>استحباب الفصل بین الأذان والإقامة</w:t>
            </w:r>
            <w:r>
              <w:rPr>
                <w:rStyle w:val="IndexLink"/>
                <w:rtl w:val="true"/>
              </w:rPr>
              <w:tab/>
            </w:r>
            <w:r>
              <w:rPr>
                <w:rStyle w:val="IndexLink"/>
              </w:rPr>
              <w:t>419</w:t>
            </w:r>
          </w:hyperlink>
        </w:p>
        <w:p>
          <w:pPr>
            <w:pStyle w:val="Contents3"/>
            <w:tabs>
              <w:tab w:val="clear" w:pos="8459"/>
              <w:tab w:val="right" w:pos="9026" w:leader="dot"/>
            </w:tabs>
            <w:rPr/>
          </w:pPr>
          <w:hyperlink w:anchor="__RefHeading___Toc2088163_388300464">
            <w:r>
              <w:rPr>
                <w:webHidden/>
                <w:rStyle w:val="IndexLink"/>
                <w:rtl w:val="true"/>
              </w:rPr>
              <w:t>استحباب رفع الصوت فی الأذان والإقامة</w:t>
            </w:r>
            <w:r>
              <w:rPr>
                <w:rStyle w:val="IndexLink"/>
                <w:rtl w:val="true"/>
              </w:rPr>
              <w:tab/>
            </w:r>
            <w:r>
              <w:rPr>
                <w:rStyle w:val="IndexLink"/>
              </w:rPr>
              <w:t>420</w:t>
            </w:r>
          </w:hyperlink>
        </w:p>
        <w:p>
          <w:pPr>
            <w:pStyle w:val="Contents3"/>
            <w:tabs>
              <w:tab w:val="clear" w:pos="8459"/>
              <w:tab w:val="right" w:pos="9026" w:leader="dot"/>
            </w:tabs>
            <w:rPr/>
          </w:pPr>
          <w:hyperlink w:anchor="__RefHeading___Toc2088165_388300464">
            <w:r>
              <w:rPr>
                <w:webHidden/>
                <w:rStyle w:val="IndexLink"/>
                <w:rtl w:val="true"/>
              </w:rPr>
              <w:t>حکم الترجیع فی الأذان والإقامة</w:t>
            </w:r>
            <w:r>
              <w:rPr>
                <w:rStyle w:val="IndexLink"/>
                <w:rtl w:val="true"/>
              </w:rPr>
              <w:tab/>
            </w:r>
            <w:r>
              <w:rPr>
                <w:rStyle w:val="IndexLink"/>
              </w:rPr>
              <w:t>421</w:t>
            </w:r>
          </w:hyperlink>
        </w:p>
        <w:p>
          <w:pPr>
            <w:pStyle w:val="Contents3"/>
            <w:tabs>
              <w:tab w:val="clear" w:pos="8459"/>
              <w:tab w:val="right" w:pos="9026" w:leader="dot"/>
            </w:tabs>
            <w:rPr/>
          </w:pPr>
          <w:hyperlink w:anchor="__RefHeading___Toc2088167_388300464">
            <w:r>
              <w:rPr>
                <w:webHidden/>
                <w:rStyle w:val="IndexLink"/>
                <w:rtl w:val="true"/>
              </w:rPr>
              <w:t>استحباب استئناف الأذان والإقامة علی من نام فی خلالهما</w:t>
            </w:r>
            <w:r>
              <w:rPr>
                <w:rStyle w:val="IndexLink"/>
                <w:rtl w:val="true"/>
              </w:rPr>
              <w:tab/>
            </w:r>
            <w:r>
              <w:rPr>
                <w:rStyle w:val="IndexLink"/>
              </w:rPr>
              <w:t>422</w:t>
            </w:r>
          </w:hyperlink>
        </w:p>
        <w:p>
          <w:pPr>
            <w:pStyle w:val="Contents3"/>
            <w:tabs>
              <w:tab w:val="clear" w:pos="8459"/>
              <w:tab w:val="right" w:pos="9026" w:leader="dot"/>
            </w:tabs>
            <w:rPr/>
          </w:pPr>
          <w:hyperlink w:anchor="__RefHeading___Toc2088169_388300464">
            <w:r>
              <w:rPr>
                <w:webHidden/>
                <w:rStyle w:val="IndexLink"/>
                <w:rtl w:val="true"/>
              </w:rPr>
              <w:t>استحباب حکایة الأذان</w:t>
            </w:r>
            <w:r>
              <w:rPr>
                <w:rStyle w:val="IndexLink"/>
                <w:rtl w:val="true"/>
              </w:rPr>
              <w:tab/>
            </w:r>
            <w:r>
              <w:rPr>
                <w:rStyle w:val="IndexLink"/>
              </w:rPr>
              <w:t>422</w:t>
            </w:r>
          </w:hyperlink>
        </w:p>
        <w:p>
          <w:pPr>
            <w:pStyle w:val="Contents3"/>
            <w:tabs>
              <w:tab w:val="clear" w:pos="8459"/>
              <w:tab w:val="right" w:pos="9026" w:leader="dot"/>
            </w:tabs>
            <w:rPr/>
          </w:pPr>
          <w:hyperlink w:anchor="__RefHeading___Toc2088171_388300464">
            <w:r>
              <w:rPr>
                <w:webHidden/>
                <w:rStyle w:val="IndexLink"/>
                <w:rtl w:val="true"/>
              </w:rPr>
              <w:t>کراهة الکلام بعد الإقامة</w:t>
            </w:r>
            <w:r>
              <w:rPr>
                <w:rStyle w:val="IndexLink"/>
                <w:rtl w:val="true"/>
              </w:rPr>
              <w:tab/>
            </w:r>
            <w:r>
              <w:rPr>
                <w:rStyle w:val="IndexLink"/>
              </w:rPr>
              <w:t>422</w:t>
            </w:r>
          </w:hyperlink>
        </w:p>
        <w:p>
          <w:pPr>
            <w:pStyle w:val="Contents2"/>
            <w:tabs>
              <w:tab w:val="clear" w:pos="8743"/>
              <w:tab w:val="right" w:pos="9026" w:leader="dot"/>
            </w:tabs>
            <w:rPr/>
          </w:pPr>
          <w:hyperlink w:anchor="__RefHeading___Toc2088173_388300464">
            <w:r>
              <w:rPr>
                <w:webHidden/>
                <w:rStyle w:val="IndexLink"/>
                <w:rtl w:val="true"/>
              </w:rPr>
              <w:t>فهرس الموضوعات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66_203954"/>
      <w:bookmarkStart w:id="1" w:name="pg14966_203954"/>
      <w:bookmarkEnd w:id="1"/>
    </w:p>
    <w:p>
      <w:pPr>
        <w:pStyle w:val="Heading2"/>
        <w:numPr>
          <w:ilvl w:val="1"/>
          <w:numId w:val="1"/>
        </w:numPr>
        <w:rPr/>
      </w:pPr>
      <w:bookmarkStart w:id="2" w:name="pg14966_203954"/>
      <w:bookmarkStart w:id="3" w:name="__RefHeading___Toc2087391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الوحید البهبهانی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2"/>
        <w:numPr>
          <w:ilvl w:val="1"/>
          <w:numId w:val="1"/>
        </w:numPr>
        <w:rPr/>
      </w:pPr>
      <w:bookmarkStart w:id="5" w:name="__RefHeading___Toc2087393_388300464"/>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المکتبة الإسلامیة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66_203958"/>
      <w:bookmarkStart w:id="8" w:name="pg14966_203958"/>
      <w:bookmarkEnd w:id="8"/>
    </w:p>
    <w:p>
      <w:pPr>
        <w:pStyle w:val="BookText"/>
        <w:rPr/>
      </w:pPr>
      <w:bookmarkStart w:id="9" w:name="pg14966_203958"/>
      <w:bookmarkEnd w:id="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الاستحاضة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من الصفات خاصة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ذکرناه سابقا فی الحیض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الخروج بفتور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له علی مستند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مستنده حسنة حفص البختری </w:t>
      </w:r>
      <w:r>
        <w:rPr>
          <w:rStyle w:val="FootnoteAnchor"/>
          <w:rtl w:val="true"/>
        </w:rPr>
        <w:footnoteReference w:id="3"/>
      </w:r>
      <w:r>
        <w:rPr>
          <w:rFonts w:ascii="IRNazanin" w:hAnsi="IRNazanin" w:eastAsia="IRNazanin"/>
          <w:color w:val="111111"/>
          <w:sz w:val="28"/>
          <w:sz w:val="28"/>
          <w:szCs w:val="28"/>
          <w:rtl w:val="true"/>
          <w:lang w:bidi="fa-IR"/>
        </w:rPr>
        <w:t>حیث جعل فیها من خواص دم الحیض أن له دفعا ، والظاهر منها أن المرأة التی یستمر بها الدم وسئل عن حالها التی دمها دائر بین الحیض والاستحاضة ، کما لا یخفی علی من أمعن النظر فیها ، مضافا إلی أن الظاهر والغالب أن التی استمر بها الدم أمرها دائر بین الحیض والاستحاضة ، مع أنّ الظاهر من کون الدفع من خواص الحیض أن غیره لیس له دفع ، والاستحاضة غیر الحیض فلیس له دفع ،</w:t>
      </w:r>
    </w:p>
    <w:p>
      <w:pPr>
        <w:pStyle w:val="Heading2"/>
        <w:numPr>
          <w:ilvl w:val="1"/>
          <w:numId w:val="1"/>
        </w:numPr>
        <w:rPr/>
      </w:pPr>
      <w:bookmarkStart w:id="10" w:name="__RefHeading___Toc2087395_388300464"/>
      <w:bookmarkStart w:id="11" w:name="_Toc3"/>
      <w:bookmarkEnd w:id="10"/>
      <w:r>
        <w:rPr>
          <w:rtl w:val="true"/>
        </w:rPr>
        <w:t>الاستحاضة</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087397_388300464"/>
      <w:bookmarkStart w:id="13" w:name="_Toc4"/>
      <w:bookmarkEnd w:id="12"/>
      <w:r>
        <w:rPr>
          <w:rtl w:val="true"/>
        </w:rPr>
        <w:t>صفات دم الاستحاضة</w:t>
      </w:r>
      <w:bookmarkStart w:id="14" w:name="pg14966_203959"/>
      <w:bookmarkEnd w:id="13"/>
    </w:p>
    <w:p>
      <w:pPr>
        <w:pStyle w:val="BookText"/>
        <w:rPr/>
      </w:pPr>
      <w:bookmarkEnd w:id="14"/>
      <w:r>
        <w:rPr>
          <w:rFonts w:ascii="IRNazanin" w:hAnsi="IRNazanin" w:eastAsia="IRNazanin"/>
          <w:color w:val="111111"/>
          <w:sz w:val="28"/>
          <w:sz w:val="28"/>
          <w:szCs w:val="28"/>
          <w:rtl w:val="true"/>
          <w:lang w:bidi="fa-IR"/>
        </w:rPr>
        <w:t>وهو معنی الفتور ، وإن کان غیر الاستحاضة أیضا یکون کذلک ، والغرض کون الفتور من خواص الاستحاضة بالنسبة إلی الحیض لا القروح والجروح ، ونظر الفقهاء فی نقل الأوصاف والخواص إنما هو لتمییز الحیض عن الاستحاضة وبالعکس لا تمییزها عن القروح والجروح أیضا ،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الأصحاب فی هذه المسألة غیر منقح</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کلامهم منقح ، کما ذکرناه فی بحث الحیض </w:t>
      </w:r>
      <w:r>
        <w:rPr>
          <w:rStyle w:val="FootnoteAnchor"/>
          <w:rtl w:val="true"/>
        </w:rPr>
        <w:footnoteReference w:id="4"/>
      </w:r>
      <w:r>
        <w:rPr>
          <w:rFonts w:ascii="IRNazanin" w:hAnsi="IRNazanin" w:eastAsia="IRNazanin"/>
          <w:color w:val="111111"/>
          <w:sz w:val="28"/>
          <w:sz w:val="28"/>
          <w:szCs w:val="28"/>
          <w:rtl w:val="true"/>
          <w:lang w:bidi="fa-IR"/>
        </w:rPr>
        <w:t>، نعم ، مخالف لفهم الشارح والقاعدة التی قررها علی حسب فهمه ، ومما یشیر إلی فساد قاعدته أنه یظهر من الأخبار انحصار دم المرأة فی الحیض والنفاس والاستحاضة إذا لم یکن من قرح أو جرح ، فلئلا حظ ولیتأمّل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 الدم الذی لا یجتمع فیه مجموع صفات الحیض ومجموع صفات الاستحاضة کثیر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صحتها صریحة فی المدعی فیتعین العمل بها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تقیید جمیع الأخبار بما فی هذا الصحیح مع ما فیها من التعلیلات بعید جدا ، بل ربما لا یمکن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المفید بروایة السکونی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ویشهد له ما ورد فی الاستبراء والعدة بحیضة ، أو حیضتین ، أو ثلاثة </w:t>
      </w:r>
      <w:r>
        <w:rPr>
          <w:rStyle w:val="FootnoteAnchor"/>
          <w:rtl w:val="true"/>
        </w:rPr>
        <w:footnoteReference w:id="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087399_388300464"/>
      <w:bookmarkStart w:id="16" w:name="_Toc5"/>
      <w:bookmarkEnd w:id="15"/>
      <w:r>
        <w:rPr>
          <w:rtl w:val="true"/>
        </w:rPr>
        <w:t>ما قلّ عن ثلاثة وما تجاوز العشرة فهو استحاضة</w:t>
      </w:r>
      <w:bookmarkStart w:id="17" w:name="pg14966_203960"/>
      <w:bookmarkEnd w:id="16"/>
    </w:p>
    <w:p>
      <w:pPr>
        <w:pStyle w:val="BookText"/>
        <w:rPr/>
      </w:pPr>
      <w:bookmarkEnd w:id="1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حمید بن المثنی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لا دلالة لها علی مدعاهم ولم یجعلوها دلیلا ، بل الذی له دلالة ما ورد فی استبراء الجاریة </w:t>
      </w:r>
      <w:r>
        <w:rPr>
          <w:rStyle w:val="FootnoteAnchor"/>
          <w:rtl w:val="true"/>
        </w:rPr>
        <w:footnoteReference w:id="6"/>
      </w:r>
      <w:r>
        <w:rPr>
          <w:rFonts w:ascii="IRNazanin" w:hAnsi="IRNazanin" w:eastAsia="IRNazanin"/>
          <w:color w:val="111111"/>
          <w:sz w:val="28"/>
          <w:sz w:val="28"/>
          <w:szCs w:val="28"/>
          <w:rtl w:val="true"/>
          <w:lang w:bidi="fa-IR"/>
        </w:rPr>
        <w:t xml:space="preserve">واستبراء الزنا </w:t>
      </w:r>
      <w:r>
        <w:rPr>
          <w:rStyle w:val="FootnoteAnchor"/>
          <w:rtl w:val="true"/>
        </w:rPr>
        <w:footnoteReference w:id="7"/>
      </w:r>
      <w:r>
        <w:rPr>
          <w:rFonts w:ascii="IRNazanin" w:hAnsi="IRNazanin" w:eastAsia="IRNazanin"/>
          <w:color w:val="111111"/>
          <w:sz w:val="28"/>
          <w:sz w:val="28"/>
          <w:szCs w:val="28"/>
          <w:rtl w:val="true"/>
          <w:lang w:bidi="fa-IR"/>
        </w:rPr>
        <w:t xml:space="preserve">وعدّة الجاریة </w:t>
      </w:r>
      <w:r>
        <w:rPr>
          <w:rStyle w:val="FootnoteAnchor"/>
          <w:rtl w:val="true"/>
        </w:rPr>
        <w:footnoteReference w:id="8"/>
      </w:r>
      <w:r>
        <w:rPr>
          <w:rFonts w:ascii="Amiri" w:hAnsi="Amiri" w:eastAsia="Amiri" w:cs="Amiri"/>
          <w:color w:val="111111"/>
          <w:sz w:val="28"/>
          <w:sz w:val="28"/>
          <w:szCs w:val="28"/>
          <w:rtl w:val="true"/>
          <w:lang w:bidi="ar-SA"/>
        </w:rPr>
        <w:t xml:space="preserve">والمتعة </w:t>
      </w:r>
      <w:r>
        <w:rPr>
          <w:rStyle w:val="FootnoteAnchor"/>
          <w:rtl w:val="true"/>
        </w:rPr>
        <w:footnoteReference w:id="9"/>
      </w:r>
      <w:r>
        <w:rPr>
          <w:rFonts w:ascii="IRNazanin" w:hAnsi="IRNazanin" w:eastAsia="IRNazanin"/>
          <w:color w:val="111111"/>
          <w:sz w:val="28"/>
          <w:sz w:val="28"/>
          <w:szCs w:val="28"/>
          <w:rtl w:val="true"/>
          <w:lang w:bidi="fa-IR"/>
        </w:rPr>
        <w:t xml:space="preserve">وغیرهما ، وکونها بالحیض ، وأن العدة بالحیض ، وکذا الاستبراء لبراءة الرحم ، وأن بالحمل یرتفع الطمث ، أو بفساد الرحم والدم </w:t>
      </w:r>
      <w:r>
        <w:rPr>
          <w:rStyle w:val="FootnoteAnchor"/>
          <w:rtl w:val="true"/>
        </w:rPr>
        <w:footnoteReference w:id="10"/>
      </w:r>
      <w:r>
        <w:rPr>
          <w:rFonts w:ascii="IRNazanin" w:hAnsi="IRNazanin" w:eastAsia="IRNazanin"/>
          <w:color w:val="111111"/>
          <w:sz w:val="28"/>
          <w:sz w:val="28"/>
          <w:szCs w:val="28"/>
          <w:rtl w:val="true"/>
          <w:lang w:bidi="fa-IR"/>
        </w:rPr>
        <w:t xml:space="preserve">، وأن بانقضاء شهر یحصل الریبة ، ورد </w:t>
      </w:r>
      <w:r>
        <w:rPr>
          <w:rStyle w:val="FootnoteAnchor"/>
          <w:rtl w:val="true"/>
        </w:rPr>
        <w:footnoteReference w:id="11"/>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 xml:space="preserve">) . </w:t>
      </w:r>
      <w:r>
        <w:rPr>
          <w:rStyle w:val="FootnoteAnchor"/>
          <w:rtl w:val="true"/>
        </w:rPr>
        <w:footnoteReference w:id="12"/>
      </w:r>
      <w:r>
        <w:rPr>
          <w:rFonts w:ascii="IRNazanin" w:hAnsi="IRNazanin" w:eastAsia="IRNazanin"/>
          <w:color w:val="111111"/>
          <w:sz w:val="28"/>
          <w:sz w:val="28"/>
          <w:szCs w:val="28"/>
          <w:rtl w:val="true"/>
          <w:lang w:bidi="fa-IR"/>
        </w:rPr>
        <w:t>، وکذا فی تسمیة الحیض استبراء ، کتسمیة مضی خمسة وأربعین یوما ، إلی غیر ذلک ، فلاحظ تلک الأخبار وتأمّل وتتبع الکل ، وهی فی کتاب النکاح ، والطلاق ، والبیع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یأتی جاریته فتعلق منه ، فتری الدم وهی حبلی فتری أن ذلک طمث فیبیعها فما أحب للرجل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بأن الحیض یعمل فیه بالعادة وبالأمارة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وإن اقتضی أن تکون المضطربة أیضا ترجع إلیها إلاّ أن الفرض لا یتحقق هناک ، إذ ربما کان من قبیل المحال أن تکون عادة نسائها متفقة</w:t>
      </w:r>
    </w:p>
    <w:p>
      <w:pPr>
        <w:pStyle w:val="Heading3"/>
        <w:numPr>
          <w:ilvl w:val="2"/>
          <w:numId w:val="1"/>
        </w:numPr>
        <w:rPr/>
      </w:pPr>
      <w:bookmarkStart w:id="18" w:name="__RefHeading___Toc2087401_388300464"/>
      <w:bookmarkStart w:id="19" w:name="_Toc6"/>
      <w:bookmarkEnd w:id="18"/>
      <w:r>
        <w:rPr>
          <w:rtl w:val="true"/>
        </w:rPr>
        <w:t>حکم المبتدأة</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2087403_388300464"/>
      <w:bookmarkStart w:id="21" w:name="_Toc7"/>
      <w:bookmarkEnd w:id="20"/>
      <w:r>
        <w:rPr>
          <w:rtl w:val="true"/>
        </w:rPr>
        <w:t>رجوع المبتدأة إلی عادة نسائها أو أقرانها عند فقد التمییز</w:t>
      </w:r>
      <w:bookmarkStart w:id="22" w:name="pg14966_203961"/>
      <w:bookmarkEnd w:id="21"/>
    </w:p>
    <w:p>
      <w:pPr>
        <w:pStyle w:val="BookText"/>
        <w:rPr/>
      </w:pPr>
      <w:bookmarkEnd w:id="22"/>
      <w:r>
        <w:rPr>
          <w:rFonts w:ascii="IRNazanin" w:hAnsi="IRNazanin" w:eastAsia="IRNazanin"/>
          <w:color w:val="111111"/>
          <w:sz w:val="28"/>
          <w:sz w:val="28"/>
          <w:szCs w:val="28"/>
          <w:rtl w:val="true"/>
          <w:lang w:bidi="fa-IR"/>
        </w:rPr>
        <w:t>وعادتها عادة نسائها وتعلم ذلک ثم تنسی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نطالب بدلیله فإنه لم یثبت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القائل کان نسخة حدیثه المروی عن زرارة وابن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 وهذا هو الظاهر ، لکن یظهر بین الروایتین تعارض ، إلاّ أن یجمع بینهما بالتخییر أو </w:t>
      </w:r>
      <w:r>
        <w:rPr>
          <w:rStyle w:val="FootnoteAnchor"/>
          <w:rtl w:val="true"/>
        </w:rPr>
        <w:footnoteReference w:id="14"/>
      </w:r>
      <w:r>
        <w:rPr>
          <w:rFonts w:ascii="IRNazanin" w:hAnsi="IRNazanin" w:eastAsia="IRNazanin"/>
          <w:color w:val="111111"/>
          <w:sz w:val="28"/>
          <w:sz w:val="28"/>
          <w:szCs w:val="28"/>
          <w:rtl w:val="true"/>
          <w:lang w:bidi="fa-IR"/>
        </w:rPr>
        <w:t xml:space="preserve">عند عدم النسب یرجع إلی 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العمل علی المشهور ، لانجبار روایة سماعة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خلاف المتبادر من اللفظ</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کانت الإضافة تصدق بأدنی ملابسة ، لأنّ الصدق وصحة الإطلاق أمر ، ودلالة اللفظ عند عدم القرینة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بسند معتبر عن الخزاز ، عن أبی الحسین علیه السلام ، أنّه سأله عن المستحاضة کیف تصنع إذا رأت الدم وإذا رأت الصفرة؟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الحیض ثلاثة ، وأکثره عشرة ، وتجمع بین الصلاتین </w:t>
      </w:r>
      <w:r>
        <w:rPr>
          <w:rFonts w:eastAsia="IRNazanin" w:cs="IRNazanin"/>
          <w:color w:val="111111"/>
          <w:sz w:val="28"/>
          <w:szCs w:val="28"/>
          <w:rtl w:val="true"/>
          <w:lang w:bidi="fa-IR"/>
        </w:rPr>
        <w:t xml:space="preserve">» </w:t>
      </w:r>
      <w:r>
        <w:rPr>
          <w:rStyle w:val="FootnoteAnchor"/>
          <w:rtl w:val="true"/>
        </w:rPr>
        <w:footnoteReference w:id="16"/>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أیضا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مضمرة سماعة المتقدمة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2087405_388300464"/>
      <w:bookmarkStart w:id="24" w:name="_Toc8"/>
      <w:bookmarkEnd w:id="23"/>
      <w:r>
        <w:rPr>
          <w:rtl w:val="true"/>
        </w:rPr>
        <w:t>تحیّض المبتدأة بسبعة أیّام عند اختلاف نسائها</w:t>
      </w:r>
      <w:bookmarkEnd w:id="24"/>
    </w:p>
    <w:p>
      <w:pPr>
        <w:pStyle w:val="BookText"/>
        <w:rPr/>
      </w:pPr>
      <w:r>
        <w:rPr>
          <w:rFonts w:ascii="IRNazanin" w:hAnsi="IRNazanin" w:eastAsia="IRNazanin"/>
          <w:color w:val="111111"/>
          <w:sz w:val="28"/>
          <w:sz w:val="28"/>
          <w:szCs w:val="28"/>
          <w:rtl w:val="true"/>
          <w:lang w:bidi="fa-IR"/>
        </w:rPr>
        <w:t>ویؤیده اختلاف الأخبار فی التحدید ، وإن کان کل واحد من العدد من الثلاثة إلی العشرة یحتمل کونه آخره ویصلح له ، فیصح أن یؤخذ له حتی یثبت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الأولی أن تختار الستة أو السبعة ، لغایة قوة سند روایتهما ومتنها أیضا ، کما لا یخفی علی المتأمّل ، وأن تختار خصوص السبعة لما یظهر من آخر تلک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ظاهر ، أمّا أصالة لزوم العبادة فقد مرّ ما فیه فی بحث اشتراط التوالی فی الثلاثة وغیره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الاستظهار فإن کان المراد منه الاحتیاط فلا بدّ من مراعاة الاحتیاط ، فکیف تکتفی بهذا الصوم؟ ومع ذلک کیف یجامعها الزوج ، وتدخل المسجد؟ إلی غیر ذلک ، وکیف تکتفی بالغسل الواقع بعد الثلاثة ، وتصلی وتصوم بخصوص هذا الغسل مطلقا ، إلی أن تحیض ثانیا؟</w:t>
      </w:r>
    </w:p>
    <w:p>
      <w:pPr>
        <w:pStyle w:val="BookText"/>
        <w:rPr/>
      </w:pPr>
      <w:r>
        <w:rPr>
          <w:rFonts w:ascii="IRNazanin" w:hAnsi="IRNazanin" w:eastAsia="IRNazanin"/>
          <w:color w:val="111111"/>
          <w:sz w:val="28"/>
          <w:sz w:val="28"/>
          <w:szCs w:val="28"/>
          <w:rtl w:val="true"/>
          <w:lang w:bidi="fa-IR"/>
        </w:rPr>
        <w:t>وإن أراد غیر الاحتیاط فلا نعلم معناه ولا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الحیض مستصحب حتی یثبت خلافه ، ومقتضی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أبدا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القاعدة الکلیة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یمکن أن یکون حیضا فهو حیض ، مسلمة عنده ، بل هو الذی ادعی علیها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مما یصلح أن یصیر مستندا لها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الروایة الواردة فی هذا الباب وإن کانت ضعیفة إلاّ أنّها معتبرة </w:t>
      </w:r>
      <w:bookmarkStart w:id="25" w:name="pg14966_203963"/>
    </w:p>
    <w:p>
      <w:pPr>
        <w:pStyle w:val="BookText"/>
        <w:rPr/>
      </w:pPr>
      <w:bookmarkEnd w:id="25"/>
      <w:r>
        <w:rPr>
          <w:rFonts w:ascii="IRNazanin" w:hAnsi="IRNazanin" w:eastAsia="IRNazanin"/>
          <w:color w:val="111111"/>
          <w:sz w:val="28"/>
          <w:sz w:val="28"/>
          <w:szCs w:val="28"/>
          <w:rtl w:val="true"/>
          <w:lang w:bidi="fa-IR"/>
        </w:rPr>
        <w:t>عند الأصحاب ، سیّما ما دل علی أنّها ترجع إلی عادة نسائها ، فإنها حجة عنده أیضا ، مع أنّ من لم یعمل بأخبار الآحاد عمل بها ، فیظهر أنها من الأخبار القطعیة عنده ، وأنّها من المشهورات المسلمات عند القدماء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توافقا فی الوقت أو مضی بینهما أقل الطهر فلا بحث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العادة عدم کون التمیز فیه معتبرا ، لمنافاته لها ، لاقتضاء کون حیضها علی مقتضاها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رواه محمّد بن مسلم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وغیره لا تأمّل لهم فی کون الصفرة فی أیام العادة حیضا فی صورة عدم التجاوز عن العشرة ، إنّما کلامهم فی التجاوز ، فالاستدلال إنّما هو بإطلاق هذه الصحیحة ، فیمکنهم المعارضة بإطلاق ما دلّ علی اعتبار الصفة ، بل أکثره وارد فی صورة التجاوز ، بل وروایة إسحاق وردت فی التجاوز عن أیام العادة العددیة </w:t>
      </w:r>
      <w:r>
        <w:rPr>
          <w:rStyle w:val="FootnoteAnchor"/>
          <w:rtl w:val="true"/>
        </w:rPr>
        <w:footnoteReference w:id="22"/>
      </w:r>
      <w:r>
        <w:rPr>
          <w:rFonts w:ascii="IRNazanin" w:hAnsi="IRNazanin" w:eastAsia="IRNazanin"/>
          <w:color w:val="111111"/>
          <w:sz w:val="28"/>
          <w:sz w:val="28"/>
          <w:szCs w:val="28"/>
          <w:rtl w:val="true"/>
          <w:lang w:bidi="fa-IR"/>
        </w:rPr>
        <w:t xml:space="preserve">، فالأولی الترجیح بالأکثریة والأصحیة والأوضحیة فی الدلالة ، بل وفی قویة یونس تصریح بتقدیم العادة </w:t>
      </w:r>
      <w:r>
        <w:rPr>
          <w:rStyle w:val="FootnoteAnchor"/>
          <w:rtl w:val="true"/>
        </w:rPr>
        <w:footnoteReference w:id="23"/>
      </w:r>
      <w:r>
        <w:rPr>
          <w:rFonts w:ascii="IRNazanin" w:hAnsi="IRNazanin" w:eastAsia="IRNazanin"/>
          <w:color w:val="111111"/>
          <w:sz w:val="28"/>
          <w:sz w:val="28"/>
          <w:szCs w:val="28"/>
          <w:rtl w:val="true"/>
          <w:lang w:bidi="fa-IR"/>
        </w:rPr>
        <w:t>، وأن الاعتبار بالصفة إنما هو إذا لم تکن عادة یرجع إلیها ، وتعضده أیضا الشهرة فی الفتوی ، وکونها أقوی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26" w:name="__RefHeading___Toc2087407_388300464"/>
      <w:bookmarkStart w:id="27" w:name="_Toc9"/>
      <w:bookmarkEnd w:id="26"/>
      <w:r>
        <w:rPr>
          <w:rtl w:val="true"/>
        </w:rPr>
        <w:t>حکم ذات العادة</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2087409_388300464"/>
      <w:bookmarkStart w:id="29" w:name="_Toc10"/>
      <w:bookmarkEnd w:id="28"/>
      <w:r>
        <w:rPr>
          <w:rtl w:val="true"/>
        </w:rPr>
        <w:t>ذات العادة تجعل عادتها حیضاً وما سواه استحاضة</w:t>
      </w:r>
      <w:bookmarkStart w:id="30" w:name="pg14966_203964"/>
      <w:bookmarkEnd w:id="29"/>
    </w:p>
    <w:p>
      <w:pPr>
        <w:pStyle w:val="BookText"/>
        <w:rPr/>
      </w:pPr>
      <w:bookmarkEnd w:id="30"/>
      <w:r>
        <w:rPr>
          <w:rFonts w:ascii="IRNazanin" w:hAnsi="IRNazanin" w:eastAsia="IRNazanin"/>
          <w:color w:val="111111"/>
          <w:sz w:val="28"/>
          <w:sz w:val="28"/>
          <w:szCs w:val="28"/>
          <w:rtl w:val="true"/>
          <w:lang w:bidi="fa-IR"/>
        </w:rPr>
        <w:t xml:space="preserve">إن کان الضعف من جهة إطلاق ما دل علی کون العادة أقوی ،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الإطلاق ینصرف إلی الأفراد الغالبة ، والعادة المأخوذة من التمیز فی غایة القوة لو لم یکن من فروض الفقهاء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الأکثر إلی أنّها تتخیر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الاستدلال بروایة یونس الطویلة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قدر أقرائها أو قدر 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4"/>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برجوعها إلی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بناء علی أن قوله فی آخر مرسلة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یکن الأمر کذلک ولکن الدم أطبق علیها فلم تزل الاستحاضة دارّة وکان الدم علی لون واحد وحال واحدة فسنّتها السبع والثلاث والعشرون</w:t>
      </w:r>
      <w:r>
        <w:rPr>
          <w:rFonts w:eastAsia="IRNazanin" w:cs="IRNazanin"/>
          <w:color w:val="111111"/>
          <w:sz w:val="28"/>
          <w:szCs w:val="28"/>
          <w:rtl w:val="true"/>
          <w:lang w:bidi="fa-IR"/>
        </w:rPr>
        <w:t xml:space="preserve">. » </w:t>
      </w:r>
      <w:r>
        <w:rPr>
          <w:rStyle w:val="FootnoteAnchor"/>
          <w:rtl w:val="true"/>
        </w:rPr>
        <w:footnoteReference w:id="25"/>
      </w:r>
      <w:r>
        <w:rPr>
          <w:rFonts w:ascii="IRNazanin" w:hAnsi="IRNazanin" w:eastAsia="IRNazanin"/>
          <w:color w:val="111111"/>
          <w:sz w:val="28"/>
          <w:sz w:val="28"/>
          <w:szCs w:val="28"/>
          <w:rtl w:val="true"/>
          <w:lang w:bidi="fa-IR"/>
        </w:rPr>
        <w:t>مطلق یشمل ما نحن فیه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تجعله نهایة عشرة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الصواب أن یکون الواو بدل أو ، کما فی کثیر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فلضعف مستنده بالإرسال وبأن فی طریقه محمّد بن عیسی عن یونس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ضرر أصلا ، لانجباره بعمل الأصحاب ، سیّما هذا العمل ، مع أنّ المرسل یونس بن عبد الرحمن ، فلا ضرر فی مرسلته ، ولا ضرر أیضا من جهة محمّد بن عیسی عن یونس ، لاتفاق علماء الرجال والحدیث والفقهاء والمجتهدین علی عدم الضرر ، نعم تأمّل فیه الصدوق وشیخه </w:t>
      </w:r>
      <w:r>
        <w:rPr>
          <w:rStyle w:val="FootnoteAnchor"/>
          <w:rtl w:val="true"/>
        </w:rPr>
        <w:footnoteReference w:id="27"/>
      </w:r>
      <w:r>
        <w:rPr>
          <w:rFonts w:ascii="IRNazanin" w:hAnsi="IRNazanin" w:eastAsia="IRNazanin"/>
          <w:color w:val="111111"/>
          <w:sz w:val="28"/>
          <w:sz w:val="28"/>
          <w:szCs w:val="28"/>
          <w:rtl w:val="true"/>
          <w:lang w:bidi="fa-IR"/>
        </w:rPr>
        <w:t>، وطعن</w:t>
      </w:r>
    </w:p>
    <w:p>
      <w:pPr>
        <w:pStyle w:val="Heading3"/>
        <w:numPr>
          <w:ilvl w:val="2"/>
          <w:numId w:val="1"/>
        </w:numPr>
        <w:rPr/>
      </w:pPr>
      <w:bookmarkStart w:id="31" w:name="__RefHeading___Toc2087411_388300464"/>
      <w:bookmarkStart w:id="32" w:name="_Toc11"/>
      <w:bookmarkEnd w:id="31"/>
      <w:r>
        <w:rPr>
          <w:rtl w:val="true"/>
        </w:rPr>
        <w:t>حکم المضطربة إذا فقدت التمییز</w:t>
      </w:r>
      <w:bookmarkEnd w:id="32"/>
    </w:p>
    <w:p>
      <w:pPr>
        <w:pStyle w:val="Heading4"/>
        <w:numPr>
          <w:ilvl w:val="3"/>
          <w:numId w:val="1"/>
        </w:numPr>
        <w:rPr/>
      </w:pPr>
      <w:bookmarkStart w:id="33" w:name="__RefHeading___Toc2087413_388300464"/>
      <w:bookmarkStart w:id="34" w:name="_Toc12"/>
      <w:bookmarkEnd w:id="33"/>
      <w:r>
        <w:rPr>
          <w:rtl w:val="true"/>
        </w:rPr>
        <w:t>حکم ذاکرة العدد ناسیة الوقت</w:t>
      </w:r>
      <w:bookmarkEnd w:id="34"/>
    </w:p>
    <w:p>
      <w:pPr>
        <w:pStyle w:val="Heading4"/>
        <w:numPr>
          <w:ilvl w:val="3"/>
          <w:numId w:val="1"/>
        </w:numPr>
        <w:rPr/>
      </w:pPr>
      <w:bookmarkStart w:id="35" w:name="__RefHeading___Toc2087415_388300464"/>
      <w:bookmarkStart w:id="36" w:name="_Toc13"/>
      <w:bookmarkEnd w:id="35"/>
      <w:r>
        <w:rPr>
          <w:rtl w:val="true"/>
        </w:rPr>
        <w:t>حکم ذاکرة الوقت ناسیة العدد</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2087417_388300464"/>
      <w:bookmarkStart w:id="38" w:name="_Toc14"/>
      <w:bookmarkEnd w:id="37"/>
      <w:r>
        <w:rPr>
          <w:rtl w:val="true"/>
        </w:rPr>
        <w:t>بحث رجالی حول محمّد بن عیسی عن یونس</w:t>
      </w:r>
      <w:bookmarkStart w:id="39" w:name="pg14966_203965"/>
      <w:bookmarkEnd w:id="38"/>
    </w:p>
    <w:p>
      <w:pPr>
        <w:pStyle w:val="BookText"/>
        <w:rPr/>
      </w:pPr>
      <w:bookmarkEnd w:id="39"/>
      <w:r>
        <w:rPr>
          <w:rFonts w:ascii="IRNazanin" w:hAnsi="IRNazanin" w:eastAsia="IRNazanin"/>
          <w:color w:val="111111"/>
          <w:sz w:val="28"/>
          <w:sz w:val="28"/>
          <w:szCs w:val="28"/>
          <w:rtl w:val="true"/>
          <w:lang w:bidi="fa-IR"/>
        </w:rPr>
        <w:t xml:space="preserve">علیهما بعض علماء الرجال </w:t>
      </w:r>
      <w:r>
        <w:rPr>
          <w:rStyle w:val="FootnoteAnchor"/>
          <w:rtl w:val="true"/>
        </w:rPr>
        <w:footnoteReference w:id="28"/>
      </w:r>
      <w:r>
        <w:rPr>
          <w:rFonts w:ascii="IRNazanin" w:hAnsi="IRNazanin" w:eastAsia="IRNazanin"/>
          <w:color w:val="111111"/>
          <w:sz w:val="28"/>
          <w:sz w:val="28"/>
          <w:szCs w:val="28"/>
          <w:rtl w:val="true"/>
          <w:lang w:bidi="fa-IR"/>
        </w:rPr>
        <w:t>بأن محمّد بن عیسی کان علی العدالة ، فلا وجه لاستثنائه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توهّم أن الرجوع إلی الروایة مخصوص بالمبتدئة ، ولیس کذلک ، لما یظهر بالتأمّل فی آخر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وعملا بالأصل فی لزوم العبادة وهو متجه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 هذا الأصل لا أصل له أصلا ، ولا اتجاه فیما ذکره ، سیما بعد ما عرفت من الروایة التی هی حجة ، ونقل الإجماع ، وعدّ ذلک من المعروف من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لدم الاستحاضة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یثقب الدم الکرسف صلت کل صلاة بوضوء ، وإن ثقب ولم یسل صلت صلاة اللیل والغداة بغسل واحد ، وسائر الصلوات بوضوء ، وإن ثقب وسال صلت صلاة اللیل والغداة بغسل ، والظهر والعصر بغسل ، تؤخر الظهر قلیلا وتعجل العصر ، وتصلی المغرب والعشاء بغسل ، تؤخر المغرب قلیلا وتعجل العشاء ، ومتی ما اغتسلت علی ما وصفت حل لزوجها وطؤها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کتاب الحج ، عن موسی بن القاسم ، عن العباس عن ابان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کالصحیحة باعتبار أبان ، بل صحیحة ، کما حققناه فی</w:t>
      </w:r>
    </w:p>
    <w:p>
      <w:pPr>
        <w:pStyle w:val="Heading4"/>
        <w:numPr>
          <w:ilvl w:val="3"/>
          <w:numId w:val="1"/>
        </w:numPr>
        <w:rPr/>
      </w:pPr>
      <w:bookmarkStart w:id="40" w:name="__RefHeading___Toc2087419_388300464"/>
      <w:bookmarkStart w:id="41" w:name="_Toc15"/>
      <w:bookmarkEnd w:id="40"/>
      <w:r>
        <w:rPr>
          <w:rtl w:val="true"/>
        </w:rPr>
        <w:t>حکم ناسیة الوقت والعدد</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2087421_388300464"/>
      <w:bookmarkStart w:id="43" w:name="_Toc16"/>
      <w:bookmarkEnd w:id="42"/>
      <w:r>
        <w:rPr>
          <w:rtl w:val="true"/>
        </w:rPr>
        <w:t xml:space="preserve">أقسام الاستحاضة وأحکامها </w:t>
      </w:r>
      <w:r>
        <w:rPr>
          <w:rtl w:val="true"/>
        </w:rPr>
        <w:t xml:space="preserve">: </w:t>
      </w:r>
      <w:r>
        <w:rPr>
          <w:rtl w:val="true"/>
        </w:rPr>
        <w:t>الاستحاضة القلیلة</w:t>
      </w:r>
      <w:bookmarkEnd w:id="43"/>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المستحاضة أیطأها زوجها ، وهل تطوف بالبیت؟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تقعد قرأها الذی کانت تحیض فیه ، فإن کان مستقیما فلتأخذ به ، وإن کان فیه خلاف فلتحتط بیوم أو یومین ،</w:t>
      </w:r>
    </w:p>
    <w:p>
      <w:pPr>
        <w:pStyle w:val="BookText"/>
        <w:rPr/>
      </w:pPr>
      <w:r>
        <w:rPr>
          <w:rFonts w:ascii="IRNazanin" w:hAnsi="IRNazanin" w:eastAsia="IRNazanin"/>
          <w:color w:val="111111"/>
          <w:sz w:val="28"/>
          <w:sz w:val="28"/>
          <w:szCs w:val="28"/>
          <w:rtl w:val="true"/>
          <w:lang w:bidi="fa-IR"/>
        </w:rPr>
        <w:t xml:space="preserve">سل ، ولتستدخل کرسفا ، فإذا ظهر علی الکرسف فلتغتسل ، ثم تضع کرسفا آخر ثم تصلی ، فإذا کان دما سائلا فلتؤخر الصلاة إلی الصلاة ، ثم تصلی صلاتین بغسل واحد ، وکل شی‌ء استحلت به الصلاة فلیأتها زوجها ولتطف بالبیت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وستجی‌ء صحیحة نعیم وصحیحة زرارة ووجه دلالتهما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کالصحیح بیونس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ثقة علی الأظهر عند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رأت الدم فی حیضها حتی جاوز وقتها ، متی ینبغی لها أن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تنتظر عدتها التی کانت تجلس ثم تستظهر بعشرة أیام ، فإن رأت الدم دما صبیبا فلتغتسل فی وقت کل صلاة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شرط علیه السلام فی الاغتسال فی وقت کل صلاة کون الدم صبیبا ، والمشروط عدم عند عدم شرطه ، فلا یکفی مجرد الثقب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أیضا ، عن یونس ، عن الصادق علیه السلام ، عن امرأة ولدت فرأت الدم أکثر مما کانت تری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فلتقعد أیام قرئها ثم تستظهر بعشرة ، فإن رأت دما صبیبا فلتغتسل عند وقت کل صلاة ، وإن رأت صفرة فلتتوضأ ولتصل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والتقریب ما تقدم ، وعدم التعرض للمتوسطة غیر مضر ، کما </w:t>
      </w:r>
    </w:p>
    <w:p>
      <w:pPr>
        <w:pStyle w:val="BookText"/>
        <w:rPr/>
      </w:pPr>
      <w:r>
        <w:rPr>
          <w:rFonts w:ascii="IRNazanin" w:hAnsi="IRNazanin" w:eastAsia="IRNazanin"/>
          <w:color w:val="111111"/>
          <w:sz w:val="28"/>
          <w:sz w:val="28"/>
          <w:szCs w:val="28"/>
          <w:rtl w:val="true"/>
          <w:lang w:bidi="fa-IR"/>
        </w:rPr>
        <w:t>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أیضا ، عن أبی بصیر ، عن الصادق علیه السلام ، عن المرأة تری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تمت ثلاثون یوما فرأت دما صبیبا اغتسلت ، واستثفرت ، واحتشت بالکرسف فی وقت کل صلاة ، فإذا رأت صفرة توضأت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والتقریب أیضا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سماعة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الاستحاضة واجب ، وإذا احتشت بالکرسف فجاز الدم الکرسف فعلیها الغسل لکل صلاتین ، وللفجر غسل ، فإن لم یجز الکرسف فعلیها الغسل کل یوم مرة ، والوضوء لکل صلاة ، هذا إذا کان عبیطا ، وإن کان صفرة فعلیها الوضوء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تجاوز الدم عن الکرسف إلی غیره مثل الخرقة فی صورة الأغسال الثلاثة ، ولعل الظاهر من عدم التجاوز إلی الغیر وقوع الثقب ، إلاّ أنه لم یتعد إلی الغیر ، وعلی تقدیر الشمول خرجت القلیلة بالنص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إلی ابن الجنید القول بالغسل الواحد فیها أیضا </w:t>
      </w:r>
      <w:r>
        <w:rPr>
          <w:rStyle w:val="FootnoteAnchor"/>
          <w:rtl w:val="true"/>
        </w:rPr>
        <w:footnoteReference w:id="36"/>
      </w:r>
      <w:r>
        <w:rPr>
          <w:rFonts w:ascii="IRNazanin" w:hAnsi="IRNazanin" w:eastAsia="IRNazanin"/>
          <w:color w:val="111111"/>
          <w:sz w:val="28"/>
          <w:sz w:val="28"/>
          <w:szCs w:val="28"/>
          <w:rtl w:val="true"/>
          <w:lang w:bidi="fa-IR"/>
        </w:rPr>
        <w:t xml:space="preserve">، وفی بعض الأخبار </w:t>
      </w:r>
      <w:r>
        <w:rPr>
          <w:rStyle w:val="FootnoteAnchor"/>
          <w:rtl w:val="true"/>
        </w:rPr>
        <w:footnoteReference w:id="37"/>
      </w:r>
      <w:r>
        <w:rPr>
          <w:rFonts w:ascii="IRNazanin" w:hAnsi="IRNazanin" w:eastAsia="IRNazanin"/>
          <w:color w:val="111111"/>
          <w:sz w:val="28"/>
          <w:sz w:val="28"/>
          <w:szCs w:val="28"/>
          <w:rtl w:val="true"/>
          <w:lang w:bidi="fa-IR"/>
        </w:rPr>
        <w:t>إشعار بمذهبه ، فلعله محمول علی الاستحباب ، أو برفع الید عن الإشعار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صفرة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محمول علی کونه من جهة </w:t>
      </w:r>
    </w:p>
    <w:p>
      <w:pPr>
        <w:pStyle w:val="BookText"/>
        <w:rPr/>
      </w:pPr>
      <w:r>
        <w:rPr>
          <w:rFonts w:ascii="IRNazanin" w:hAnsi="IRNazanin" w:eastAsia="IRNazanin"/>
          <w:color w:val="111111"/>
          <w:sz w:val="28"/>
          <w:sz w:val="28"/>
          <w:szCs w:val="28"/>
          <w:rtl w:val="true"/>
          <w:lang w:bidi="fa-IR"/>
        </w:rPr>
        <w:t xml:space="preserve">القلة ، ولأنّ الغالب فی القلیلة الصفرة ، والغالب فی ما کان عبیطا الکثرة ، أو أن المراد منها إذا کانت قلیلة ، وأن القید یظهر من الدلیل الخارج ، کما هو الطریقة فی الأدلة الفقهیة ، سیّما أحادیث الاستحاضة ، إذ بعضها ورد متضمنا للأغسال الثلاثة علی الإطلاق </w:t>
      </w:r>
      <w:r>
        <w:rPr>
          <w:rStyle w:val="FootnoteAnchor"/>
          <w:rtl w:val="true"/>
        </w:rPr>
        <w:footnoteReference w:id="38"/>
      </w:r>
      <w:r>
        <w:rPr>
          <w:rFonts w:ascii="IRNazanin" w:hAnsi="IRNazanin" w:eastAsia="IRNazanin"/>
          <w:color w:val="111111"/>
          <w:sz w:val="28"/>
          <w:sz w:val="28"/>
          <w:szCs w:val="28"/>
          <w:rtl w:val="true"/>
          <w:lang w:bidi="fa-IR"/>
        </w:rPr>
        <w:t xml:space="preserve">، وبعضها الوضوء کذلک ، علی ما هو ببالی </w:t>
      </w:r>
      <w:r>
        <w:rPr>
          <w:rStyle w:val="FootnoteAnchor"/>
          <w:rtl w:val="true"/>
        </w:rPr>
        <w:footnoteReference w:id="39"/>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غیر واحد من الروایات فی أن الصفرة فیه الوضوء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تغییر القطنة فعلّل بعدم العفو عن هذا الدم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بعض الأخبار عدم العفو ،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اغتسلت واستثفرت واحتشت بالکرسف وقت کل صلاة </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إسماعیل الجعفی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ظهر الدم أعادت الغسل وأعادت الکرسف </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ولیس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الحدیثین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ببالی ، لکنه بهذا المضمون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فتستدخل قطنة بعد قطنة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وتغییر </w:t>
      </w:r>
    </w:p>
    <w:p>
      <w:pPr>
        <w:pStyle w:val="BookText"/>
        <w:rPr/>
      </w:pPr>
      <w:r>
        <w:rPr>
          <w:rFonts w:ascii="IRNazanin" w:hAnsi="IRNazanin" w:eastAsia="IRNazanin"/>
          <w:color w:val="111111"/>
          <w:sz w:val="28"/>
          <w:sz w:val="28"/>
          <w:szCs w:val="28"/>
          <w:rtl w:val="true"/>
          <w:lang w:bidi="fa-IR"/>
        </w:rPr>
        <w:t xml:space="preserve">الخرقة ربما یکون من باب القیاس بطریق أولی </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وجوب تغییر القطنة صحیحة عبد الرحمن بن أبی عبد الله </w:t>
      </w:r>
      <w:r>
        <w:rPr>
          <w:rStyle w:val="FootnoteAnchor"/>
          <w:rtl w:val="true"/>
        </w:rPr>
        <w:footnoteReference w:id="46"/>
      </w:r>
      <w:r>
        <w:rPr>
          <w:rFonts w:ascii="IRNazanin" w:hAnsi="IRNazanin" w:eastAsia="IRNazanin"/>
          <w:color w:val="111111"/>
          <w:sz w:val="28"/>
          <w:sz w:val="28"/>
          <w:szCs w:val="28"/>
          <w:rtl w:val="true"/>
          <w:lang w:bidi="fa-IR"/>
        </w:rPr>
        <w:t xml:space="preserve">التی ذکرنا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کل صلاة بوضوء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الدلالة إنما هو من تنکیر لفظ الصلاة والوضوء فی الحدیثین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الوضوء یدل علی عدم وجوبه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مراده أن ترک التعرض لذکر مستحاضة یکون علیها الوضوء یدل علی عدم تحققها ، إذ لو کانت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یثقب دمها الکرسف تتوضأ لکل صلاة ، ولو ثقب تغتسل ، لأنّ المقام مقام بیان الأحکام المختصة بها ، فحیث اقتصر علی الغسل ظهر أن الحکم المختص بها الذی یجب التعرض فی مقام حکمها هو الغسل لا الوضوء لکل صلاة أیضا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قوة القول بأن الاستحاضة سبب للغسل ، فلو کان سببا للوضوء أیضا وإن کان فی صورة ما ، لما اقتصر علی ذکر الغسل ، وحیث علم بالأخبار والإجماع أن القلیلة لیست سببا للغسل ظهر أنها لیست سببا للوضوء أیضا ، وابن الجنید رحمه الله وإن حکی عنه أنه قائل بوجوب الغسل فی القلیل أیضا فهو غیر مطّلع علی قوله ، مع أنّه لا یضر خروج معلوم النسب ، مع أنّه یقول بالغسل الواحد فیها لا الأغسال الثلاثة ، وحمل کلامه علی ما ذکرنا أولی منه علی ما ذکره الشارح رحمه الله إذ فساده غیر خفی علی ذی عقل ، فضلا عن مثله</w:t>
      </w:r>
      <w:r>
        <w:rPr>
          <w:rFonts w:eastAsia="IRNazanin" w:cs="IRNazanin"/>
          <w:color w:val="111111"/>
          <w:sz w:val="28"/>
          <w:szCs w:val="28"/>
          <w:rtl w:val="true"/>
          <w:lang w:bidi="fa-IR"/>
        </w:rPr>
        <w:t xml:space="preserve">. </w:t>
      </w:r>
      <w:bookmarkStart w:id="44" w:name="pg14966_203970"/>
    </w:p>
    <w:p>
      <w:pPr>
        <w:pStyle w:val="BookText"/>
        <w:rPr/>
      </w:pPr>
      <w:bookmarkEnd w:id="44"/>
      <w:r>
        <w:rPr>
          <w:rFonts w:ascii="IRNazanin" w:hAnsi="IRNazanin" w:eastAsia="IRNazanin"/>
          <w:color w:val="111111"/>
          <w:sz w:val="28"/>
          <w:sz w:val="28"/>
          <w:szCs w:val="28"/>
          <w:rtl w:val="true"/>
          <w:lang w:bidi="fa-IR"/>
        </w:rPr>
        <w:t>والجواب عنه بأن المستحاضة فی هذا الخبر مخصصة بغیر القلیلة قطعا ، کما ذکر ، ولعلها لها حکم آخر لم یتعرض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دلیل یدل علی أن القلیلة سبب للوضوء ومن جملة موجباته أمکن الاستناد إلی هذه الصحیحة فی الجملة ، للحکم بعدم السببیة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تنتظر أیامها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ذیل هذه الروایة ما یمکن أن یجعل قرینة علی إرادة الکثیرة ، وهو أنه علیه السلام قال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وتحتشی وتستثفر ولا تحنی وتضم فخذیها فی المسجد وسائر جسدها خارج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بربط خرقة محشوة بالقطن للتحفظ من تعدی الدم ، فظهر من هذه أن بعد الاحتشاء والاستثفار تربط الخرقة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تجمع الساقین والفخذین إلی الظهر بعمامة لأجل زیادة تحفظها من خروج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 فخذیها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للإشارة والقرینة ، وکذا المنع عن صلاة التحیة أو عن الاحتباء أو عن الانحناء ، والمنع عن دخولها المسجد لیس إلاّ من خوف تلویث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الإطلاق فی الثقب ربما ینصرف إلی الفرد الکامل ، کما هو مسلم فی الإطلاقات ، ویظهر من بعض الاخبار أنّهم علیهم السلام أطلقوا لفظ الثقب وأرادوا التجاوز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إلی الأخبار الکثیرة والشهرة العظیمة ، کما عرفت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2087423_388300464"/>
      <w:bookmarkStart w:id="46" w:name="_Toc17"/>
      <w:bookmarkEnd w:id="45"/>
      <w:r>
        <w:rPr>
          <w:rtl w:val="true"/>
        </w:rPr>
        <w:t>الاستحاضة المتوسطة</w:t>
      </w:r>
      <w:bookmarkEnd w:id="46"/>
    </w:p>
    <w:p>
      <w:pPr>
        <w:pStyle w:val="BookText"/>
        <w:rPr/>
      </w:pPr>
      <w:r>
        <w:rPr>
          <w:rFonts w:ascii="IRNazanin" w:hAnsi="IRNazanin" w:eastAsia="IRNazanin"/>
          <w:color w:val="111111"/>
          <w:sz w:val="28"/>
          <w:sz w:val="28"/>
          <w:szCs w:val="28"/>
          <w:rtl w:val="true"/>
          <w:lang w:bidi="fa-IR"/>
        </w:rPr>
        <w:t>وعدم التعرض للمتوسطة غیر مضر لأن جلّ أخبار المستحاضة قاصرة فی ذکر بعض منها ، والمقامات کانت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المتوسطة من الأفراد النادرة ، کما سنشیر إلیه ، وإطلاق الأخبار یحمل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منها من لم یثقب دمها الکرسف بالنصوص المتقدمة فیبقی الباقی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من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أنّ أخبار باب المستحاضة عامتها وغالبها لا تخلو عن قصور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من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وجه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صدر الروایة فی طریق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المستحاضة التی لا تطهر تغتسل عند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وربما یکون فیه إیماء إلی الکثیرة ، لأنّ الغالب بحسب الظاهر أنّها التی لا تطهر ویدوم دمها ویستمر ، مع أن الکثرة مظنة الدوام والقلة فی معرض الانقطاع ، کالمتوسطة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کتب اللغة أنّ المستحاضة من یسیل دمها من عرق العاذل ، وهذا ظاهر فی الکثرة ، مع أنّ المطلق ینصرف إلی الکامل ، فتأمّل ویؤیده عدم ذکر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العموم الضعیف وردت مخصصات کثیرة عرفت بعضها وستعرف ، متأیدة بعمل الأصحاب والشهرة العظیمة وأصالة البراءة عن التکالیف الکثیرة الزائدة والأوفقیة إلی الملة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المسلّمات المشهورة ، سیّما العموم الذی یکون من المفرد المحلّی باللام ، حیث لم یوضع للعموم ولا عموم فیه لغة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المتوسطة ربما تکون أقل وجودا ، لاشتراط الثقب مع عدم التجاوز ، إذ الغالب أنّه إن ثقب تجاوز ، ولعله لهذا لم یتعرض لذکرها </w:t>
      </w:r>
    </w:p>
    <w:p>
      <w:pPr>
        <w:pStyle w:val="BookText"/>
        <w:rPr/>
      </w:pPr>
      <w:r>
        <w:rPr>
          <w:rFonts w:ascii="IRNazanin" w:hAnsi="IRNazanin" w:eastAsia="IRNazanin"/>
          <w:color w:val="111111"/>
          <w:sz w:val="28"/>
          <w:sz w:val="28"/>
          <w:szCs w:val="28"/>
          <w:rtl w:val="true"/>
          <w:lang w:bidi="fa-IR"/>
        </w:rPr>
        <w:t>بالخصوص فی صحیحة معاویة وما ماثلها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حملها علی الاستحباب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الشارح رحمه الله ومن وافقه کثیرا ما یعترضون بأن الجملة الخبریة لیست حقیقة فی الوجوب أو صریحة فیه ، بل ربما یتأملون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المقام لا بدّ فیه من ارتکاب خلاف الظاهر قطعا ، فکون التخصیص بما ذکره الشارح أولی من الحمل علی الطلب مع وجود ما أشرنا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یخفی علی المتأمّل أن هذا المقام الإجمال لا التفصیل ، وکذا الکلام فی صحیحة صفوان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المفصلون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عبارة الفقه الرضوی </w:t>
      </w:r>
      <w:r>
        <w:rPr>
          <w:rStyle w:val="FootnoteAnchor"/>
          <w:rtl w:val="true"/>
        </w:rPr>
        <w:footnoteReference w:id="51"/>
      </w:r>
      <w:r>
        <w:rPr>
          <w:rFonts w:ascii="IRNazanin" w:hAnsi="IRNazanin" w:eastAsia="IRNazanin"/>
          <w:color w:val="111111"/>
          <w:sz w:val="28"/>
          <w:sz w:val="28"/>
          <w:szCs w:val="28"/>
          <w:rtl w:val="true"/>
          <w:lang w:bidi="fa-IR"/>
        </w:rPr>
        <w:t xml:space="preserve">صریحة فی مذهبهم ، وموثقة سماعة </w:t>
      </w:r>
      <w:r>
        <w:rPr>
          <w:rStyle w:val="FootnoteAnchor"/>
          <w:rtl w:val="true"/>
        </w:rPr>
        <w:footnoteReference w:id="52"/>
      </w:r>
      <w:r>
        <w:rPr>
          <w:rFonts w:ascii="IRNazanin" w:hAnsi="IRNazanin" w:eastAsia="IRNazanin"/>
          <w:color w:val="111111"/>
          <w:sz w:val="28"/>
          <w:sz w:val="28"/>
          <w:szCs w:val="28"/>
          <w:rtl w:val="true"/>
          <w:lang w:bidi="fa-IR"/>
        </w:rPr>
        <w:t xml:space="preserve">ظاهرة فیه ، وکذا کل خبر یتضمن لکون الشرط فی الأغسال الثلاثة کون الدم صبیبا ومثل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 الدلالة فیها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کذلک ، بل موضع الدلالة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الدم فیما بینها وبین المغرب لا یسیل من خلف الکرسف فلتتوضأ ، ولتصل عند وقت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نص فی أنّه ما لم یتحقق السیلان من خلف الکرسف لم یکن علیها غسل لصلاة المغرب والعشاء بل تتوضأ لکل واحدة منهما ، وهذا </w:t>
      </w:r>
    </w:p>
    <w:p>
      <w:pPr>
        <w:pStyle w:val="BookText"/>
        <w:rPr/>
      </w:pPr>
      <w:r>
        <w:rPr>
          <w:rFonts w:ascii="IRNazanin" w:hAnsi="IRNazanin" w:eastAsia="IRNazanin"/>
          <w:color w:val="111111"/>
          <w:sz w:val="28"/>
          <w:sz w:val="28"/>
          <w:szCs w:val="28"/>
          <w:rtl w:val="true"/>
          <w:lang w:bidi="fa-IR"/>
        </w:rPr>
        <w:t>شامل للمتوسطة یقینا ، وهو الموافق للمشهور وحجة علی الشارح وشیخه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الدم إذا أمسکت الکرسف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ظاهر فی أنّ الغسل ثلاث مرات مشروط بالسیلان من خلف الکرسف ، سیما بعد ملاحظة العبارة الأولی ، إذ یظهر أنّ هذه العبارة فی مقابل الأولی ، وأنّ هذا الشق شق مقابل للأولی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وتوضیح للسیلان ، لأنّه المحقق له غالبا ، وتأکید أیضا فی أنّ الثلاثة الأغسال لیست فی صورة عدم السیلان ، وأنّه ما لم یتحقق السیلان لا یکون البتة ، ولا یکون بمجرد الظهور البتة </w:t>
      </w:r>
      <w:r>
        <w:rPr>
          <w:rStyle w:val="FootnoteAnchor"/>
          <w:rtl w:val="true"/>
        </w:rPr>
        <w:footnoteReference w:id="54"/>
      </w:r>
      <w:r>
        <w:rPr>
          <w:rFonts w:ascii="IRNazanin" w:hAnsi="IRNazanin" w:eastAsia="IRNazanin"/>
          <w:color w:val="111111"/>
          <w:sz w:val="28"/>
          <w:sz w:val="28"/>
          <w:szCs w:val="28"/>
          <w:rtl w:val="true"/>
          <w:lang w:bidi="fa-IR"/>
        </w:rPr>
        <w:t xml:space="preserve">، وحیث ثبت بالدلالة الواضحة المتعددة المتأکدة انحصار الأغسال الثلاثة فی الکثیرة ثبت مذهبهم وبطل مذهب الخصم ، وثبت کون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به المفصلون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للقلیلة فی المغرب والعشاء ، وللإجماع علی کونها حدثا والإجماع علی کونها مغایرة للقلیلة بحسب الحکم ، والإجماع بل والضرورة فی أنّها لیست لها حکم آخر ، وکل ذلک من مسلّمات الخصم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طرحت الکرسف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فی أن المراد السیلان فی صورة طرحها الکرسف ، لا فی صورة إمساکها الکرسف ، ولا خفاء فی ذلک علی من له أدنی تأمّل وملاحظة فی الحدیث</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منه أن عدم الغسل فی صورة عدم السیلان سواء أمسکت الکرسف أم لا ، وفی صورة السیلان یکون الغسل البتة ، أما مع الإمساک فثلاثة أغسال ، وأمّا مع عدمه وجب علیها الغسل ، وفیه إجمال لا یضر المستدل أصلا بلا شبهة ، بل ینفعه ، فإنّ المراد غسل صلاة المغرب </w:t>
      </w:r>
    </w:p>
    <w:p>
      <w:pPr>
        <w:pStyle w:val="BookText"/>
        <w:rPr/>
      </w:pPr>
      <w:r>
        <w:rPr>
          <w:rFonts w:ascii="IRNazanin" w:hAnsi="IRNazanin" w:eastAsia="IRNazanin"/>
          <w:color w:val="111111"/>
          <w:sz w:val="28"/>
          <w:sz w:val="28"/>
          <w:szCs w:val="28"/>
          <w:rtl w:val="true"/>
          <w:lang w:bidi="fa-IR"/>
        </w:rPr>
        <w:t>والعشاء ، کما هو مقتضی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أیضا دلالة أخری علی مراد المشهور علی ما اعترف من أنّ هذا الغسل لأجل السیلان وبشرطه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رفعنا الید من السیاق أیضا ینفعه ، بأنّ المراد غسل واحد ، کما هو ظاهر لفظة المفرد ، مع أنّه لم یعرف من الفقهاء مساواته للأوّل مع أنّه مع عدم الکرسف یتحقق السیلان بأدنی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یخفی أن المتعارف فی النساء أنهن فی صورة کثرة السیلان وزیادته وشدته یمسکن الکرسف البتة ولا یترکنه صونا لأثوابهن من الدم وفساده وتخریبه ، فالسیلان بلا کرسف سیلان سهل قلیل ، ولعله مساوق للظهور من خلف الکرسف فی صورة الإمساک واقعا أو بحسب الظن والظهور ، وعدم الإشعار لکون الغسل للفجر غیر مضر ، للإجماع علی کونه له ، فلعل المقام کان مع قرینة ، أو کان المقام مقام إجمال لهذا المعنی أو کان هذا المعنی واضحا فی ذلک الزمان أو عند الراوی ، وهو الثقة الجلیل ، کما هو الحال فی سائر الأخبار ، لأن الأمر والبناء فیها علی التعارض والجمع ، ولا بدّ من أن یکون حال الراوی فی المعارض المؤوّل علی ما أشرنا وإلاّ لا یستقیم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وقع فی المقام حدیث صحیح صریح فی أنّه علیها الغسل لخصوص الفجر لکان الشارح رحمه الله یحمل الغسل فی هذا الحدیث علیه البتة ، وأیّ فرق بین الحدیث والإجماع فی هذا؟ بل کثیر من المواضع یعتنون بالإجماع من دون تأمّل حتی من الشارح رحمه الله أیضا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غایة ما یکون أن فی هذا الأمر إجمالا ، وهذا لا یضر الاستدلال بصدر الخبر وذیله ، کما أشرنا ، لعدم توقف دلالتهما علیه</w:t>
      </w:r>
      <w:r>
        <w:rPr>
          <w:rFonts w:eastAsia="IRNazanin" w:cs="IRNazanin"/>
          <w:color w:val="111111"/>
          <w:sz w:val="28"/>
          <w:szCs w:val="28"/>
          <w:rtl w:val="true"/>
          <w:lang w:bidi="fa-IR"/>
        </w:rPr>
        <w:t xml:space="preserve">. </w:t>
      </w:r>
      <w:bookmarkStart w:id="47" w:name="pg14966_203975"/>
    </w:p>
    <w:p>
      <w:pPr>
        <w:pStyle w:val="BookText"/>
        <w:rPr/>
      </w:pPr>
      <w:bookmarkEnd w:id="47"/>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أمر بإیجاد الغسل ، والألف واللام ظاهر فی الجنس وحقیقة فی الحقیقة ، وإیجاد الحقیقة یتحقق فی ضمن فرد ، کما حقق فی محله ، وظاهر أن الغسل لأجل الصلاة ، فیکون مقدما علیها ، فحیث لم یعین الصلاة یکون المراد جمیع الصلوات الیومیة ،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یعطی ویمنع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موضع الخلاف ما إذا لم یحصل السیلان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الدلالة علی أی تقدیر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علیه السلام جعل السیلان شرطا ، فعلی تقدیر حمل الغسل علی الجنس یکون دلالتها للمشهور فی غایة الوضوح أیضا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عرفت أن الظاهر من السیاق غسل صلاة المغرب والعشاء وقد عرفت الحال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الروایة الثانیة أنّها قاصرة من حیث السند بالإضمار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الاعتراض منه فی غایة السقوط ، لتصریحه رحمه الله غیر مرّة بأنّ أمثال هذه الإضمارات لا ضیر فیها أصلا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هذا الحدیث علی ما وجدت فی التهذیب لا إضمار فیه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ولیس عندی غیر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زرارة روی هذا الحدیث عن الباقر علیه السلام أیضا ، لأنّ الشیخ نبّه فی موضع آخر علی ما ذکرنا ، لأنّه قال بعد ذلک بصفحة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حدیث زرارة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2087425_388300464"/>
      <w:bookmarkStart w:id="49" w:name="_Toc18"/>
      <w:bookmarkEnd w:id="48"/>
      <w:r>
        <w:rPr>
          <w:rtl w:val="true"/>
        </w:rPr>
        <w:t>إشارة إلی أنّ الشهرة جابرة لضعف الروایة</w:t>
      </w:r>
      <w:bookmarkStart w:id="50" w:name="pg14966_203976"/>
      <w:bookmarkEnd w:id="49"/>
    </w:p>
    <w:p>
      <w:pPr>
        <w:pStyle w:val="BookText"/>
        <w:rPr/>
      </w:pPr>
      <w:bookmarkEnd w:id="50"/>
      <w:r>
        <w:rPr>
          <w:rFonts w:ascii="IRNazanin" w:hAnsi="IRNazanin" w:eastAsia="IRNazanin"/>
          <w:color w:val="111111"/>
          <w:sz w:val="28"/>
          <w:sz w:val="28"/>
          <w:szCs w:val="28"/>
          <w:rtl w:val="true"/>
          <w:lang w:bidi="fa-IR"/>
        </w:rPr>
        <w:t>ولم یتقدم ما یصلح لذلک سوی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الشارح رحمه الله سیذکر عن قریب صحیحة زرارة </w:t>
      </w:r>
      <w:r>
        <w:rPr>
          <w:rStyle w:val="FootnoteAnchor"/>
          <w:rtl w:val="true"/>
        </w:rPr>
        <w:footnoteReference w:id="58"/>
      </w:r>
      <w:r>
        <w:rPr>
          <w:rFonts w:ascii="IRNazanin" w:hAnsi="IRNazanin" w:eastAsia="IRNazanin"/>
          <w:color w:val="111111"/>
          <w:sz w:val="28"/>
          <w:sz w:val="28"/>
          <w:szCs w:val="28"/>
          <w:rtl w:val="true"/>
          <w:lang w:bidi="fa-IR"/>
        </w:rPr>
        <w:t xml:space="preserve">مریدا هذا الخبر ، وکیف کان ، لا وجه لهذا الطعن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بعد انجبارها بالشهرة بین الأصحاب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المتن بأنّها لا تدل علی ما ذکروه نصّا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تنبیه علی وجود دلالة بحسب الظاهر ، وهو کذلک ، فإنّ الظاهر کون الغسل الواحد غیر غسل النفاس ، بل کالصریح ، لأنّه أمر أوّلا بغسل النفاس فقال لها بعد ما اغتسلت للنفاس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جاز دمها تغتسل ثلاثة أغسال ، وإن لم یجز صلّت بغسل واحد ، ولو کان المراد غسل النفاس 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بذلک الغسل ، بل قد لا یحتاج إلی ذکر هذه العبارة بعد ما ذکر بأنّها تغتسل للنفاس وتفعل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ذکرنا متأیّد بأنّ القسمین المتردد بینهما مذکوران بکلمة الفاء الدالة علی التعقیب ، فیکون کلاهما عقیب غسل النفاس وما بعده ، وأیضا متأیّد بقرینة المقابلة وتقیید الغسل بالوحدة ، وظهور أنّ المراد من الصلاة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 بغسل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الصلوات الخمس المذکورة لا مطلق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لم یعهد تعلیق الصلاة بغسل الحیض أو النفاس وإضافتها ونسبتها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تنکیر لفظ الغسل یشهد علی کون هذا الغسل غیر غسل النفاس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تقییده بالوحدة شاهد آخر ، فإنّ غسل النفاس المذکور لا شبهة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2087427_388300464"/>
      <w:bookmarkStart w:id="52" w:name="_Toc19"/>
      <w:bookmarkEnd w:id="51"/>
      <w:r>
        <w:rPr>
          <w:rtl w:val="true"/>
        </w:rPr>
        <w:t>الخدشة فی أدلّة القائلین بالتسویة بین المتوسطة والکثیرة</w:t>
      </w:r>
      <w:bookmarkStart w:id="53" w:name="pg14966_203977"/>
      <w:bookmarkEnd w:id="52"/>
    </w:p>
    <w:p>
      <w:pPr>
        <w:pStyle w:val="BookText"/>
        <w:rPr/>
      </w:pPr>
      <w:bookmarkEnd w:id="53"/>
      <w:r>
        <w:rPr>
          <w:rFonts w:ascii="IRNazanin" w:hAnsi="IRNazanin" w:eastAsia="IRNazanin"/>
          <w:color w:val="111111"/>
          <w:sz w:val="28"/>
          <w:sz w:val="28"/>
          <w:szCs w:val="28"/>
          <w:rtl w:val="true"/>
          <w:lang w:bidi="fa-IR"/>
        </w:rPr>
        <w:t>فی کونه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وتؤیّد الظهور عبارة الفقه الرضوی التی أشرنا إلیها </w:t>
      </w:r>
      <w:r>
        <w:rPr>
          <w:rStyle w:val="FootnoteAnchor"/>
          <w:rtl w:val="true"/>
        </w:rPr>
        <w:footnoteReference w:id="60"/>
      </w:r>
      <w:r>
        <w:rPr>
          <w:rFonts w:ascii="IRNazanin" w:hAnsi="IRNazanin" w:eastAsia="IRNazanin"/>
          <w:color w:val="111111"/>
          <w:sz w:val="28"/>
          <w:sz w:val="28"/>
          <w:szCs w:val="28"/>
          <w:rtl w:val="true"/>
          <w:lang w:bidi="fa-IR"/>
        </w:rPr>
        <w:t xml:space="preserve">، وصحیحة الحسین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ممّا ذکرناه فی صدر المبحث ، وکذا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الشهرة بین الأصحاب وفهمهم حیث استدلوا بها لمطلوبهم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یخفی أنّ الظهور کاف للاستدلال ولا یحتاج إلی النصّیة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الدلالة 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شرط للأغسال الثلاثة جواز الدم عن الکرسف ، وفرق بینه وبین ثقب الکرسف ، فإنّ الجواز هو التعدی عن الشی‌ء والوصول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 مضافا إلی أنّ إیجاد الصلاة بغسل ، ظاهر فی کون الغسل قبلها ، فالصلوات الخمس بغسل ظاهر فی کون الغسل قبل الجمیع ، فیظهر کونه قبل صلاة الفجر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ذکر الوضوءات فمشترک الورود ، بل ضرره علی الشارح رحمه الله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المقام فیه مقام إجمال ، والاحتیاط واضح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بعموم قوله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شموله لما نحن فیه محل تأمّل ، لکونه من الأفراد التی لا ینساق الذهن إلیها عند الإطلاق ، ولا عموم لغة ، مع أنّ شموله للنساء من الإجماع ولم یتحقّق فی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العمومات الدالة علی 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صحیحة معاویة بن عمار ونظائرها کالنص فی عدم الوضوء لصلاة العصر والعشاء ، وصدرها ذکرها الشارح ، وفی ذیلها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الدم</w:t>
      </w:r>
    </w:p>
    <w:p>
      <w:pPr>
        <w:pStyle w:val="Heading4"/>
        <w:numPr>
          <w:ilvl w:val="3"/>
          <w:numId w:val="1"/>
        </w:numPr>
        <w:rPr/>
      </w:pPr>
      <w:bookmarkStart w:id="54" w:name="__RefHeading___Toc2087429_388300464"/>
      <w:bookmarkStart w:id="55" w:name="_Toc20"/>
      <w:bookmarkEnd w:id="54"/>
      <w:r>
        <w:rPr>
          <w:rtl w:val="true"/>
        </w:rPr>
        <w:t>الاستحاضة الکثیرة</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2087431_388300464"/>
      <w:bookmarkStart w:id="57" w:name="_Toc21"/>
      <w:bookmarkEnd w:id="56"/>
      <w:r>
        <w:rPr>
          <w:rtl w:val="true"/>
        </w:rPr>
        <w:t>عدم وجوب الوضوء مع کلّ غسل فی الاستحاضة الکثیرة</w:t>
      </w:r>
      <w:bookmarkStart w:id="58" w:name="pg14966_203978"/>
      <w:bookmarkEnd w:id="57"/>
    </w:p>
    <w:p>
      <w:pPr>
        <w:pStyle w:val="BookText"/>
        <w:rPr/>
      </w:pPr>
      <w:bookmarkEnd w:id="58"/>
      <w:r>
        <w:rPr>
          <w:rFonts w:ascii="IRNazanin" w:hAnsi="IRNazanin" w:eastAsia="IRNazanin"/>
          <w:color w:val="111111"/>
          <w:sz w:val="28"/>
          <w:sz w:val="28"/>
          <w:szCs w:val="28"/>
          <w:rtl w:val="true"/>
          <w:lang w:bidi="fa-IR"/>
        </w:rPr>
        <w:t xml:space="preserve">لا یثقب الکرسف توضأت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المسجد وصلّت کل صلاة بوضوء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وبقرینة المقابلة یظهر أنّ الکثیرة لا تتوضأ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لکل صلاة وأمّا الوضوء مع الغسل فقد مرّ الکلام والتحقیق فیه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للأصل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والأقوی هو الأوّل ، لأنّ هذا الدم حدث عندهم ، ولأنّ الظاهر من الأخبار أیضا ذلک ، فیظهر من هذا تعقیب الصلاة له ، وإن لم یذکر صریحا فی الأخبار ، کما لم یذکر بالنسبة إلی الغسل أیضا ، لأنّه یفهم من الأخبار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جواز دخولها المساجد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نظر من منع دخولها إلی بعض الروایات ، مثل صحیحة معاویة ابن عمار السابقة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ضعف وفی المتن احتمال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ذکرنا فی مسألة بیان أقسام الاستحاضة روایة عبد الرحمن بن أبی عبد الله </w:t>
      </w:r>
      <w:r>
        <w:rPr>
          <w:rStyle w:val="FootnoteAnchor"/>
          <w:rtl w:val="true"/>
        </w:rPr>
        <w:footnoteReference w:id="65"/>
      </w:r>
      <w:r>
        <w:rPr>
          <w:rFonts w:ascii="IRNazanin" w:hAnsi="IRNazanin" w:eastAsia="IRNazanin"/>
          <w:color w:val="111111"/>
          <w:sz w:val="28"/>
          <w:sz w:val="28"/>
          <w:szCs w:val="28"/>
          <w:rtl w:val="true"/>
          <w:lang w:bidi="fa-IR"/>
        </w:rPr>
        <w:t xml:space="preserve">، وهی کالصحیحة ، بل صحیحة ،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شی‌ء استحلت به الصلاة فلیأتها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یتمشی فیها التوجیه الذی ذکره الشارح ، فیمکن الحمل علی الاستحباب أو تقیید الأدلة السابقة بها ، والأحوط الثانی ، ویؤیده الخبران المذکوران ، لأنّ ما ذکره الشارح رحمه الله لا یخلو عن مخالفة ما للظاهر</w:t>
      </w:r>
      <w:r>
        <w:rPr>
          <w:rFonts w:eastAsia="IRNazanin" w:cs="IRNazanin"/>
          <w:color w:val="111111"/>
          <w:sz w:val="28"/>
          <w:szCs w:val="28"/>
          <w:rtl w:val="true"/>
          <w:lang w:bidi="fa-IR"/>
        </w:rPr>
        <w:t>.</w:t>
      </w:r>
    </w:p>
    <w:p>
      <w:pPr>
        <w:pStyle w:val="Heading4"/>
        <w:numPr>
          <w:ilvl w:val="3"/>
          <w:numId w:val="1"/>
        </w:numPr>
        <w:rPr/>
      </w:pPr>
      <w:bookmarkStart w:id="59" w:name="__RefHeading___Toc2087433_388300464"/>
      <w:bookmarkStart w:id="60" w:name="_Toc22"/>
      <w:bookmarkEnd w:id="59"/>
      <w:r>
        <w:rPr>
          <w:rtl w:val="true"/>
        </w:rPr>
        <w:t>هل تجب مقارنة الغسل والوضوء للصلاة؟</w:t>
      </w:r>
      <w:bookmarkEnd w:id="60"/>
    </w:p>
    <w:p>
      <w:pPr>
        <w:pStyle w:val="Heading4"/>
        <w:numPr>
          <w:ilvl w:val="3"/>
          <w:numId w:val="1"/>
        </w:numPr>
        <w:rPr/>
      </w:pPr>
      <w:bookmarkStart w:id="61" w:name="__RefHeading___Toc2087435_388300464"/>
      <w:bookmarkStart w:id="62" w:name="_Toc23"/>
      <w:bookmarkEnd w:id="61"/>
      <w:r>
        <w:rPr>
          <w:rtl w:val="true"/>
        </w:rPr>
        <w:t>جواز دخول المستحاضة المساجد</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2087437_388300464"/>
      <w:bookmarkStart w:id="64" w:name="_Toc24"/>
      <w:bookmarkEnd w:id="63"/>
      <w:r>
        <w:rPr>
          <w:rtl w:val="true"/>
        </w:rPr>
        <w:t>حکم وطء المستحاضة</w:t>
      </w:r>
      <w:bookmarkEnd w:id="64"/>
    </w:p>
    <w:p>
      <w:pPr>
        <w:pStyle w:val="BookText"/>
        <w:rPr/>
      </w:pPr>
      <w:r>
        <w:rPr>
          <w:rFonts w:ascii="IRNazanin" w:hAnsi="IRNazanin" w:eastAsia="IRNazanin"/>
          <w:color w:val="111111"/>
          <w:sz w:val="28"/>
          <w:sz w:val="28"/>
          <w:szCs w:val="28"/>
          <w:rtl w:val="true"/>
          <w:lang w:bidi="fa-IR"/>
        </w:rPr>
        <w:t xml:space="preserve">وروی الشیخ والکلینی ، عن عثمان بن عیسی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إذا ثقب الدم الکرسف اغتسلت لکل صلاتین وللفجر غسلا ، فإن لم یجز الدم الکرسف فعلیها الغسل کل یوم مرّة ، والوضوء لکل صلاة ، وإن أراد زوجها أن یأتیها فحین تغتسل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الآیة والصحیحتین تأمّل ، أمّا الآیة فلأنّ الظاهر منها رفع الحظر الذی کان من جهة الحیض ، والغالب عدم حظر آخر ، وأمّا الروایة فلأنّ المعصومین علیهماالسلام أمرا فیهما بأن تعمل المستحاضة عمل الاستحاضة من الأغسال الثلاثة ، ثم بعد ذلک ذکرا ما ذکره الشارح رحمه الله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ویأتیها زوجها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فی غایة الضعف بالقیاس إلی دلالة ما ذکرناه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ومرّت عبارة الفقه الرضوی </w:t>
      </w:r>
      <w:r>
        <w:rPr>
          <w:rStyle w:val="FootnoteAnchor"/>
          <w:rtl w:val="true"/>
        </w:rPr>
        <w:footnoteReference w:id="67"/>
      </w:r>
      <w:r>
        <w:rPr>
          <w:rFonts w:ascii="IRNazanin" w:hAnsi="IRNazanin" w:eastAsia="IRNazanin"/>
          <w:color w:val="111111"/>
          <w:sz w:val="28"/>
          <w:sz w:val="28"/>
          <w:szCs w:val="28"/>
          <w:rtl w:val="true"/>
          <w:lang w:bidi="fa-IR"/>
        </w:rPr>
        <w:t>فإنّها صریحة فی أنّ شرط الحلیة العمل بالأغسال ، ویظهر منها عدم الاشتراط بالوضوء فی القلیلة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الکلینی بسنده إلی أبی عبیدة وفیه سهل ، سأل </w:t>
      </w:r>
      <w:r>
        <w:rPr>
          <w:rStyle w:val="FootnoteAnchor"/>
          <w:rtl w:val="true"/>
        </w:rPr>
        <w:footnoteReference w:id="68"/>
      </w:r>
      <w:r>
        <w:rPr>
          <w:rFonts w:ascii="IRNazanin" w:hAnsi="IRNazanin" w:eastAsia="IRNazanin"/>
          <w:color w:val="111111"/>
          <w:sz w:val="28"/>
          <w:sz w:val="28"/>
          <w:szCs w:val="28"/>
          <w:rtl w:val="true"/>
          <w:lang w:bidi="fa-IR"/>
        </w:rPr>
        <w:t xml:space="preserve">عن الصادق علیه السلام عن الحائض تری الطهر فی السفر ، ولیس معها من الماء ما یکفیها لغسلها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فیأتیها زوجها فی تلک الحال؟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إذا غسلت فرجها وتیممت فلا بأس </w:t>
      </w:r>
      <w:r>
        <w:rPr>
          <w:rFonts w:eastAsia="IRNazanin" w:cs="IRNazanin"/>
          <w:color w:val="111111"/>
          <w:sz w:val="28"/>
          <w:szCs w:val="28"/>
          <w:rtl w:val="true"/>
          <w:lang w:bidi="fa-IR"/>
        </w:rPr>
        <w:t xml:space="preserve">» </w:t>
      </w:r>
      <w:r>
        <w:rPr>
          <w:rStyle w:val="FootnoteAnchor"/>
          <w:rtl w:val="true"/>
        </w:rPr>
        <w:footnoteReference w:id="69"/>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65" w:name="pg14966_203980"/>
    </w:p>
    <w:p>
      <w:pPr>
        <w:pStyle w:val="BookText"/>
        <w:rPr/>
      </w:pPr>
      <w:bookmarkEnd w:id="65"/>
      <w:r>
        <w:rPr>
          <w:rFonts w:ascii="IRNazanin" w:hAnsi="IRNazanin" w:eastAsia="IRNazanin"/>
          <w:color w:val="111111"/>
          <w:sz w:val="28"/>
          <w:sz w:val="28"/>
          <w:szCs w:val="28"/>
          <w:rtl w:val="true"/>
          <w:lang w:bidi="fa-IR"/>
        </w:rPr>
        <w:t xml:space="preserve">قوله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فیه ما ذکرناه فی صدر الکتاب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بعموم الإذن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العموم نظر ، لأنّ فرض العلم بالانقطاع فرض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ظاهره عدم کون الدم الخارج مع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ظهور شی‌ء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نظرهم فی ذلک وفی ما سبق إلی ما یظهر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الاعتبار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دم الحیض یحبس لتکوّن الولد ولغذائه ، وربما یزید فیهراق ، فإذا علم أنّه مبدأ نشوء الآدمی علم أنّ هذا الدم هو المحبوس لتکوّن الولد وغذائه وخرج ، فعلم شرعا وعرفا أنّه النفاس ، وظهر أنّه لا دم سوی الحیض ، أو الاستحاضة ، أو النفاس ، أو العذرة ، أو القروح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یخلو بعد من تأمّل فی کونه مسمّی بالنفاس عرفا وشرعا بحیث ینصرف الإطلاق إلی مثله أیضا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عن الشارح أنّ النفاس حیض فی المعنی ،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أقصاه عشرة للمبتدئة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رواه علی بن یقطین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الاستدلال بها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تخلّل أقل الطهر بینه وبین النفاس قولان ،</w:t>
      </w:r>
    </w:p>
    <w:p>
      <w:pPr>
        <w:pStyle w:val="Heading2"/>
        <w:numPr>
          <w:ilvl w:val="1"/>
          <w:numId w:val="1"/>
        </w:numPr>
        <w:rPr/>
      </w:pPr>
      <w:bookmarkStart w:id="66" w:name="__RefHeading___Toc2087439_388300464"/>
      <w:bookmarkStart w:id="67" w:name="_Toc25"/>
      <w:bookmarkEnd w:id="66"/>
      <w:r>
        <w:rPr>
          <w:rtl w:val="true"/>
        </w:rPr>
        <w:t>غسل النفاس</w:t>
      </w:r>
      <w:bookmarkEnd w:id="67"/>
    </w:p>
    <w:p>
      <w:pPr>
        <w:pStyle w:val="Heading3"/>
        <w:numPr>
          <w:ilvl w:val="2"/>
          <w:numId w:val="1"/>
        </w:numPr>
        <w:rPr/>
      </w:pPr>
      <w:bookmarkStart w:id="68" w:name="__RefHeading___Toc2087441_388300464"/>
      <w:bookmarkStart w:id="69" w:name="_Toc26"/>
      <w:bookmarkEnd w:id="68"/>
      <w:r>
        <w:rPr>
          <w:rtl w:val="true"/>
        </w:rPr>
        <w:t>معنی النفاس</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2087443_388300464"/>
      <w:bookmarkStart w:id="71" w:name="_Toc27"/>
      <w:bookmarkEnd w:id="70"/>
      <w:r>
        <w:rPr>
          <w:rtl w:val="true"/>
        </w:rPr>
        <w:t>حکم من تری الدم قبل الولادة</w:t>
      </w:r>
      <w:bookmarkStart w:id="72" w:name="pg14966_203981"/>
      <w:bookmarkEnd w:id="71"/>
    </w:p>
    <w:p>
      <w:pPr>
        <w:pStyle w:val="BookText"/>
        <w:rPr/>
      </w:pPr>
      <w:bookmarkEnd w:id="72"/>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کادت تبلغ حدّ التواتر فی أنّ النفساء بعد نفاسها تصیر مستحاضة تعمل عملها وتصلی </w:t>
      </w:r>
      <w:r>
        <w:rPr>
          <w:rStyle w:val="FootnoteAnchor"/>
          <w:rtl w:val="true"/>
        </w:rPr>
        <w:footnoteReference w:id="74"/>
      </w:r>
      <w:r>
        <w:rPr>
          <w:rFonts w:ascii="IRNazanin" w:hAnsi="IRNazanin" w:eastAsia="IRNazanin"/>
          <w:color w:val="111111"/>
          <w:sz w:val="28"/>
          <w:sz w:val="28"/>
          <w:szCs w:val="28"/>
          <w:rtl w:val="true"/>
          <w:lang w:bidi="fa-IR"/>
        </w:rPr>
        <w:t xml:space="preserve">، من دون تفصیل أصلا ، نعم فی بعض الأخبار أنّ الدم إن کان أصفر تعمل عمل الاستحاضة </w:t>
      </w:r>
      <w:r>
        <w:rPr>
          <w:rStyle w:val="FootnoteAnchor"/>
          <w:rtl w:val="true"/>
        </w:rPr>
        <w:footnoteReference w:id="75"/>
      </w:r>
      <w:r>
        <w:rPr>
          <w:rFonts w:ascii="IRNazanin" w:hAnsi="IRNazanin" w:eastAsia="IRNazanin"/>
          <w:color w:val="111111"/>
          <w:sz w:val="28"/>
          <w:sz w:val="28"/>
          <w:szCs w:val="28"/>
          <w:rtl w:val="true"/>
          <w:lang w:bidi="fa-IR"/>
        </w:rPr>
        <w:t>، لکن لیس عملهم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کالصحیح عن أبی الحسن علیه السلام ، فی امرأة نفست وترکت الصلاة ثلاثین یوما ، ثم تطهرت ، ثم رأت الدم بعد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لأنّ أیّامها أیّام الطهر قد جازت مع أیّام نفاسها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سیجی‌ء من اشتراک النفاس مع الحیض فی جمیع الأحکام إلاّ ثلاثة ، ولعل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العلاّمة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خصوص الحیض المتقدم علی النفاس مع النفاس ، لا المتأخر أیضا ، </w:t>
      </w:r>
      <w:r>
        <w:rPr>
          <w:rStyle w:val="FootnoteAnchor"/>
          <w:rtl w:val="true"/>
        </w:rPr>
        <w:footnoteReference w:id="78"/>
      </w:r>
      <w:r>
        <w:rPr>
          <w:rFonts w:ascii="Amiri" w:hAnsi="Amiri" w:eastAsia="Amiri" w:cs="Amiri"/>
          <w:color w:val="111111"/>
          <w:sz w:val="28"/>
          <w:sz w:val="28"/>
          <w:szCs w:val="28"/>
          <w:rtl w:val="true"/>
          <w:lang w:bidi="ar-SA"/>
        </w:rPr>
        <w:t>تأمّل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النفاس عشرة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والنفساء تدع الصلاة أکثره مثل أیّام حیضها ، وهی عشرة أیّام ، وتستظهر بثلاثة أیّام ثم تغتسل ، وقد روی ثمانیة عشر یوما ، وروی ثلاثة وعشرین ، وبأیّ هذه الأحادیث أخذ جاز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087445_388300464"/>
      <w:bookmarkStart w:id="74" w:name="_Toc28"/>
      <w:bookmarkEnd w:id="73"/>
      <w:r>
        <w:rPr>
          <w:rtl w:val="true"/>
        </w:rPr>
        <w:t>أکثر النفاس</w:t>
      </w:r>
      <w:bookmarkEnd w:id="7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یخفی أنّ الظاهر أنّ مذهب المفید رحمه الله أیضا کذلک ، کما أنّ مذهب الشیخ کذلک ، لأنّهما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مدّة النفاس عشرة أیّام ، یعنی لا یزید عن ذلک ، وأمّا أنّه أقل من ذلک یصیر أم لا فهو کلام آخر ، ولا شک أنّ المبتدئة علی هذا یکون نفاسها عشرة ، وأمّا ذات العادة فهی أیضا کذلک ، لأنّ عادتها أمّا العشرة وإمّا دونها ، وعلی التقدیرین یکون الأقصی عشرة ، أمّا علی الأوّل فظاهر ، وأمّا علی الثانی فلأنّ أقصی ما یمکن کونه حیضا عشرة أیضا البتة ، مع أنّ الاستظهار إلی العشرة ، والاستظهار لا یکون إلاّ مع احتمال العشرة للنفاس ، مع أنّه یظهر من الأخبار أنّه مثل الحیض فی الأحوال ، سیّما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یشیر إلی أنّ مراد المفید والشیخ رحمهما الله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المفید صرّح بأنّ الأخبار المعتمدة دعته إلی ما ذکر ، ولا یخفی أنّها لیست إلاّ هذه الأخبار الواردة فی الکتب الأربعة ، والشیخ أیضا استدل بهذه الأخبار للمفید ، والتألیف کان فی حیاة المفید ، حیث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 ولم یتعرض لغایة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ما ذکرنا واضح علی الملاحظ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تصلح لمعارضة الاخبار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نسخة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 هذه الأخبار یتحقق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الثمانیة عشر علی غیر المعتادة ، وإبقاء الأخبار المتضمّنة للرجوع إلی العادة علی ظاهرها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التخییر بین الأعداد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الثمانیة عشر علی ما إذا بقی الدم بصفة دم النفاس إلی تلک الغایة ، وأخبار الرجوع إلی العادة علی ما إذا تغیر عن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متّجه إلاّ أنّه مستلزم لحمل الأخبار المتضمّنة للثمانیة عشر مطلقا علی الفرد النادر ، وهو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لیس ببعید من الصواب ، ولا ینافیه استلزام التخییر بین فعل الصلاة وترکها وثبوت مثله من أیّام الاستظهار ، علی ما سبق تحقیقه ، وقد ورد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فیها ، فتأمّل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یحصل التردد فی المبتدئة خاصّة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وضوح دلالتها فی الشمول للمبتدئة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مضامینها أنّ النفساء تکفّ عن الصلاة مقدار ما کانت تکفّ عنها فی حیضها ، والمبتدئة کانت تکفّ قدرا معینا لا أزید ولا أنقص ، حسب ما مرّ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مقتضی رجوع المعتادة إلی العادة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أقوی ، لأنّ الروایات محمولة علی التقیة البتة ، لأنّ أحدا من العامة لم یذهب إلی الرجوع إلی عادة الحیض ، کما صرّح به الشیخ </w:t>
      </w:r>
      <w:r>
        <w:rPr>
          <w:rStyle w:val="FootnoteAnchor"/>
          <w:rtl w:val="true"/>
        </w:rPr>
        <w:footnoteReference w:id="82"/>
      </w:r>
      <w:r>
        <w:rPr>
          <w:rFonts w:ascii="IRNazanin" w:hAnsi="IRNazanin" w:eastAsia="IRNazanin"/>
          <w:color w:val="111111"/>
          <w:sz w:val="28"/>
          <w:sz w:val="28"/>
          <w:szCs w:val="28"/>
          <w:rtl w:val="true"/>
          <w:lang w:bidi="fa-IR"/>
        </w:rPr>
        <w:t xml:space="preserve">، وذهبوا إلی الثمانیة عشر ، ولأنّ حمل تلک الأخبار علی خصوص المبتدئة فاسد قطعا ، لاستلزام حملها علی خصوص الأفراد النادرة ، وهو غیر جائز قطعا ، مع کثرتها وغایة شهرتها ، وظاهر ما رواه الشیخ عن ابن سنان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أنّ المبتدئة أیضا عددها عدد الحیض ، مع أنّ عبارة الفقه </w:t>
      </w:r>
      <w:bookmarkStart w:id="75" w:name="pg14966_203984"/>
    </w:p>
    <w:p>
      <w:pPr>
        <w:pStyle w:val="BookText"/>
        <w:rPr/>
      </w:pPr>
      <w:bookmarkEnd w:id="75"/>
      <w:r>
        <w:rPr>
          <w:rFonts w:ascii="IRNazanin" w:hAnsi="IRNazanin" w:eastAsia="IRNazanin"/>
          <w:color w:val="111111"/>
          <w:sz w:val="28"/>
          <w:sz w:val="28"/>
          <w:szCs w:val="28"/>
          <w:rtl w:val="true"/>
          <w:lang w:bidi="fa-IR"/>
        </w:rPr>
        <w:t xml:space="preserve">الرضوی تدل علی ذلک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علی النفساء ما یحرم علی الحائض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یدل علی اتحاد حکمهما بعض الروایات ، مثل ما رواه الشیخ فی کتاب الحج فی الصحیح عن صفوان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الحائض تسعی بین الصفا والمروة؟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 لعمری ، لقد أمر رسول الله صلی الله علیه وسلم أسماء بنت عمیس فاستثفرت وطافت بین الصفا والمروة </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الدلالة أنّ أسماء کانت نفساء ، فلو لم یکن حکمهما واحدا لما صحّ الاستناد إلی أمر رسول الله صلی الله علیه وسلم أسماء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لاستحضاره عقله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الاحتضار لیس بمستحضر لعقله ، بل هو قبله ، فلا یناسب کونه مبدأ الاشتقاق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المناقشة لیست فی مکانها ، سیّما بالنسبة إلی سلیمان ، لمسلّمیّة کونه ثقة عندهم ، حتی الشارح رحمه الله ، ولم یتأمّل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التسجیة تجاه القبلة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التسجیة غیر التوجیه ، وظاهرها أنّ التسجیة متأخّرة عنه مترتّبة علیه ، والفقهاء وجمیع المسلمین فی الأعصار والأمصار بناؤهم فی الفتوی والعمل علی الفعل قبل حال الاحتضار ، لا بعد الموت ، ولم یفت أحد به ولا عمل ،</w:t>
      </w:r>
    </w:p>
    <w:p>
      <w:pPr>
        <w:pStyle w:val="Heading3"/>
        <w:numPr>
          <w:ilvl w:val="2"/>
          <w:numId w:val="1"/>
        </w:numPr>
        <w:rPr/>
      </w:pPr>
      <w:bookmarkStart w:id="76" w:name="__RefHeading___Toc2087447_388300464"/>
      <w:bookmarkStart w:id="77" w:name="_Toc29"/>
      <w:bookmarkEnd w:id="76"/>
      <w:r>
        <w:rPr>
          <w:rtl w:val="true"/>
        </w:rPr>
        <w:t>النفساء کالحائض فی الأحکام</w:t>
      </w:r>
      <w:bookmarkEnd w:id="77"/>
    </w:p>
    <w:p>
      <w:pPr>
        <w:pStyle w:val="Heading2"/>
        <w:numPr>
          <w:ilvl w:val="1"/>
          <w:numId w:val="1"/>
        </w:numPr>
        <w:rPr/>
      </w:pPr>
      <w:bookmarkStart w:id="78" w:name="__RefHeading___Toc2087449_388300464"/>
      <w:bookmarkStart w:id="79" w:name="_Toc30"/>
      <w:bookmarkEnd w:id="78"/>
      <w:r>
        <w:rPr>
          <w:rtl w:val="true"/>
        </w:rPr>
        <w:t>أحکام الأموات</w:t>
      </w:r>
      <w:bookmarkEnd w:id="79"/>
    </w:p>
    <w:p>
      <w:pPr>
        <w:pStyle w:val="Heading3"/>
        <w:numPr>
          <w:ilvl w:val="2"/>
          <w:numId w:val="1"/>
        </w:numPr>
        <w:rPr/>
      </w:pPr>
      <w:bookmarkStart w:id="80" w:name="__RefHeading___Toc2087451_388300464"/>
      <w:bookmarkStart w:id="81" w:name="_Toc31"/>
      <w:bookmarkEnd w:id="80"/>
      <w:r>
        <w:rPr>
          <w:rtl w:val="true"/>
        </w:rPr>
        <w:t>الاحتضار</w:t>
      </w:r>
      <w:bookmarkEnd w:id="81"/>
    </w:p>
    <w:p>
      <w:pPr>
        <w:pStyle w:val="Heading3"/>
        <w:numPr>
          <w:ilvl w:val="2"/>
          <w:numId w:val="1"/>
        </w:numPr>
        <w:rPr/>
      </w:pPr>
      <w:bookmarkStart w:id="82" w:name="__RefHeading___Toc2087453_388300464"/>
      <w:bookmarkStart w:id="83" w:name="_Toc32"/>
      <w:bookmarkEnd w:id="82"/>
      <w:r>
        <w:rPr>
          <w:rtl w:val="true"/>
        </w:rPr>
        <w:t>سلیمان بن خالد ثقة عند العلماء</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087455_388300464"/>
      <w:bookmarkStart w:id="85" w:name="_Toc33"/>
      <w:bookmarkEnd w:id="84"/>
      <w:r>
        <w:rPr>
          <w:rtl w:val="true"/>
        </w:rPr>
        <w:t>وجوب توجیه المحتضر إلی القبلة</w:t>
      </w:r>
      <w:bookmarkStart w:id="86" w:name="pg14966_203985"/>
      <w:bookmarkEnd w:id="85"/>
    </w:p>
    <w:p>
      <w:pPr>
        <w:pStyle w:val="BookText"/>
        <w:rPr/>
      </w:pPr>
      <w:bookmarkEnd w:id="86"/>
      <w:r>
        <w:rPr>
          <w:rFonts w:ascii="IRNazanin" w:hAnsi="IRNazanin" w:eastAsia="IRNazanin"/>
          <w:color w:val="111111"/>
          <w:sz w:val="28"/>
          <w:sz w:val="28"/>
          <w:szCs w:val="28"/>
          <w:rtl w:val="true"/>
          <w:lang w:bidi="fa-IR"/>
        </w:rPr>
        <w:t xml:space="preserve">فهو قرینة علی إرادة کونه فی شرف الموت ، ویقربه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لأنّ السیاق واحد ، ولیس المراد بعد تحقّق الغسل قطعا ، وتؤیّده أیضا مرسلة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حکمه بصحة جمیع ما فیه ، وکونه حجة بینه وبین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وسلم علی رجل من ولد عبد المطلب ، وهو فی السوق وقد وجّه لغیر القبلة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إلی القبلة ، فإنّکم إذا فعلتم ذلک أقبلت علیه الملائکة وأقبل الله علیه بوجهه ، فلم یزل کذلک حتی یقبض </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أیضا أنّه استرحام واستجلاب للرحمة ، فوقته حال الاحتضار البتّة ، وإن کان بعده أیضا وقت ، لما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لإطلاق 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ما ذکره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المرسلة التی ذکرناها ربما کان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بسقوطه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الطریقة المستمرة فی الأعصار والأمصار الاکتفاء بالظن ، وبناء أمور المسلمین وأفعالهم علی 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علی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الظن بقیامهم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إذا کان قویّا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وما کانوا یقتصرون علی الیقین ، وبشهادة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کون الثانی حجّة فی المقام لا دلیل علیه عند الشارح وموافقیه ، بل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2087457_388300464"/>
      <w:bookmarkStart w:id="88" w:name="_Toc34"/>
      <w:bookmarkEnd w:id="87"/>
      <w:r>
        <w:rPr>
          <w:rtl w:val="true"/>
        </w:rPr>
        <w:t>التوجیه واجب کفائی</w:t>
      </w:r>
      <w:bookmarkStart w:id="89" w:name="pg14966_203986"/>
      <w:bookmarkEnd w:id="88"/>
    </w:p>
    <w:p>
      <w:pPr>
        <w:pStyle w:val="BookText"/>
        <w:rPr/>
      </w:pPr>
      <w:bookmarkEnd w:id="89"/>
      <w:r>
        <w:rPr>
          <w:rFonts w:ascii="IRNazanin" w:hAnsi="IRNazanin" w:eastAsia="IRNazanin"/>
          <w:color w:val="111111"/>
          <w:sz w:val="28"/>
          <w:sz w:val="28"/>
          <w:szCs w:val="28"/>
          <w:rtl w:val="true"/>
          <w:lang w:bidi="fa-IR"/>
        </w:rPr>
        <w:t>ربما کان مشکلا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یستحبّ ذلک إذا تعسّر علیه الموت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یشترط الأصحاب التعسر ، ولعل وجهه أنّه یظهر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الکون فی المصلّی سبب لجلب الرحمة ، ولهذا ینفعه فی شدّة النزع ، لا أنّه لا یصیر سببا لجلب الرحمة إلاّ فی صورة شدّة النزع ، فإذا خیف وقوع الاشتداد لا یحمل إلیه ولا ینفع حتی یتحقّق الاشتداد ویذوق مرارته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فیه المدّعی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بعید ، فتأمّل ، لأنّ موته علیه السلام إن کان لیلا یقتضی أن یکون خالیا عن السراج إلی أن وقع الموت ، إذ ظاهر أنّ بعد القبض أمر بالسراج ، ولا شکّ فی أنّه ما کان کذلک ، مع أنّ التعبیر بالبیت الذی کان یسکنه فیه ما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من علاماته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الاکتفاء بأمثالها إشکال ، لأنّها مظنّة للموت ، فالأصوب الصبر إلی أن یتیقّن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تتناول من یمکن وقوع الغسل منه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اتفاق الأصحاب وبعض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کون الزوج أحق ، مع أنّ الأولی اجتنابه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لیس المباشرة بنفسه ، بل یجوز التوکیل وکون آخر نائبا عنه ، وفعل النائب فعل المنوب عنه شرعا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أمکن المناقشة فیها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المناقشة غیر واردة علی الشیخ وغیره من القدماء ، کما لا یخفی علی المطلع بطریقتهم ، وأمّا المتأخرون فمن قال بحجّیة الموثق فکذلک ،</w:t>
      </w:r>
    </w:p>
    <w:p>
      <w:pPr>
        <w:pStyle w:val="Heading3"/>
        <w:numPr>
          <w:ilvl w:val="2"/>
          <w:numId w:val="1"/>
        </w:numPr>
        <w:rPr/>
      </w:pPr>
      <w:bookmarkStart w:id="90" w:name="__RefHeading___Toc2087459_388300464"/>
      <w:bookmarkStart w:id="91" w:name="_Toc35"/>
      <w:bookmarkEnd w:id="90"/>
      <w:r>
        <w:rPr>
          <w:rtl w:val="true"/>
        </w:rPr>
        <w:t>استحباب نقل المحتضر إلی مصلاّه</w:t>
      </w:r>
      <w:bookmarkEnd w:id="91"/>
    </w:p>
    <w:p>
      <w:pPr>
        <w:pStyle w:val="Heading3"/>
        <w:numPr>
          <w:ilvl w:val="2"/>
          <w:numId w:val="1"/>
        </w:numPr>
        <w:rPr/>
      </w:pPr>
      <w:bookmarkStart w:id="92" w:name="__RefHeading___Toc2087461_388300464"/>
      <w:bookmarkStart w:id="93" w:name="_Toc36"/>
      <w:bookmarkEnd w:id="92"/>
      <w:r>
        <w:rPr>
          <w:rtl w:val="true"/>
        </w:rPr>
        <w:t>استحباب الإسراج عنده إن مات لیلاً</w:t>
      </w:r>
      <w:bookmarkEnd w:id="93"/>
    </w:p>
    <w:p>
      <w:pPr>
        <w:pStyle w:val="Heading3"/>
        <w:numPr>
          <w:ilvl w:val="2"/>
          <w:numId w:val="1"/>
        </w:numPr>
        <w:rPr/>
      </w:pPr>
      <w:bookmarkStart w:id="94" w:name="__RefHeading___Toc2087463_388300464"/>
      <w:bookmarkStart w:id="95" w:name="_Toc37"/>
      <w:bookmarkEnd w:id="94"/>
      <w:r>
        <w:rPr>
          <w:rtl w:val="true"/>
        </w:rPr>
        <w:t>وجوب الصبر لمن اشتبه موته</w:t>
      </w:r>
      <w:bookmarkEnd w:id="95"/>
    </w:p>
    <w:p>
      <w:pPr>
        <w:pStyle w:val="Heading3"/>
        <w:numPr>
          <w:ilvl w:val="2"/>
          <w:numId w:val="1"/>
        </w:numPr>
        <w:rPr/>
      </w:pPr>
      <w:bookmarkStart w:id="96" w:name="__RefHeading___Toc2087465_388300464"/>
      <w:bookmarkStart w:id="97" w:name="_Toc38"/>
      <w:bookmarkEnd w:id="96"/>
      <w:r>
        <w:rPr>
          <w:rtl w:val="true"/>
        </w:rPr>
        <w:t>التغسیل</w:t>
      </w:r>
      <w:bookmarkEnd w:id="97"/>
    </w:p>
    <w:p>
      <w:pPr>
        <w:pStyle w:val="Heading4"/>
        <w:numPr>
          <w:ilvl w:val="3"/>
          <w:numId w:val="1"/>
        </w:numPr>
        <w:rPr/>
      </w:pPr>
      <w:bookmarkStart w:id="98" w:name="__RefHeading___Toc2087467_388300464"/>
      <w:bookmarkStart w:id="99" w:name="_Toc39"/>
      <w:bookmarkEnd w:id="98"/>
      <w:r>
        <w:rPr>
          <w:rtl w:val="true"/>
        </w:rPr>
        <w:t>الکلام فی الغاسل</w:t>
      </w:r>
      <w:bookmarkEnd w:id="99"/>
    </w:p>
    <w:p>
      <w:pPr>
        <w:pStyle w:val="Heading5"/>
        <w:numPr>
          <w:ilvl w:val="4"/>
          <w:numId w:val="1"/>
        </w:numPr>
        <w:rPr/>
      </w:pPr>
      <w:bookmarkStart w:id="100" w:name="__RefHeading___Toc2087469_388300464"/>
      <w:bookmarkStart w:id="101" w:name="_Toc40"/>
      <w:bookmarkEnd w:id="100"/>
      <w:r>
        <w:rPr>
          <w:rtl w:val="true"/>
        </w:rPr>
        <w:t>أولی الناس بالتغسیل أولاهم بالمیت</w:t>
      </w:r>
      <w:bookmarkEnd w:id="101"/>
    </w:p>
    <w:p>
      <w:pPr>
        <w:pStyle w:val="Heading5"/>
        <w:numPr>
          <w:ilvl w:val="4"/>
          <w:numId w:val="1"/>
        </w:numPr>
        <w:rPr/>
      </w:pPr>
      <w:bookmarkStart w:id="102" w:name="__RefHeading___Toc2087471_388300464"/>
      <w:bookmarkStart w:id="103" w:name="_Toc41"/>
      <w:bookmarkEnd w:id="102"/>
      <w:r>
        <w:rPr>
          <w:rtl w:val="true"/>
        </w:rPr>
        <w:t>فی أنّ الزوج أولی بالمرأة</w:t>
      </w:r>
      <w:bookmarkEnd w:id="10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 w:name="__RefHeading___Toc2087473_388300464"/>
      <w:bookmarkStart w:id="105" w:name="_Toc42"/>
      <w:bookmarkEnd w:id="104"/>
      <w:r>
        <w:rPr>
          <w:rtl w:val="true"/>
        </w:rPr>
        <w:t>الخبر الضعیف المعمول به مقدم علی الصحیح غیر المعمول به</w:t>
      </w:r>
      <w:bookmarkStart w:id="106" w:name="pg14966_203987"/>
      <w:bookmarkEnd w:id="105"/>
    </w:p>
    <w:p>
      <w:pPr>
        <w:pStyle w:val="BookText"/>
        <w:rPr/>
      </w:pPr>
      <w:bookmarkEnd w:id="106"/>
      <w:r>
        <w:rPr>
          <w:rFonts w:ascii="IRNazanin" w:hAnsi="IRNazanin" w:eastAsia="IRNazanin"/>
          <w:color w:val="111111"/>
          <w:sz w:val="28"/>
          <w:sz w:val="28"/>
          <w:szCs w:val="28"/>
          <w:rtl w:val="true"/>
          <w:lang w:bidi="fa-IR"/>
        </w:rPr>
        <w:t xml:space="preserve">لکونه حجّة ومفتی به عند الفقهاء بخلاف الصحیحة ، وأمّا من لم یقل بها فاشتهار الفتوی والعمل جابر ، وعدم الفتوی والعمل بالصحیحة مضعف لها ، سیّما إذا وافقت مذهب العامة ، فمثل هذه الصحیحة لا یقاوم ما ذکر ، سیّما إذا انضمّ بها ما ذکر ، فکم من ضعیف معمول به قدّمه المتقدمون والمتأخرون علی الصحیح غیر المعمول به فی الأحکام الفقیه ، فضلا عن أن یکون من الموثقات والصحیح موافقا للعامة ، ومسلّم ذلک عندهم بلا تأمّل ولا تزلزل من أحد منهم ، وقد أثبتنا حقیّته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مع وضوحها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والشاذّ لیس بحجة نصّا وإجماعا ، فکیف یصیر معارضا للحجة وراجحا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 مع التکافؤ فی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أنّ الأفضل کونه من وراء الثیاب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یظهر منها عدم الأفضلیة إذا کان المیت رجلا ، فلا یمکن التمسک بعدم القول بالفصل ، لأنّه یصیر منشأ للوهن فیها ، إلاّ أن یحمل علی تفاوت مراتب الاستحباب ، ویؤیّده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 فی مطلق التغسیل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الغسل مفتقر إلی النیّة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لا یعتقد شرعیة هذا الغسل وکونه مقرّبا إلی الله تعالی ، أو کونه امتثالا لأمره ، والروایة تدلّ علی طهارة النصاری ، کسائر الروایات الدالة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 w:name="__RefHeading___Toc2087475_388300464"/>
      <w:bookmarkStart w:id="108" w:name="_Toc43"/>
      <w:bookmarkEnd w:id="107"/>
      <w:r>
        <w:rPr>
          <w:rtl w:val="true"/>
        </w:rPr>
        <w:t>هل یجوز أن یغسل الکافر المسلم؟</w:t>
      </w:r>
      <w:bookmarkStart w:id="109" w:name="pg14966_203988"/>
      <w:bookmarkEnd w:id="108"/>
    </w:p>
    <w:p>
      <w:pPr>
        <w:pStyle w:val="BookText"/>
        <w:rPr/>
      </w:pPr>
      <w:bookmarkEnd w:id="109"/>
      <w:r>
        <w:rPr>
          <w:rFonts w:ascii="IRNazanin" w:hAnsi="IRNazanin" w:eastAsia="IRNazanin"/>
          <w:color w:val="111111"/>
          <w:sz w:val="28"/>
          <w:sz w:val="28"/>
          <w:szCs w:val="28"/>
          <w:rtl w:val="true"/>
          <w:lang w:bidi="fa-IR"/>
        </w:rPr>
        <w:t xml:space="preserve">علیها ، ولمّا ثبت کون النجاسة مذهب أهل البیت علیهم السلام ، وطریقة الشیعة ، کما سیجی‌ء </w:t>
      </w:r>
      <w:r>
        <w:rPr>
          <w:rStyle w:val="FootnoteAnchor"/>
          <w:rtl w:val="true"/>
        </w:rPr>
        <w:footnoteReference w:id="91"/>
      </w:r>
      <w:r>
        <w:rPr>
          <w:rFonts w:ascii="IRNazanin" w:hAnsi="IRNazanin" w:eastAsia="IRNazanin"/>
          <w:color w:val="111111"/>
          <w:sz w:val="28"/>
          <w:sz w:val="28"/>
          <w:szCs w:val="28"/>
          <w:rtl w:val="true"/>
          <w:lang w:bidi="fa-IR"/>
        </w:rPr>
        <w:t>، وأنّ الطهارة شعار العامّة تعیّن حمل هذه الروایة علی التقیّة ، کحمل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توقف الغسل علی النیّة فقد مضی الکلام فیه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تسلیم العمل بالروایة فموردها أهل الذمّة ، لا أیّ کافر یکون ، کما هو ظاهر عبارة المصنف ، إلاّ أن یتمسک بعدم القول بالفصل ، أو عدم تعقل فرق عند من یقول بنجاسة الکل ، وأنّ بناء المحقق ومن وافقه علی أنّ الحکم فی صورة لا یباشر الکافر الماء ، وأمّا النیّة فالحال فی الکل واحد ، بأنّ الکافر من قبیل الآلة ، فینوی الآمر ، أو أنّه لا یشترط فی هذا الغسل النیّة ، کما نقل عن السیّد </w:t>
      </w:r>
      <w:r>
        <w:rPr>
          <w:rStyle w:val="FootnoteAnchor"/>
          <w:rtl w:val="true"/>
        </w:rPr>
        <w:footnoteReference w:id="9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لاعتضادهما بالأصل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لهذا الأصل أصلا ، لأنّ العبادة لا تصیر مشروعة ولا صحیحة بمجرّد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المخالف لأهل الحق کافر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مراده أنّ أصول الدین خمسة ، وهم أنکروا الإمامة ، وبعضهم أنکر العدل أیضا ، والمخالف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اصطلاحنا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بالکفر المقابل للإیمان لا الإسلام ، والکافر لا حرمة له إلاّ ما خرج بالدلیل </w:t>
      </w:r>
      <w:r>
        <w:rPr>
          <w:rStyle w:val="FootnoteAnchor"/>
          <w:rtl w:val="true"/>
        </w:rPr>
        <w:footnoteReference w:id="94"/>
      </w:r>
      <w:r>
        <w:rPr>
          <w:rFonts w:ascii="IRNazanin" w:hAnsi="IRNazanin" w:eastAsia="IRNazanin"/>
          <w:color w:val="111111"/>
          <w:sz w:val="28"/>
          <w:sz w:val="28"/>
          <w:szCs w:val="28"/>
          <w:rtl w:val="true"/>
          <w:lang w:bidi="fa-IR"/>
        </w:rPr>
        <w:t>، وحرمة غسل الکافر إجماعی فکذا المخالف</w:t>
      </w:r>
      <w:r>
        <w:rPr>
          <w:rFonts w:eastAsia="IRNazanin" w:cs="IRNazanin"/>
          <w:color w:val="111111"/>
          <w:sz w:val="28"/>
          <w:szCs w:val="28"/>
          <w:rtl w:val="true"/>
          <w:lang w:bidi="fa-IR"/>
        </w:rPr>
        <w:t>.</w:t>
      </w:r>
    </w:p>
    <w:p>
      <w:pPr>
        <w:pStyle w:val="Heading4"/>
        <w:numPr>
          <w:ilvl w:val="3"/>
          <w:numId w:val="1"/>
        </w:numPr>
        <w:rPr/>
      </w:pPr>
      <w:bookmarkStart w:id="110" w:name="__RefHeading___Toc2087477_388300464"/>
      <w:bookmarkStart w:id="111" w:name="_Toc44"/>
      <w:bookmarkEnd w:id="110"/>
      <w:r>
        <w:rPr>
          <w:rtl w:val="true"/>
        </w:rPr>
        <w:t>الکلام فی المغسول</w:t>
      </w:r>
      <w:bookmarkEnd w:id="1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 w:name="__RefHeading___Toc2087479_388300464"/>
      <w:bookmarkStart w:id="113" w:name="_Toc45"/>
      <w:bookmarkEnd w:id="112"/>
      <w:r>
        <w:rPr>
          <w:rtl w:val="true"/>
        </w:rPr>
        <w:t>حکم تغسیل المخالف للحق</w:t>
      </w:r>
      <w:bookmarkStart w:id="114" w:name="pg14966_203989"/>
      <w:bookmarkEnd w:id="113"/>
    </w:p>
    <w:p>
      <w:pPr>
        <w:pStyle w:val="BookText"/>
        <w:rPr/>
      </w:pPr>
      <w:bookmarkEnd w:id="114"/>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علینا تکریم بالنسبة إلی مخالف الحق إلاّ ما خرج بالدلیل ، ولم یخرج التغسیل ، لأنّ الأدلة الدالة علی وجوبه لا یظهر منها عموم بحیث یشمل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واستشکال الشارح رحمه الله من إطلاقات الأخبار الدالة علی تغسیل المیّت ، وأنّ الإطلاق ربما کان منصرفا إلی المؤمنین ، کما ورد فی بعض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غسل مؤمنا</w:t>
      </w:r>
      <w:r>
        <w:rPr>
          <w:rFonts w:eastAsia="IRNazanin" w:cs="IRNazanin"/>
          <w:color w:val="111111"/>
          <w:sz w:val="28"/>
          <w:szCs w:val="28"/>
          <w:rtl w:val="true"/>
          <w:lang w:bidi="fa-IR"/>
        </w:rPr>
        <w:t xml:space="preserve">. » </w:t>
      </w:r>
      <w:r>
        <w:rPr>
          <w:rStyle w:val="FootnoteAnchor"/>
          <w:rtl w:val="true"/>
        </w:rPr>
        <w:footnoteReference w:id="95"/>
      </w:r>
      <w:r>
        <w:rPr>
          <w:rFonts w:ascii="IRNazanin" w:hAnsi="IRNazanin" w:eastAsia="IRNazanin"/>
          <w:color w:val="111111"/>
          <w:sz w:val="28"/>
          <w:sz w:val="28"/>
          <w:szCs w:val="28"/>
          <w:rtl w:val="true"/>
          <w:lang w:bidi="fa-IR"/>
        </w:rPr>
        <w:t>وأنّه فی أکثر الأخبار قرائن علی إرادة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عدم الوجوب ، لعدم الثبوت ، 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بعض الأخبار أنّ التغسیل وأمثاله لحرمة المیت </w:t>
      </w:r>
      <w:r>
        <w:rPr>
          <w:rStyle w:val="FootnoteAnchor"/>
          <w:rtl w:val="true"/>
        </w:rPr>
        <w:footnoteReference w:id="97"/>
      </w:r>
      <w:r>
        <w:rPr>
          <w:rFonts w:ascii="IRNazanin" w:hAnsi="IRNazanin" w:eastAsia="IRNazanin"/>
          <w:color w:val="111111"/>
          <w:sz w:val="28"/>
          <w:sz w:val="28"/>
          <w:szCs w:val="28"/>
          <w:rtl w:val="true"/>
          <w:lang w:bidi="fa-IR"/>
        </w:rPr>
        <w:t>، وأنّه إذا لم تکن له حرمة فلا یجب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یجب الجهاد وإن لم یکن الإمام علیه السلام موجودا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المشهور بل کاد أن یکون إجماعا أنّ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وجوبه الإمام أو من نصبه ، لروایات رووها وإن لم تبلغ درجة الصحة ، لانجبارها بالشهرة ، سیما مثل تلک الشهرة کادت أن تکون شعار الشیعة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إلاّ أنّ الوارد فی الروایات هنا المقتول فی سبیل الله ، أو بین الصفّین ، وغیر ذلک ، ممّا یشبههما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الإطلاقات تنصرف إلی الجهاد ، لأنّه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 w:name="__RefHeading___Toc2087481_388300464"/>
      <w:bookmarkStart w:id="116" w:name="_Toc46"/>
      <w:bookmarkEnd w:id="115"/>
      <w:r>
        <w:rPr>
          <w:rtl w:val="true"/>
        </w:rPr>
        <w:t>سقوط الغسل عن الشهید</w:t>
      </w:r>
      <w:bookmarkStart w:id="117" w:name="pg14966_203990"/>
      <w:bookmarkEnd w:id="116"/>
    </w:p>
    <w:p>
      <w:pPr>
        <w:pStyle w:val="BookText"/>
        <w:rPr/>
      </w:pPr>
      <w:bookmarkEnd w:id="117"/>
      <w:r>
        <w:rPr>
          <w:rFonts w:ascii="IRNazanin" w:hAnsi="IRNazanin" w:eastAsia="IRNazanin"/>
          <w:color w:val="111111"/>
          <w:sz w:val="28"/>
          <w:sz w:val="28"/>
          <w:szCs w:val="28"/>
          <w:rtl w:val="true"/>
          <w:lang w:bidi="fa-IR"/>
        </w:rPr>
        <w:t>الفرد الکامل ، إذ لیس هنا عموم لغوی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یعلم فیه للأصحاب خلافا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یکفی جبرا لضعف السند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مناف لما صرّح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الشارح رحمه الله مداره علی التمسک بالإجماع ، ومع ذلک کثیرا مّا یطعن بنحو لا یمکن معه التمسک به ، ولا شبهة فی أنّه لا بدّ من توجیه کلامه فی مقام الطعن ، فما وجه کلامه یمکن أن یکون مراد الشهید ، وإذا کان التوجیه لا یتمشّی للبعد أو غایة البعد فکلام الشارح أولی بهذا ثم أولی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طعن الشهید رحمه الله یکون فی بعض الإجماعات المنقولة بخبر الواحد ، لعروض شبهة وریبة فی کونه إجماعا ، وأمّا کلام الشارح فمقتضاه عدم إمکان العلم بالإجماع فی أمثال زمان الشیخ ومن تقدم علیه إلی زمان الکلینی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مناقشة فیه أصلا ورأسا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الروایة الثانیة وقع معلّقا علی استواء الخلقة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فی الروایة الأولی وقع معلّقا علی کمال أربعة أشهر ، فیظهر أنّه استواء الخلقة ، وأخبارهم یفسّر بعضها بعضا ، ویدل علیه أیضا ما قد ورد فی الأخبار من أنّ الرجل له أن یدعو أن یجعل الله ما فی بطن الحبلی ذکرا</w:t>
      </w:r>
    </w:p>
    <w:p>
      <w:pPr>
        <w:pStyle w:val="Heading5"/>
        <w:numPr>
          <w:ilvl w:val="4"/>
          <w:numId w:val="1"/>
        </w:numPr>
        <w:rPr/>
      </w:pPr>
      <w:bookmarkStart w:id="118" w:name="__RefHeading___Toc2087483_388300464"/>
      <w:bookmarkStart w:id="119" w:name="_Toc47"/>
      <w:bookmarkEnd w:id="118"/>
      <w:r>
        <w:rPr>
          <w:rtl w:val="true"/>
        </w:rPr>
        <w:t>بیان المراد من الشهید</w:t>
      </w:r>
      <w:bookmarkEnd w:id="11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 w:name="__RefHeading___Toc2087485_388300464"/>
      <w:bookmarkStart w:id="121" w:name="_Toc48"/>
      <w:bookmarkEnd w:id="120"/>
      <w:r>
        <w:rPr>
          <w:rtl w:val="true"/>
        </w:rPr>
        <w:t>إشارة إلی حجّیة الإجماع المنقول</w:t>
      </w:r>
      <w:r>
        <w:rPr>
          <w:rtl w:val="true"/>
        </w:rPr>
        <w:t>.</w:t>
      </w:r>
      <w:bookmarkStart w:id="122" w:name="pg14966_203991"/>
      <w:bookmarkEnd w:id="121"/>
    </w:p>
    <w:p>
      <w:pPr>
        <w:pStyle w:val="BookText"/>
        <w:rPr/>
      </w:pPr>
      <w:bookmarkEnd w:id="122"/>
      <w:r>
        <w:rPr>
          <w:rFonts w:ascii="IRNazanin" w:hAnsi="IRNazanin" w:eastAsia="IRNazanin"/>
          <w:color w:val="111111"/>
          <w:sz w:val="28"/>
          <w:sz w:val="28"/>
          <w:szCs w:val="28"/>
          <w:rtl w:val="true"/>
          <w:lang w:bidi="fa-IR"/>
        </w:rPr>
        <w:t xml:space="preserve">سویّا ما بینها وبین أربعة أشهر </w:t>
      </w:r>
      <w:r>
        <w:rPr>
          <w:rStyle w:val="FootnoteAnchor"/>
          <w:rtl w:val="true"/>
        </w:rPr>
        <w:footnoteReference w:id="99"/>
      </w:r>
      <w:r>
        <w:rPr>
          <w:rFonts w:ascii="IRNazanin" w:hAnsi="IRNazanin" w:eastAsia="IRNazanin"/>
          <w:color w:val="111111"/>
          <w:sz w:val="28"/>
          <w:sz w:val="28"/>
          <w:szCs w:val="28"/>
          <w:rtl w:val="true"/>
          <w:lang w:bidi="fa-IR"/>
        </w:rPr>
        <w:t xml:space="preserve">، والظاهر أنّ الأطبّاء أیضا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بکمال أربعة أشهر یتم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أنّه یتردد النطفة فی الرحم أربعین یوما ، ثم تصیر علقة أربعین یوما ، ثم مضغة أربعین ، ثم بعد ذلک یبعث الله ملکین خلاّقین ینفخان فیه الروح والحیاة ویشقّان له السمع والبصر وجمیع الجوارح </w:t>
      </w:r>
      <w:r>
        <w:rPr>
          <w:rStyle w:val="FootnoteAnchor"/>
          <w:rtl w:val="true"/>
        </w:rPr>
        <w:footnoteReference w:id="10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 أهل الخبرة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مراد المصنف أنّه لا یکون له أربعة أشهر کملا ، وعبّر عنه بوقت عدم ولوج الروح تنبیها علی أنّ الولوج یتحقّق بکمال أربعة أشهر لا أقلّ منه ، وقد أشرنا إلی الأخبار الدالة علی ذلک ، وأنّ الحق ما قاله المصنّف ، لدلالة الأخبار المنجبرة بعمل الأصحاب ، التی لا شبهة فی حجّیتها ،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نبّه علی أنّ الغسل للمیت ولأجل الموت ، ولا یتحقق إلاّ بعد ولوج الروح ، فلا حاجة إلی الرجوع إلی أهل الخبرة ، ولا تأمّل فی الدلیل ، ولا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یدفن مجرّدا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استدلاله إنّما هو لأجل عدم وجوب الغسل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 هذا الحکم بأنّ اللازم منه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تحصیل الطهارة الشرعیة ، بل إزالة النجاسة الخارجیة الأجنبیة ، لئلاّ ینجس ماء الغسل بملاقاته ، کما ذکره فی المعتبر ، بل لعل الظاهر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أنّه لا یجب تقدیم الإزالة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Heading5"/>
        <w:numPr>
          <w:ilvl w:val="4"/>
          <w:numId w:val="1"/>
        </w:numPr>
        <w:rPr/>
      </w:pPr>
      <w:bookmarkStart w:id="123" w:name="__RefHeading___Toc2087487_388300464"/>
      <w:bookmarkStart w:id="124" w:name="_Toc49"/>
      <w:bookmarkEnd w:id="123"/>
      <w:r>
        <w:rPr>
          <w:rtl w:val="true"/>
        </w:rPr>
        <w:t>حکم تغسیل السقط</w:t>
      </w:r>
      <w:bookmarkEnd w:id="124"/>
    </w:p>
    <w:p>
      <w:pPr>
        <w:pStyle w:val="Heading4"/>
        <w:numPr>
          <w:ilvl w:val="3"/>
          <w:numId w:val="1"/>
        </w:numPr>
        <w:rPr/>
      </w:pPr>
      <w:bookmarkStart w:id="125" w:name="__RefHeading___Toc2087489_388300464"/>
      <w:bookmarkStart w:id="126" w:name="_Toc50"/>
      <w:bookmarkEnd w:id="125"/>
      <w:r>
        <w:rPr>
          <w:rtl w:val="true"/>
        </w:rPr>
        <w:t>الکلام فی الغسل</w:t>
      </w:r>
      <w:bookmarkEnd w:id="126"/>
    </w:p>
    <w:p>
      <w:pPr>
        <w:pStyle w:val="Heading3"/>
        <w:numPr>
          <w:ilvl w:val="2"/>
          <w:numId w:val="1"/>
        </w:numPr>
        <w:rPr/>
      </w:pPr>
      <w:bookmarkStart w:id="127" w:name="__RefHeading___Toc2087491_388300464"/>
      <w:bookmarkStart w:id="128" w:name="_Toc51"/>
      <w:bookmarkEnd w:id="127"/>
      <w:r>
        <w:rPr>
          <w:rtl w:val="true"/>
        </w:rPr>
        <w:t>واجبات الغسل</w:t>
      </w:r>
      <w:bookmarkEnd w:id="12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2087493_388300464"/>
      <w:bookmarkStart w:id="130" w:name="_Toc52"/>
      <w:bookmarkEnd w:id="129"/>
      <w:r>
        <w:rPr>
          <w:rtl w:val="true"/>
        </w:rPr>
        <w:t>إزالة النجاسة عن بدن المیت</w:t>
      </w:r>
      <w:bookmarkStart w:id="131" w:name="pg14966_203992"/>
      <w:bookmarkEnd w:id="130"/>
    </w:p>
    <w:p>
      <w:pPr>
        <w:pStyle w:val="BookText"/>
        <w:rPr/>
      </w:pPr>
      <w:bookmarkEnd w:id="131"/>
      <w:r>
        <w:rPr>
          <w:rFonts w:ascii="IRNazanin" w:hAnsi="IRNazanin" w:eastAsia="IRNazanin"/>
          <w:color w:val="111111"/>
          <w:sz w:val="28"/>
          <w:sz w:val="28"/>
          <w:szCs w:val="28"/>
          <w:rtl w:val="true"/>
          <w:lang w:bidi="fa-IR"/>
        </w:rPr>
        <w:t xml:space="preserve">لا یخفی أنّ الإشکال المنفی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منتف ، لیس إلاّ أنّ اللازم منه طهارة المحل الواحد من نجاسة دون نجاسة ، لا أنّه لم یقدّم الإزالة علی الشروع فی الغسل ، إذا لا إشکال فیه بعد ورود النص ، ولم یستشکل أحد لا فی المقام ولا فی غسل الجنابة والحیض والنفاس والاستحاضة ، إذ غسل الفرج فی الکل مقدم علی الشروع بحسب الروایة ، بل والفقهاء فی کتبهم نقلوا وأمروا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أولی ، مقتضاه أنّه لا یجب تقدیم الإزالة علی الشروع ، بل یکفی طهارة کلّ جزء قبل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وتغسل رأسه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إنّما ورد بغسل الرأس ثلاث مرّات ، ولم یقولوا بوجوبه ، وأیضا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بماء وکافور وشی‌ء من 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الثانیة أیضا ضعیفة الدلالة ، والعمدة فهم الفقهاء ، وورد ذلک فی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ذلک کثیرة جدّا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الإثبات علی طریقة الشارح رحمه الله ممّا لا یمکن أصلا </w:t>
      </w:r>
      <w:r>
        <w:rPr>
          <w:rStyle w:val="FootnoteAnchor"/>
          <w:rtl w:val="true"/>
        </w:rPr>
        <w:footnoteReference w:id="101"/>
      </w:r>
      <w:r>
        <w:rPr>
          <w:rFonts w:ascii="IRNazanin" w:hAnsi="IRNazanin" w:eastAsia="IRNazanin"/>
          <w:color w:val="111111"/>
          <w:sz w:val="28"/>
          <w:sz w:val="28"/>
          <w:szCs w:val="28"/>
          <w:rtl w:val="true"/>
          <w:lang w:bidi="fa-IR"/>
        </w:rPr>
        <w:t>، وقد نبّهنا فی الحاشیة السابقة إلی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بصحیحة سلیمان بن خالد أنّه سأل الصادق علیه السلام عن غسل المیت کیف یغسل؟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بماء وسدر ، واغسل جسده کله ، واغسله أخری بماء وکافور ، ثم اغسله أخری 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یکون علیه حین یغسله؟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 أن یکون علیه قمیص فتغسل من تحته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2087495_388300464"/>
      <w:bookmarkStart w:id="133" w:name="_Toc53"/>
      <w:bookmarkEnd w:id="132"/>
      <w:r>
        <w:rPr>
          <w:rtl w:val="true"/>
        </w:rPr>
        <w:t>تغسیله بماء السدر</w:t>
      </w:r>
      <w:bookmarkStart w:id="134" w:name="pg14966_203993"/>
      <w:bookmarkEnd w:id="133"/>
    </w:p>
    <w:p>
      <w:pPr>
        <w:pStyle w:val="BookText"/>
        <w:rPr/>
      </w:pPr>
      <w:bookmarkEnd w:id="134"/>
      <w:r>
        <w:rPr>
          <w:rFonts w:ascii="IRNazanin" w:hAnsi="IRNazanin" w:eastAsia="IRNazanin"/>
          <w:color w:val="111111"/>
          <w:sz w:val="28"/>
          <w:sz w:val="28"/>
          <w:szCs w:val="28"/>
          <w:rtl w:val="true"/>
          <w:lang w:bidi="fa-IR"/>
        </w:rPr>
        <w:t xml:space="preserve">وبأخبار أخر غیر صحیحة ، مثل ما رواه الکلینی وغیره عن سهل ، عن ابن محبوب ، عن ابن رئاب ، عن الحلبی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المیت ثلاث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بالسدر ومرّة بالکافور ، ومرّة أخری بالماء القراح ، ثم یکفّن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الحدیث ، وما ماثل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والضعف منجبر بالشهرة ، وأنّ الأخبار الکثیرة متوافقة فی ذکر الکل علی السواء ، وأنّ کثیرا منها یذکر الثلاثة فی مقام البیان ، وبعضها یذکر فیه وجوب الغسل علی الإطلاق ، والغسل عبادة توقیفیّة ،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المیت ، وأمثال هذه العبارة ، فلا بدّ من بیان هذه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غسلا واحدا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الدلالة لا تخلو عن الظهور ، إذ لو لا المعارض لم یفهم إلاّ وحدة الغسل ویؤیّدها قوله علیه السلام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اغتسل أنت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والسند کالصحیح ، وفی حسنة أبی بصیر عن أحدهما علیهماالسلام فی الجنب إذا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إلاّ غسلة واحدة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لیست بضعیفة ، بل الظاهر أنّها حسنة ، ویؤیّدها أخبار کثیرة منقولة فی علّة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 فیه فی المعتبر ، وهو فی محله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2087497_388300464"/>
      <w:bookmarkStart w:id="136" w:name="_Toc54"/>
      <w:bookmarkEnd w:id="135"/>
      <w:r>
        <w:rPr>
          <w:rtl w:val="true"/>
        </w:rPr>
        <w:t>النیّة</w:t>
      </w:r>
      <w:bookmarkStart w:id="137" w:name="pg14966_203994"/>
      <w:bookmarkEnd w:id="136"/>
    </w:p>
    <w:p>
      <w:pPr>
        <w:pStyle w:val="BookText"/>
        <w:rPr/>
      </w:pPr>
      <w:bookmarkEnd w:id="137"/>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وجوب النیّة فی الأغسال والأعمال إن کان هو الإجماع أمکن التردد فیه ، وإن کان الآیة والأخبار فالفرق بین هذا الغسل وغیره تحکّم بالنظر إلی الدلیل ، ومرّ عن الشارع أن الدلیل هو الآیة والأخبار </w:t>
      </w:r>
      <w:r>
        <w:rPr>
          <w:rStyle w:val="FootnoteAnchor"/>
          <w:rtl w:val="true"/>
        </w:rPr>
        <w:footnoteReference w:id="106"/>
      </w:r>
      <w:r>
        <w:rPr>
          <w:rFonts w:ascii="IRNazanin" w:hAnsi="IRNazanin" w:eastAsia="IRNazanin"/>
          <w:color w:val="111111"/>
          <w:sz w:val="28"/>
          <w:sz w:val="28"/>
          <w:szCs w:val="28"/>
          <w:rtl w:val="true"/>
          <w:lang w:bidi="fa-IR"/>
        </w:rPr>
        <w:t xml:space="preserve">، فلاحظ ، ومرّ التحقیق فی مبحث الوضوء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الحقیقة فعل واحد مرکّب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کذلک ، إذ یلزم علی هذا أن یسقط عند تعذر السدر أو الکافور أو القراح ، ولیس کذلک قطعا ، ولیس مثل التمکن من بعض الأفعال فی الغسل الواحد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الوضوء وغیره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الطعن فیها من حیث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مناف لما سبق منه من الطعن فی الدلالة ، مع أنّ الطعن من حیث السند مناف لاستدلاله بها ، فکیف یکون أولی؟ مع أنّه مرّ ما یشیر إلی عدم غبار فی السند ، ونهایة قوته ، وأنّ الدلالة لها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الجواب بأنّ الأخبار الواردة فی کیفیة الغسل وصحیحة یعقوب وغیرها خاصّ ، والخاصّ مقدم یخرج منها ما نحن فیه ، سیّما مع ضعف ما فی شمول المرسلة لتغسیل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یظهر من الأخبار أنّ غسل المیت مثل غسل الجنابة ، بل وربما یظهر أنّه غسل جنابة فی الأصل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Heading4"/>
        <w:numPr>
          <w:ilvl w:val="3"/>
          <w:numId w:val="1"/>
        </w:numPr>
        <w:rPr/>
      </w:pPr>
      <w:bookmarkStart w:id="138" w:name="__RefHeading___Toc2087499_388300464"/>
      <w:bookmarkStart w:id="139" w:name="_Toc55"/>
      <w:bookmarkEnd w:id="138"/>
      <w:r>
        <w:rPr>
          <w:rtl w:val="true"/>
        </w:rPr>
        <w:t>هل یجب تعدد النیّة بتعدد الغسلات</w:t>
      </w:r>
      <w:bookmarkEnd w:id="1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2087501_388300464"/>
      <w:bookmarkStart w:id="141" w:name="_Toc56"/>
      <w:bookmarkEnd w:id="140"/>
      <w:r>
        <w:rPr>
          <w:rtl w:val="true"/>
        </w:rPr>
        <w:t>حکم توضئة المیت</w:t>
      </w:r>
      <w:bookmarkStart w:id="142" w:name="pg14966_203995"/>
      <w:bookmarkEnd w:id="141"/>
    </w:p>
    <w:p>
      <w:pPr>
        <w:pStyle w:val="BookText"/>
        <w:rPr/>
      </w:pPr>
      <w:bookmarkEnd w:id="142"/>
      <w:r>
        <w:rPr>
          <w:rFonts w:ascii="IRNazanin" w:hAnsi="IRNazanin" w:eastAsia="IRNazanin"/>
          <w:color w:val="111111"/>
          <w:sz w:val="28"/>
          <w:sz w:val="28"/>
          <w:szCs w:val="28"/>
          <w:rtl w:val="true"/>
          <w:lang w:bidi="fa-IR"/>
        </w:rPr>
        <w:t>ویمکن الحمل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عدم الکافور</w:t>
      </w:r>
      <w:r>
        <w:rPr>
          <w:rFonts w:eastAsia="IRNazanin" w:cs="IRNazanin"/>
          <w:color w:val="111111"/>
          <w:sz w:val="28"/>
          <w:szCs w:val="28"/>
          <w:rtl w:val="true"/>
          <w:lang w:bidi="fa-IR"/>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جدّی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أکثر القدماء أنّ الکافور یجب أن یکون من جلاله یعنی الخام الذی لم یطبخ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الشیخ أبی علی فی شرح نهایة والده حیث أوجب أن یکون الغسل والحنوط من الجلال أنّ الکافور صمغ یقع من شجرة ، فکلما کان جلالا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الکبار من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له إلی النار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الخادم ، وما یقع من صغاره فی التراب فیؤخذ ویطرح فی قدر ماء ویغلی حتی یتمیز من التراب ، فذلک لا یجزئ فی الحنوط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منشأ حکمهم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مطبوخه یطبخ بلبن الخنزیر لیشتدّ بیاضه ، أو بالطبخ ربما یحصل العلم العادی بالنجاسة من حیث إنّ الطابخ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الأخبار إجزاء المطبوخ أیضا ، ووجهه عدم حصول الیقین بالنجاسة ، والأصل فی الأشیاء الطهارة حتی یحصل العلم بعدمها ، ولهذا ما فصّل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حکم باستحباب الخام ، ولعل وجهه الخروج عن الخلاف والخلوص عن شبهة النجاسة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وأظهرهما العدم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إنّما هو لأجل الضرورة ، والضرورة تتقدّر بقدرها ، والعمومات تشمل ما نحن فیه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الدفن ، فلعل عدم الإعادة حینئذ فیه إجماعیّ ، ومع ذلک موجب للنبش الحرام ومع ذلک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2087503_388300464"/>
      <w:bookmarkStart w:id="144" w:name="_Toc57"/>
      <w:bookmarkEnd w:id="143"/>
      <w:r>
        <w:rPr>
          <w:rtl w:val="true"/>
        </w:rPr>
        <w:t>لو تعذّر السدر والکافور</w:t>
      </w:r>
      <w:bookmarkStart w:id="145" w:name="pg14966_203996"/>
      <w:bookmarkEnd w:id="144"/>
    </w:p>
    <w:p>
      <w:pPr>
        <w:pStyle w:val="BookText"/>
        <w:rPr/>
      </w:pPr>
      <w:bookmarkEnd w:id="145"/>
      <w:r>
        <w:rPr>
          <w:rFonts w:ascii="IRNazanin" w:hAnsi="IRNazanin" w:eastAsia="IRNazanin"/>
          <w:color w:val="111111"/>
          <w:sz w:val="28"/>
          <w:sz w:val="28"/>
          <w:szCs w:val="28"/>
          <w:rtl w:val="true"/>
          <w:lang w:bidi="fa-IR"/>
        </w:rPr>
        <w:t xml:space="preserve">لم یثبت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الشمول له ، لأنّه واجب قبل الدفن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عدم أحدهما دون الآخر لم یسقط غسل الآخر ، لأنّه واجب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أن یکون جزء الواجب فلقول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إجماعیّ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فقد الماء دون الخلیط لا ینفع ، ولو وجد بقدر أحدهما فظاهر الدلیل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بقدر أحد الأغسال فالظاهر تقدیم القراح ، مع احتمال الجمع بحیث لا یخرج الماء عن الإطلاق ، والله عالم بأمثال هذه الأحکام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انجبار سندها بعملهم کاف ، سیّما مع تأیّدها بالعمومات الدالة علی أنّ التیمم بمنزلة المائیة ، وما دلّ علیه الصحیحة مطلب آخر ، والقیاس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لم یجز الانفکاک بین هذا المذهب المذکور وما تضمّنته الصحیحة یتعین حمل الصحیحة علی لزوم التیمم للمیت أیضا ورفع الید 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استحبّ ذلک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رواه عبد الله بن سنان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یفتق القمیص وینزع من تحته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087505_388300464"/>
      <w:bookmarkStart w:id="147" w:name="_Toc58"/>
      <w:bookmarkEnd w:id="146"/>
      <w:r>
        <w:rPr>
          <w:rtl w:val="true"/>
        </w:rPr>
        <w:t>تیمّم المیت لو خیف تناثر جلده</w:t>
      </w:r>
      <w:bookmarkEnd w:id="147"/>
    </w:p>
    <w:p>
      <w:pPr>
        <w:pStyle w:val="Heading3"/>
        <w:numPr>
          <w:ilvl w:val="2"/>
          <w:numId w:val="1"/>
        </w:numPr>
        <w:rPr/>
      </w:pPr>
      <w:bookmarkStart w:id="148" w:name="__RefHeading___Toc2087507_388300464"/>
      <w:bookmarkStart w:id="149" w:name="_Toc59"/>
      <w:bookmarkEnd w:id="148"/>
      <w:r>
        <w:rPr>
          <w:rtl w:val="true"/>
        </w:rPr>
        <w:t>سنن غسل المیت</w:t>
      </w:r>
      <w:bookmarkEnd w:id="1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2087509_388300464"/>
      <w:bookmarkStart w:id="151" w:name="_Toc60"/>
      <w:bookmarkEnd w:id="150"/>
      <w:r>
        <w:rPr>
          <w:rtl w:val="true"/>
        </w:rPr>
        <w:t>وضع المیت علی شیء مرتفع</w:t>
      </w:r>
      <w:bookmarkStart w:id="152" w:name="pg14966_203997"/>
      <w:bookmarkEnd w:id="151"/>
    </w:p>
    <w:p>
      <w:pPr>
        <w:pStyle w:val="BookText"/>
        <w:rPr/>
      </w:pPr>
      <w:bookmarkEnd w:id="15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علی المیت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والاحتیاج إلی الفتق بناء علی ضیق الجیب ، فإنّ الظاهر أنّ المتعارف فی تلک الأزمنة کان الجیب علی العاتق الأیمن أو الأیسر بمقدار ما یدخل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تغمز له مفصلا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الغمز غیر التلیین ، فإنّ الأوّل فیه عنف لا یناسب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أنّ تغسیل الرأس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یظهر من صحیحة یعقوب بن یقطین </w:t>
      </w:r>
      <w:r>
        <w:rPr>
          <w:rStyle w:val="FootnoteAnchor"/>
          <w:rtl w:val="true"/>
        </w:rPr>
        <w:footnoteReference w:id="116"/>
      </w:r>
      <w:r>
        <w:rPr>
          <w:rFonts w:ascii="IRNazanin" w:hAnsi="IRNazanin" w:eastAsia="IRNazanin"/>
          <w:color w:val="111111"/>
          <w:sz w:val="28"/>
          <w:sz w:val="28"/>
          <w:szCs w:val="28"/>
          <w:rtl w:val="true"/>
          <w:lang w:bidi="fa-IR"/>
        </w:rPr>
        <w:t xml:space="preserve">، وصحیحة معاویة بن عمار </w:t>
      </w:r>
      <w:r>
        <w:rPr>
          <w:rStyle w:val="FootnoteAnchor"/>
          <w:rtl w:val="true"/>
        </w:rPr>
        <w:footnoteReference w:id="117"/>
      </w:r>
      <w:r>
        <w:rPr>
          <w:rFonts w:ascii="IRNazanin" w:hAnsi="IRNazanin" w:eastAsia="IRNazanin"/>
          <w:color w:val="111111"/>
          <w:sz w:val="28"/>
          <w:sz w:val="28"/>
          <w:szCs w:val="28"/>
          <w:rtl w:val="true"/>
          <w:lang w:bidi="fa-IR"/>
        </w:rPr>
        <w:t>ما یدلّ علی ما ذکره المحقق وغیره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رغوة السدر غیر ماء السدر ، والمستفاد من الأخبار وکلام الفقهاء کون التغسیل بماء السدر لا الرغوة ، فالحدیثان الأوّلان لا دخل لهما فی المقام ، وروایة یونس لا بدّ من تأویلها بما یوافق الأخبار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لتنزیلها علی التقیة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الحمل علی التقیّة ، سیّما بعد ملاحظة طریقة العامة والخاصة ، والإجماع الذی ادّعاه الشیخ ، والمنع فی بعض الأخبار ، فلا معنی للأمر حینئذ ، إذ لا أقلّ من الرجحان ، مع أنّه فیها ما یشیر إلی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تغسیله مکروها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إشکال ظاهر ، لأنه عبادة إلاّ علی رأی السیّد </w:t>
      </w:r>
      <w:r>
        <w:rPr>
          <w:rStyle w:val="FootnoteAnchor"/>
          <w:rtl w:val="true"/>
        </w:rPr>
        <w:footnoteReference w:id="118"/>
      </w:r>
      <w:r>
        <w:rPr>
          <w:rFonts w:ascii="IRNazanin" w:hAnsi="IRNazanin" w:eastAsia="IRNazanin"/>
          <w:color w:val="111111"/>
          <w:sz w:val="28"/>
          <w:sz w:val="28"/>
          <w:szCs w:val="28"/>
          <w:rtl w:val="true"/>
          <w:lang w:bidi="fa-IR"/>
        </w:rPr>
        <w:t>، إلاّ أن یکون عند</w:t>
      </w:r>
    </w:p>
    <w:p>
      <w:pPr>
        <w:pStyle w:val="Heading4"/>
        <w:numPr>
          <w:ilvl w:val="3"/>
          <w:numId w:val="1"/>
        </w:numPr>
        <w:rPr/>
      </w:pPr>
      <w:bookmarkStart w:id="153" w:name="__RefHeading___Toc2087511_388300464"/>
      <w:bookmarkStart w:id="154" w:name="_Toc61"/>
      <w:bookmarkEnd w:id="153"/>
      <w:r>
        <w:rPr>
          <w:rtl w:val="true"/>
        </w:rPr>
        <w:t>فتق قمیصه ونزعه</w:t>
      </w:r>
      <w:bookmarkEnd w:id="154"/>
    </w:p>
    <w:p>
      <w:pPr>
        <w:pStyle w:val="Heading4"/>
        <w:numPr>
          <w:ilvl w:val="3"/>
          <w:numId w:val="1"/>
        </w:numPr>
        <w:rPr/>
      </w:pPr>
      <w:bookmarkStart w:id="155" w:name="__RefHeading___Toc2087513_388300464"/>
      <w:bookmarkStart w:id="156" w:name="_Toc62"/>
      <w:bookmarkEnd w:id="155"/>
      <w:r>
        <w:rPr>
          <w:rtl w:val="true"/>
        </w:rPr>
        <w:t>تلیین الأصابع والمفاصل</w:t>
      </w:r>
      <w:bookmarkEnd w:id="156"/>
    </w:p>
    <w:p>
      <w:pPr>
        <w:pStyle w:val="Heading4"/>
        <w:numPr>
          <w:ilvl w:val="3"/>
          <w:numId w:val="1"/>
        </w:numPr>
        <w:rPr/>
      </w:pPr>
      <w:bookmarkStart w:id="157" w:name="__RefHeading___Toc2087515_388300464"/>
      <w:bookmarkStart w:id="158" w:name="_Toc63"/>
      <w:bookmarkEnd w:id="157"/>
      <w:r>
        <w:rPr>
          <w:rtl w:val="true"/>
        </w:rPr>
        <w:t>غسل رأسه برغوة السدر</w:t>
      </w:r>
      <w:bookmarkEnd w:id="158"/>
    </w:p>
    <w:p>
      <w:pPr>
        <w:pStyle w:val="Heading4"/>
        <w:numPr>
          <w:ilvl w:val="3"/>
          <w:numId w:val="1"/>
        </w:numPr>
        <w:rPr/>
      </w:pPr>
      <w:bookmarkStart w:id="159" w:name="__RefHeading___Toc2087517_388300464"/>
      <w:bookmarkStart w:id="160" w:name="_Toc64"/>
      <w:bookmarkEnd w:id="159"/>
      <w:r>
        <w:rPr>
          <w:rtl w:val="true"/>
        </w:rPr>
        <w:t>کراهة إقعاد المیت</w:t>
      </w:r>
      <w:bookmarkEnd w:id="1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2087519_388300464"/>
      <w:bookmarkStart w:id="162" w:name="_Toc65"/>
      <w:bookmarkEnd w:id="161"/>
      <w:r>
        <w:rPr>
          <w:rtl w:val="true"/>
        </w:rPr>
        <w:t>کراهة تغسیل المخالف</w:t>
      </w:r>
      <w:bookmarkStart w:id="163" w:name="pg14966_203998"/>
      <w:bookmarkEnd w:id="162"/>
    </w:p>
    <w:p>
      <w:pPr>
        <w:pStyle w:val="BookText"/>
        <w:rPr/>
      </w:pPr>
      <w:bookmarkEnd w:id="163"/>
      <w:r>
        <w:rPr>
          <w:rFonts w:ascii="IRNazanin" w:hAnsi="IRNazanin" w:eastAsia="IRNazanin"/>
          <w:color w:val="111111"/>
          <w:sz w:val="28"/>
          <w:sz w:val="28"/>
          <w:szCs w:val="28"/>
          <w:rtl w:val="true"/>
          <w:lang w:bidi="fa-IR"/>
        </w:rPr>
        <w:t>المصنف خصوص هذا التغسیل لا یکون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وکفّن أبو جعفر علیه السلام فی ثلاثة أثواب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أحد أثواب أبی جعفر علیه السلام کان قمیصا ، ولعلّ أحد أثواب الرسول صلی الله علیه وسلم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ذلک ، بملاحظة الأخبار الدالة علی استحباب کون إحدی القطع ممّا یصلی المیت فیه </w:t>
      </w:r>
      <w:r>
        <w:rPr>
          <w:rStyle w:val="FootnoteAnchor"/>
          <w:rtl w:val="true"/>
        </w:rPr>
        <w:footnoteReference w:id="119"/>
      </w:r>
      <w:r>
        <w:rPr>
          <w:rFonts w:ascii="IRNazanin" w:hAnsi="IRNazanin" w:eastAsia="IRNazanin"/>
          <w:color w:val="111111"/>
          <w:sz w:val="28"/>
          <w:sz w:val="28"/>
          <w:szCs w:val="28"/>
          <w:rtl w:val="true"/>
          <w:lang w:bidi="fa-IR"/>
        </w:rPr>
        <w:t>، أو غیره أیضا ، علی ما قیل ، وکذا استحباب کونه القمیص ، علی ما یذکره الشارح رحمه الله بل وتعیین کونه قمیصا ، کما یظهر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موثقة سماعة هذه وأمثالها تنادی بأنّ ذکر ثلاثة أثواب إنّما هو لإظهار عدد القطع خاصة ، أمّا أنّ کل قطعة منها أیّ شی‌ء فلیس المقام مقام بیانه ، ولیس ملحوظ نظرهم أصلا ، بل ملحوظ نظرهم عدم التعدی عن الثلاثة ، کما لا یخفی علی المتأمّل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یذکره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 إذ لیس فی ما دلّ علی ثلاثة أثواب إطلاق یمکن الاستدلال به ، بل الظاهر عدم ذلک ، کما عرفت ، وعلی تقدیر تسلیم الإطلاق فیمکن المناقشة أیضا بأنّ ما دل علی اعتبار القمیص مستفیضة جدّا ، فبملاحظة ذلک لا یبقی وثوق بالإطلاق ، بل ربما یترجّح فی النظر التقیید من حیث ضعف دلالة مثل هذا الإطلاق ، وعدم المقاومة لما دلّ علی اعتبار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محمد بن سهل ففی المقاومة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ودلالة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مناقشة ، إذ صدرها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الثیاب التی یصلّی فیها الرجل ویصوم ، أیکفّن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ذلک الکفن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Heading3"/>
        <w:numPr>
          <w:ilvl w:val="2"/>
          <w:numId w:val="1"/>
        </w:numPr>
        <w:rPr/>
      </w:pPr>
      <w:bookmarkStart w:id="164" w:name="__RefHeading___Toc2087521_388300464"/>
      <w:bookmarkStart w:id="165" w:name="_Toc66"/>
      <w:bookmarkEnd w:id="164"/>
      <w:r>
        <w:rPr>
          <w:rtl w:val="true"/>
        </w:rPr>
        <w:t>التکفین</w:t>
      </w:r>
      <w:bookmarkEnd w:id="1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2087523_388300464"/>
      <w:bookmarkStart w:id="167" w:name="_Toc67"/>
      <w:bookmarkEnd w:id="166"/>
      <w:r>
        <w:rPr>
          <w:rtl w:val="true"/>
        </w:rPr>
        <w:t xml:space="preserve">الواجب من الکفن ثلاث قطع </w:t>
      </w:r>
      <w:r>
        <w:rPr>
          <w:rtl w:val="true"/>
        </w:rPr>
        <w:t xml:space="preserve">: </w:t>
      </w:r>
      <w:r>
        <w:rPr>
          <w:rtl w:val="true"/>
        </w:rPr>
        <w:t>الإزار والقمیص والمئزر</w:t>
      </w:r>
      <w:bookmarkStart w:id="168" w:name="pg14966_203999"/>
      <w:bookmarkEnd w:id="167"/>
    </w:p>
    <w:p>
      <w:pPr>
        <w:pStyle w:val="BookText"/>
        <w:rPr/>
      </w:pPr>
      <w:bookmarkEnd w:id="168"/>
      <w:r>
        <w:rPr>
          <w:rFonts w:ascii="IRNazanin" w:hAnsi="IRNazanin" w:eastAsia="IRNazanin"/>
          <w:color w:val="111111"/>
          <w:sz w:val="28"/>
          <w:sz w:val="28"/>
          <w:szCs w:val="28"/>
          <w:rtl w:val="true"/>
          <w:lang w:bidi="fa-IR"/>
        </w:rPr>
        <w:t xml:space="preserve">قمیصا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فی ثلاثة أثواب؟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والقمیص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لعل الألف واللام فی القمیص للعهد ، یعنی القمیص المذکور ، ویکون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یدرج فیها کما یدرج غیره مع وجود ذلک القمیص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ویقرّبه أنّ القمیص المعتبر فی الکفن المعمول المتعارف لیس بقمیص حقیقة عرفا ، فتأمّل فیه ، إذ الإنصاف أنّه لا یخلو عن ظهور ، لکن یبعد عن طریقة الشارح رحمه الله العمل بمثلها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یظهر من أخبار کثیرة مثل ما ورد فی بیان کیفیة وضع الجریدة </w:t>
      </w:r>
      <w:r>
        <w:rPr>
          <w:rStyle w:val="FootnoteAnchor"/>
          <w:rtl w:val="true"/>
        </w:rPr>
        <w:footnoteReference w:id="120"/>
      </w:r>
      <w:r>
        <w:rPr>
          <w:rFonts w:ascii="IRNazanin" w:hAnsi="IRNazanin" w:eastAsia="IRNazanin"/>
          <w:color w:val="111111"/>
          <w:sz w:val="28"/>
          <w:sz w:val="28"/>
          <w:szCs w:val="28"/>
          <w:rtl w:val="true"/>
          <w:lang w:bidi="fa-IR"/>
        </w:rPr>
        <w:t>، وروایة معاویة التی سنذکرها ، وغیرها من الأخبار تعین فعل القمیص ، مضافا إلی فهم الأصحاب ، نظیر ما مرّ فی وجوب التغسیل ثلاثة أغسال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نسخ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وثوب تامّ لا أقلّ منه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هذا هو الأصح ، بل الأوّل وهم ، یشهد علی ذلک حزازة العبارة ، مضافا إلی أنّ الکلینی رحمه الله نقلها علی ما فی هذه النسخة </w:t>
      </w:r>
      <w:r>
        <w:rPr>
          <w:rStyle w:val="FootnoteAnchor"/>
          <w:rtl w:val="true"/>
        </w:rPr>
        <w:footnoteReference w:id="121"/>
      </w:r>
      <w:r>
        <w:rPr>
          <w:rFonts w:ascii="IRNazanin" w:hAnsi="IRNazanin" w:eastAsia="IRNazanin"/>
          <w:color w:val="111111"/>
          <w:sz w:val="28"/>
          <w:sz w:val="28"/>
          <w:szCs w:val="28"/>
          <w:rtl w:val="true"/>
          <w:lang w:bidi="fa-IR"/>
        </w:rPr>
        <w:t>، ولا شکّ أنه أضبط ، سیّما إذا وافقه بعض نسخ التهذیب وعاضدة الحزازة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ظهر أنّ القطع الثلاثة لا یعتبر فی کل قطعة منها أن تکون شاملة لجمیع الجسد ، بل الظاهر منها خلاف ذلک ، فما یظهر من عبارة الشارح رحمه الله من کون الثلاث کل واحدة منها شاملة له محلّ نظر ، وسیجی‌ء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شیخنا البهائی فی الحبل المتین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2087525_388300464"/>
      <w:bookmarkStart w:id="170" w:name="_Toc68"/>
      <w:bookmarkEnd w:id="169"/>
      <w:r>
        <w:rPr>
          <w:rtl w:val="true"/>
        </w:rPr>
        <w:t>إشارة إلی أن الکلینی أضبط من الشیخ</w:t>
      </w:r>
      <w:bookmarkStart w:id="171" w:name="pg14966_204000"/>
      <w:bookmarkEnd w:id="170"/>
    </w:p>
    <w:p>
      <w:pPr>
        <w:pStyle w:val="BookText"/>
        <w:rPr/>
      </w:pPr>
      <w:bookmarkEnd w:id="171"/>
      <w:r>
        <w:rPr>
          <w:rFonts w:ascii="IRNazanin" w:hAnsi="IRNazanin" w:eastAsia="IRNazanin"/>
          <w:color w:val="111111"/>
          <w:sz w:val="28"/>
          <w:sz w:val="28"/>
          <w:szCs w:val="28"/>
          <w:rtl w:val="true"/>
          <w:lang w:bidi="fa-IR"/>
        </w:rPr>
        <w:t xml:space="preserve">وفی بعض النسخ المعتبرة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ثوب تامّ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الواو </w:t>
      </w:r>
      <w:r>
        <w:rPr>
          <w:rStyle w:val="FootnoteAnchor"/>
          <w:rtl w:val="true"/>
        </w:rPr>
        <w:footnoteReference w:id="122"/>
      </w:r>
      <w:r>
        <w:rPr>
          <w:rFonts w:ascii="IRNazanin" w:hAnsi="IRNazanin" w:eastAsia="IRNazanin"/>
          <w:color w:val="111111"/>
          <w:sz w:val="28"/>
          <w:sz w:val="28"/>
          <w:szCs w:val="28"/>
          <w:rtl w:val="true"/>
          <w:lang w:bidi="fa-IR"/>
        </w:rPr>
        <w:t xml:space="preserve">، وقال الفاضل مولانا عبد الله التستری فی آخر حاشیته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نسختنا </w:t>
      </w:r>
      <w:r>
        <w:rPr>
          <w:rStyle w:val="FootnoteAnchor"/>
          <w:rtl w:val="true"/>
        </w:rPr>
        <w:footnoteReference w:id="123"/>
      </w:r>
      <w:r>
        <w:rPr>
          <w:rFonts w:ascii="IRNazanin" w:hAnsi="IRNazanin" w:eastAsia="IRNazanin"/>
          <w:color w:val="111111"/>
          <w:sz w:val="28"/>
          <w:sz w:val="28"/>
          <w:szCs w:val="28"/>
          <w:rtl w:val="true"/>
          <w:lang w:bidi="fa-IR"/>
        </w:rPr>
        <w:t>، انتهی الکلامان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النسخة الصحیحة المعتبرة عندی أیضا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فوقه بخط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 رأیت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أخری صحیحة أیضا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الوافی أیضا أنّ فی بعض النسخ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الصحیح </w:t>
      </w:r>
      <w:r>
        <w:rPr>
          <w:rStyle w:val="FootnoteAnchor"/>
          <w:rtl w:val="true"/>
        </w:rPr>
        <w:footnoteReference w:id="124"/>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الکفن المفروض ثلاثة فی صورة ، وثوب تامّ فی صورة ، وهما صورتا الاختیار والاضطرار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w:t>
      </w:r>
      <w:r>
        <w:rPr>
          <w:rStyle w:val="FootnoteAnchor"/>
          <w:rtl w:val="true"/>
        </w:rPr>
        <w:footnoteReference w:id="127"/>
      </w:r>
      <w:r>
        <w:rPr>
          <w:rFonts w:ascii="IRNazanin" w:hAnsi="IRNazanin" w:eastAsia="IRNazanin"/>
          <w:color w:val="111111"/>
          <w:sz w:val="28"/>
          <w:sz w:val="28"/>
          <w:szCs w:val="28"/>
          <w:rtl w:val="true"/>
          <w:lang w:bidi="fa-IR"/>
        </w:rPr>
        <w:t xml:space="preserve">ذکرنا ظهر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کونها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الأظهر ، کما یشیر إلیه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منه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یمکن أن یکون مستند سلاّر الإطلاقات الواردة فی الکفن ، مع مناقشة فی دلالة هذه الأخبار المستفیضة علی وجوب الثلاثة بأنّه 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فی الثلاثة لا أزید ، لا أنّه لا یجوز أقل منها ، هذا بالقیاس إلی أقواها دلالة ، وهی روایة سماعة ، مع أنّها موثقة مضمرة ، والشارح لا یعمل بمثلها ، ولا یقول بالانجبار بالشهرة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2087527_388300464"/>
      <w:bookmarkStart w:id="173" w:name="_Toc69"/>
      <w:bookmarkEnd w:id="172"/>
      <w:r>
        <w:rPr>
          <w:rtl w:val="true"/>
        </w:rPr>
        <w:t>دلیل من اقتصر فی التکفین علی ثوب واحد</w:t>
      </w:r>
      <w:bookmarkStart w:id="174" w:name="pg14966_204001"/>
      <w:bookmarkEnd w:id="173"/>
    </w:p>
    <w:p>
      <w:pPr>
        <w:pStyle w:val="BookText"/>
        <w:rPr/>
      </w:pPr>
      <w:bookmarkEnd w:id="174"/>
      <w:r>
        <w:rPr>
          <w:rFonts w:ascii="IRNazanin" w:hAnsi="IRNazanin" w:eastAsia="IRNazanin"/>
          <w:color w:val="111111"/>
          <w:sz w:val="28"/>
          <w:sz w:val="28"/>
          <w:szCs w:val="28"/>
          <w:rtl w:val="true"/>
          <w:lang w:bidi="fa-IR"/>
        </w:rPr>
        <w:t xml:space="preserve">والأظهر حجّیة مثلها ، وظهور دلالتها ودلالة بعض الأخبار الأخر أیضا ، مثل ما رواه الکلینی فی الکافی عن العدّة ، عن سهل ، عن البزنطی ، عن عبد الله بن سنان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یکفن فی ثلاثة سوی العمامة ، والخرقة یشدّ بها ورکیه کی لا یبدو منه شی‌ء ، والخرقة والعمامة لا بدّ منهما ولیستا من الکفن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الشهرة العظیمة التی تکاد تکون إجماعا ، وأنّه مع نهایة کثرة الأخبار الواردة فی عدد الأثواب وکیفیة التکفین وغیر ذلک لم ترد روایة تشیر إلی أقلّ من الثلاثة ، مع عموم البلوی وشدّة الحاجة ، وأنّه ربما یکفن من یکون وارثه صغیرا أو غائبا أو مجنونا ، مع أنّه لم یرد أخذ الرخصة من الکبیر والاسترضاء ، مع أنّ الکفن یخرج من الأصل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الروایات التخییر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ملحوظ نظرهم علیهم السلام فی هذه الأخبار بیان عدد القطع ، وأنّه لا یزاد علی الثلاث ، أمّا أنّ کلّ قطعة ما هی وبأیّ نحو فلا ، ألا تری إلی روایة سماعة أنّه علیه السلام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وکفّن أبو جعفر علیه السلام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تأمّل فی أنّ أحد الأثواب کان قمیصا له علیه السلام ، ولعل کفن رسول الله صلی الله علیه وسلم کان کذلک ، وکذا أکفان سائر الأئمّة علیهم السلام الواردة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یخفی أنّ أکفانهم کانت کذلک ، وأنّهم ما کانوا یکفنون بغیر قمیص ، بملاحظة الأخبار الدالة علی استحباب کون إحدی القطع القمیص الذی کان یصلّی فیه ، والأخبار المستفیضة الدالة علی کون إحدی القطع هی القمیص خاصة ، بل الأخبار الدالة علی ذلک کثیرة ، مثل ما ورد فی بیان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2087529_388300464"/>
      <w:bookmarkStart w:id="176" w:name="_Toc70"/>
      <w:bookmarkEnd w:id="175"/>
      <w:r>
        <w:rPr>
          <w:rtl w:val="true"/>
        </w:rPr>
        <w:t>بحث حول الروایات الدالة علی التخییر بین الأثواب الثلاثة وبین القمیص والثوبین</w:t>
      </w:r>
      <w:bookmarkEnd w:id="176"/>
    </w:p>
    <w:p>
      <w:pPr>
        <w:pStyle w:val="BookText"/>
        <w:rPr/>
      </w:pPr>
      <w:r>
        <w:rPr>
          <w:rFonts w:ascii="IRNazanin" w:hAnsi="IRNazanin" w:eastAsia="IRNazanin"/>
          <w:color w:val="111111"/>
          <w:sz w:val="28"/>
          <w:sz w:val="28"/>
          <w:szCs w:val="28"/>
          <w:rtl w:val="true"/>
          <w:lang w:bidi="fa-IR"/>
        </w:rPr>
        <w:t>کیفیة التکفین ووضع الجریدة وغیرهما ، مضافا إلی أخبار سیذکر بعضها الشارح ، ونذکر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ما ذکرناه ما سنذکر من أنّ أحد الأثواب هو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ورد فیها ثلاثة أثواب مجملة بالنسبة إلی خصوصیة کون القطعة أیّ شی‌ء هی ، ولا شبهة فی أنّ القمیص أیضا ثوب ، کما أنّ غیره ثوب من دون تفاوت بینهما أصلا فی مفهوم الثوبیة لو لم نقل کون القمیص أظهر فی کونه ثوبا من قطعة الکرباس التی یحکم الشارح بأنّها الثوب خاصة ، فلا معنی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تدلّ علی التخییر بین الثلاثة أثواب ، وبین القمیص والثوبین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علی الاستحباب ، کما تدل علیه روایة محمد بن سهل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رحمه الله لا یقول بحجّیة مثل روایة محمد بن سهل ، فکیف یرجّحها علی الروایات الصحیحة والحسنة </w:t>
      </w:r>
      <w:r>
        <w:rPr>
          <w:rStyle w:val="FootnoteAnchor"/>
          <w:rtl w:val="true"/>
        </w:rPr>
        <w:footnoteReference w:id="129"/>
      </w:r>
      <w:r>
        <w:rPr>
          <w:rFonts w:ascii="IRNazanin" w:hAnsi="IRNazanin" w:eastAsia="IRNazanin"/>
          <w:color w:val="111111"/>
          <w:sz w:val="28"/>
          <w:sz w:val="28"/>
          <w:szCs w:val="28"/>
          <w:rtl w:val="true"/>
          <w:lang w:bidi="fa-IR"/>
        </w:rPr>
        <w:t xml:space="preserve">، سیّما مع انجبارهما بأخبار أخر کثیرة معتبرة ، وبالشهرة العظیمة بل کاد أن یکون إجماعا ، لخروج معلومی النسب ، واتفاق غیرهما علی التعیین ، وکون المدار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الأعصار علی ذلک علی الظاهر </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لروایة محمد بن سهل صدرا یظهر منه أنّ القمیص الذی یقول المعصوم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القمیص الذی سأله أنّه کان یصلّی فیه ، والمراد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فی ثلاثة ، أنّه یدرج کما یدرج غیره من الأموات </w:t>
      </w:r>
      <w:bookmarkStart w:id="177" w:name="pg14966_204003"/>
    </w:p>
    <w:p>
      <w:pPr>
        <w:pStyle w:val="BookText"/>
        <w:rPr/>
      </w:pPr>
      <w:bookmarkEnd w:id="177"/>
      <w:r>
        <w:rPr>
          <w:rFonts w:ascii="IRNazanin" w:hAnsi="IRNazanin" w:eastAsia="IRNazanin"/>
          <w:color w:val="111111"/>
          <w:sz w:val="28"/>
          <w:sz w:val="28"/>
          <w:szCs w:val="28"/>
          <w:rtl w:val="true"/>
          <w:lang w:bidi="fa-IR"/>
        </w:rPr>
        <w:t>من دون أن یکفن فی القمیص المسؤول عنه ، ویقرّبه أنّ القمیص المعتبر فی الکفن لیس بقمیص حقیقة ، بل له شباهة بالقمیص ببعض الوجوه ، وأنّ المیت یدرج فی ذلک القمیص أیضا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وحدتها وضعف سندها ، وضعف دلالتها ، ومخالفتها لما هو المفتی به عند المعظم والمعمول به فی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ترجّح علی الأخبار الکثیرة الصحیحة ، والحسنة ، والمعتبرة ، المعمول بها مع الشهرة فتوی وعملا ، مع وضوح الدلالة ، فإنّ دلالتها علی لزوم کون إحدی القطع هو القمیص لیست بأقصر من دلالتها علی لزوم کون القطع ثلاثا ، والشارح رحمه الله ردّ مذهب سلار بتلک الدلالة ، 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بحسب الظاهر أن یکون طول اللفافة أزید من قامة المیت بقدر ، وعرضه یحیط بقطر بدنه ویزید بقدر یتحقق مع اللفّ والدرج ، والمتعارف فی الرداء لا یزید علی القطر إلاّ قدرا بحسب الطول ، أمّا العرض فلا یزید عمّا بین العاتق وموضع الحزام ، ولو کان فشی‌ء قلیل ، فتأمّل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والثوبین الشاملین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32"/>
      </w:r>
      <w:r>
        <w:rPr>
          <w:rFonts w:ascii="IRNazanin" w:hAnsi="IRNazanin" w:eastAsia="IRNazanin"/>
          <w:color w:val="111111"/>
          <w:sz w:val="28"/>
          <w:sz w:val="28"/>
          <w:szCs w:val="28"/>
          <w:rtl w:val="true"/>
          <w:lang w:bidi="fa-IR"/>
        </w:rPr>
        <w:t>یخفی ما فیه ، لأنّ حکایة الشمول للجسد فی کل منهما غیر مستفادة ، لأنّ الثوب غیر مأخوذ فیه الشمول ، بل هو أعمّ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فی مسألة جواز الصلاة فی النجس إذا کان ممّا لا تتمّ الصلاة به ، وفی غیرها ما یظهر من الشارح </w:t>
      </w:r>
      <w:r>
        <w:rPr>
          <w:rStyle w:val="FootnoteAnchor"/>
          <w:rtl w:val="true"/>
        </w:rPr>
        <w:footnoteReference w:id="133"/>
      </w:r>
      <w:r>
        <w:rPr>
          <w:rFonts w:ascii="IRNazanin" w:hAnsi="IRNazanin" w:eastAsia="IRNazanin"/>
          <w:color w:val="111111"/>
          <w:sz w:val="28"/>
          <w:sz w:val="28"/>
          <w:szCs w:val="28"/>
          <w:rtl w:val="true"/>
          <w:lang w:bidi="fa-IR"/>
        </w:rPr>
        <w:t>ومن غیره أیضا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حسنة الحلبی التی هی مستند ما ذکره من اعتبار القمیص</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2087531_388300464"/>
      <w:bookmarkStart w:id="179" w:name="_Toc71"/>
      <w:bookmarkEnd w:id="178"/>
      <w:r>
        <w:rPr>
          <w:rtl w:val="true"/>
        </w:rPr>
        <w:t>بحث فی تعیین المراد من الثوبین</w:t>
      </w:r>
      <w:bookmarkEnd w:id="179"/>
    </w:p>
    <w:p>
      <w:pPr>
        <w:pStyle w:val="BookText"/>
        <w:rPr/>
      </w:pPr>
      <w:r>
        <w:rPr>
          <w:rFonts w:ascii="IRNazanin" w:hAnsi="IRNazanin" w:eastAsia="IRNazanin"/>
          <w:color w:val="111111"/>
          <w:sz w:val="28"/>
          <w:sz w:val="28"/>
          <w:szCs w:val="28"/>
          <w:rtl w:val="true"/>
          <w:lang w:bidi="fa-IR"/>
        </w:rPr>
        <w:t xml:space="preserve">والثوبین صریحة فی أنّ أحد الثوبین کان رداء له یصلّی فیه یوم الجمعة ، وغیر خفی علی المتأمّل أنّ الرداء المعروف المتعارف لیس بشامل لجمیع الجسد بعنوان اللفّ والإدراج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والجسد بادن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بسنده عن أبی الحسن الأوّل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کفنت أبی فی ثوبین شطویین کان یحرم فیهما ، وفی قمیص من قمصه ، وفی عمامة کانت لعلی بن الحسین علیه السلام ، وفی برد اشتریته بأربعین دینارا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ولا بدّ من حمل ثوبی إحرامه علی عدم شمول کل واحد لجمیع الجسد ، وإلاّ لزم القمیص مع ثلاث لفائف ، وهو خلاف ما یظهر من الأخبار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یقرّبه کون أحد ثوبی الإحرام المئزر ، فتأمّل ، سیّما وأن یکون یلفّ فیه فیکون لفافة أخری ، بل هو خلاف ما یظهر من الأخبار ، مثل روایة معاویة بن وهب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یکفن المیّت فی خمسة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وإزار ، وخرقة یعصّب بها وسطه ، وبرد یلفّ فیه ، وعمامة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فظهر منها أنّ الإزار لا یلفّ فیه المیت ، ویظهر منها إطلاق الثوب علی الخرقة أیضا ، فکیف یکون الثوب من شأنه الشمول لجمیع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القمیص أحد الأثواب قطعا ، ولیس بشامل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ظهر فساد ما لو ادّعی ظهور الشمول فی الحسنة المذکورة </w:t>
      </w:r>
      <w:bookmarkStart w:id="180" w:name="pg14966_204005"/>
    </w:p>
    <w:p>
      <w:pPr>
        <w:pStyle w:val="BookText"/>
        <w:rPr/>
      </w:pPr>
      <w:bookmarkEnd w:id="180"/>
      <w:r>
        <w:rPr>
          <w:rFonts w:ascii="IRNazanin" w:hAnsi="IRNazanin" w:eastAsia="IRNazanin"/>
          <w:color w:val="111111"/>
          <w:sz w:val="28"/>
          <w:sz w:val="28"/>
          <w:szCs w:val="28"/>
          <w:rtl w:val="true"/>
          <w:lang w:bidi="fa-IR"/>
        </w:rPr>
        <w:t xml:space="preserve">من قوله علیه السلام فی آخر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یعدّ ما یلفّ به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معلوم أنّ المراد اللفّ فی الجملة ، مضافا إلی ظهور ذلک فی نفسه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صریحة فی عدم الشمول مع وجود القمیص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الإزار طولا حتی تغطّی الصدر والرجلین</w:t>
      </w:r>
      <w:r>
        <w:rPr>
          <w:rFonts w:eastAsia="IRNazanin" w:cs="IRNazanin"/>
          <w:color w:val="111111"/>
          <w:sz w:val="28"/>
          <w:szCs w:val="28"/>
          <w:rtl w:val="true"/>
          <w:lang w:bidi="fa-IR"/>
        </w:rPr>
        <w:t xml:space="preserve">. » </w:t>
      </w:r>
      <w:r>
        <w:rPr>
          <w:rStyle w:val="FootnoteAnchor"/>
          <w:rtl w:val="true"/>
        </w:rPr>
        <w:footnoteReference w:id="137"/>
      </w:r>
      <w:r>
        <w:rPr>
          <w:rFonts w:ascii="IRNazanin" w:hAnsi="IRNazanin" w:eastAsia="IRNazanin"/>
          <w:color w:val="111111"/>
          <w:sz w:val="28"/>
          <w:sz w:val="28"/>
          <w:szCs w:val="28"/>
          <w:rtl w:val="true"/>
          <w:lang w:bidi="fa-IR"/>
        </w:rPr>
        <w:t>، وهذه نصّ فی إطلاق الإزار علی المئزر من جهة عدم تغطیة الجمیع ، ومن جهة قید الطول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مرسلة یونس أیضا ظاهرة فی عدم الشمول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ابسط الحبرة بسطا ، ثمّ ابسط علیها الإزار ، ثمّ ابسط القمیص علیه ، ویرد بعد القمیص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یظهر بملاحظتها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سنذکر فی الحاشیة الآتیة فی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حسنة حمران فمن 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وبرد یجمع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فیه تجوّزا وخروجا عن الظاهر قطعا ، لأنّ البرد من الکفن جزما ، فالخروج عن الظاهر إمّا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مرجع الضمیر ، أو لفظ الکفن ، فتعین أحدهما بحیث یکون أظهر من الظهور السابق ومن جمیع ما ذکرناه سابقا فمحلّ تأمّل ، مع أنّها متضمّنة لوضع الکافور فی المنخر وجمیع المفاصل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والثوبین الشاملین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قید الشمول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2087533_388300464"/>
      <w:bookmarkStart w:id="182" w:name="_Toc72"/>
      <w:bookmarkEnd w:id="181"/>
      <w:r>
        <w:rPr>
          <w:rtl w:val="true"/>
        </w:rPr>
        <w:t>فی معنی الإزار وأنّه غیر اللفافة</w:t>
      </w:r>
      <w:bookmarkEnd w:id="182"/>
    </w:p>
    <w:p>
      <w:pPr>
        <w:pStyle w:val="BookText"/>
        <w:rPr/>
      </w:pPr>
      <w:r>
        <w:rPr>
          <w:rFonts w:ascii="IRNazanin" w:hAnsi="IRNazanin" w:eastAsia="IRNazanin"/>
          <w:color w:val="111111"/>
          <w:sz w:val="28"/>
          <w:sz w:val="28"/>
          <w:szCs w:val="28"/>
          <w:rtl w:val="true"/>
          <w:lang w:bidi="fa-IR"/>
        </w:rPr>
        <w:t xml:space="preserve">غیر مأخوذ فی الثوب قطعا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سیجی‌ء من الشارح الاعتراف به فی مسألة نجاسة ثوب المصلّی ، والعفو عمّا لا یتمّ الصلاة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والشیخ ، عن معاویة بن وهب ،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یکفن المیت فی خمسة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 وإزار ، وخرقة یعصب بها وسطه ، وبرد یلفّ فیه المیت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وهذه فی غایة الظهور فی أنّ الإزار غیر اللفافة ، وأنّ الثوب یطلق علی الخرقة ، ویدل علی ذلک أخبار کثیرة ، ومعلوم أنّ المراد من الإزار هنا هو الذی یسمیه الفقهاء بالمئزر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الصحاح أنّ موضع الإزار من الحقوین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المئزر الإزار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الملحف واللحاف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کالمئزر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وعرّفوا فی اللغة الرداء بأنّها ملحفة معروفة </w:t>
      </w:r>
      <w:r>
        <w:rPr>
          <w:rStyle w:val="FootnoteAnchor"/>
          <w:rtl w:val="true"/>
        </w:rPr>
        <w:footnoteReference w:id="144"/>
      </w:r>
      <w:r>
        <w:rPr>
          <w:rFonts w:ascii="IRNazanin" w:hAnsi="IRNazanin" w:eastAsia="IRNazanin"/>
          <w:color w:val="111111"/>
          <w:sz w:val="28"/>
          <w:sz w:val="28"/>
          <w:szCs w:val="28"/>
          <w:rtl w:val="true"/>
          <w:lang w:bidi="fa-IR"/>
        </w:rPr>
        <w:t xml:space="preserve">، 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أو معقده </w:t>
      </w:r>
      <w:r>
        <w:rPr>
          <w:rStyle w:val="FootnoteAnchor"/>
          <w:rtl w:val="true"/>
        </w:rPr>
        <w:footnoteReference w:id="145"/>
      </w:r>
      <w:r>
        <w:rPr>
          <w:rFonts w:ascii="IRNazanin" w:hAnsi="IRNazanin" w:eastAsia="IRNazanin"/>
          <w:color w:val="111111"/>
          <w:sz w:val="28"/>
          <w:sz w:val="28"/>
          <w:szCs w:val="28"/>
          <w:rtl w:val="true"/>
          <w:lang w:bidi="fa-IR"/>
        </w:rPr>
        <w:t xml:space="preserve">، وفی باب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معقد الإزار </w:t>
      </w:r>
      <w:r>
        <w:rPr>
          <w:rStyle w:val="FootnoteAnchor"/>
          <w:rtl w:val="true"/>
        </w:rPr>
        <w:footnoteReference w:id="146"/>
      </w:r>
      <w:r>
        <w:rPr>
          <w:rFonts w:ascii="IRNazanin" w:hAnsi="IRNazanin" w:eastAsia="IRNazanin"/>
          <w:color w:val="111111"/>
          <w:sz w:val="28"/>
          <w:sz w:val="28"/>
          <w:szCs w:val="28"/>
          <w:rtl w:val="true"/>
          <w:lang w:bidi="fa-IR"/>
        </w:rPr>
        <w:t xml:space="preserve">، وفی الکنز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کوچک </w:t>
      </w:r>
      <w:r>
        <w:rPr>
          <w:rStyle w:val="FootnoteAnchor"/>
          <w:rtl w:val="true"/>
        </w:rPr>
        <w:footnoteReference w:id="147"/>
      </w:r>
      <w:r>
        <w:rPr>
          <w:rFonts w:ascii="IRNazanin" w:hAnsi="IRNazanin" w:eastAsia="IRNazanin"/>
          <w:color w:val="111111"/>
          <w:sz w:val="28"/>
          <w:sz w:val="28"/>
          <w:szCs w:val="28"/>
          <w:rtl w:val="true"/>
          <w:lang w:bidi="fa-IR"/>
        </w:rPr>
        <w:t xml:space="preserve">، والظاهر أنّ غیرهم من اللغویین صرّحوا </w:t>
      </w:r>
      <w:r>
        <w:rPr>
          <w:rStyle w:val="FootnoteAnchor"/>
          <w:rtl w:val="true"/>
        </w:rPr>
        <w:footnoteReference w:id="148"/>
      </w:r>
      <w:r>
        <w:rPr>
          <w:rFonts w:ascii="IRNazanin" w:hAnsi="IRNazanin" w:eastAsia="IRNazanin"/>
          <w:color w:val="111111"/>
          <w:sz w:val="28"/>
          <w:sz w:val="28"/>
          <w:szCs w:val="28"/>
          <w:rtl w:val="true"/>
          <w:lang w:bidi="fa-IR"/>
        </w:rPr>
        <w:t>، ولیس عندی من کتبهم حتی أذکر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وصرّح شیخنا البهائی </w:t>
      </w:r>
      <w:r>
        <w:rPr>
          <w:rStyle w:val="FootnoteAnchor"/>
          <w:rtl w:val="true"/>
        </w:rPr>
        <w:footnoteReference w:id="149"/>
      </w:r>
      <w:r>
        <w:rPr>
          <w:rFonts w:ascii="IRNazanin" w:hAnsi="IRNazanin" w:eastAsia="IRNazanin"/>
          <w:color w:val="111111"/>
          <w:sz w:val="28"/>
          <w:sz w:val="28"/>
          <w:szCs w:val="28"/>
          <w:rtl w:val="true"/>
          <w:lang w:bidi="fa-IR"/>
        </w:rPr>
        <w:t>وغیره أنّ الإزار هو المئزر ، ویظهر من الفقهاء أیضا فی مبحث الاتزار فوق القمیص من مبحث الصلاة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متواترة فی ذلک ، بل لا یظهر من الأخبار إلاّ کون الإزار هو المئزر ، مثل ما ورد فی الإزار فوق القمیص </w:t>
      </w:r>
      <w:r>
        <w:rPr>
          <w:rStyle w:val="FootnoteAnchor"/>
          <w:rtl w:val="true"/>
        </w:rPr>
        <w:footnoteReference w:id="150"/>
      </w:r>
      <w:r>
        <w:rPr>
          <w:rFonts w:ascii="IRNazanin" w:hAnsi="IRNazanin" w:eastAsia="IRNazanin"/>
          <w:color w:val="111111"/>
          <w:sz w:val="28"/>
          <w:sz w:val="28"/>
          <w:szCs w:val="28"/>
          <w:rtl w:val="true"/>
          <w:lang w:bidi="fa-IR"/>
        </w:rPr>
        <w:t xml:space="preserve">والإمامة بغیر رداء </w:t>
      </w:r>
      <w:r>
        <w:rPr>
          <w:rStyle w:val="FootnoteAnchor"/>
          <w:rtl w:val="true"/>
        </w:rPr>
        <w:footnoteReference w:id="151"/>
      </w:r>
      <w:r>
        <w:rPr>
          <w:rFonts w:ascii="IRNazanin" w:hAnsi="IRNazanin" w:eastAsia="IRNazanin"/>
          <w:color w:val="111111"/>
          <w:sz w:val="28"/>
          <w:sz w:val="28"/>
          <w:szCs w:val="28"/>
          <w:rtl w:val="true"/>
          <w:lang w:bidi="fa-IR"/>
        </w:rPr>
        <w:t xml:space="preserve">، والصلاة مکشوف الکتفین </w:t>
      </w:r>
      <w:r>
        <w:rPr>
          <w:rStyle w:val="FootnoteAnchor"/>
          <w:rtl w:val="true"/>
        </w:rPr>
        <w:footnoteReference w:id="152"/>
      </w:r>
      <w:r>
        <w:rPr>
          <w:rFonts w:ascii="IRNazanin" w:hAnsi="IRNazanin" w:eastAsia="IRNazanin"/>
          <w:color w:val="111111"/>
          <w:sz w:val="28"/>
          <w:sz w:val="28"/>
          <w:szCs w:val="28"/>
          <w:rtl w:val="true"/>
          <w:lang w:bidi="fa-IR"/>
        </w:rPr>
        <w:t xml:space="preserve">، وما ورد فی دخول الحمام ، وقراءة القرآن فیه </w:t>
      </w:r>
      <w:r>
        <w:rPr>
          <w:rStyle w:val="FootnoteAnchor"/>
          <w:rtl w:val="true"/>
        </w:rPr>
        <w:footnoteReference w:id="153"/>
      </w:r>
      <w:r>
        <w:rPr>
          <w:rFonts w:ascii="IRNazanin" w:hAnsi="IRNazanin" w:eastAsia="IRNazanin"/>
          <w:color w:val="111111"/>
          <w:sz w:val="28"/>
          <w:sz w:val="28"/>
          <w:szCs w:val="28"/>
          <w:rtl w:val="true"/>
          <w:lang w:bidi="fa-IR"/>
        </w:rPr>
        <w:t xml:space="preserve">، والنورة فیه بأنّ یلفّ الإزار علی الإحلیل </w:t>
      </w:r>
      <w:r>
        <w:rPr>
          <w:rStyle w:val="FootnoteAnchor"/>
          <w:rtl w:val="true"/>
        </w:rPr>
        <w:footnoteReference w:id="154"/>
      </w:r>
      <w:r>
        <w:rPr>
          <w:rFonts w:ascii="IRNazanin" w:hAnsi="IRNazanin" w:eastAsia="IRNazanin"/>
          <w:color w:val="111111"/>
          <w:sz w:val="28"/>
          <w:sz w:val="28"/>
          <w:szCs w:val="28"/>
          <w:rtl w:val="true"/>
          <w:lang w:bidi="fa-IR"/>
        </w:rPr>
        <w:t xml:space="preserve">، وفی ثوبی الإحرام </w:t>
      </w:r>
      <w:r>
        <w:rPr>
          <w:rStyle w:val="FootnoteAnchor"/>
          <w:rtl w:val="true"/>
        </w:rPr>
        <w:footnoteReference w:id="155"/>
      </w:r>
      <w:r>
        <w:rPr>
          <w:rFonts w:ascii="IRNazanin" w:hAnsi="IRNazanin" w:eastAsia="IRNazanin"/>
          <w:color w:val="111111"/>
          <w:sz w:val="28"/>
          <w:sz w:val="28"/>
          <w:szCs w:val="28"/>
          <w:rtl w:val="true"/>
          <w:lang w:bidi="fa-IR"/>
        </w:rPr>
        <w:t>، إلی غیر ذلک ممّا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روی عبد الله بن سنان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بالکفن؟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تؤخذ خرقة فتشدّ علی مقعدته ورجلیه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فالإزار؟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 تعدّ شیئا ، إنّما تصنع لتضمّ ما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الکفن قمیص غیر مزرور ، وعمامة یعصّب بها رأسه ، ویردّ فضلها علی رجلیه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یعنی إذا کانت الخرقة لا بدّ منها فما یصنع بالإزار ، لأنّها تغنی عن الإزار ، فأجاب علیه السلام بأنّ الخرقة لا تعدّ شیئا من الکفن بل إنّما تصنع لتضمّ ما هناک ، وأمّا الإزار فإنّه یعدّ من الکفن ، وهو أحد قطعه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ینادی بأنّ المراد من الإزار المئزر ، وأنّه لا بدّ منه فی الکفن ، </w:t>
      </w:r>
      <w:bookmarkStart w:id="183" w:name="pg14966_204008"/>
    </w:p>
    <w:p>
      <w:pPr>
        <w:pStyle w:val="BookText"/>
        <w:rPr/>
      </w:pPr>
      <w:bookmarkEnd w:id="183"/>
      <w:r>
        <w:rPr>
          <w:rFonts w:ascii="IRNazanin" w:hAnsi="IRNazanin" w:eastAsia="IRNazanin"/>
          <w:color w:val="111111"/>
          <w:sz w:val="28"/>
          <w:sz w:val="28"/>
          <w:szCs w:val="28"/>
          <w:rtl w:val="true"/>
          <w:lang w:bidi="fa-IR"/>
        </w:rPr>
        <w:t>وأنّ أخذه من الکفن کان مشهورا معروفا عند الشیعة ، بحیث ما کان عندهم تأمّل فی ذلک ، وهذه الصحیحة صریحة أیضا فی أنّ القمیص لا بدّ منه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أیضا عین عبارة هذه الصحیحة ، مع صراحة رجوع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الخرقة ، مع أنّه لا شبهة فی رجوعه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أیضا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یکفن بثلاثة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لفّافة وقمیص وإزار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أیضا ینادی بأنّ المراد من الإزار هو المئزر ، موافقا لغیره من الأخبار ، وکلام اللغویین ، وکلام الفقهاء ، إذ لو کان المراد منه اللفافة 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ولفافتان ، وهذا أیضا ممّا یدل علی اعتبار القمیص فی الکفن کغیره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محمد بن مسلم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یکفن الرجل فی ثلاثة أثواب ، والمرأة إذا کانت عظیمة 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ومنطق وخمار ولفافتین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والمراد من المنطق هو الإزار ، کما سیجی‌ء مفصّلا مشروحا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عمار فی کیفیة تکفین المیت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تبدأ فتبسط اللفافة طولا ، ثمّ تذر علیها من الذریرة ، ثم الإزار طولا حتی یغطّی الصدر والرجلین ، ثمّ الخرقة عرضها قدر شبر ونصف ، ثم القمیص ، تشدّ الخرقة علی القمیص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2087535_388300464"/>
      <w:bookmarkStart w:id="185" w:name="_Toc73"/>
      <w:bookmarkEnd w:id="184"/>
      <w:r>
        <w:rPr>
          <w:rtl w:val="true"/>
        </w:rPr>
        <w:t>بحث حول المئزر</w:t>
      </w:r>
      <w:bookmarkEnd w:id="185"/>
    </w:p>
    <w:p>
      <w:pPr>
        <w:pStyle w:val="BookText"/>
        <w:rPr/>
      </w:pPr>
      <w:r>
        <w:rPr>
          <w:rFonts w:ascii="IRNazanin" w:hAnsi="IRNazanin" w:eastAsia="IRNazanin"/>
          <w:color w:val="111111"/>
          <w:sz w:val="28"/>
          <w:sz w:val="28"/>
          <w:szCs w:val="28"/>
          <w:rtl w:val="true"/>
          <w:lang w:bidi="fa-IR"/>
        </w:rPr>
        <w:t>وهذا أیضا صریح فی أنّ الإزار هو المئزر ، وأنّه لا بدّ منه فی الکفن ، بأنّه أحد قطعه ، وأنّ القمیص أیضا لا بدّ منه ، غایة ما فی الباب أنّه یظهر منه کون الإزار فوق القمیص ، ولعله من تشویشات روایة عمّار ، أو یکون ذلک أیضا جائزا ، کما أنّ شدّ الإزار من الصدر إلی الرجلین لعله أیضا من المستحبات کالأحیاء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یونس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ابسط الحبرة بسطا ثم ابسط علیها الإزار ، ثم ابسط القمیص علیه ، وترد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ظاهر فی کون الإزار هو المئزر ، مضافا إلی ثبوت ذلک لغة وأخبارا ونقلا من الفقهاء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اعتبار القمیص أیضا ما فی حسنة الحلبی من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رداء له یصلّی فیه الجمعة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ربما یکون له ظهور ، لأنّ الرداء علی ما هو المتعارف لا یکاد یکون شاملا لمجموع الشخص ، سیّما وأن یکون بادنا ، فإنّه علیه السلام کان کذلک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بسنده عن أبی الحسن الأوّل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کفنت أبی فی ثوبین شطویین کان یحرم فیهما ، وفی قمیص من قمصه ، وفی عمامة کانت لعلی بن الحسین علیه السلام ، وفی برد اشتریته بأربعین دینارا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الحدیث ، ولا بدّ من أن یکون أحد أثوابه غیر شامل لجمیع جسده علیه السلام البتّة ، لأنّه یلزم کون الکفن قمیصا وثلاث لفائف ، وهو ممنوع منه ، کما </w:t>
      </w:r>
    </w:p>
    <w:p>
      <w:pPr>
        <w:pStyle w:val="BookText"/>
        <w:rPr/>
      </w:pPr>
      <w:r>
        <w:rPr>
          <w:rFonts w:ascii="IRNazanin" w:hAnsi="IRNazanin" w:eastAsia="IRNazanin"/>
          <w:color w:val="111111"/>
          <w:sz w:val="28"/>
          <w:sz w:val="28"/>
          <w:szCs w:val="28"/>
          <w:rtl w:val="true"/>
          <w:lang w:bidi="fa-IR"/>
        </w:rPr>
        <w:t>یظهر من الأخبار وکلام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المتعارف أنّ ثوبی الإحرام لیس کل واحد منهما شاملا لجمیع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جمیع ما ذکرناه أنّ الأخبار متفقة علی الدلالة علی ما ذکره الأصحاب والمشهور منهم ، وتدل بأجمعها علی خلاف ما ذکره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ما ذکره المشهور من المئزر والقمیص لا شک فی دخولهما تحت ثلاثة أثواب ، لما عرفت من عدم قید الشمول فی الثوب قطعا ، فالتکفین علی طریقة المشهور لا شک فی صحته ولا تأمّل فی شرعیته ، وإن قطعنا النظر عمّا ذکرنا من الأخبار وکلام اللغویین وغیر ذلک مع أنّهم یقولون باستحباب اللفافة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حسنة حمران لها ظهور فی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 إذ لیس قید الشمول لجمیع الجسد مأخوذا فی اللفافة أیضا بحسب اللغة ، بل فی بعض الأخبار استعمل لفظ اللفافة فی الخرقة ، ومع ذلک ،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وبرد یجمع فیه الکفن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الشامل لجمیع الجسد ، ولیس اللفافة المذکورة شاملة له ، فتأمّل جدّا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عن الصدوق فی من لا یحضره الفقیه فی غایة الظهور فی کون المراد من الإزار المئزر ، وصرّح جدّی بأنّ ذلک مراده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ذکرناه عن اللغویین والفقهاء ، خصوصا الصدوق ، فتأمّل کلامه فی الفقیه فی المواضع التی أشرنا إلیها</w:t>
      </w:r>
      <w:r>
        <w:rPr>
          <w:rFonts w:eastAsia="IRNazanin" w:cs="IRNazanin"/>
          <w:color w:val="111111"/>
          <w:sz w:val="28"/>
          <w:szCs w:val="28"/>
          <w:rtl w:val="true"/>
          <w:lang w:bidi="fa-IR"/>
        </w:rPr>
        <w:t xml:space="preserve">. </w:t>
      </w:r>
      <w:bookmarkStart w:id="186" w:name="pg14966_204011"/>
    </w:p>
    <w:p>
      <w:pPr>
        <w:pStyle w:val="BookText"/>
        <w:rPr/>
      </w:pPr>
      <w:bookmarkEnd w:id="186"/>
      <w:r>
        <w:rPr>
          <w:rFonts w:ascii="IRNazanin" w:hAnsi="IRNazanin" w:eastAsia="IRNazanin"/>
          <w:color w:val="111111"/>
          <w:sz w:val="28"/>
          <w:sz w:val="28"/>
          <w:szCs w:val="28"/>
          <w:rtl w:val="true"/>
          <w:lang w:bidi="fa-IR"/>
        </w:rPr>
        <w:t xml:space="preserve">قوله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الأثواب الثلاثة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مقتضی ما یظهر من کلامه أنّ کل واحد منها یکون شاملا لجمیع الجسد ، وفساده ظاهر ، إذ الثوب غیر مأخوذ فیه قید الشمول قطعا ، مضافا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یعضد ذلک أنّه ورد فی الأخبار المستفیضة الأمر بنشف المیت بعد الغسل بثوب </w:t>
      </w:r>
      <w:r>
        <w:rPr>
          <w:rStyle w:val="FootnoteAnchor"/>
          <w:rtl w:val="true"/>
        </w:rPr>
        <w:footnoteReference w:id="165"/>
      </w:r>
      <w:r>
        <w:rPr>
          <w:rFonts w:ascii="IRNazanin" w:hAnsi="IRNazanin" w:eastAsia="IRNazanin"/>
          <w:color w:val="111111"/>
          <w:sz w:val="28"/>
          <w:sz w:val="28"/>
          <w:szCs w:val="28"/>
          <w:rtl w:val="true"/>
          <w:lang w:bidi="fa-IR"/>
        </w:rPr>
        <w:t>، ولا شک فی تحققه وصدقه علی النشف بالمئزر ، بل المنشفة أظهر أفراد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 ذلک یظهر من الأخبار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فیها إلاّ کونها ثلاثة أثواب ، مضافا إلی ما أشرنا من أنّ الغرض لیس إلاّ ذکر العدد ، وأمّا الکیفیة فلا ، بل یظهر خلاف ذلک من أنّ أحدها القمیص ، وأنّ کل واحد منها لیس بتامّ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الثوب مطلق غیر مقید بکونه مئزرا ، وإن کان المئزر أحد أفراده ، وأنّ ما ذکره الشیخان یتحقّق به الکفن الصحیح قطعا إلاّ أنّ الکلام معهما فی التعیین وعدم صحة الغیر ، بل مقتضی الأخبار صحة کلما صدق علیه اسم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أشرنا إلیه من وهن دلالة الإطلاق ، بل وعدمها ، وقد أشرنا أیضا إلی ما یمکن أن یجعله عذرا لهما ، ولمن تبعهما ، متأیّدا بالشهرة التامّة بین الفحول من فقهائنا المتقین الماهرین ، الموصین غیرهم بالمبالغة التامّة والاحتیاط الزائد فی مقام الإفتاء ، فکیف یتفقون فی الإفتاء بما لا منشأ له أصلا ، بل مخالف لمقتضی الأخبار التی هی مستندهم فی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2087537_388300464"/>
      <w:bookmarkStart w:id="188" w:name="_Toc74"/>
      <w:bookmarkEnd w:id="187"/>
      <w:r>
        <w:rPr>
          <w:rtl w:val="true"/>
        </w:rPr>
        <w:t>بحث حول الأثواب الثلاثة</w:t>
      </w:r>
      <w:bookmarkEnd w:id="188"/>
    </w:p>
    <w:p>
      <w:pPr>
        <w:pStyle w:val="BookText"/>
        <w:rPr/>
      </w:pPr>
      <w:r>
        <w:rPr>
          <w:rFonts w:ascii="IRNazanin" w:hAnsi="IRNazanin" w:eastAsia="IRNazanin"/>
          <w:color w:val="111111"/>
          <w:sz w:val="28"/>
          <w:sz w:val="28"/>
          <w:szCs w:val="28"/>
          <w:rtl w:val="true"/>
          <w:lang w:bidi="fa-IR"/>
        </w:rPr>
        <w:t>فتاواهم؟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یتفقون بحیث لا یظهر لهم مخالف ، إذ الصدوق ستعرف أنّه موافق لهم لا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الجنید فکونه مخالفا لهم غیر معلوم ، إذ لا یظهر من کلامه کون کل قطعة شاملا لجمیع الجسد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یدرج فی مجموع الثلاثة ، لا کل واحد واحد منها ، غایة ما یظهر عدم وجوب المئزر لا عدم صحته ، ومثل هذا الخلاف منه سهل ، کما لا یخفی علی المطّلع بحاله فی سائر المسائل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یظهر من تأمّل فی حکمهم إلاّ الشارح وبعض من تبعه </w:t>
      </w:r>
      <w:r>
        <w:rPr>
          <w:rStyle w:val="FootnoteAnchor"/>
          <w:rtl w:val="true"/>
        </w:rPr>
        <w:footnoteReference w:id="166"/>
      </w:r>
      <w:r>
        <w:rPr>
          <w:rFonts w:ascii="IRNazanin" w:hAnsi="IRNazanin" w:eastAsia="IRNazanin"/>
          <w:color w:val="111111"/>
          <w:sz w:val="28"/>
          <w:sz w:val="28"/>
          <w:szCs w:val="28"/>
          <w:rtl w:val="true"/>
          <w:lang w:bidi="fa-IR"/>
        </w:rPr>
        <w:t>، بل ربما یکون مقلّدا 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المستفاد من بعض الأخبار کون القمیص تحت الإزار الذی یظهر کونه المئزر ، بل وتحت الخرقة التی یشدّ بها الفخذین أیضا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بنی علی أنّ الثوب الوارد فی تلک الروایات مطلق شامل لکل ما یصدق علیه اسم الثوب فلا شک فی شموله للمئزر وصدقه علیه ، فیجب الحکم بصحة جعله أحد الأثواب قطعا ، سیّما مع ملاحظ کثیر من الأخبار الدالة علی أنّ أحدها المئزر ، مثل صحیحة عبد الله بن سنان ، وصحیحة محمد بن مسلم الآتیة فی بحث النمط ، وروایة معاویة بن وهب ، وموثقة عمار </w:t>
      </w:r>
      <w:r>
        <w:rPr>
          <w:rStyle w:val="FootnoteAnchor"/>
          <w:rtl w:val="true"/>
        </w:rPr>
        <w:footnoteReference w:id="167"/>
      </w:r>
      <w:r>
        <w:rPr>
          <w:rFonts w:ascii="IRNazanin" w:hAnsi="IRNazanin" w:eastAsia="IRNazanin"/>
          <w:color w:val="111111"/>
          <w:sz w:val="28"/>
          <w:sz w:val="28"/>
          <w:szCs w:val="28"/>
          <w:rtl w:val="true"/>
          <w:lang w:bidi="fa-IR"/>
        </w:rPr>
        <w:t>وغیرها ممّا أشرنا وما لم نشر ، مضافا إلی کلام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علی أنّها لیست شاملة سوی ما یشمل جمیع الجسد ، فقد عرفت الفساد ، وممّا دل علی فساده أیضا صحیحة زرارة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بنی </w:t>
      </w:r>
      <w:bookmarkStart w:id="189" w:name="pg14966_204013"/>
    </w:p>
    <w:p>
      <w:pPr>
        <w:pStyle w:val="BookText"/>
        <w:rPr/>
      </w:pPr>
      <w:bookmarkEnd w:id="189"/>
      <w:r>
        <w:rPr>
          <w:rFonts w:ascii="IRNazanin" w:hAnsi="IRNazanin" w:eastAsia="IRNazanin"/>
          <w:color w:val="111111"/>
          <w:sz w:val="28"/>
          <w:sz w:val="28"/>
          <w:szCs w:val="28"/>
          <w:rtl w:val="true"/>
          <w:lang w:bidi="fa-IR"/>
        </w:rPr>
        <w:t>علی عدم الإطلاق والشمول أصلا کما أشرنا ، فکیف یدعی أنّ المستفاد التخییر الذی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عبارة الصدوق فی من لا یحضره الفقیه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والکفن المفروض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وإزار ولفافة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Style w:val="FootnoteAnchor"/>
          <w:rtl w:val="true"/>
        </w:rPr>
        <w:footnoteReference w:id="168"/>
      </w:r>
      <w:r>
        <w:rPr>
          <w:rFonts w:ascii="IRNazanin" w:hAnsi="IRNazanin" w:eastAsia="IRNazanin"/>
          <w:color w:val="111111"/>
          <w:sz w:val="28"/>
          <w:sz w:val="28"/>
          <w:szCs w:val="28"/>
          <w:rtl w:val="true"/>
          <w:lang w:bidi="fa-IR"/>
        </w:rPr>
        <w:t xml:space="preserve">قال جدّی العلاّمة المجلسی رحمه الله فی شرحه علی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منه المئزر </w:t>
      </w:r>
      <w:r>
        <w:rPr>
          <w:rStyle w:val="FootnoteAnchor"/>
          <w:rtl w:val="true"/>
        </w:rPr>
        <w:footnoteReference w:id="169"/>
      </w:r>
      <w:r>
        <w:rPr>
          <w:rFonts w:ascii="IRNazanin" w:hAnsi="IRNazanin" w:eastAsia="IRNazanin"/>
          <w:color w:val="111111"/>
          <w:sz w:val="28"/>
          <w:sz w:val="28"/>
          <w:szCs w:val="28"/>
          <w:rtl w:val="true"/>
          <w:lang w:bidi="fa-IR"/>
        </w:rPr>
        <w:t xml:space="preserve">، ووجهه ظهر ممّا ذکرنا فی الحاشیة السابقة ، وقال أیضا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بعض الأخبار جواز إبدال أحد الثوبین بالمئزر </w:t>
      </w:r>
      <w:r>
        <w:rPr>
          <w:rStyle w:val="FootnoteAnchor"/>
          <w:rtl w:val="true"/>
        </w:rPr>
        <w:footnoteReference w:id="17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العمامة والخرقة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الإزار یطلق علی الملحفة وعلی المئزر لغة وعرفا وفی اصطلاح الشارع إطلاقا شائعا متعارفا لا شک فیه ولا شبهة تدانیه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الکشح والإزار ، ویکسر ، أو معقده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معقد الإزار ، وبالکسر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الائتزار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الفقهاء ، ومنهم الصدوق فی الفقیه فی مواضع ، منها فی کراهة التوشح والائتزار فوق القمیص للمصلّی ، وسیجی‌ء فی مبحثه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الأخبار الکثیرة غایة الکثرة ونهایة الوفور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ما قالوا فی ثوبی الإحرام وما ورد من الأخبار فیهما </w:t>
      </w:r>
      <w:r>
        <w:rPr>
          <w:rStyle w:val="FootnoteAnchor"/>
          <w:rtl w:val="true"/>
        </w:rPr>
        <w:footnoteReference w:id="173"/>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علی 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2087539_388300464"/>
      <w:bookmarkStart w:id="191" w:name="_Toc75"/>
      <w:bookmarkEnd w:id="190"/>
      <w:r>
        <w:rPr>
          <w:rtl w:val="true"/>
        </w:rPr>
        <w:t xml:space="preserve">قال الصدوق </w:t>
      </w:r>
      <w:r>
        <w:rPr>
          <w:rtl w:val="true"/>
        </w:rPr>
        <w:t xml:space="preserve">: </w:t>
      </w:r>
      <w:r>
        <w:rPr>
          <w:rtl w:val="true"/>
        </w:rPr>
        <w:t xml:space="preserve">الکفن المفروض ثلاثة </w:t>
      </w:r>
      <w:r>
        <w:rPr>
          <w:rtl w:val="true"/>
        </w:rPr>
        <w:t xml:space="preserve">: </w:t>
      </w:r>
      <w:r>
        <w:rPr>
          <w:rtl w:val="true"/>
        </w:rPr>
        <w:t>قمیص وإزار ولفافة والمناقشة فیه</w:t>
      </w:r>
      <w:bookmarkEnd w:id="191"/>
    </w:p>
    <w:p>
      <w:pPr>
        <w:pStyle w:val="BookText"/>
        <w:rPr/>
      </w:pPr>
      <w:r>
        <w:rPr>
          <w:rFonts w:ascii="IRNazanin" w:hAnsi="IRNazanin" w:eastAsia="IRNazanin"/>
          <w:color w:val="111111"/>
          <w:sz w:val="28"/>
          <w:sz w:val="28"/>
          <w:szCs w:val="28"/>
          <w:rtl w:val="true"/>
          <w:lang w:bidi="fa-IR"/>
        </w:rPr>
        <w:t xml:space="preserve">أظن ، ومنها ما ورد فی ذلک المبحث ، وما ورد فی الصلاة فی الثوب الواحد غیر الحاکی </w:t>
      </w:r>
      <w:r>
        <w:rPr>
          <w:rStyle w:val="FootnoteAnchor"/>
          <w:rtl w:val="true"/>
        </w:rPr>
        <w:footnoteReference w:id="175"/>
      </w:r>
      <w:r>
        <w:rPr>
          <w:rFonts w:ascii="IRNazanin" w:hAnsi="IRNazanin" w:eastAsia="IRNazanin"/>
          <w:color w:val="111111"/>
          <w:sz w:val="28"/>
          <w:sz w:val="28"/>
          <w:szCs w:val="28"/>
          <w:rtl w:val="true"/>
          <w:lang w:bidi="fa-IR"/>
        </w:rPr>
        <w:t xml:space="preserve">، وما ورد فی الإمامة بغیر رداء </w:t>
      </w:r>
      <w:r>
        <w:rPr>
          <w:rStyle w:val="FootnoteAnchor"/>
          <w:rtl w:val="true"/>
        </w:rPr>
        <w:footnoteReference w:id="176"/>
      </w:r>
      <w:r>
        <w:rPr>
          <w:rFonts w:ascii="IRNazanin" w:hAnsi="IRNazanin" w:eastAsia="IRNazanin"/>
          <w:color w:val="111111"/>
          <w:sz w:val="28"/>
          <w:sz w:val="28"/>
          <w:szCs w:val="28"/>
          <w:rtl w:val="true"/>
          <w:lang w:bidi="fa-IR"/>
        </w:rPr>
        <w:t xml:space="preserve">، وما ورد فی الصلاة مکشوف الکتفین </w:t>
      </w:r>
      <w:r>
        <w:rPr>
          <w:rStyle w:val="FootnoteAnchor"/>
          <w:rtl w:val="true"/>
        </w:rPr>
        <w:footnoteReference w:id="177"/>
      </w:r>
      <w:r>
        <w:rPr>
          <w:rFonts w:ascii="IRNazanin" w:hAnsi="IRNazanin" w:eastAsia="IRNazanin"/>
          <w:color w:val="111111"/>
          <w:sz w:val="28"/>
          <w:sz w:val="28"/>
          <w:szCs w:val="28"/>
          <w:rtl w:val="true"/>
          <w:lang w:bidi="fa-IR"/>
        </w:rPr>
        <w:t xml:space="preserve">، وما ورد فی دخول الحمام ، وقراءة القرآن فیه </w:t>
      </w:r>
      <w:r>
        <w:rPr>
          <w:rStyle w:val="FootnoteAnchor"/>
          <w:rtl w:val="true"/>
        </w:rPr>
        <w:footnoteReference w:id="178"/>
      </w:r>
      <w:r>
        <w:rPr>
          <w:rFonts w:ascii="IRNazanin" w:hAnsi="IRNazanin" w:eastAsia="IRNazanin"/>
          <w:color w:val="111111"/>
          <w:sz w:val="28"/>
          <w:sz w:val="28"/>
          <w:szCs w:val="28"/>
          <w:rtl w:val="true"/>
          <w:lang w:bidi="fa-IR"/>
        </w:rPr>
        <w:t xml:space="preserve">، ولفّ الإزار علی الإحلیل حال إطلاء النورة </w:t>
      </w:r>
      <w:r>
        <w:rPr>
          <w:rStyle w:val="FootnoteAnchor"/>
          <w:rtl w:val="true"/>
        </w:rPr>
        <w:footnoteReference w:id="179"/>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الظاهر من الصدوق رحمه الله هنا أیضا المئزر لا لفافة أخری ، مع أنّ الملحفة إنّما هی الثوب الذی یلبس فوق الثیاب کلها ، ونصّ علیه أهل اللغة أیضا ، فیبعد إرادته هنا غایة البعد ، کما لا یخفی ، والظاهر من عبارة الفقه الرضوی أیضا ذلک ، کما قاله خالی العلاّمة المجلسی </w:t>
      </w:r>
      <w:r>
        <w:rPr>
          <w:rStyle w:val="FootnoteAnchor"/>
          <w:rtl w:val="true"/>
        </w:rPr>
        <w:footnoteReference w:id="180"/>
      </w:r>
      <w:r>
        <w:rPr>
          <w:rFonts w:ascii="IRNazanin" w:hAnsi="IRNazanin" w:eastAsia="IRNazanin"/>
          <w:color w:val="111111"/>
          <w:sz w:val="28"/>
          <w:sz w:val="28"/>
          <w:szCs w:val="28"/>
          <w:rtl w:val="true"/>
          <w:lang w:bidi="fa-IR"/>
        </w:rPr>
        <w:t>رحمه الله والظاهر من موثقة عمار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فی الصحیح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بالکفن؟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تؤخذ خرقة فتشدّ علی مقعدته ورجلیه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فالإزار؟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 تعدّ شیئا ، إنّما تصنع لتضمّ ما هناک ، لئلاّ یخرج منه شی‌ء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 المتأمّل أنّ مراده من الإزار هنا المئزر ، لأنّ الراوی لمّا سمع حکایة الخرقة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فالإزار لأیّ شی‌ء یعتبر بعد اعتبار الخرقة؟ لأنّ الخرقة تغنی عنه ، فأجاب علیه السلام أنّ الخرقة لیست معدودة من الکفن ، بل لفائدة أخری لا دخل لتلک الفائدة فی حکایة الکفن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ویعنی علیه السلام أنّ الکفن یعتبر من حیث إنّ المیت یلفّ فیه ، کما مرّ فی </w:t>
      </w:r>
    </w:p>
    <w:p>
      <w:pPr>
        <w:pStyle w:val="BookText"/>
        <w:rPr/>
      </w:pPr>
      <w:r>
        <w:rPr>
          <w:rFonts w:ascii="IRNazanin" w:hAnsi="IRNazanin" w:eastAsia="IRNazanin"/>
          <w:color w:val="111111"/>
          <w:sz w:val="28"/>
          <w:sz w:val="28"/>
          <w:szCs w:val="28"/>
          <w:rtl w:val="true"/>
          <w:lang w:bidi="fa-IR"/>
        </w:rPr>
        <w:t>حسنة الحلبی ، وغیر خفی أنّ الإزار إذا کان لفافة لا مناسبة لها فی کونها مستغنی عنها بعد الخرقة ، لأنّ الخرقة تستر العورة ستر المئزر لها ، ولا یستر 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القمیص لیس بأدون من اللفافة ، إن لم یکن أولی منها فی الأمر المذکور ، مع أنّ الظاهر منها أنّ المعتبر إزار واحد لا إزارین ، ولا ثلاثة آزار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الملحفة ما هی فوق جمیع الثیاب ، کما أشرنا ، ولیس بمأخوذ فیه قید الشمول لجمیع الجسد ، ولذا عرّفوا الرداء بأنّها ملحفة معروفة ، فحمل ما نحن فیه علی الملحفة وإرادة الشمول فاسد من جهتین ، فلا بدّ من الحمل علی المئزر ، لانحصار الإطلاق فیهما ، بل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الإزار من الحقوین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المئزر الإزار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الملحف واللحاف </w:t>
      </w:r>
      <w:r>
        <w:rPr>
          <w:rStyle w:val="FootnoteAnchor"/>
          <w:rtl w:val="true"/>
        </w:rPr>
        <w:footnoteReference w:id="182"/>
      </w:r>
      <w:r>
        <w:rPr>
          <w:rFonts w:ascii="IRNazanin" w:hAnsi="IRNazanin" w:eastAsia="IRNazanin"/>
          <w:color w:val="111111"/>
          <w:sz w:val="28"/>
          <w:sz w:val="28"/>
          <w:szCs w:val="28"/>
          <w:rtl w:val="true"/>
          <w:lang w:bidi="fa-IR"/>
        </w:rPr>
        <w:t xml:space="preserve">، ولعل هذا هو الظاهر من القاموس أیضا </w:t>
      </w:r>
      <w:r>
        <w:rPr>
          <w:rStyle w:val="FootnoteAnchor"/>
          <w:rtl w:val="true"/>
        </w:rPr>
        <w:footnoteReference w:id="183"/>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شیخنا البهائی فی الحبل المتین علی صحیحة ابن سنان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یراد به المئزر وهو الذی یشدّ من الحقوین إلی أسافل البدن وقد ورد فی اللغة إطلاق کل منهما علی الآخر </w:t>
      </w:r>
      <w:r>
        <w:rPr>
          <w:rStyle w:val="FootnoteAnchor"/>
          <w:rtl w:val="true"/>
        </w:rPr>
        <w:footnoteReference w:id="184"/>
      </w:r>
      <w:r>
        <w:rPr>
          <w:rFonts w:ascii="IRNazanin" w:hAnsi="IRNazanin" w:eastAsia="IRNazanin"/>
          <w:color w:val="111111"/>
          <w:sz w:val="28"/>
          <w:sz w:val="28"/>
          <w:szCs w:val="28"/>
          <w:rtl w:val="true"/>
          <w:lang w:bidi="fa-IR"/>
        </w:rPr>
        <w:t>، 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علی کون الإزار فی هذه الصحیحة هو المئزر غیره من الفقهاء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یشیر إلی کون الإزار فی کلام الصدوق هو المئزر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ذکرناه وذکر جدّی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أن یزید لفافتین حتی </w:t>
      </w:r>
      <w:bookmarkStart w:id="192" w:name="pg14966_204016"/>
    </w:p>
    <w:p>
      <w:pPr>
        <w:pStyle w:val="BookText"/>
        <w:rPr/>
      </w:pPr>
      <w:bookmarkEnd w:id="192"/>
      <w:r>
        <w:rPr>
          <w:rFonts w:ascii="IRNazanin" w:hAnsi="IRNazanin" w:eastAsia="IRNazanin"/>
          <w:color w:val="111111"/>
          <w:sz w:val="28"/>
          <w:sz w:val="28"/>
          <w:szCs w:val="28"/>
          <w:rtl w:val="true"/>
          <w:lang w:bidi="fa-IR"/>
        </w:rPr>
        <w:t>یبلغ العدّة خمسة أثواب فلا بأس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کلامه رحمه الله نصّ فی أنّ الإزار فوق القمیص ، کما یظهر من موثقة عمار ومرسلة یونس ، لکن فی بعض نسخ التهذیب فی المرسلة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وبردا بعد القمیص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 الذی هو علامة النصب ، فتکون صریحة فی کون البرد هنا هو المئزر ، وأنّه تحت القمیص ، وربما کان فی صحیحة ابن سنان إشعار بذلک أیضا ، وربما کان ما ذکرنا مستند القوم فی کونه تحتا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یکفن بثلاثة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لفافة وقمیص وإزار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انتهی ، ولا تأمّل فی أنّ الإزار هنا لیس اللفافة ، وإلاّ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لفافتین ، فظهر أنّه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لو تتبعت الأخبار وجدت أنّ إطلاق الإزار علی المئزر لا حدّ له ولا إحصاء ، وفی الفقه الرضوی عبّر عن الخرقة المشقوقة بالمئزر ، وتبعه الصدوق ، وفی الفقه الرضوی عین عبارة صحیحة عبد الله بن سنان المتقدمة مع صراحة رجوع ضمیر إنّها إلی الخرقة التی تشدّ بها الورکین ، وسیجی‌ء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ونمطا ، ما یزید علی ما فی المقام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الضرورة تجوّز دفنه بغیر کفن ، فبعضه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یصیر هذا دلیلا لوجوب القطعة ، ولا رجحانها ، ولا دلیل عدم وجوب الباقی ، لمنع تأتّی الأولویة الشرعیة ، بل دلیله ما سیجی‌ء من عدم وجوب بذل الکفن علی المسلمین فی صورة ، وعدم الحرج والتکلیف بالمحال فی صورة ، ودلیل وجوب القطعة لعله الاستصحاب ، أو الأخبار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087541_388300464"/>
      <w:bookmarkStart w:id="194" w:name="_Toc76"/>
      <w:bookmarkEnd w:id="193"/>
      <w:r>
        <w:rPr>
          <w:rtl w:val="true"/>
        </w:rPr>
        <w:t>إجزاء قطعة عند الضرورة</w:t>
      </w:r>
      <w:bookmarkStart w:id="195" w:name="pg14966_204017"/>
      <w:bookmarkEnd w:id="194"/>
    </w:p>
    <w:p>
      <w:pPr>
        <w:pStyle w:val="BookText"/>
        <w:rPr/>
      </w:pPr>
      <w:bookmarkEnd w:id="195"/>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وغیره ، وعمومات التکفین وإطلاقاته ، والإجماع ، فتأمّل ، وصحیحة زرارة </w:t>
      </w:r>
      <w:r>
        <w:rPr>
          <w:rStyle w:val="FootnoteAnchor"/>
          <w:rtl w:val="true"/>
        </w:rPr>
        <w:footnoteReference w:id="190"/>
      </w:r>
      <w:r>
        <w:rPr>
          <w:rFonts w:ascii="IRNazanin" w:hAnsi="IRNazanin" w:eastAsia="IRNazanin"/>
          <w:color w:val="111111"/>
          <w:sz w:val="28"/>
          <w:sz w:val="28"/>
          <w:szCs w:val="28"/>
          <w:rtl w:val="true"/>
          <w:lang w:bidi="fa-IR"/>
        </w:rPr>
        <w:t>ربما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أنّه لو کان القزّ صرفا لم یجز</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فی اشتراط کون القطن أکثر ، وأنّه لو لم یکن کذلک یکون فیه بأس ، مع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الإجماع المدّعی ، وتمامیته فی المرأة تتوقف علی الثبوت ، وإن کان ظاهر الدعوی العموم ، فتأمّل ، فلا شکّ فی أنّ الأحوط والأولی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الثوب إنّما یطلق فی العرف علی المنسوج</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 وإن کان الأحوط الترک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اسم الثوب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والأحوط أن یکون ساترا للّون والحجم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العمل علی الروایة الأولی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لعله لا یخلو عن الإشکال بعد ورود المنع فی غیر واحد من الأخبار بالنسبة إلی البعض ، مثل المسامع والبصر فی بعض الأخبار </w:t>
      </w:r>
      <w:r>
        <w:rPr>
          <w:rStyle w:val="FootnoteAnchor"/>
          <w:rtl w:val="true"/>
        </w:rPr>
        <w:footnoteReference w:id="191"/>
      </w:r>
      <w:r>
        <w:rPr>
          <w:rFonts w:ascii="Amiri" w:hAnsi="Amiri" w:eastAsia="Amiri" w:cs="Amiri"/>
          <w:color w:val="111111"/>
          <w:sz w:val="28"/>
          <w:sz w:val="28"/>
          <w:szCs w:val="28"/>
          <w:rtl w:val="true"/>
          <w:lang w:bidi="ar-SA"/>
        </w:rPr>
        <w:t>، مع الاعتضاد بعمل الأصحاب والشهرة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وطالبه ابن طاوس بالمستند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المستند عبارة الفقه الرضوی فإنّها صریحة فی ما ذکره الأصحاب ، إلاّ أنّه 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من مثقال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2087543_388300464"/>
      <w:bookmarkStart w:id="197" w:name="_Toc77"/>
      <w:bookmarkEnd w:id="196"/>
      <w:r>
        <w:rPr>
          <w:rtl w:val="true"/>
        </w:rPr>
        <w:t>عدم جواز التکفین بالحریر والجلد</w:t>
      </w:r>
      <w:bookmarkEnd w:id="197"/>
    </w:p>
    <w:p>
      <w:pPr>
        <w:pStyle w:val="Heading4"/>
        <w:numPr>
          <w:ilvl w:val="3"/>
          <w:numId w:val="1"/>
        </w:numPr>
        <w:rPr/>
      </w:pPr>
      <w:bookmarkStart w:id="198" w:name="__RefHeading___Toc2087545_388300464"/>
      <w:bookmarkStart w:id="199" w:name="_Toc78"/>
      <w:bookmarkEnd w:id="198"/>
      <w:r>
        <w:rPr>
          <w:rtl w:val="true"/>
        </w:rPr>
        <w:t>وجوب مسح مساجد المیت بالکافور</w:t>
      </w:r>
      <w:bookmarkEnd w:id="1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2087547_388300464"/>
      <w:bookmarkStart w:id="201" w:name="_Toc79"/>
      <w:bookmarkEnd w:id="200"/>
      <w:r>
        <w:rPr>
          <w:rtl w:val="true"/>
        </w:rPr>
        <w:t>القدر الواجب من الحنوط</w:t>
      </w:r>
      <w:bookmarkStart w:id="202" w:name="pg14966_204018"/>
      <w:bookmarkEnd w:id="201"/>
    </w:p>
    <w:p>
      <w:pPr>
        <w:pStyle w:val="BookText"/>
        <w:rPr/>
      </w:pPr>
      <w:bookmarkEnd w:id="20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هذه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الشیخ بسنده عن أبی الحسن الأوّل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کفنت أبی فی ثوبین شطویین ، وفی قمیص من قمصه وفی عمامة کانت لعلی بن الحسین علیه السلام ، وفی برد اشتریته بأربعین دینارا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یظهر منها أنّ البرد زائد عن الثلاثة ، لکن تعارضها الأخبار الکثیرة المتضمّنة لکون الکفن ثلاثة أثواب ، بل والمنع عن الزیادة ، مثل حسنة الحلبی ، وصحیحة زرارة المتقدمة ، إلاّ أن تحمل هذه الروایة علی کون البرد غیر داخل فی الکفن حقیقة ، کما تدل علیه صحیحة عبد الله بن سنان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البرد لا یلفّ ولکن یطرح علیه ، فإذا أدخل القبر وضع تحت خدّه وتحت جنبه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وربما یؤیّده ما ورد فی الأخبار من کون الکفن أبیض </w:t>
      </w:r>
      <w:r>
        <w:rPr>
          <w:rStyle w:val="FootnoteAnchor"/>
          <w:rtl w:val="true"/>
        </w:rPr>
        <w:footnoteReference w:id="195"/>
      </w:r>
      <w:r>
        <w:rPr>
          <w:rFonts w:ascii="IRNazanin" w:hAnsi="IRNazanin" w:eastAsia="IRNazanin"/>
          <w:color w:val="111111"/>
          <w:sz w:val="28"/>
          <w:sz w:val="28"/>
          <w:szCs w:val="28"/>
          <w:rtl w:val="true"/>
          <w:lang w:bidi="fa-IR"/>
        </w:rPr>
        <w:t xml:space="preserve">، وما ورد من کونه قطنا </w:t>
      </w:r>
      <w:r>
        <w:rPr>
          <w:rStyle w:val="FootnoteAnchor"/>
          <w:rtl w:val="true"/>
        </w:rPr>
        <w:footnoteReference w:id="196"/>
      </w:r>
      <w:r>
        <w:rPr>
          <w:rFonts w:ascii="IRNazanin" w:hAnsi="IRNazanin" w:eastAsia="IRNazanin"/>
          <w:color w:val="111111"/>
          <w:sz w:val="28"/>
          <w:sz w:val="28"/>
          <w:szCs w:val="28"/>
          <w:rtl w:val="true"/>
          <w:lang w:bidi="fa-IR"/>
        </w:rPr>
        <w:t xml:space="preserve">، مضافا إلی ما نقله المحقق ، وما ورد من أنّ شقران مولی رسول الله صلی الله علیه وسلم فرش تحت الرسول فی القبر قطیفة </w:t>
      </w:r>
      <w:r>
        <w:rPr>
          <w:rStyle w:val="FootnoteAnchor"/>
          <w:rtl w:val="true"/>
        </w:rPr>
        <w:footnoteReference w:id="19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 خرقة طویلة عرضها شبر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طولها ثلاثة أذرع ونصف </w:t>
      </w:r>
      <w:r>
        <w:rPr>
          <w:rStyle w:val="FootnoteAnchor"/>
          <w:rtl w:val="true"/>
        </w:rPr>
        <w:footnoteReference w:id="198"/>
      </w:r>
      <w:r>
        <w:rPr>
          <w:rFonts w:ascii="IRNazanin" w:hAnsi="IRNazanin" w:eastAsia="IRNazanin"/>
          <w:color w:val="111111"/>
          <w:sz w:val="28"/>
          <w:sz w:val="28"/>
          <w:szCs w:val="28"/>
          <w:rtl w:val="true"/>
          <w:lang w:bidi="fa-IR"/>
        </w:rPr>
        <w:t>،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ولفافتین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أحد اللفافتین فی هذا الحدیث هو ما یشدّ به الثدیان ، کما فهمه الشیخ ، ولذا جعل الحدیث دلیلا علیهما ، والأظهر أنّه</w:t>
      </w:r>
    </w:p>
    <w:p>
      <w:pPr>
        <w:pStyle w:val="Heading3"/>
        <w:numPr>
          <w:ilvl w:val="2"/>
          <w:numId w:val="1"/>
        </w:numPr>
        <w:rPr/>
      </w:pPr>
      <w:bookmarkStart w:id="203" w:name="__RefHeading___Toc2087549_388300464"/>
      <w:bookmarkStart w:id="204" w:name="_Toc80"/>
      <w:bookmarkEnd w:id="203"/>
      <w:r>
        <w:rPr>
          <w:rtl w:val="true"/>
        </w:rPr>
        <w:t>سنن التکفین</w:t>
      </w:r>
      <w:bookmarkEnd w:id="204"/>
    </w:p>
    <w:p>
      <w:pPr>
        <w:pStyle w:val="Heading4"/>
        <w:numPr>
          <w:ilvl w:val="3"/>
          <w:numId w:val="1"/>
        </w:numPr>
        <w:rPr/>
      </w:pPr>
      <w:bookmarkStart w:id="205" w:name="__RefHeading___Toc2087551_388300464"/>
      <w:bookmarkStart w:id="206" w:name="_Toc81"/>
      <w:bookmarkEnd w:id="205"/>
      <w:r>
        <w:rPr>
          <w:rtl w:val="true"/>
        </w:rPr>
        <w:t>ازدیاد الحبرة للرجل</w:t>
      </w:r>
      <w:bookmarkEnd w:id="2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2087553_388300464"/>
      <w:bookmarkStart w:id="208" w:name="_Toc82"/>
      <w:bookmarkEnd w:id="207"/>
      <w:r>
        <w:rPr>
          <w:rtl w:val="true"/>
        </w:rPr>
        <w:t>ازدیاد لفافة لثدیی امرأة ونمطاً</w:t>
      </w:r>
      <w:bookmarkStart w:id="209" w:name="pg14966_204019"/>
      <w:bookmarkEnd w:id="208"/>
    </w:p>
    <w:p>
      <w:pPr>
        <w:pStyle w:val="BookText"/>
        <w:rPr/>
      </w:pPr>
      <w:bookmarkEnd w:id="209"/>
      <w:r>
        <w:rPr>
          <w:rFonts w:ascii="IRNazanin" w:hAnsi="IRNazanin" w:eastAsia="IRNazanin"/>
          <w:color w:val="111111"/>
          <w:sz w:val="28"/>
          <w:sz w:val="28"/>
          <w:szCs w:val="28"/>
          <w:rtl w:val="true"/>
          <w:lang w:bidi="fa-IR"/>
        </w:rPr>
        <w:t>اللفافة الزائدة ، کما فهمه المستدلون وستعرف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به هنا ما یشدّ به الثدیان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بعید جدّا ، لعدم المناسبة بین معنی المنطق وبینه لغة ، لا بالنسبة إلی موضع الشدّ ، ولا بالنسبة إلی الهیئة ، إذ الناطقة لغة الخاصرة ، فالمنطق والمنطقة والنطاق ما یشدّ بها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شقّة تلبسها المرأة وتشدّ وسطها ، إلی آخر ما قال </w:t>
      </w:r>
      <w:r>
        <w:rPr>
          <w:rStyle w:val="FootnoteAnchor"/>
          <w:rtl w:val="true"/>
        </w:rPr>
        <w:footnoteReference w:id="19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یبعّد إرادة ما ذکره اشتراط کون المرأة عظیمة ، إذ الظاهر أنّ المراد کونها متموّلة ، کما صرّح جدّی رحمه الله </w:t>
      </w:r>
      <w:r>
        <w:rPr>
          <w:rStyle w:val="FootnoteAnchor"/>
          <w:rtl w:val="true"/>
        </w:rPr>
        <w:footnoteReference w:id="200"/>
      </w:r>
      <w:r>
        <w:rPr>
          <w:rFonts w:ascii="IRNazanin" w:hAnsi="IRNazanin" w:eastAsia="IRNazanin"/>
          <w:color w:val="111111"/>
          <w:sz w:val="28"/>
          <w:sz w:val="28"/>
          <w:szCs w:val="28"/>
          <w:rtl w:val="true"/>
          <w:lang w:bidi="fa-IR"/>
        </w:rPr>
        <w:t>وهو المناسب للمقام ، والموافق لفتوی الأصحاب ، والخبر الآخر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فالأظهر أنّ المراد هو المئزر ، کما حکم به الشهید فی الذکری </w:t>
      </w:r>
      <w:r>
        <w:rPr>
          <w:rStyle w:val="FootnoteAnchor"/>
          <w:rtl w:val="true"/>
        </w:rPr>
        <w:footnoteReference w:id="201"/>
      </w:r>
      <w:r>
        <w:rPr>
          <w:rFonts w:ascii="IRNazanin" w:hAnsi="IRNazanin" w:eastAsia="IRNazanin"/>
          <w:color w:val="111111"/>
          <w:sz w:val="28"/>
          <w:sz w:val="28"/>
          <w:szCs w:val="28"/>
          <w:rtl w:val="true"/>
          <w:lang w:bidi="fa-IR"/>
        </w:rPr>
        <w:t xml:space="preserve">، وشیخنا البهائی </w:t>
      </w:r>
      <w:r>
        <w:rPr>
          <w:rStyle w:val="FootnoteAnchor"/>
          <w:rtl w:val="true"/>
        </w:rPr>
        <w:footnoteReference w:id="202"/>
      </w:r>
      <w:r>
        <w:rPr>
          <w:rFonts w:ascii="IRNazanin" w:hAnsi="IRNazanin" w:eastAsia="IRNazanin"/>
          <w:color w:val="111111"/>
          <w:sz w:val="28"/>
          <w:sz w:val="28"/>
          <w:szCs w:val="28"/>
          <w:rtl w:val="true"/>
          <w:lang w:bidi="fa-IR"/>
        </w:rPr>
        <w:t>، وغیرهما من الفقهاء ، ومنهم المستدلّون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الزائد هو الخمار وإحدی اللفافتین ، والباقی مشترک بین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شقّة تلبسها المرأة ، فکیف یجعل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أیضا لغة قمیص المرأة لا مطلقا </w:t>
      </w:r>
      <w:r>
        <w:rPr>
          <w:rStyle w:val="FootnoteAnchor"/>
          <w:rtl w:val="true"/>
        </w:rPr>
        <w:footnoteReference w:id="203"/>
      </w:r>
      <w:r>
        <w:rPr>
          <w:rFonts w:ascii="IRNazanin" w:hAnsi="IRNazanin" w:eastAsia="IRNazanin"/>
          <w:color w:val="111111"/>
          <w:sz w:val="28"/>
          <w:sz w:val="28"/>
          <w:szCs w:val="28"/>
          <w:rtl w:val="true"/>
          <w:lang w:bidi="fa-IR"/>
        </w:rPr>
        <w:t>، ولا شکّ فی أنّ القمیص هناک من الثوب المشترک ، فمن حیث النسبة إلی المرأة سمّی درعا ، فکذا الحال فی المنطق ، والخصوصیة فیهما غیر معتبرة إجماعا ، ولا یقتضی ذلک العدول إلی معنی أجنبی علی ما أشرنا ، بل الظاهر أنّ الإضافة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087555_388300464"/>
      <w:bookmarkStart w:id="211" w:name="_Toc83"/>
      <w:bookmarkEnd w:id="210"/>
      <w:r>
        <w:rPr>
          <w:rtl w:val="true"/>
        </w:rPr>
        <w:t>بحث فی معنی المنطق الوارد فی الروایات</w:t>
      </w:r>
      <w:bookmarkStart w:id="212" w:name="pg14966_204020"/>
      <w:bookmarkEnd w:id="211"/>
    </w:p>
    <w:p>
      <w:pPr>
        <w:pStyle w:val="BookText"/>
        <w:rPr/>
      </w:pPr>
      <w:bookmarkEnd w:id="212"/>
      <w:r>
        <w:rPr>
          <w:rFonts w:ascii="IRNazanin" w:hAnsi="IRNazanin" w:eastAsia="IRNazanin"/>
          <w:color w:val="111111"/>
          <w:sz w:val="28"/>
          <w:sz w:val="28"/>
          <w:szCs w:val="28"/>
          <w:rtl w:val="true"/>
          <w:lang w:bidi="fa-IR"/>
        </w:rPr>
        <w:t>إلی المرأة صارت منشأ للإطلاقین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یظهر من اللغویین تسمیة تلک الشقّة بالمنطق والنطاق من جهة شدّها علی الخاصرة ، بل ربما کان حقیقة لغة مع عدم الخصوصّیة کالجبّة ، فلاحظ اللغة وتدبّر ، ومرّ فی ما سبق ما یؤکّد ما فی المقام ، وفی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یدل علی کونها نمطا ، ولا علی زیادة لفافتین ، کما هو ظاهر عبارة المحقّق ومن شارکه ، وفی الظن أنّ المستدلین ما استدلوا بها إلاّ علی ما ذکر ، لا علی أحد الأمرین المذکورین ، وأیّ عاقل یستدل علیه؟ فضلا عن أن یکون فقیها ، فضلا عن اتفاق جمع من الفقهاء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لم یظهر قائل بثلاث لفائف ،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النمط یستحب للمرأة ، کما ذکره الشارح عن الأصحاب ، وعبارة المصنّف لا دلالة فیها علی الثلاث ، وإن کانت ربما توهم ، وهم متفقون علی أنّ المنطق فی هذه الروایة هو المئزر ، کما أشیر إلیه ، فاستحباب نفس الزیادة یظهر من هذه الصحیحة ، کما استدلوا ، وکون الزائد النمط یظهر من فتاواهم ، ومرّ جواز التسامح فی أدلة السنن </w:t>
      </w:r>
      <w:r>
        <w:rPr>
          <w:rStyle w:val="FootnoteAnchor"/>
          <w:rtl w:val="true"/>
        </w:rPr>
        <w:footnoteReference w:id="205"/>
      </w:r>
      <w:r>
        <w:rPr>
          <w:rFonts w:ascii="IRNazanin" w:hAnsi="IRNazanin" w:eastAsia="IRNazanin"/>
          <w:color w:val="111111"/>
          <w:sz w:val="28"/>
          <w:sz w:val="28"/>
          <w:szCs w:val="28"/>
          <w:rtl w:val="true"/>
          <w:lang w:bidi="fa-IR"/>
        </w:rPr>
        <w:t>، وبناء الشارح أیضا علی التسامح فی أمثال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کونه أبیض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الأمر بکون الکفن أبیض فی خبرین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وتنثر علی الحبرة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Heading4"/>
        <w:numPr>
          <w:ilvl w:val="3"/>
          <w:numId w:val="1"/>
        </w:numPr>
        <w:rPr/>
      </w:pPr>
      <w:bookmarkStart w:id="213" w:name="__RefHeading___Toc2087557_388300464"/>
      <w:bookmarkStart w:id="214" w:name="_Toc84"/>
      <w:bookmarkEnd w:id="213"/>
      <w:r>
        <w:rPr>
          <w:rtl w:val="true"/>
        </w:rPr>
        <w:t>أن یکون الکفن قطناً أبیضاً</w:t>
      </w:r>
      <w:bookmarkEnd w:id="2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2087559_388300464"/>
      <w:bookmarkStart w:id="216" w:name="_Toc85"/>
      <w:bookmarkEnd w:id="215"/>
      <w:r>
        <w:rPr>
          <w:rtl w:val="true"/>
        </w:rPr>
        <w:t>أن یطیّب الکفن بالذریرة</w:t>
      </w:r>
      <w:bookmarkStart w:id="217" w:name="pg14966_204021"/>
      <w:bookmarkEnd w:id="216"/>
    </w:p>
    <w:p>
      <w:pPr>
        <w:pStyle w:val="BookText"/>
        <w:rPr/>
      </w:pPr>
      <w:bookmarkEnd w:id="217"/>
      <w:r>
        <w:rPr>
          <w:rFonts w:ascii="IRNazanin" w:hAnsi="IRNazanin" w:eastAsia="IRNazanin"/>
          <w:color w:val="111111"/>
          <w:sz w:val="28"/>
          <w:sz w:val="28"/>
          <w:szCs w:val="28"/>
          <w:rtl w:val="true"/>
          <w:lang w:bidi="fa-IR"/>
        </w:rPr>
        <w:t xml:space="preserve">فی بعض الأخبار أنّ المیت لا یقرب إلیه طیب سوی الکافور ، لأنّه بمنزلة المحرم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ذلک من بعض الأخبار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وإن کان الاقتصار علی ما ورد به النقل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المقام مقام العمل من دون إفتاء بکون ذلک مستحبا من الشرع ، فإنّ الحرام والممنوع هو التشریع ، فإذا فعل فعل لا بنیّة الإدخال فی الدین والبناء علیه لا یکون فیه ضرر ولا مانع شرعا ، لأنّ الأصل براءة الذمّة ، فإذا رجا أحد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وشی‌ء من الأشیاء یصیر حرزا ویعفو الربّ بواسطته بحسب رجائه من عقله لا یکون إدخالا فی الدین وزیادة فی الحکم الشرعی ، لأنّه لم یحکم أنّه حکم الشارع ، لکن ظاهر المصنّف أنّه مستحب شرعی ، إلاّ أنّ یوجّه کلامه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اطلع علی دلیل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یستحسنه العقل ، فیکفی کلّ ذلک للحکم شرعا فی مقام الاستحباب ، للتسامح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الاحتجاج فی مسائل الحمیری عن الصاحب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أنّ الصادق علیه السلام کتب علی إزار ابنه إسماعیل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یشهد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لنا أن نکتب مثل ذلک بطین القبر أم غیره؟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2087561_388300464"/>
      <w:bookmarkStart w:id="219" w:name="_Toc86"/>
      <w:bookmarkEnd w:id="218"/>
      <w:r>
        <w:rPr>
          <w:rtl w:val="true"/>
        </w:rPr>
        <w:t>بحث حول التشریع المحرم</w:t>
      </w:r>
      <w:bookmarkEnd w:id="2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2087563_388300464"/>
      <w:bookmarkStart w:id="221" w:name="_Toc87"/>
      <w:bookmarkEnd w:id="220"/>
      <w:r>
        <w:rPr>
          <w:rtl w:val="true"/>
        </w:rPr>
        <w:t>کتابة الشهادتین والإقرار بالأئمّة علی الحبرة والقمیص والإزار بالتربة الحسینیّة</w:t>
      </w:r>
      <w:bookmarkStart w:id="222" w:name="pg14966_204022"/>
      <w:bookmarkEnd w:id="221"/>
    </w:p>
    <w:p>
      <w:pPr>
        <w:pStyle w:val="BookText"/>
        <w:rPr/>
      </w:pPr>
      <w:bookmarkEnd w:id="222"/>
      <w:r>
        <w:rPr>
          <w:rFonts w:ascii="IRNazanin" w:hAnsi="IRNazanin" w:eastAsia="IRNazanin"/>
          <w:color w:val="111111"/>
          <w:sz w:val="28"/>
          <w:sz w:val="28"/>
          <w:szCs w:val="28"/>
          <w:rtl w:val="true"/>
          <w:lang w:bidi="fa-IR"/>
        </w:rPr>
        <w:t xml:space="preserve">وفی کشف الغمة أنّ بعض الأمراء السامانیة کتب الحدیث الذی رواه الرضا علیه السلام لأهل نیشابور بسنده عن آبائه عن الربّ تعالی بالذهب ، وأمر بأن یدفن معه ، فلمّا مات رئی فی المنام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لی بتلفظی بلا إله إلاّ الله ، وتصدیقی بمحمد صلی الله علیه وسلم ، وأنّی کتبت هذا الحدیث تعظیما واحتراما </w:t>
      </w:r>
      <w:r>
        <w:rPr>
          <w:rStyle w:val="FootnoteAnchor"/>
          <w:rtl w:val="true"/>
        </w:rPr>
        <w:footnoteReference w:id="21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الاحتجاج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الصاحب علیه السلام عن طین القبر یوضع مع المیت فی قبره ، یجوز أم لا؟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مع المیت فی قبره ویخلط بحنوطه إن شاء الله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غیبة الشیخ عن أبی الحسن القمّی أنّه دخل علی أبی جعفر محمد بن عثمان العمری رضی الله عنه ، وهو من النواب الأربعة وسفراء الصاحب علیه السلام ، فوجده وبین یدیه ساجة ونقاش ینقش علیها آیات من القرآن وأسماء الأئمّة علیهم السلام علی حواشیها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هذه الساجة؟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لقبری ، یکون فیه وأوضع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وفرغت منه وأنا فی کل یوم انزل علیه أجزاء من القرآن </w:t>
      </w:r>
      <w:r>
        <w:rPr>
          <w:rStyle w:val="FootnoteAnchor"/>
          <w:rtl w:val="true"/>
        </w:rPr>
        <w:footnoteReference w:id="21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یستفاد ممّا ذکر أنّ أمثال الأمور المذکورة لا استخفاف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أنّ الکاظم علیه السلام کفّنه العباس بکفن مکتوب فیه تمام القرآن </w:t>
      </w:r>
      <w:r>
        <w:rPr>
          <w:rStyle w:val="FootnoteAnchor"/>
          <w:rtl w:val="true"/>
        </w:rPr>
        <w:footnoteReference w:id="21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معه جریدتان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2087565_388300464"/>
      <w:bookmarkStart w:id="224" w:name="_Toc88"/>
      <w:bookmarkEnd w:id="223"/>
      <w:r>
        <w:rPr>
          <w:rtl w:val="true"/>
        </w:rPr>
        <w:t>أن یجعل مع المیت جریدتان من سعف النخل</w:t>
      </w:r>
      <w:bookmarkStart w:id="225" w:name="pg14966_204023"/>
      <w:bookmarkEnd w:id="224"/>
    </w:p>
    <w:p>
      <w:pPr>
        <w:pStyle w:val="BookText"/>
        <w:rPr/>
      </w:pPr>
      <w:bookmarkEnd w:id="225"/>
      <w:r>
        <w:rPr>
          <w:rFonts w:ascii="IRNazanin" w:hAnsi="IRNazanin" w:eastAsia="IRNazanin"/>
          <w:color w:val="111111"/>
          <w:sz w:val="28"/>
          <w:sz w:val="28"/>
          <w:szCs w:val="28"/>
          <w:rtl w:val="true"/>
          <w:lang w:bidi="fa-IR"/>
        </w:rPr>
        <w:t xml:space="preserve">خضراوان ، کما هو مقتضی الأخبار ، بل ورد المنع عن الیابس صریحا فی بعض الأخبار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معتبرة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هذه قال الشیخ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علی بن إبراهیم فی روایة أخری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 بدلها عود الرّمان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والشهید بعد ذکر شجر الخلاف ذکر عود الرّمان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قبره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مستنده فیه روایة سماعة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أن یدخل معه فی قبره جریدة رطبة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من تأمّل ، إذ مع قطع النظر عن الروایات لم نجد العموم الذی ادّعاه ، واقتضاء الجزم بالقدر المشترک إیّاه محلّ تأمّل ، ووظائف المیت متلقاة توقیفا ، کما ستعرف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من الأقوال جمیعا الوضع فی القبر اختیارا ، کما هو مقتضی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مستند المشهور معتبر من حیث السند ، مع الانجبار بالشهرة ، فلا 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 هذا الحکم علی أثر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Heading4"/>
        <w:numPr>
          <w:ilvl w:val="3"/>
          <w:numId w:val="1"/>
        </w:numPr>
        <w:rPr/>
      </w:pPr>
      <w:bookmarkStart w:id="226" w:name="__RefHeading___Toc2087567_388300464"/>
      <w:bookmarkStart w:id="227" w:name="_Toc89"/>
      <w:bookmarkEnd w:id="226"/>
      <w:r>
        <w:rPr>
          <w:rtl w:val="true"/>
        </w:rPr>
        <w:t>مع فقد الجریدة یجعل بدلها عود الرمان</w:t>
      </w:r>
      <w:bookmarkEnd w:id="227"/>
    </w:p>
    <w:p>
      <w:pPr>
        <w:pStyle w:val="Heading4"/>
        <w:numPr>
          <w:ilvl w:val="3"/>
          <w:numId w:val="1"/>
        </w:numPr>
        <w:rPr/>
      </w:pPr>
      <w:bookmarkStart w:id="228" w:name="__RefHeading___Toc2087569_388300464"/>
      <w:bookmarkStart w:id="229" w:name="_Toc90"/>
      <w:bookmarkEnd w:id="228"/>
      <w:r>
        <w:rPr>
          <w:rtl w:val="true"/>
        </w:rPr>
        <w:t>کیفیّة وضع الجریدتین</w:t>
      </w:r>
      <w:bookmarkEnd w:id="229"/>
    </w:p>
    <w:p>
      <w:pPr>
        <w:pStyle w:val="Heading4"/>
        <w:numPr>
          <w:ilvl w:val="3"/>
          <w:numId w:val="1"/>
        </w:numPr>
        <w:rPr/>
      </w:pPr>
      <w:bookmarkStart w:id="230" w:name="__RefHeading___Toc2087571_388300464"/>
      <w:bookmarkStart w:id="231" w:name="_Toc91"/>
      <w:bookmarkEnd w:id="230"/>
      <w:r>
        <w:rPr>
          <w:rtl w:val="true"/>
        </w:rPr>
        <w:t>أن یطوی جانب اللفافة الأیسر علی الأیمن وبالعکس</w:t>
      </w:r>
      <w:bookmarkEnd w:id="2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2087573_388300464"/>
      <w:bookmarkStart w:id="233" w:name="_Toc92"/>
      <w:bookmarkEnd w:id="232"/>
      <w:r>
        <w:rPr>
          <w:rtl w:val="true"/>
        </w:rPr>
        <w:t>إشارة إلی عمل الأصحاب بروایات کتاب فقه الرضا علیه السلام</w:t>
      </w:r>
      <w:bookmarkStart w:id="234" w:name="pg14966_204024"/>
      <w:bookmarkEnd w:id="233"/>
    </w:p>
    <w:p>
      <w:pPr>
        <w:pStyle w:val="BookText"/>
        <w:rPr/>
      </w:pPr>
      <w:bookmarkEnd w:id="234"/>
      <w:r>
        <w:rPr>
          <w:rFonts w:ascii="IRNazanin" w:hAnsi="IRNazanin" w:eastAsia="IRNazanin"/>
          <w:color w:val="111111"/>
          <w:sz w:val="28"/>
          <w:sz w:val="28"/>
          <w:szCs w:val="28"/>
          <w:rtl w:val="true"/>
          <w:lang w:bidi="fa-IR"/>
        </w:rPr>
        <w:t xml:space="preserve">دلیله عبارة الفقه الرضوی </w:t>
      </w:r>
      <w:r>
        <w:rPr>
          <w:rStyle w:val="FootnoteAnchor"/>
          <w:rtl w:val="true"/>
        </w:rPr>
        <w:footnoteReference w:id="218"/>
      </w:r>
      <w:r>
        <w:rPr>
          <w:rFonts w:ascii="IRNazanin" w:hAnsi="IRNazanin" w:eastAsia="IRNazanin"/>
          <w:color w:val="111111"/>
          <w:sz w:val="28"/>
          <w:sz w:val="28"/>
          <w:szCs w:val="28"/>
          <w:rtl w:val="true"/>
          <w:lang w:bidi="fa-IR"/>
        </w:rPr>
        <w:t xml:space="preserve">، وهو من الکتب التی عند الصدوق صحیحة ، وحجّة بینه وبین الله ، کما لا یخفی علی المطلع بفتاویه فی الفقیه ، وکذا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کثیرا من عبارة فقه الرضا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والأصحاب أیضا یعملون بما فیه ، کما لا یخفی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 فی منخریه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حسنة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 أذنیه شیئا من الکافور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وورد فی بعض الأخبار النهی عنه مؤکّدا </w:t>
      </w:r>
      <w:r>
        <w:rPr>
          <w:rStyle w:val="FootnoteAnchor"/>
          <w:rtl w:val="true"/>
        </w:rPr>
        <w:footnoteReference w:id="221"/>
      </w:r>
      <w:r>
        <w:rPr>
          <w:rFonts w:ascii="IRNazanin" w:hAnsi="IRNazanin" w:eastAsia="IRNazanin"/>
          <w:color w:val="111111"/>
          <w:sz w:val="28"/>
          <w:sz w:val="28"/>
          <w:szCs w:val="28"/>
          <w:rtl w:val="true"/>
          <w:lang w:bidi="fa-IR"/>
        </w:rPr>
        <w:t xml:space="preserve">، وضعف السند منجبر بعمل الأصحاب ، فالأولی اختیار </w:t>
      </w:r>
      <w:r>
        <w:rPr>
          <w:rStyle w:val="FootnoteAnchor"/>
          <w:rtl w:val="true"/>
        </w:rPr>
        <w:footnoteReference w:id="22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غسلها ولم یجب إعادة الغسل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الفقه الرضوی کما ذکره المصنف بعد التصریح بعدم إعادة الغسل ، وبناء فتوی الأصحاب علی هذا ، کما لا یخفی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انتقض منه شی‌ء استقبل به الغسل استقبالا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هذه العبارة إشعار بأنّ مراد ابن أبی عقیل بالحدث فی أثناء الغسل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استقبالا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إعادة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أوّلا بالطعن فی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مراسیل ابن أبی عمیر مقبولة علی ما هو التحقیق ، سیّما مثل هذه المرسلة التی شارکه غیره ، وسیّما وهو أیضا مثله لا یروی إلاّ عن الثقة ،</w:t>
      </w:r>
    </w:p>
    <w:p>
      <w:pPr>
        <w:pStyle w:val="Heading4"/>
        <w:numPr>
          <w:ilvl w:val="3"/>
          <w:numId w:val="1"/>
        </w:numPr>
        <w:rPr/>
      </w:pPr>
      <w:bookmarkStart w:id="235" w:name="__RefHeading___Toc2087575_388300464"/>
      <w:bookmarkStart w:id="236" w:name="_Toc93"/>
      <w:bookmarkEnd w:id="235"/>
      <w:r>
        <w:rPr>
          <w:rtl w:val="true"/>
        </w:rPr>
        <w:t>کراهة جعل الکافور فی سمع المیت وبصره</w:t>
      </w:r>
      <w:bookmarkEnd w:id="236"/>
    </w:p>
    <w:p>
      <w:pPr>
        <w:pStyle w:val="Heading3"/>
        <w:numPr>
          <w:ilvl w:val="2"/>
          <w:numId w:val="1"/>
        </w:numPr>
        <w:rPr/>
      </w:pPr>
      <w:bookmarkStart w:id="237" w:name="__RefHeading___Toc2087577_388300464"/>
      <w:bookmarkStart w:id="238" w:name="_Toc94"/>
      <w:bookmarkEnd w:id="237"/>
      <w:r>
        <w:rPr>
          <w:rtl w:val="true"/>
        </w:rPr>
        <w:t>بعض مسائل التکفین</w:t>
      </w:r>
      <w:bookmarkEnd w:id="238"/>
    </w:p>
    <w:p>
      <w:pPr>
        <w:pStyle w:val="Heading4"/>
        <w:numPr>
          <w:ilvl w:val="3"/>
          <w:numId w:val="1"/>
        </w:numPr>
        <w:rPr/>
      </w:pPr>
      <w:bookmarkStart w:id="239" w:name="__RefHeading___Toc2087579_388300464"/>
      <w:bookmarkStart w:id="240" w:name="_Toc95"/>
      <w:bookmarkEnd w:id="239"/>
      <w:r>
        <w:rPr>
          <w:rtl w:val="true"/>
        </w:rPr>
        <w:t>حکم النجاسة الخارجة من المیت</w:t>
      </w:r>
      <w:bookmarkEnd w:id="2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2087581_388300464"/>
      <w:bookmarkStart w:id="242" w:name="_Toc96"/>
      <w:bookmarkEnd w:id="241"/>
      <w:r>
        <w:rPr>
          <w:rtl w:val="true"/>
        </w:rPr>
        <w:t>إشارة إلی مقبولیّة مراسیل ابن أبی عمیر</w:t>
      </w:r>
      <w:bookmarkStart w:id="243" w:name="pg14966_204025"/>
      <w:bookmarkEnd w:id="242"/>
    </w:p>
    <w:p>
      <w:pPr>
        <w:pStyle w:val="BookText"/>
        <w:rPr/>
      </w:pPr>
      <w:bookmarkEnd w:id="243"/>
      <w:r>
        <w:rPr>
          <w:rFonts w:ascii="IRNazanin" w:hAnsi="IRNazanin" w:eastAsia="IRNazanin"/>
          <w:color w:val="111111"/>
          <w:sz w:val="28"/>
          <w:sz w:val="28"/>
          <w:szCs w:val="28"/>
          <w:rtl w:val="true"/>
          <w:lang w:bidi="fa-IR"/>
        </w:rPr>
        <w:t>وخصوصا وهما معا یقولان عن غیر واحد المؤذن بشیوع ذلک وثبوته لدیهما عن مشایخهما وهم الأعاظم ، ولا أقل فیهم عظیم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توثیق الکاهلی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من الممدوحین ، مع أنّ الراوی عنه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بالمعارضة بروایة روح المتقدمة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وورد أخبار أخر موافقة لروایة روح </w:t>
      </w:r>
      <w:r>
        <w:rPr>
          <w:rStyle w:val="FootnoteAnchor"/>
          <w:rtl w:val="true"/>
        </w:rPr>
        <w:footnoteReference w:id="223"/>
      </w:r>
      <w:r>
        <w:rPr>
          <w:rFonts w:ascii="IRNazanin" w:hAnsi="IRNazanin" w:eastAsia="IRNazanin"/>
          <w:color w:val="111111"/>
          <w:sz w:val="28"/>
          <w:sz w:val="28"/>
          <w:szCs w:val="28"/>
          <w:rtl w:val="true"/>
          <w:lang w:bidi="fa-IR"/>
        </w:rPr>
        <w:t>، لکن دلالة الروایتین أقوی ، لاحتمال إرادة الخروج من غیر إصابة الکفن فی تلک الأخبار ، ویقرّبه أنّ إحدی تلک الروایات روایة الکاهلی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یؤیّد تلک الروایات ما ذکره من أنّ فی القرض إتلافا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الروایتین علی ما بعد الدفن بعید ، إذ لو کان المراد ذلک وکان فرق بین الصورتین شرعا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الغسل وبعد ما یکفن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الحمل علی ما إذا تعسّر الغسل بناء علی أنّ غالب الصور کذلک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تلک الروایات علی عدم التعدی إلی الکفن محتمل ، لکن قد عرفت ما أشرنا عن الفقه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علی زوجها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کونه من تتمّة الخبر غیر ظاهر ، لاحتمال کونه من کلام الصدوق ، کما لا یخفی علی المطلع ، بل الثانی أقرب ، وأنّه إشارة إلی نفس روایة السکونی ، کما لا یخفی علی من له ذوق سلیم ، وکیف کان لا تأمّل فی</w:t>
      </w:r>
    </w:p>
    <w:p>
      <w:pPr>
        <w:pStyle w:val="Heading4"/>
        <w:numPr>
          <w:ilvl w:val="3"/>
          <w:numId w:val="1"/>
        </w:numPr>
        <w:rPr/>
      </w:pPr>
      <w:bookmarkStart w:id="244" w:name="__RefHeading___Toc2087583_388300464"/>
      <w:bookmarkStart w:id="245" w:name="_Toc97"/>
      <w:bookmarkEnd w:id="244"/>
      <w:r>
        <w:rPr>
          <w:rtl w:val="true"/>
        </w:rPr>
        <w:t>عبد الله بن یحیی الکاهلی من الممدوحین</w:t>
      </w:r>
      <w:bookmarkEnd w:id="2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2087585_388300464"/>
      <w:bookmarkStart w:id="247" w:name="_Toc98"/>
      <w:bookmarkEnd w:id="246"/>
      <w:r>
        <w:rPr>
          <w:rtl w:val="true"/>
        </w:rPr>
        <w:t>الکفن الواجب للمرأة علی زوجها</w:t>
      </w:r>
      <w:bookmarkStart w:id="248" w:name="pg14966_204026"/>
      <w:bookmarkEnd w:id="247"/>
    </w:p>
    <w:p>
      <w:pPr>
        <w:pStyle w:val="BookText"/>
        <w:rPr/>
      </w:pPr>
      <w:bookmarkEnd w:id="248"/>
      <w:r>
        <w:rPr>
          <w:rFonts w:ascii="IRNazanin" w:hAnsi="IRNazanin" w:eastAsia="IRNazanin"/>
          <w:color w:val="111111"/>
          <w:sz w:val="28"/>
          <w:sz w:val="28"/>
          <w:szCs w:val="28"/>
          <w:rtl w:val="true"/>
          <w:lang w:bidi="fa-IR"/>
        </w:rPr>
        <w:t>الحجّیة ، للانجبار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الضعف من جهة السکونی لا یخلو عن الضعف ، کما کتبناه فی الرجال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یؤیّد کون التتمّة من کلام الصدوق أنّ الشیخ روی الصحیحة المذکورة بعینها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المال ، من دون ذکر التتمّة ، ثم بعد ذلک بورقتین تقریبا روی روایة السکونی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والأصحاب مثل المحقق وغیره </w:t>
      </w:r>
      <w:r>
        <w:rPr>
          <w:rStyle w:val="FootnoteAnchor"/>
          <w:rtl w:val="true"/>
        </w:rPr>
        <w:footnoteReference w:id="226"/>
      </w:r>
      <w:r>
        <w:rPr>
          <w:rFonts w:ascii="IRNazanin" w:hAnsi="IRNazanin" w:eastAsia="IRNazanin"/>
          <w:color w:val="111111"/>
          <w:sz w:val="28"/>
          <w:sz w:val="28"/>
          <w:szCs w:val="28"/>
          <w:rtl w:val="true"/>
          <w:lang w:bidi="fa-IR"/>
        </w:rPr>
        <w:t>نقلوا روایة السکونی مستندا 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کان تتمّة لکان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 المرأة علی زوجها بدون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 هذا یکون لغوا بل مشیرا إلی خلاف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التی ینصرف إلیها الذهن عند الإطلاق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المطیعة ، إلاّ أنّ الأحوط اعتبار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لا یخلو عن إشکال ، لکون الصورة من الفروض النادرة بالقیاس إلی الرهن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الثلث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یقدم ما هو اللائق بحاله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الصغیر والمجنون ونزاع الورثة یحتمل ، بناء علی إطلاق الأخبار ، بل ولعلّه أظهر الأفراد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2087587_388300464"/>
      <w:bookmarkStart w:id="250" w:name="_Toc99"/>
      <w:bookmarkEnd w:id="249"/>
      <w:r>
        <w:rPr>
          <w:rtl w:val="true"/>
        </w:rPr>
        <w:t>وجوب إخراج الکفن من أصل الترکة</w:t>
      </w:r>
      <w:bookmarkStart w:id="251" w:name="pg14966_204027"/>
      <w:bookmarkEnd w:id="250"/>
    </w:p>
    <w:p>
      <w:pPr>
        <w:pStyle w:val="BookText"/>
        <w:rPr/>
      </w:pPr>
      <w:bookmarkEnd w:id="251"/>
      <w:r>
        <w:rPr>
          <w:rFonts w:ascii="IRNazanin" w:hAnsi="IRNazanin" w:eastAsia="IRNazanin"/>
          <w:color w:val="111111"/>
          <w:sz w:val="28"/>
          <w:sz w:val="28"/>
          <w:szCs w:val="28"/>
          <w:rtl w:val="true"/>
          <w:lang w:bidi="fa-IR"/>
        </w:rPr>
        <w:t>ویحتمل العدم ، لقوة ما دل علی تعلق حق صاحب الحق ، ولأنّ المستحبات أیضا من اللائق بحاله ، فأیّ فرق بینهما؟ ولعله أحوط بالنظر إلی مثل الطفل وأمثاله ، والحال فی الدین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کحرمته حیّا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 المؤمن من حیث إنّه احترامه مستحب ، فعله لذا لا دلالة فی الخبر علی الوجوب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الفضل بن یونس کان واقفیا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واقفیا إلاّ أنّه ثقة ، فیکون خبره حجّة علی ما حقّقناه فی الرجال </w:t>
      </w:r>
      <w:r>
        <w:rPr>
          <w:rStyle w:val="FootnoteAnchor"/>
          <w:rtl w:val="true"/>
        </w:rPr>
        <w:footnoteReference w:id="228"/>
      </w:r>
      <w:r>
        <w:rPr>
          <w:rFonts w:ascii="IRNazanin" w:hAnsi="IRNazanin" w:eastAsia="IRNazanin"/>
          <w:color w:val="111111"/>
          <w:sz w:val="28"/>
          <w:sz w:val="28"/>
          <w:szCs w:val="28"/>
          <w:rtl w:val="true"/>
          <w:lang w:bidi="fa-IR"/>
        </w:rPr>
        <w:t xml:space="preserve">، سیّما والراوی عنه الحسن بن محبوب ، ومع ذلک مضمونه موافق للأخبار الأخر والعمومات ، لأنّ حرمة المیت کحرمة الحیّ من المؤمن ، وورد فی الأخبار </w:t>
      </w:r>
      <w:r>
        <w:rPr>
          <w:rStyle w:val="FootnoteAnchor"/>
          <w:rtl w:val="true"/>
        </w:rPr>
        <w:footnoteReference w:id="229"/>
      </w:r>
      <w:r>
        <w:rPr>
          <w:rFonts w:ascii="IRNazanin" w:hAnsi="IRNazanin" w:eastAsia="IRNazanin"/>
          <w:color w:val="111111"/>
          <w:sz w:val="28"/>
          <w:sz w:val="28"/>
          <w:szCs w:val="28"/>
          <w:rtl w:val="true"/>
          <w:lang w:bidi="fa-IR"/>
        </w:rPr>
        <w:t>، ولا شبهة فی الجواز بالنسبة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داخل فی سبیل الله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 الخبر معمول به وحجة عند المشهور وکثیر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ذکره من القیاس بطریق أولی لا یخلو من تأیید ظاهر ، فمع جمیع ما ذکر لا وجه للتوقف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المستفاد منه تقدیم الدفع إلی الورثة حتی أنّهم یجهّزون ، ولا شبهة فی ذلک صونا للمؤمنین عن خلاف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محلّ له سوی الترکة إجماعا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یستدل علی التقدیم ، لعدم ظفره بدلیله ، إلاّ أن یکون مراده الإجماع علی وجوبه فی الترکة ، وإن کان الحقوق الأخر موجودة ، لکنه خلاف مدلول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إجماع علی التقدیم ، وإلاّ فالظاهر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2087589_388300464"/>
      <w:bookmarkStart w:id="253" w:name="_Toc100"/>
      <w:bookmarkEnd w:id="252"/>
      <w:r>
        <w:rPr>
          <w:rtl w:val="true"/>
        </w:rPr>
        <w:t>الفضل بن یونس واقفی ثقة</w:t>
      </w:r>
      <w:bookmarkStart w:id="254" w:name="pg14966_204028"/>
      <w:bookmarkEnd w:id="253"/>
    </w:p>
    <w:p>
      <w:pPr>
        <w:pStyle w:val="BookText"/>
        <w:rPr/>
      </w:pPr>
      <w:bookmarkEnd w:id="254"/>
      <w:r>
        <w:rPr>
          <w:rFonts w:ascii="IRNazanin" w:hAnsi="IRNazanin" w:eastAsia="IRNazanin"/>
          <w:color w:val="111111"/>
          <w:sz w:val="28"/>
          <w:sz w:val="28"/>
          <w:szCs w:val="28"/>
          <w:rtl w:val="true"/>
          <w:lang w:bidi="fa-IR"/>
        </w:rPr>
        <w:t>من الأخبار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 علی استحباب تشییع الجنازة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ویکره الرکوب ، لما رواه فی التهذیب فی الصحیح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الرسول صلی الله علیه وسلم لم یرکب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الرکوب ، لأنّ الملائکة یمشون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المشی أمامها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ولعله لکونه من شعار العامة ، وورد المنع من التشبّه بهم ، وروی الشیخ بسنده عن السکونی ، عن جعفر ، عن آبائه ، عن علی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الجنازة ولا تتبعکم ، خالفوا أهل الکتاب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وروی بسنده عن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 النبی خلف جنازة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یمشون أمامها ونحن نتبع لهم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عقیل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الشیخ بسنده عن أبی بصیر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مخالفا فلا تمش إمامها ، فإنّ ملائکة العذاب یستقبلونه بأنواع العذاب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السند ضعف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منجبر بعمل الأصحاب ، مع أنّه یکفی للاستحباب ، ولا ینافی صحیحة ابن مسلم ذلک</w:t>
      </w:r>
      <w:r>
        <w:rPr>
          <w:rFonts w:eastAsia="IRNazanin" w:cs="IRNazanin"/>
          <w:color w:val="111111"/>
          <w:sz w:val="28"/>
          <w:szCs w:val="28"/>
          <w:rtl w:val="true"/>
          <w:lang w:bidi="fa-IR"/>
        </w:rPr>
        <w:t>.</w:t>
      </w:r>
    </w:p>
    <w:p>
      <w:pPr>
        <w:pStyle w:val="Heading3"/>
        <w:numPr>
          <w:ilvl w:val="2"/>
          <w:numId w:val="1"/>
        </w:numPr>
        <w:rPr/>
      </w:pPr>
      <w:bookmarkStart w:id="255" w:name="__RefHeading___Toc2087591_388300464"/>
      <w:bookmarkStart w:id="256" w:name="_Toc101"/>
      <w:bookmarkEnd w:id="255"/>
      <w:r>
        <w:rPr>
          <w:rtl w:val="true"/>
        </w:rPr>
        <w:t>الدفن</w:t>
      </w:r>
      <w:bookmarkEnd w:id="256"/>
    </w:p>
    <w:p>
      <w:pPr>
        <w:pStyle w:val="Heading4"/>
        <w:numPr>
          <w:ilvl w:val="3"/>
          <w:numId w:val="1"/>
        </w:numPr>
        <w:rPr/>
      </w:pPr>
      <w:bookmarkStart w:id="257" w:name="__RefHeading___Toc2087593_388300464"/>
      <w:bookmarkStart w:id="258" w:name="_Toc102"/>
      <w:bookmarkEnd w:id="257"/>
      <w:r>
        <w:rPr>
          <w:rtl w:val="true"/>
        </w:rPr>
        <w:t xml:space="preserve">ما یتعلق بالدفن </w:t>
      </w:r>
      <w:r>
        <w:rPr>
          <w:rtl w:val="true"/>
        </w:rPr>
        <w:t xml:space="preserve">: </w:t>
      </w:r>
      <w:r>
        <w:rPr>
          <w:rtl w:val="true"/>
        </w:rPr>
        <w:t>استحباب تشییع الجنازة</w:t>
      </w:r>
      <w:bookmarkEnd w:id="258"/>
    </w:p>
    <w:p>
      <w:pPr>
        <w:pStyle w:val="Heading4"/>
        <w:numPr>
          <w:ilvl w:val="3"/>
          <w:numId w:val="1"/>
        </w:numPr>
        <w:rPr/>
      </w:pPr>
      <w:bookmarkStart w:id="259" w:name="__RefHeading___Toc2087595_388300464"/>
      <w:bookmarkStart w:id="260" w:name="_Toc103"/>
      <w:bookmarkEnd w:id="259"/>
      <w:r>
        <w:rPr>
          <w:rtl w:val="true"/>
        </w:rPr>
        <w:t>کراهة الرکوب فی تشییع الجنازة</w:t>
      </w:r>
      <w:bookmarkEnd w:id="2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2087597_388300464"/>
      <w:bookmarkStart w:id="262" w:name="_Toc104"/>
      <w:bookmarkEnd w:id="261"/>
      <w:r>
        <w:rPr>
          <w:rtl w:val="true"/>
        </w:rPr>
        <w:t>استحباب المشی وراء الجنازة أو أحد جانبیها</w:t>
      </w:r>
      <w:bookmarkStart w:id="263" w:name="pg14966_204029"/>
      <w:bookmarkEnd w:id="262"/>
    </w:p>
    <w:p>
      <w:pPr>
        <w:pStyle w:val="BookText"/>
        <w:rPr/>
      </w:pPr>
      <w:bookmarkEnd w:id="26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للمشیع الجلوس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فی بحث إهالة التراب علی المیت حسنة داود بن النعمان أنّ أبا الحسن علیه السلام جلس قبل أن یدخل المیت لحده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تربع الجنازة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تربعها فابدء بالشقّ الأیمن فخذه بیمنک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تدور علی الجنازة کدورک علی الرحا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ذلک فی 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فی مصباح المتهجد أیضا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التربیع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یراد من الأیسر أیسر المیت ، وانّ المستحب أنّه یؤخذ بالکتف الأیمن ، وهذا بعینه مفاد عبارة الفقه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کلها قاصرة من حیث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یضر القصور ، للانجبار بعمل الأصحاب ، وکون المقام مقام الاستحباب ، ولا تنافی الصحیحة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یلی رجلیه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الشیخ رحمه الله فی الموثق عن عمّار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شی‌ء باب ، وباب القبر من قبل الرجلین ، إذا وضعت الجنازة فضعها ممّا یلی الرجلین ، ویخرج المیت ممّا یلی الرجلین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وبسنده عن جبیر</w:t>
      </w:r>
    </w:p>
    <w:p>
      <w:pPr>
        <w:pStyle w:val="Heading4"/>
        <w:numPr>
          <w:ilvl w:val="3"/>
          <w:numId w:val="1"/>
        </w:numPr>
        <w:rPr/>
      </w:pPr>
      <w:bookmarkStart w:id="264" w:name="__RefHeading___Toc2087599_388300464"/>
      <w:bookmarkStart w:id="265" w:name="_Toc105"/>
      <w:bookmarkEnd w:id="264"/>
      <w:r>
        <w:rPr>
          <w:rtl w:val="true"/>
        </w:rPr>
        <w:t>کراهة الجلوس للمشیّع</w:t>
      </w:r>
      <w:bookmarkEnd w:id="265"/>
    </w:p>
    <w:p>
      <w:pPr>
        <w:pStyle w:val="Heading4"/>
        <w:numPr>
          <w:ilvl w:val="3"/>
          <w:numId w:val="1"/>
        </w:numPr>
        <w:rPr/>
      </w:pPr>
      <w:bookmarkStart w:id="266" w:name="__RefHeading___Toc2087601_388300464"/>
      <w:bookmarkStart w:id="267" w:name="_Toc106"/>
      <w:bookmarkEnd w:id="266"/>
      <w:r>
        <w:rPr>
          <w:rtl w:val="true"/>
        </w:rPr>
        <w:t>استحباب تربیع الجنازة</w:t>
      </w:r>
      <w:bookmarkEnd w:id="2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2087603_388300464"/>
      <w:bookmarkStart w:id="269" w:name="_Toc107"/>
      <w:bookmarkEnd w:id="268"/>
      <w:r>
        <w:rPr>
          <w:rtl w:val="true"/>
        </w:rPr>
        <w:t>استحباب وضع الجنازة قرب القبر</w:t>
      </w:r>
      <w:bookmarkStart w:id="270" w:name="pg14966_204030"/>
      <w:bookmarkEnd w:id="269"/>
    </w:p>
    <w:p>
      <w:pPr>
        <w:pStyle w:val="BookText"/>
        <w:rPr/>
      </w:pPr>
      <w:bookmarkEnd w:id="270"/>
      <w:r>
        <w:rPr>
          <w:rFonts w:ascii="IRNazanin" w:hAnsi="IRNazanin" w:eastAsia="IRNazanin"/>
          <w:color w:val="111111"/>
          <w:sz w:val="28"/>
          <w:sz w:val="28"/>
          <w:szCs w:val="28"/>
          <w:rtl w:val="true"/>
          <w:lang w:bidi="fa-IR"/>
        </w:rPr>
        <w:t xml:space="preserve">الحضرمی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بیت بابا ، وباب القبر من قبل الرجلین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وفی الصحیح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الرسول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أین وضع السریر؟ أی عند الدفن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رجل القبر ، وسلّ سلاّ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وسیجی‌ء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الأخبار واردة بسلّ المیت من قبل الرجلین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شهادة علی کون وضع الجنازة ممّا یلی رجلی القبر ، لأنّ المراد رجلی القبر ، ورجلی المیت فی صورة یکون فیه ، فالسلّ لیس من قبل رجلی المیت ، بل من قبل رجلی القبر ، یسلّ من قبل رأسه لیسبق إلی القبر رأسه ، کما سبق إلی الدنیا فی خروجه إلیها ، وهذا هو الظاهر من المفید ، بل الشیخ أیضا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کحسنة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الحسنة علی ما ستعرف یتضمّن دعاء مختصّا بالرجل ، وروایة عبد الصمد منجبرة بعمل الأصحاب ، معلّلة بعلّة ظاهرة صحیحة متأیّدة بروایة الشیخ بسنده عن زید عن آبائه عن علی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 الرجل سلاّ ، ویستقبل المرأة استقبالا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فإنّها أیضا ظاهرة فی الفرق والتفاوت ، ولعل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ممّا یلی قبلة القبر لتؤخذ عرضا ، ولم یظهر لهذا معنی سوی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2087605_388300464"/>
      <w:bookmarkStart w:id="272" w:name="_Toc108"/>
      <w:bookmarkEnd w:id="271"/>
      <w:r>
        <w:rPr>
          <w:rtl w:val="true"/>
        </w:rPr>
        <w:t>کیفیة إرسال المیت فی القبر</w:t>
      </w:r>
      <w:bookmarkStart w:id="273" w:name="pg14966_204031"/>
      <w:bookmarkEnd w:id="272"/>
    </w:p>
    <w:p>
      <w:pPr>
        <w:pStyle w:val="BookText"/>
        <w:rPr/>
      </w:pPr>
      <w:bookmarkEnd w:id="273"/>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محمد بن إسماعیل بن بزیع أنّه رأی أبا الحسن علیه السلام دخل القبر ولم یحلّل أزراره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خلع الخفّ شناعة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یطلع علیه العامة ، فلا یناسب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النبی صلی الله علیه و آله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ولحفظ حرمة المیت ، ودفع الأذیّة عن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لم یتربص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حدّ التعذر بحصول الفساد فی المیت لو صبر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المفید فی المقنعة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عبارته علی ما نقلت فی التهذیب لا ظهور لها ، لو لم نقل بظهورها فی خلافه ، والمعتبر لیس عندی ، وکیف کان لعل الأخبار لیس لها ظهور فی العموم إلاّ من جهة ترک الاستفصال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مثل هذا السؤال ظاهرا بالنسبة إلی صورة التعذّر ترکه ، وذلک لأنّ دفن المیت من ضروریات دیننا ، بل ودین الیهود والنصاری وأکثر الکفار الأخر أیضا ، فإذا کان متمکنا من الدفن ولا تعذّر فیه أصلا فبأی جهة یسأل أنّه کیف یصنع به؟ الا تری أنّه لو کان میتة فوق السطح أو الغرفة مثلا هل یسأل أنّه کیف یصنع به فی دفنه؟ ویدلّ علی ذلک أیضا قوله علیه السلام فی روایة سهل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الرجل فی السفینة</w:t>
      </w:r>
    </w:p>
    <w:p>
      <w:pPr>
        <w:pStyle w:val="Heading4"/>
        <w:numPr>
          <w:ilvl w:val="3"/>
          <w:numId w:val="1"/>
        </w:numPr>
        <w:rPr/>
      </w:pPr>
      <w:bookmarkStart w:id="274" w:name="__RefHeading___Toc2087607_388300464"/>
      <w:bookmarkStart w:id="275" w:name="_Toc109"/>
      <w:bookmarkEnd w:id="274"/>
      <w:r>
        <w:rPr>
          <w:rtl w:val="true"/>
        </w:rPr>
        <w:t>استحباب تحفّی النازل فی القبر وکشف رأسه</w:t>
      </w:r>
      <w:bookmarkEnd w:id="275"/>
    </w:p>
    <w:p>
      <w:pPr>
        <w:pStyle w:val="Heading3"/>
        <w:numPr>
          <w:ilvl w:val="2"/>
          <w:numId w:val="1"/>
        </w:numPr>
        <w:rPr/>
      </w:pPr>
      <w:bookmarkStart w:id="276" w:name="__RefHeading___Toc2087609_388300464"/>
      <w:bookmarkStart w:id="277" w:name="_Toc110"/>
      <w:bookmarkEnd w:id="276"/>
      <w:r>
        <w:rPr>
          <w:rtl w:val="true"/>
        </w:rPr>
        <w:t>فروض الدفن</w:t>
      </w:r>
      <w:bookmarkEnd w:id="277"/>
    </w:p>
    <w:p>
      <w:pPr>
        <w:pStyle w:val="Heading4"/>
        <w:numPr>
          <w:ilvl w:val="3"/>
          <w:numId w:val="1"/>
        </w:numPr>
        <w:rPr/>
      </w:pPr>
      <w:bookmarkStart w:id="278" w:name="__RefHeading___Toc2087611_388300464"/>
      <w:bookmarkStart w:id="279" w:name="_Toc111"/>
      <w:bookmarkEnd w:id="278"/>
      <w:r>
        <w:rPr>
          <w:rtl w:val="true"/>
        </w:rPr>
        <w:t>مواراة المیت</w:t>
      </w:r>
      <w:bookmarkEnd w:id="2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2087613_388300464"/>
      <w:bookmarkStart w:id="281" w:name="_Toc112"/>
      <w:bookmarkEnd w:id="280"/>
      <w:r>
        <w:rPr>
          <w:rtl w:val="true"/>
        </w:rPr>
        <w:t>کیفیّة دفن من مات فی البحر</w:t>
      </w:r>
      <w:bookmarkStart w:id="282" w:name="pg14966_204032"/>
      <w:bookmarkEnd w:id="281"/>
    </w:p>
    <w:p>
      <w:pPr>
        <w:pStyle w:val="BookText"/>
        <w:rPr/>
      </w:pPr>
      <w:bookmarkEnd w:id="282"/>
      <w:r>
        <w:rPr>
          <w:rFonts w:ascii="IRNazanin" w:hAnsi="IRNazanin" w:eastAsia="IRNazanin"/>
          <w:color w:val="111111"/>
          <w:sz w:val="28"/>
          <w:sz w:val="28"/>
          <w:szCs w:val="28"/>
          <w:rtl w:val="true"/>
          <w:lang w:bidi="fa-IR"/>
        </w:rPr>
        <w:t xml:space="preserve">ولم یقدر علی البرّ یکفن ویحنط فی ثوب ویرمی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البختری وإن کان فیها إطلاق ، إلاّ أنّ رجوعه إلی العموم محلّ تأمّل ، لما ذکر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إطلاقات هذه الأخبار لا یکافئ ما دل علی وجوب الدفن بحیث یرفع الید اختیارا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الاقتصار علی العمل بمضمونها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الاقتصار علیه یوجب الهتک المحرم المعلوم إلاّ نادرا ، لأنّ وجود الخابیة التی تفی بجسد المیت وتضمّه بحیث یوکأ رأسها ولا یتحقّق بالنسبة إلی المیت قطع عضو ولا کسره ، ولا خلاف حرمة أصلا ، ومع ذلک تکون تلک الخابیة لا حاجة إلیها ولا ضرورة فی إبقائها فی السفینة أصلا فی غایة الندرة ، ومع ذلک یوجب طرح أخبار کثیرة معمول بها عند الفقهاء ، منجبر ضعفها بالفتاوی منهم ، بل مثل المفید منهم أفتی بها خاصّة </w:t>
      </w:r>
      <w:r>
        <w:rPr>
          <w:rStyle w:val="FootnoteAnchor"/>
          <w:rtl w:val="true"/>
        </w:rPr>
        <w:footnoteReference w:id="244"/>
      </w:r>
      <w:r>
        <w:rPr>
          <w:rFonts w:ascii="IRNazanin" w:hAnsi="IRNazanin" w:eastAsia="IRNazanin"/>
          <w:color w:val="111111"/>
          <w:sz w:val="28"/>
          <w:sz w:val="28"/>
          <w:szCs w:val="28"/>
          <w:rtl w:val="true"/>
          <w:lang w:bidi="fa-IR"/>
        </w:rPr>
        <w:t>، إلاّ أن یکون مراده رحمه الله أنّ مع التمکن منها جمیعا یکون الاقتصار علی الخابیة أولی ، وعلی هذا لا بأس بما قاله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هذا الحکم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کان الوجوب أو الاستحباب فلا یرد علیه أنّ التأسّی والروایة التی ذکرها لا یدلاّن علی الوجوب ، مع أنّ فعلهم علیهم السلام وفعل المسلمین فی الأعصار والأمصار بعنوان الالتزام ظاهره الوجوب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 بالنبی والأئمّة صلوات الله علیهم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2087615_388300464"/>
      <w:bookmarkStart w:id="284" w:name="_Toc113"/>
      <w:bookmarkEnd w:id="283"/>
      <w:r>
        <w:rPr>
          <w:rtl w:val="true"/>
        </w:rPr>
        <w:t>اضجاع المیت علی جنبه الأیمن</w:t>
      </w:r>
      <w:bookmarkStart w:id="285" w:name="pg14966_204033"/>
      <w:bookmarkEnd w:id="284"/>
    </w:p>
    <w:p>
      <w:pPr>
        <w:pStyle w:val="BookText"/>
        <w:rPr/>
      </w:pPr>
      <w:bookmarkEnd w:id="285"/>
      <w:r>
        <w:rPr>
          <w:rFonts w:ascii="IRNazanin" w:hAnsi="IRNazanin" w:eastAsia="IRNazanin"/>
          <w:color w:val="111111"/>
          <w:sz w:val="28"/>
          <w:sz w:val="28"/>
          <w:szCs w:val="28"/>
          <w:rtl w:val="true"/>
          <w:lang w:bidi="fa-IR"/>
        </w:rPr>
        <w:t>بل صار ذلک شعار المسلمین والإسلام ، وهذا ظاهر فی الوجوب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أشیم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هذا الذی ضعّفه النجاشی ، بل هو موسی بن أشیم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الترقوة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بالنسبة إلی المستوی الخلقة ، وربما جوّز کونه أقل ما یتحقّق به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 ما رواه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دلیل الترقوة لا القامة ، بل ربما یدل علی عدم کونه قامة ، موافقا لما رواه السکونی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 بعضهم أحد الأئمّة علیهم السلام ، وهو مع عدم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وظهور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الاقتصار علی القامة ، وإدخال الثدی أیضا ، والظاهر أنّ دلیلهم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أسنده إلی سهل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هذا أنّه کلام سهل ، لکن الظاهر من الفقیه أنّه کلام المعصوم ، وربما وجد فی بعض الأخبار أنّه یحکی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یجلس فیه الجالس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المراد المستوی الخلقة أو المیت ، ولعل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لحّد 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ورد أنّ الباقر علیه السلام أوصی بأن یشقّ له ، مع التصریح بأنّ رسول الله صلی الله علیه و آله لحّد له </w:t>
      </w:r>
      <w:r>
        <w:rPr>
          <w:rStyle w:val="FootnoteAnchor"/>
          <w:rtl w:val="true"/>
        </w:rPr>
        <w:footnoteReference w:id="247"/>
      </w:r>
      <w:r>
        <w:rPr>
          <w:rFonts w:ascii="IRNazanin" w:hAnsi="IRNazanin" w:eastAsia="IRNazanin"/>
          <w:color w:val="111111"/>
          <w:sz w:val="28"/>
          <w:sz w:val="28"/>
          <w:szCs w:val="28"/>
          <w:rtl w:val="true"/>
          <w:lang w:bidi="fa-IR"/>
        </w:rPr>
        <w:t>، ولعله لکونه علیه السلام بادنا وأرض البقیع رخوة من</w:t>
      </w:r>
    </w:p>
    <w:p>
      <w:pPr>
        <w:pStyle w:val="Heading3"/>
        <w:numPr>
          <w:ilvl w:val="2"/>
          <w:numId w:val="1"/>
        </w:numPr>
        <w:rPr/>
      </w:pPr>
      <w:bookmarkStart w:id="286" w:name="__RefHeading___Toc2087617_388300464"/>
      <w:bookmarkStart w:id="287" w:name="_Toc114"/>
      <w:bookmarkEnd w:id="286"/>
      <w:r>
        <w:rPr>
          <w:rtl w:val="true"/>
        </w:rPr>
        <w:t>سنن الدفن</w:t>
      </w:r>
      <w:bookmarkEnd w:id="287"/>
    </w:p>
    <w:p>
      <w:pPr>
        <w:pStyle w:val="Heading4"/>
        <w:numPr>
          <w:ilvl w:val="3"/>
          <w:numId w:val="1"/>
        </w:numPr>
        <w:rPr/>
      </w:pPr>
      <w:bookmarkStart w:id="288" w:name="__RefHeading___Toc2087619_388300464"/>
      <w:bookmarkStart w:id="289" w:name="_Toc115"/>
      <w:bookmarkEnd w:id="288"/>
      <w:r>
        <w:rPr>
          <w:rtl w:val="true"/>
        </w:rPr>
        <w:t>موسی بن أشیم ضعّفه النجاشی</w:t>
      </w:r>
      <w:bookmarkEnd w:id="289"/>
    </w:p>
    <w:p>
      <w:pPr>
        <w:pStyle w:val="Heading4"/>
        <w:numPr>
          <w:ilvl w:val="3"/>
          <w:numId w:val="1"/>
        </w:numPr>
        <w:rPr/>
      </w:pPr>
      <w:bookmarkStart w:id="290" w:name="__RefHeading___Toc2087621_388300464"/>
      <w:bookmarkStart w:id="291" w:name="_Toc116"/>
      <w:bookmarkEnd w:id="290"/>
      <w:r>
        <w:rPr>
          <w:rtl w:val="true"/>
        </w:rPr>
        <w:t>حفر القبر إلی الترقوة</w:t>
      </w:r>
      <w:bookmarkEnd w:id="2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2087623_388300464"/>
      <w:bookmarkStart w:id="293" w:name="_Toc117"/>
      <w:bookmarkEnd w:id="292"/>
      <w:r>
        <w:rPr>
          <w:rtl w:val="true"/>
        </w:rPr>
        <w:t>جعل اللحد للمیت</w:t>
      </w:r>
      <w:bookmarkStart w:id="294" w:name="pg14966_204034"/>
      <w:bookmarkEnd w:id="293"/>
    </w:p>
    <w:p>
      <w:pPr>
        <w:pStyle w:val="BookText"/>
        <w:rPr/>
      </w:pPr>
      <w:bookmarkEnd w:id="294"/>
      <w:r>
        <w:rPr>
          <w:rFonts w:ascii="IRNazanin" w:hAnsi="IRNazanin" w:eastAsia="IRNazanin"/>
          <w:color w:val="111111"/>
          <w:sz w:val="28"/>
          <w:sz w:val="28"/>
          <w:szCs w:val="28"/>
          <w:rtl w:val="true"/>
          <w:lang w:bidi="fa-IR"/>
        </w:rPr>
        <w:t>کثرة دفن الموتی ، کما هو المشاهد الآن ، أو للتقیة ، ولعله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رأسه ورجلیه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الأخبار حلّ جمیع العقد ، بل صریح بعض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مخالفة الخبر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 وهو رحمه الله ربما یطعن فی الخبر لمخالفته لما علیه الأصحاب مع أنّ الأصحاب عملوا بالخبر الصحیح ، وغیر الصحیح منجبر بعملهم ، وحمل بعض العلماء هذه الروایة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والإفساد غیر ضائر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مخالف لما ذکره فی بحث خروج النجاسة عن المیت بعد الغسل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إذن الشرع فیه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ثبت الإذن فلا کلام ، إنّما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تربة الحسین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دلالة علی فضل الدفن فی أرض کربلاء مع قطع النظر عن کونه فی جواره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یخفی ما فیه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غبار فی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الأکفّ والترجیع فی تلک الحالة ، ولم أقف فیها علی أثر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Heading4"/>
        <w:numPr>
          <w:ilvl w:val="3"/>
          <w:numId w:val="1"/>
        </w:numPr>
        <w:rPr/>
      </w:pPr>
      <w:bookmarkStart w:id="295" w:name="__RefHeading___Toc2087625_388300464"/>
      <w:bookmarkStart w:id="296" w:name="_Toc118"/>
      <w:bookmarkEnd w:id="295"/>
      <w:r>
        <w:rPr>
          <w:rtl w:val="true"/>
        </w:rPr>
        <w:t>حل عقد کفنه</w:t>
      </w:r>
      <w:bookmarkEnd w:id="296"/>
    </w:p>
    <w:p>
      <w:pPr>
        <w:pStyle w:val="Heading4"/>
        <w:numPr>
          <w:ilvl w:val="3"/>
          <w:numId w:val="1"/>
        </w:numPr>
        <w:rPr/>
      </w:pPr>
      <w:bookmarkStart w:id="297" w:name="__RefHeading___Toc2087627_388300464"/>
      <w:bookmarkStart w:id="298" w:name="_Toc119"/>
      <w:bookmarkEnd w:id="297"/>
      <w:r>
        <w:rPr>
          <w:rtl w:val="true"/>
        </w:rPr>
        <w:t>جعل تربة الحسین علیه السلام مع المیت</w:t>
      </w:r>
      <w:bookmarkEnd w:id="2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2087629_388300464"/>
      <w:bookmarkStart w:id="300" w:name="_Toc120"/>
      <w:bookmarkEnd w:id="299"/>
      <w:r>
        <w:rPr>
          <w:rtl w:val="true"/>
        </w:rPr>
        <w:t>إهالة الحاضرین التراب بظهور الأکف</w:t>
      </w:r>
      <w:bookmarkStart w:id="301" w:name="pg14966_204035"/>
      <w:bookmarkEnd w:id="300"/>
    </w:p>
    <w:p>
      <w:pPr>
        <w:pStyle w:val="BookText"/>
        <w:rPr/>
      </w:pPr>
      <w:bookmarkEnd w:id="301"/>
      <w:r>
        <w:rPr>
          <w:rFonts w:ascii="IRNazanin" w:hAnsi="IRNazanin" w:eastAsia="IRNazanin"/>
          <w:color w:val="111111"/>
          <w:sz w:val="28"/>
          <w:sz w:val="28"/>
          <w:szCs w:val="28"/>
          <w:rtl w:val="true"/>
          <w:lang w:bidi="fa-IR"/>
        </w:rPr>
        <w:t xml:space="preserve">روی الشیخ بسنده عن محمد بن الأصبغ ، عن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وهو فی جنازة ، فحثا التراب علی القبر بظهر کفّیه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لقوله تعالی وغیره من العمومات ، مع احتمال خصوص أثر لم نقف ، کما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أربع أصابع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بعض الأخبار أربع أصابع مضمومة </w:t>
      </w:r>
      <w:r>
        <w:rPr>
          <w:rStyle w:val="FootnoteAnchor"/>
          <w:rtl w:val="true"/>
        </w:rPr>
        <w:footnoteReference w:id="252"/>
      </w:r>
      <w:r>
        <w:rPr>
          <w:rFonts w:ascii="IRNazanin" w:hAnsi="IRNazanin" w:eastAsia="IRNazanin"/>
          <w:color w:val="111111"/>
          <w:sz w:val="28"/>
          <w:sz w:val="28"/>
          <w:szCs w:val="28"/>
          <w:rtl w:val="true"/>
          <w:lang w:bidi="fa-IR"/>
        </w:rPr>
        <w:t xml:space="preserve">، لکن روایة المفرّجات صحیحة ومتعددة </w:t>
      </w:r>
      <w:r>
        <w:rPr>
          <w:rStyle w:val="FootnoteAnchor"/>
          <w:rtl w:val="true"/>
        </w:rPr>
        <w:footnoteReference w:id="253"/>
      </w:r>
      <w:r>
        <w:rPr>
          <w:rFonts w:ascii="IRNazanin" w:hAnsi="IRNazanin" w:eastAsia="IRNazanin"/>
          <w:color w:val="111111"/>
          <w:sz w:val="28"/>
          <w:sz w:val="28"/>
          <w:szCs w:val="28"/>
          <w:rtl w:val="true"/>
          <w:lang w:bidi="fa-IR"/>
        </w:rPr>
        <w:t>، علی ما هو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تنازع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فی ما ذکرته ، أو فی الإمامة بظهور کونک 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حسن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عموم ما دل علی رجحان استقبال القبلة یرجّح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ولأنّ الشیخ سیذکر عنه ورود الروایة بجواز النقل بعد الدفن </w:t>
      </w:r>
      <w:r>
        <w:rPr>
          <w:rStyle w:val="FootnoteAnchor"/>
          <w:rtl w:val="true"/>
        </w:rPr>
        <w:footnoteReference w:id="254"/>
      </w:r>
      <w:r>
        <w:rPr>
          <w:rFonts w:ascii="IRNazanin" w:hAnsi="IRNazanin" w:eastAsia="IRNazanin"/>
          <w:color w:val="111111"/>
          <w:sz w:val="28"/>
          <w:sz w:val="28"/>
          <w:szCs w:val="28"/>
          <w:rtl w:val="true"/>
          <w:lang w:bidi="fa-IR"/>
        </w:rPr>
        <w:t>، فقبله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مثلة بالمیت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الدفن واجب اتفاقا ، کما مرّ ، وقد ارتکب الواجب ، والظاهر منه دوام المواراة بعد تحققها ، لأنّ النبی صلی الله علیه و آله لما أمر بالدفن الذی هو مواراته</w:t>
      </w:r>
    </w:p>
    <w:p>
      <w:pPr>
        <w:pStyle w:val="Heading4"/>
        <w:numPr>
          <w:ilvl w:val="3"/>
          <w:numId w:val="1"/>
        </w:numPr>
        <w:rPr/>
      </w:pPr>
      <w:bookmarkStart w:id="302" w:name="__RefHeading___Toc2087631_388300464"/>
      <w:bookmarkStart w:id="303" w:name="_Toc121"/>
      <w:bookmarkEnd w:id="302"/>
      <w:r>
        <w:rPr>
          <w:rtl w:val="true"/>
        </w:rPr>
        <w:t>رفع القبر مقدار أربع أصابع</w:t>
      </w:r>
      <w:bookmarkEnd w:id="303"/>
    </w:p>
    <w:p>
      <w:pPr>
        <w:pStyle w:val="Heading4"/>
        <w:numPr>
          <w:ilvl w:val="3"/>
          <w:numId w:val="1"/>
        </w:numPr>
        <w:rPr/>
      </w:pPr>
      <w:bookmarkStart w:id="304" w:name="__RefHeading___Toc2087633_388300464"/>
      <w:bookmarkStart w:id="305" w:name="_Toc122"/>
      <w:bookmarkEnd w:id="304"/>
      <w:r>
        <w:rPr>
          <w:rtl w:val="true"/>
        </w:rPr>
        <w:t>صب الماء علی القبر</w:t>
      </w:r>
      <w:bookmarkEnd w:id="305"/>
    </w:p>
    <w:p>
      <w:pPr>
        <w:pStyle w:val="Heading4"/>
        <w:numPr>
          <w:ilvl w:val="3"/>
          <w:numId w:val="1"/>
        </w:numPr>
        <w:rPr/>
      </w:pPr>
      <w:bookmarkStart w:id="306" w:name="__RefHeading___Toc2087635_388300464"/>
      <w:bookmarkStart w:id="307" w:name="_Toc123"/>
      <w:bookmarkEnd w:id="306"/>
      <w:r>
        <w:rPr>
          <w:rtl w:val="true"/>
        </w:rPr>
        <w:t>تلقین الولی المیت بعد انصراف الحاضرین</w:t>
      </w:r>
      <w:bookmarkEnd w:id="307"/>
    </w:p>
    <w:p>
      <w:pPr>
        <w:pStyle w:val="Heading4"/>
        <w:numPr>
          <w:ilvl w:val="3"/>
          <w:numId w:val="1"/>
        </w:numPr>
        <w:rPr/>
      </w:pPr>
      <w:bookmarkStart w:id="308" w:name="__RefHeading___Toc2087637_388300464"/>
      <w:bookmarkStart w:id="309" w:name="_Toc124"/>
      <w:bookmarkEnd w:id="308"/>
      <w:r>
        <w:rPr>
          <w:rtl w:val="true"/>
        </w:rPr>
        <w:t>نقل المیت إلی المشاهد الشریفة</w:t>
      </w:r>
      <w:bookmarkEnd w:id="309"/>
    </w:p>
    <w:p>
      <w:pPr>
        <w:pStyle w:val="Heading3"/>
        <w:numPr>
          <w:ilvl w:val="2"/>
          <w:numId w:val="1"/>
        </w:numPr>
        <w:rPr/>
      </w:pPr>
      <w:bookmarkStart w:id="310" w:name="__RefHeading___Toc2087639_388300464"/>
      <w:bookmarkStart w:id="311" w:name="_Toc125"/>
      <w:bookmarkEnd w:id="310"/>
      <w:r>
        <w:rPr>
          <w:rtl w:val="true"/>
        </w:rPr>
        <w:t>لواحق تتعلق</w:t>
      </w:r>
      <w:bookmarkEnd w:id="3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2087641_388300464"/>
      <w:bookmarkStart w:id="313" w:name="_Toc126"/>
      <w:bookmarkEnd w:id="312"/>
      <w:r>
        <w:rPr>
          <w:rtl w:val="true"/>
        </w:rPr>
        <w:t>بالدفن حرمة نبش القبر</w:t>
      </w:r>
      <w:bookmarkStart w:id="314" w:name="pg14966_204036"/>
      <w:bookmarkEnd w:id="313"/>
    </w:p>
    <w:p>
      <w:pPr>
        <w:pStyle w:val="BookText"/>
        <w:rPr/>
      </w:pPr>
      <w:bookmarkEnd w:id="314"/>
      <w:r>
        <w:rPr>
          <w:rFonts w:ascii="IRNazanin" w:hAnsi="IRNazanin" w:eastAsia="IRNazanin"/>
          <w:color w:val="111111"/>
          <w:sz w:val="28"/>
          <w:sz w:val="28"/>
          <w:szCs w:val="28"/>
          <w:rtl w:val="true"/>
          <w:lang w:bidi="fa-IR"/>
        </w:rPr>
        <w:t xml:space="preserve">فغیر خفیّ أنّ الظاهر منه دوام المواراة لا کونها أیّاما </w:t>
      </w:r>
      <w:r>
        <w:rPr>
          <w:rStyle w:val="FootnoteAnchor"/>
          <w:rtl w:val="true"/>
        </w:rPr>
        <w:footnoteReference w:id="25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علیهما فیجوز</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النصّ ، فإنّ العسکری علیه السلام شقّ ثوبه علی أبیه ، نقله فی الفقیه </w:t>
      </w:r>
      <w:r>
        <w:rPr>
          <w:rStyle w:val="FootnoteAnchor"/>
          <w:rtl w:val="true"/>
        </w:rPr>
        <w:footnoteReference w:id="256"/>
      </w:r>
      <w:r>
        <w:rPr>
          <w:rFonts w:ascii="IRNazanin" w:hAnsi="IRNazanin" w:eastAsia="IRNazanin"/>
          <w:color w:val="111111"/>
          <w:sz w:val="28"/>
          <w:sz w:val="28"/>
          <w:szCs w:val="28"/>
          <w:rtl w:val="true"/>
          <w:lang w:bidi="fa-IR"/>
        </w:rPr>
        <w:t xml:space="preserve">وموسی علی هارون ، والمعصوم علیه السلام احتجّ به علی فعله </w:t>
      </w:r>
      <w:r>
        <w:rPr>
          <w:rStyle w:val="FootnoteAnchor"/>
          <w:rtl w:val="true"/>
        </w:rPr>
        <w:footnoteReference w:id="257"/>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حسن فیه ، لوجود الروایة الموافقة للقاعدة الشرعیة ، وهی أن لا تهتک حرمة المیت ، بل ربما یکون أشدّ 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 یظهر من کلامه فی الأمالی أنّه قائل بالاستحباب </w:t>
      </w:r>
      <w:r>
        <w:rPr>
          <w:rStyle w:val="FootnoteAnchor"/>
          <w:rtl w:val="true"/>
        </w:rPr>
        <w:footnoteReference w:id="258"/>
      </w:r>
      <w:r>
        <w:rPr>
          <w:rFonts w:ascii="IRNazanin" w:hAnsi="IRNazanin" w:eastAsia="IRNazanin"/>
          <w:color w:val="111111"/>
          <w:sz w:val="28"/>
          <w:sz w:val="28"/>
          <w:szCs w:val="28"/>
          <w:rtl w:val="true"/>
          <w:lang w:bidi="fa-IR"/>
        </w:rPr>
        <w:t xml:space="preserve">، ونسبته إلی الإمامیة فیه تشعر بعدم قول والده والکلینی بالوجوب ، کما نسبه بعض إلیهما </w:t>
      </w:r>
      <w:r>
        <w:rPr>
          <w:rStyle w:val="FootnoteAnchor"/>
          <w:rtl w:val="true"/>
        </w:rPr>
        <w:footnoteReference w:id="259"/>
      </w:r>
      <w:r>
        <w:rPr>
          <w:rFonts w:ascii="IRNazanin" w:hAnsi="IRNazanin" w:eastAsia="IRNazanin"/>
          <w:color w:val="111111"/>
          <w:sz w:val="28"/>
          <w:sz w:val="28"/>
          <w:szCs w:val="28"/>
          <w:rtl w:val="true"/>
          <w:lang w:bidi="fa-IR"/>
        </w:rPr>
        <w:t>، لأنّ الکلینی رحمه الله أستاده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أنّ الشیخ رحمه الله فی الخلاف نقل الإجماع علی الاستحباب </w:t>
      </w:r>
      <w:r>
        <w:rPr>
          <w:rStyle w:val="FootnoteAnchor"/>
          <w:rtl w:val="true"/>
        </w:rPr>
        <w:footnoteReference w:id="260"/>
      </w:r>
      <w:r>
        <w:rPr>
          <w:rFonts w:ascii="IRNazanin" w:hAnsi="IRNazanin" w:eastAsia="IRNazanin"/>
          <w:color w:val="111111"/>
          <w:sz w:val="28"/>
          <w:sz w:val="28"/>
          <w:szCs w:val="28"/>
          <w:rtl w:val="true"/>
          <w:lang w:bidi="fa-IR"/>
        </w:rPr>
        <w:t xml:space="preserve">، بل ظاهر کلامه فی التهذیب أیضا مشعر بأنّ استحباب غسل الجمعة إجماعی </w:t>
      </w:r>
      <w:r>
        <w:rPr>
          <w:rStyle w:val="FootnoteAnchor"/>
          <w:rtl w:val="true"/>
        </w:rPr>
        <w:footnoteReference w:id="26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عبارته فی الفقیه لو بنیت علی ثبوت الحقیقة الشرعیّة فلا دلالة</w:t>
      </w:r>
    </w:p>
    <w:p>
      <w:pPr>
        <w:pStyle w:val="Heading4"/>
        <w:numPr>
          <w:ilvl w:val="3"/>
          <w:numId w:val="1"/>
        </w:numPr>
        <w:rPr/>
      </w:pPr>
      <w:bookmarkStart w:id="315" w:name="__RefHeading___Toc2087643_388300464"/>
      <w:bookmarkStart w:id="316" w:name="_Toc127"/>
      <w:bookmarkEnd w:id="315"/>
      <w:r>
        <w:rPr>
          <w:rtl w:val="true"/>
        </w:rPr>
        <w:t>حرمة شق الثوب علی غیر الأب والأخ</w:t>
      </w:r>
      <w:bookmarkEnd w:id="316"/>
    </w:p>
    <w:p>
      <w:pPr>
        <w:pStyle w:val="Heading4"/>
        <w:numPr>
          <w:ilvl w:val="3"/>
          <w:numId w:val="1"/>
        </w:numPr>
        <w:rPr/>
      </w:pPr>
      <w:bookmarkStart w:id="317" w:name="__RefHeading___Toc2087645_388300464"/>
      <w:bookmarkStart w:id="318" w:name="_Toc128"/>
      <w:bookmarkEnd w:id="317"/>
      <w:r>
        <w:rPr>
          <w:rtl w:val="true"/>
        </w:rPr>
        <w:t>حکم ما إذا ماتت الحامل دون الولد</w:t>
      </w:r>
      <w:bookmarkEnd w:id="318"/>
    </w:p>
    <w:p>
      <w:pPr>
        <w:pStyle w:val="Heading2"/>
        <w:numPr>
          <w:ilvl w:val="1"/>
          <w:numId w:val="1"/>
        </w:numPr>
        <w:rPr/>
      </w:pPr>
      <w:bookmarkStart w:id="319" w:name="__RefHeading___Toc2087647_388300464"/>
      <w:bookmarkStart w:id="320" w:name="_Toc129"/>
      <w:bookmarkEnd w:id="319"/>
      <w:r>
        <w:rPr>
          <w:rtl w:val="true"/>
        </w:rPr>
        <w:t>الأغسال المسنونة</w:t>
      </w:r>
      <w:bookmarkEnd w:id="320"/>
    </w:p>
    <w:p>
      <w:pPr>
        <w:pStyle w:val="Heading3"/>
        <w:numPr>
          <w:ilvl w:val="2"/>
          <w:numId w:val="1"/>
        </w:numPr>
        <w:rPr/>
      </w:pPr>
      <w:bookmarkStart w:id="321" w:name="__RefHeading___Toc2087649_388300464"/>
      <w:bookmarkStart w:id="322" w:name="_Toc130"/>
      <w:bookmarkEnd w:id="321"/>
      <w:r>
        <w:rPr>
          <w:rtl w:val="true"/>
        </w:rPr>
        <w:t>غسل الجمعة</w:t>
      </w:r>
      <w:bookmarkEnd w:id="3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2087651_388300464"/>
      <w:bookmarkStart w:id="324" w:name="_Toc131"/>
      <w:bookmarkEnd w:id="323"/>
      <w:r>
        <w:rPr>
          <w:rtl w:val="true"/>
        </w:rPr>
        <w:t xml:space="preserve">معنی قوله علیه السلام </w:t>
      </w:r>
      <w:r>
        <w:rPr>
          <w:rtl w:val="true"/>
        </w:rPr>
        <w:t xml:space="preserve">: </w:t>
      </w:r>
      <w:r>
        <w:rPr>
          <w:rtl w:val="true"/>
        </w:rPr>
        <w:t>غسل الجمعة سنة واجبة</w:t>
      </w:r>
      <w:bookmarkEnd w:id="324"/>
    </w:p>
    <w:p>
      <w:pPr>
        <w:pStyle w:val="BookText"/>
        <w:rPr/>
      </w:pPr>
      <w:r>
        <w:rPr>
          <w:rFonts w:ascii="IRNazanin" w:hAnsi="IRNazanin" w:eastAsia="IRNazanin"/>
          <w:color w:val="111111"/>
          <w:sz w:val="28"/>
          <w:sz w:val="28"/>
          <w:szCs w:val="28"/>
          <w:rtl w:val="true"/>
          <w:lang w:bidi="fa-IR"/>
        </w:rPr>
        <w:t xml:space="preserve">لها علی الوجوب ، لاحتمال کون السنّة حقیقة فی المعنی المصطلح علیه فی زمانه ، بل وظهور ذلک حینئذ ، فیکون ظاهرا فی الاستحباب سیّما بعد ملاحظة تقدیم لفظ السنّة علی الوجوب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مراده لو کان الوجوب لم یقید بالسنّة ، لأنّه یوهم خلاف المقصود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عدم ثبوت الحقیقة الشرعیة فی زمانه فعدم الدلالة ظاهر ، سیّما بعد التقیید والتقدیم ، وکون السنّة ظاهرة فی القدر المشترک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یخاف المسافر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ذلک مرسلة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فی سبعة عشر موطنا ، منها الفرض ثلاثة</w:t>
      </w:r>
      <w:r>
        <w:rPr>
          <w:rFonts w:eastAsia="IRNazanin" w:cs="IRNazanin"/>
          <w:color w:val="111111"/>
          <w:sz w:val="28"/>
          <w:szCs w:val="28"/>
          <w:rtl w:val="true"/>
          <w:lang w:bidi="fa-IR"/>
        </w:rPr>
        <w:t xml:space="preserve">. » </w:t>
      </w:r>
      <w:r>
        <w:rPr>
          <w:rStyle w:val="FootnoteAnchor"/>
          <w:rtl w:val="true"/>
        </w:rPr>
        <w:footnoteReference w:id="262"/>
      </w:r>
      <w:r>
        <w:rPr>
          <w:rFonts w:ascii="IRNazanin" w:hAnsi="IRNazanin" w:eastAsia="IRNazanin"/>
          <w:color w:val="111111"/>
          <w:sz w:val="28"/>
          <w:sz w:val="28"/>
          <w:szCs w:val="28"/>
          <w:rtl w:val="true"/>
          <w:lang w:bidi="fa-IR"/>
        </w:rPr>
        <w:t>مشیرا إلی غسل الجنابة ومسّ المیت والإحرام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والأخیران غیر ظاهرین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عیون الأخبار أیضا أنّه کتب إلی المأمون من محض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الجمعة سنّة ، وغسل العیدین ودخول مکة والمدینة والزیارة والإحرام ، وأوّل لیلة من شهر رمضان وسبعة عشر وتسعة عشر وإحدی وعشرین وثلاثة وعشرین ، وهذه الأغسال سنّة ، وغسل الجنابة فریضة ، وغسل الحیض مثله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عدم التزام الشیعة فی الأعصار والأمصار التزامهم للفریضة ، </w:t>
      </w:r>
    </w:p>
    <w:p>
      <w:pPr>
        <w:pStyle w:val="BookText"/>
        <w:rPr/>
      </w:pPr>
      <w:r>
        <w:rPr>
          <w:rFonts w:ascii="IRNazanin" w:hAnsi="IRNazanin" w:eastAsia="IRNazanin"/>
          <w:color w:val="111111"/>
          <w:sz w:val="28"/>
          <w:sz w:val="28"/>
          <w:szCs w:val="28"/>
          <w:rtl w:val="true"/>
          <w:lang w:bidi="fa-IR"/>
        </w:rPr>
        <w:t>وسیّما النساء ، بل وعدم شهرة الفتوی منهم ، بل وشهرة الفتوی بخلافه ، بل وعدم ظهور قائل بالوجوب منهم ، بل وظهور العدم ، ونقلوا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ورود لفظ الوجوب فی أخبار کثیرة غایة الکثرة ، وکثیر منها صحاح ومن الأجلّة المشاهیر ، سیّما وورد فی بعضها الأمر بالإعادة والقضاء والاستغفار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أیضا روایة علی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العیدین أواجب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فی اللغة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 ولعل مراده أنّ الوجوب یقتضی بظاهره تأدیته بعبارة واضحة حتی یفهم منها اللزوم والتشدید فیلتزم ، لا بعبارة هی قدر مشترک بین الوجوب والاستحباب ، فإنّ الظاهر أنّ مثل هذه العبارة یؤدّی الاستحباب ، ولا یکتفی فی الوجوب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عن تحتم فعله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بحسب الظاهر لا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مأخذ حکمه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ظهور أنّ فی القرآن وظاهره لا مأخذ له أصلا ، فکیف یخفی علی مثل هذین الفقیهین الجلیلین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تقدیر لفظ المأخذ فی العبارة خلاف الأصل ، والظاهر ، والمتعارف السؤال عن الحکم الشرعی ، کما هو الطریقة فی جمیع المواضع ، ولذا ما استفصل المعصوم علیه السلام بأنّ مرادک من السؤال أیّ شی‌ء هو؟ </w:t>
      </w:r>
      <w:bookmarkStart w:id="325" w:name="pg14966_204039"/>
    </w:p>
    <w:p>
      <w:pPr>
        <w:pStyle w:val="BookText"/>
        <w:rPr/>
      </w:pPr>
      <w:bookmarkEnd w:id="325"/>
      <w:r>
        <w:rPr>
          <w:rFonts w:ascii="IRNazanin" w:hAnsi="IRNazanin" w:eastAsia="IRNazanin"/>
          <w:color w:val="111111"/>
          <w:sz w:val="28"/>
          <w:sz w:val="28"/>
          <w:szCs w:val="28"/>
          <w:rtl w:val="true"/>
          <w:lang w:bidi="fa-IR"/>
        </w:rPr>
        <w:t xml:space="preserve">مع أنّ السؤال لو کان عن المأخذ کان المناسب فی الجواب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 لا من الکتاب ، لا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ولیس بفریضة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الاستثناء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یناسب الجواب عن مأخذ الحکم ، ویؤیّده أیضا ضمّ غسل الأضحی والفطر فی روایة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للحثّ العظیم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عبّروا بعبارات ملزمة وألفاظ موجبة ، کیلا یسامح فی هذا الخطب الجسیم والفوز العظیم ، فإنّه وإن لم یکن فی ترکه العقاب لکن یکون فی ترکه العتاب وما یقرب من العقاب من البعد عن رحمته والطرد عن ألطافه ، ومراتب المطلوبیة متفاوتة شدّة وضعفا ، فربما یصل إلی حدّ یقرب مطلوبیة الواجب ولکن لا یصله ، ومثل هذا أیضا ما کانوا علیهم السلام یرخّصون فی ترکه بل وربما یحذّرون عن ترکه کیلا تقع المسامحة فتتحقّق المحرومیة عن سبب المصلحة العظیمة ، بل وربما تکون المفسدة فی ترکه ، ولا تکون المفسدة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أتمّ صلاة الفریضة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هذا الخبر ظهور فی استحبابه وعدم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یوبّخ الرجل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ظاهر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فراغک من الغسل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یدل علی استحباب کونه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لیوم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الروایة رواها الکلینی والصدوق فی الفقیه مع ضمانهما صحة ما نقلاه فی کتابیهما ، مع أنّها مستندة إلی أبی الحسن موسی علیه السلام حیث قالتا</w:t>
      </w:r>
    </w:p>
    <w:p>
      <w:pPr>
        <w:pStyle w:val="Heading3"/>
        <w:numPr>
          <w:ilvl w:val="2"/>
          <w:numId w:val="1"/>
        </w:numPr>
        <w:rPr/>
      </w:pPr>
      <w:bookmarkStart w:id="326" w:name="__RefHeading___Toc2087653_388300464"/>
      <w:bookmarkStart w:id="327" w:name="_Toc132"/>
      <w:bookmarkEnd w:id="326"/>
      <w:r>
        <w:rPr>
          <w:rtl w:val="true"/>
        </w:rPr>
        <w:t>وقت غسل الجمعة</w:t>
      </w:r>
      <w:bookmarkEnd w:id="3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2087655_388300464"/>
      <w:bookmarkStart w:id="329" w:name="_Toc133"/>
      <w:bookmarkEnd w:id="328"/>
      <w:r>
        <w:rPr>
          <w:rtl w:val="true"/>
        </w:rPr>
        <w:t>جواز تقدیمه یوم الخمیس لمن خاف عوز الماء</w:t>
      </w:r>
      <w:bookmarkStart w:id="330" w:name="pg14966_204040"/>
      <w:bookmarkEnd w:id="329"/>
    </w:p>
    <w:p>
      <w:pPr>
        <w:pStyle w:val="BookText"/>
        <w:rPr/>
      </w:pPr>
      <w:bookmarkEnd w:id="330"/>
      <w:r>
        <w:rPr>
          <w:rFonts w:ascii="IRNazanin" w:hAnsi="IRNazanin" w:eastAsia="IRNazanin"/>
          <w:color w:val="111111"/>
          <w:sz w:val="28"/>
          <w:sz w:val="28"/>
          <w:szCs w:val="28"/>
          <w:rtl w:val="true"/>
          <w:lang w:bidi="fa-IR"/>
        </w:rPr>
        <w:t>کنا مع أبی الحسن علیه السلام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علیه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یکفی لکونه دلیلا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وقضاؤه یوم السبت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فاتک الغسل یوم الجمعة قضیت یوم السبت ، أو بعده من أیّام الجمعة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لإخلال المصنّف بذلک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وتأمّل بعض فی القضاء لیلة السبت </w:t>
      </w:r>
      <w:r>
        <w:rPr>
          <w:rStyle w:val="FootnoteAnchor"/>
          <w:rtl w:val="true"/>
        </w:rPr>
        <w:footnoteReference w:id="267"/>
      </w:r>
      <w:r>
        <w:rPr>
          <w:rFonts w:ascii="IRNazanin" w:hAnsi="IRNazanin" w:eastAsia="IRNazanin"/>
          <w:color w:val="111111"/>
          <w:sz w:val="28"/>
          <w:sz w:val="28"/>
          <w:szCs w:val="28"/>
          <w:rtl w:val="true"/>
          <w:lang w:bidi="fa-IR"/>
        </w:rPr>
        <w:t>، لعدم النص ، بل وربما یظهر من الروایتین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فیه علی نصّ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ویظهر من نهایة العلاّمة أنّ فیه نصّا </w:t>
      </w:r>
      <w:r>
        <w:rPr>
          <w:rStyle w:val="FootnoteAnchor"/>
          <w:rtl w:val="true"/>
        </w:rPr>
        <w:footnoteReference w:id="268"/>
      </w:r>
      <w:r>
        <w:rPr>
          <w:rFonts w:ascii="IRNazanin" w:hAnsi="IRNazanin" w:eastAsia="IRNazanin"/>
          <w:color w:val="111111"/>
          <w:sz w:val="28"/>
          <w:sz w:val="28"/>
          <w:szCs w:val="28"/>
          <w:rtl w:val="true"/>
          <w:lang w:bidi="fa-IR"/>
        </w:rPr>
        <w:t xml:space="preserve">، والنص موجود ذکره ابن طاوس فی إقباله </w:t>
      </w:r>
      <w:r>
        <w:rPr>
          <w:rStyle w:val="FootnoteAnchor"/>
          <w:rtl w:val="true"/>
        </w:rPr>
        <w:footnoteReference w:id="269"/>
      </w:r>
      <w:r>
        <w:rPr>
          <w:rFonts w:ascii="IRNazanin" w:hAnsi="IRNazanin" w:eastAsia="IRNazanin"/>
          <w:color w:val="111111"/>
          <w:sz w:val="28"/>
          <w:sz w:val="28"/>
          <w:szCs w:val="28"/>
          <w:rtl w:val="true"/>
          <w:lang w:bidi="fa-IR"/>
        </w:rPr>
        <w:t xml:space="preserve">، وکذا النص فی استحبابه فی فرادی شهر رمضان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أصالة البراءة ممّا لم یثبت وجوبه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والإجماع الذی نقله الشیخ ، وما رواه فی العیون أنّ الرضا علیه السلام کتب إلی المأمون من محض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وغسل الجمعة سنّة ، وغسل العیدین ودخول مکة والمدینة ، والزیارة والإحرام ، وأوّل لیلة من شهر رمضان ، وسبعة عشر ، وتسعة عشر وإحدی وعشرین ، وثلاث وعشرین ، وهذه</w:t>
      </w:r>
    </w:p>
    <w:p>
      <w:pPr>
        <w:pStyle w:val="Heading3"/>
        <w:numPr>
          <w:ilvl w:val="2"/>
          <w:numId w:val="1"/>
        </w:numPr>
        <w:rPr/>
      </w:pPr>
      <w:bookmarkStart w:id="331" w:name="__RefHeading___Toc2087657_388300464"/>
      <w:bookmarkStart w:id="332" w:name="_Toc134"/>
      <w:bookmarkEnd w:id="331"/>
      <w:r>
        <w:rPr>
          <w:rtl w:val="true"/>
        </w:rPr>
        <w:t>جواز قضائه یوم السبت</w:t>
      </w:r>
      <w:bookmarkEnd w:id="332"/>
    </w:p>
    <w:p>
      <w:pPr>
        <w:pStyle w:val="Heading3"/>
        <w:numPr>
          <w:ilvl w:val="2"/>
          <w:numId w:val="1"/>
        </w:numPr>
        <w:rPr/>
      </w:pPr>
      <w:bookmarkStart w:id="333" w:name="__RefHeading___Toc2087659_388300464"/>
      <w:bookmarkStart w:id="334" w:name="_Toc135"/>
      <w:bookmarkEnd w:id="333"/>
      <w:r>
        <w:rPr>
          <w:rtl w:val="true"/>
        </w:rPr>
        <w:t>غسل لیلة النصف من شهر مضان</w:t>
      </w:r>
      <w:bookmarkEnd w:id="334"/>
    </w:p>
    <w:p>
      <w:pPr>
        <w:pStyle w:val="Heading3"/>
        <w:numPr>
          <w:ilvl w:val="2"/>
          <w:numId w:val="1"/>
        </w:numPr>
        <w:rPr/>
      </w:pPr>
      <w:bookmarkStart w:id="335" w:name="__RefHeading___Toc2087661_388300464"/>
      <w:bookmarkStart w:id="336" w:name="_Toc136"/>
      <w:bookmarkEnd w:id="335"/>
      <w:r>
        <w:rPr>
          <w:rtl w:val="true"/>
        </w:rPr>
        <w:t>غسل لیالی فرادی شهر رمضان</w:t>
      </w:r>
      <w:bookmarkEnd w:id="3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2087663_388300464"/>
      <w:bookmarkStart w:id="338" w:name="_Toc137"/>
      <w:bookmarkEnd w:id="337"/>
      <w:r>
        <w:rPr>
          <w:rtl w:val="true"/>
        </w:rPr>
        <w:t>غسل الإحرام</w:t>
      </w:r>
      <w:bookmarkStart w:id="339" w:name="pg14966_204041"/>
      <w:bookmarkEnd w:id="338"/>
    </w:p>
    <w:p>
      <w:pPr>
        <w:pStyle w:val="BookText"/>
        <w:rPr/>
      </w:pPr>
      <w:bookmarkEnd w:id="339"/>
      <w:r>
        <w:rPr>
          <w:rFonts w:ascii="IRNazanin" w:hAnsi="IRNazanin" w:eastAsia="IRNazanin"/>
          <w:color w:val="111111"/>
          <w:sz w:val="28"/>
          <w:sz w:val="28"/>
          <w:szCs w:val="28"/>
          <w:rtl w:val="true"/>
          <w:lang w:bidi="fa-IR"/>
        </w:rPr>
        <w:t xml:space="preserve">الأغسال سنّة ، وغسل الجنابة فریضة ، وغسل الحیض مثله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عیسی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ضعف فیه ، کما حقّق فی موضعه ، وکذا لا ضرر من جهة عدم عمل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زیارة النبی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الکافی فی الصحیح عن ابن عمار عن الصادق علیه السلام أنّه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من الجنابة ، ویوم الجمعة ، والعیدین وحین تحرم ، وحین تدخل مکة والمدینة ، ویوم عرفة ، ویوم تزور البیت ، وحین تدخل الکعبة</w:t>
      </w:r>
      <w:r>
        <w:rPr>
          <w:rFonts w:eastAsia="IRNazanin" w:cs="IRNazanin"/>
          <w:color w:val="111111"/>
          <w:sz w:val="28"/>
          <w:szCs w:val="28"/>
          <w:rtl w:val="true"/>
          <w:lang w:bidi="fa-IR"/>
        </w:rPr>
        <w:t xml:space="preserve">. » </w:t>
      </w:r>
      <w:r>
        <w:rPr>
          <w:rStyle w:val="FootnoteAnchor"/>
          <w:rtl w:val="true"/>
        </w:rPr>
        <w:footnoteReference w:id="272"/>
      </w:r>
      <w:r>
        <w:rPr>
          <w:rFonts w:ascii="IRNazanin" w:hAnsi="IRNazanin" w:eastAsia="IRNazanin"/>
          <w:color w:val="111111"/>
          <w:sz w:val="28"/>
          <w:sz w:val="28"/>
          <w:szCs w:val="28"/>
          <w:rtl w:val="true"/>
          <w:lang w:bidi="fa-IR"/>
        </w:rPr>
        <w:t>الحدیث ، وصحیحة ابن مسلم وروایة سماعة أیضا بهذا السیاق ، إلاّ أنّه لیس فیهما التصریح بلفظ البیت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الزیارة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منها أنّ المراد زیارة البیت ، وکذا من روایة سماعة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الغسل لأجل زیارتهم صلوات الله علیهم لا تأمّل فی ورود النصّ به ، کما ذکر فی کتب المزار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مرسلة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یضر بعد الانجبار بعمل الأصحاب ، کما هو مسلّم عنده أیضا ، هذا مع التسامح فی أدلّة السنن ، وهو أیضا مسلّم عنده ، والعموم یظهر من العلّة المذکورة فیها</w:t>
      </w:r>
      <w:r>
        <w:rPr>
          <w:rFonts w:eastAsia="IRNazanin" w:cs="IRNazanin"/>
          <w:color w:val="111111"/>
          <w:sz w:val="28"/>
          <w:szCs w:val="28"/>
          <w:rtl w:val="true"/>
          <w:lang w:bidi="fa-IR"/>
        </w:rPr>
        <w:t>.</w:t>
      </w:r>
    </w:p>
    <w:p>
      <w:pPr>
        <w:pStyle w:val="Heading3"/>
        <w:numPr>
          <w:ilvl w:val="2"/>
          <w:numId w:val="1"/>
        </w:numPr>
        <w:rPr/>
      </w:pPr>
      <w:bookmarkStart w:id="340" w:name="__RefHeading___Toc2087665_388300464"/>
      <w:bookmarkStart w:id="341" w:name="_Toc138"/>
      <w:bookmarkEnd w:id="340"/>
      <w:r>
        <w:rPr>
          <w:rtl w:val="true"/>
        </w:rPr>
        <w:t>بحث رجالی حول محمّد بن عیسی</w:t>
      </w:r>
      <w:bookmarkEnd w:id="341"/>
    </w:p>
    <w:p>
      <w:pPr>
        <w:pStyle w:val="Heading3"/>
        <w:numPr>
          <w:ilvl w:val="2"/>
          <w:numId w:val="1"/>
        </w:numPr>
        <w:rPr/>
      </w:pPr>
      <w:bookmarkStart w:id="342" w:name="__RefHeading___Toc2087667_388300464"/>
      <w:bookmarkStart w:id="343" w:name="_Toc139"/>
      <w:bookmarkEnd w:id="342"/>
      <w:r>
        <w:rPr>
          <w:rtl w:val="true"/>
        </w:rPr>
        <w:t>غسل زیارة النبی صلی الله علیه و آله والأئمة علیهم السلام</w:t>
      </w:r>
      <w:bookmarkEnd w:id="3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2087669_388300464"/>
      <w:bookmarkStart w:id="345" w:name="_Toc140"/>
      <w:bookmarkEnd w:id="344"/>
      <w:r>
        <w:rPr>
          <w:rtl w:val="true"/>
        </w:rPr>
        <w:t>غسل التوبة</w:t>
      </w:r>
      <w:bookmarkStart w:id="346" w:name="pg14966_204042"/>
      <w:bookmarkEnd w:id="345"/>
    </w:p>
    <w:p>
      <w:pPr>
        <w:pStyle w:val="BookText"/>
        <w:rPr/>
      </w:pPr>
      <w:bookmarkEnd w:id="34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أنّ الغسل خیر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بدّ من دلیل یدل علی کونه فی نفسه خیرا ، وقد مرّ الکلام فی صدر الکتاب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تجب الثلاثة بنذر وشبهة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فیها بنیّة القربة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استحقاق الثواب مع عدم قصد المستحب وعدم فعله بقصد الامتثال ، أو لله تعالی ، تأمّل ظاهر ، وقد مرّ الکلام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وموافقة لفتوی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ولاحتمال حقیّة الروایة وصدقها ، والتجنب عن الشبهات مطلوب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ذلک أطلق الواجب فیها علی کثیر ممّا لیس بواجب قطعا ، فیحصل منه وهن آخر فی الاستدلال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ضیق الوقت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هذا أیضا داخل ، لما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المنتهی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والتذکرة ، وابن زهرة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الوجدان لا یتحقق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عدم الإصابة حین الطلب وبعد الفراغ منه یکفی لصدق</w:t>
      </w:r>
    </w:p>
    <w:p>
      <w:pPr>
        <w:pStyle w:val="Heading3"/>
        <w:numPr>
          <w:ilvl w:val="2"/>
          <w:numId w:val="1"/>
        </w:numPr>
        <w:rPr/>
      </w:pPr>
      <w:bookmarkStart w:id="347" w:name="__RefHeading___Toc2087671_388300464"/>
      <w:bookmarkStart w:id="348" w:name="_Toc141"/>
      <w:bookmarkEnd w:id="347"/>
      <w:r>
        <w:rPr>
          <w:rtl w:val="true"/>
        </w:rPr>
        <w:t>مسائل</w:t>
      </w:r>
      <w:bookmarkEnd w:id="348"/>
    </w:p>
    <w:p>
      <w:pPr>
        <w:pStyle w:val="Heading4"/>
        <w:numPr>
          <w:ilvl w:val="3"/>
          <w:numId w:val="1"/>
        </w:numPr>
        <w:rPr/>
      </w:pPr>
      <w:bookmarkStart w:id="349" w:name="__RefHeading___Toc2087673_388300464"/>
      <w:bookmarkStart w:id="350" w:name="_Toc142"/>
      <w:bookmarkEnd w:id="349"/>
      <w:r>
        <w:rPr>
          <w:rtl w:val="true"/>
        </w:rPr>
        <w:t>کلمة فی تداخل الأغسال</w:t>
      </w:r>
      <w:bookmarkEnd w:id="350"/>
    </w:p>
    <w:p>
      <w:pPr>
        <w:pStyle w:val="Heading4"/>
        <w:numPr>
          <w:ilvl w:val="3"/>
          <w:numId w:val="1"/>
        </w:numPr>
        <w:rPr/>
      </w:pPr>
      <w:bookmarkStart w:id="351" w:name="__RefHeading___Toc2087675_388300464"/>
      <w:bookmarkStart w:id="352" w:name="_Toc143"/>
      <w:bookmarkEnd w:id="351"/>
      <w:r>
        <w:rPr>
          <w:rtl w:val="true"/>
        </w:rPr>
        <w:t>حکم غسل السعی لرؤیة المصلوب</w:t>
      </w:r>
      <w:bookmarkEnd w:id="352"/>
    </w:p>
    <w:p>
      <w:pPr>
        <w:pStyle w:val="Heading4"/>
        <w:numPr>
          <w:ilvl w:val="3"/>
          <w:numId w:val="1"/>
        </w:numPr>
        <w:rPr/>
      </w:pPr>
      <w:bookmarkStart w:id="353" w:name="__RefHeading___Toc2087677_388300464"/>
      <w:bookmarkStart w:id="354" w:name="_Toc144"/>
      <w:bookmarkEnd w:id="353"/>
      <w:r>
        <w:rPr>
          <w:rtl w:val="true"/>
        </w:rPr>
        <w:t>حکم غسل المولود حین ولادته</w:t>
      </w:r>
      <w:bookmarkEnd w:id="354"/>
    </w:p>
    <w:p>
      <w:pPr>
        <w:pStyle w:val="Heading2"/>
        <w:numPr>
          <w:ilvl w:val="1"/>
          <w:numId w:val="1"/>
        </w:numPr>
        <w:rPr/>
      </w:pPr>
      <w:bookmarkStart w:id="355" w:name="__RefHeading___Toc2087679_388300464"/>
      <w:bookmarkStart w:id="356" w:name="_Toc145"/>
      <w:bookmarkEnd w:id="355"/>
      <w:r>
        <w:rPr>
          <w:rtl w:val="true"/>
        </w:rPr>
        <w:t>التیمم</w:t>
      </w:r>
      <w:bookmarkEnd w:id="356"/>
    </w:p>
    <w:p>
      <w:pPr>
        <w:pStyle w:val="Heading3"/>
        <w:numPr>
          <w:ilvl w:val="2"/>
          <w:numId w:val="1"/>
        </w:numPr>
        <w:rPr/>
      </w:pPr>
      <w:bookmarkStart w:id="357" w:name="__RefHeading___Toc2087681_388300464"/>
      <w:bookmarkStart w:id="358" w:name="_Toc146"/>
      <w:bookmarkEnd w:id="357"/>
      <w:r>
        <w:rPr>
          <w:rtl w:val="true"/>
        </w:rPr>
        <w:t>مسوغات التیمم</w:t>
      </w:r>
      <w:bookmarkEnd w:id="3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2087683_388300464"/>
      <w:bookmarkStart w:id="360" w:name="_Toc147"/>
      <w:bookmarkEnd w:id="359"/>
      <w:r>
        <w:rPr>
          <w:rtl w:val="true"/>
        </w:rPr>
        <w:t>عدم وجدان الماء</w:t>
      </w:r>
      <w:bookmarkStart w:id="361" w:name="pg14966_204043"/>
      <w:bookmarkEnd w:id="360"/>
    </w:p>
    <w:p>
      <w:pPr>
        <w:pStyle w:val="BookText"/>
        <w:rPr/>
      </w:pPr>
      <w:bookmarkEnd w:id="361"/>
      <w:r>
        <w:rPr>
          <w:rFonts w:ascii="IRNazanin" w:hAnsi="IRNazanin" w:eastAsia="IRNazanin"/>
          <w:color w:val="111111"/>
          <w:sz w:val="28"/>
          <w:sz w:val="28"/>
          <w:szCs w:val="28"/>
          <w:rtl w:val="true"/>
          <w:lang w:bidi="fa-IR"/>
        </w:rPr>
        <w:t>عدم الوجدان ، وأنّ الطلب لا یجب أن یکون من أوّل الوقت إلی وقت خشیة فوت الفریضة ، بل یصدق بالطلب أوّل الوقت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عن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هذه وردت بإسناد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فلیطلب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مقتضاهما سقوط الطلب مع الخوف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روایة الرقّی وردت بطریق آخر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داود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فأطلب الماء یمینا وشمالا؟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 یمینا ولا شمالا ولا فی بئر ، إن وجدته فی الطریق فتوضّأ وإلاّ فامض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والتوجیه بالنسبة إلیه بعید ، إلاّ أنّ هذا الطریق أیضا ضعیف ، ووقوعها بالطریق الأوّل أیضا أوجب التزلزل وعدم الوثوق بظاهر ما ورد فی هذا الطریق ، بل ومظنّة أنّه سقط منه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أخاف علیک التخلف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الظاهر الإسقاط لا الازدیاد ، والظاهر أنّ الروایتین واحدة ، بل علی تقدیر التعدد أیضا یکون الظاهر إرادته ، جمعا بین الأخبار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لا یقاوم هذا ما ذکره من الإجماع والنص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 جدّا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وجه لهذه المبالغة فی التضعیف ، بل نفس التضعیف محلّ تأمّل ، بملاحظة ما ذکره الشیخ فی العدّة </w:t>
      </w:r>
      <w:r>
        <w:rPr>
          <w:rStyle w:val="FootnoteAnchor"/>
          <w:rtl w:val="true"/>
        </w:rPr>
        <w:footnoteReference w:id="280"/>
      </w:r>
      <w:r>
        <w:rPr>
          <w:rFonts w:ascii="IRNazanin" w:hAnsi="IRNazanin" w:eastAsia="IRNazanin"/>
          <w:color w:val="111111"/>
          <w:sz w:val="28"/>
          <w:sz w:val="28"/>
          <w:szCs w:val="28"/>
          <w:rtl w:val="true"/>
          <w:lang w:bidi="fa-IR"/>
        </w:rPr>
        <w:t>من أنّ الشیعة عملت بما رواه السکونی وأمثاله من الثقات فحکم بتوثیقه أیضا</w:t>
      </w:r>
      <w:r>
        <w:rPr>
          <w:rFonts w:eastAsia="IRNazanin" w:cs="IRNazanin"/>
          <w:color w:val="111111"/>
          <w:sz w:val="28"/>
          <w:szCs w:val="28"/>
          <w:rtl w:val="true"/>
          <w:lang w:bidi="fa-IR"/>
        </w:rPr>
        <w:t>.</w:t>
      </w:r>
    </w:p>
    <w:p>
      <w:pPr>
        <w:pStyle w:val="Heading4"/>
        <w:numPr>
          <w:ilvl w:val="3"/>
          <w:numId w:val="1"/>
        </w:numPr>
        <w:rPr/>
      </w:pPr>
      <w:bookmarkStart w:id="362" w:name="__RefHeading___Toc2087685_388300464"/>
      <w:bookmarkStart w:id="363" w:name="_Toc148"/>
      <w:bookmarkEnd w:id="362"/>
      <w:r>
        <w:rPr>
          <w:rtl w:val="true"/>
        </w:rPr>
        <w:t>وجوب طلب الماء ومقداره</w:t>
      </w:r>
      <w:bookmarkEnd w:id="3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2087687_388300464"/>
      <w:bookmarkStart w:id="365" w:name="_Toc149"/>
      <w:bookmarkEnd w:id="364"/>
      <w:r>
        <w:rPr>
          <w:rtl w:val="true"/>
        </w:rPr>
        <w:t>بحث رجالی حول السکونی</w:t>
      </w:r>
      <w:bookmarkEnd w:id="365"/>
    </w:p>
    <w:p>
      <w:pPr>
        <w:pStyle w:val="BookText"/>
        <w:rPr/>
      </w:pPr>
      <w:r>
        <w:rPr>
          <w:rFonts w:ascii="IRNazanin" w:hAnsi="IRNazanin" w:eastAsia="IRNazanin"/>
          <w:color w:val="111111"/>
          <w:sz w:val="28"/>
          <w:sz w:val="28"/>
          <w:szCs w:val="28"/>
          <w:rtl w:val="true"/>
          <w:lang w:bidi="fa-IR"/>
        </w:rPr>
        <w:t>مع أنّ ما ذکره ظاهر من طریقة الأصحاب ، إذ قلّ ما یکون باب من أبواب الفقه لم یرووا فیه حدیثا منه ، ومع ذلک عملوا به وتلقّوه بالقبول ، بل وربما رجّحوه علی الأخبار الصحاح والمعتبرة ، منه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بملاحظة ما ذکره ابن إدریس وغیره ربما یحصل أنّ هذا الخبر کان فی ذلک الزمان متواترا إلاّ أنّه ثبت بطریق واحد ، کما صرّح بنظائره المرتضی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أحادیث کتبنا هکذا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الضعف 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واضحة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حسنة فلم تثبت العدالة المشترطة المسلّمة عنده ، ولم ینجبر أیضا بعمل الأصحاب ، بل وعمل الأصحاب علی خلافها ، بل وعارضها الروایة التی عملوا بها ، مضافا إلی باقی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مرّ أنّ هذه الحسنة وردت بطریق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یعارضها ظواهر أخبار کثیرة صحاح ومعتبرة ، بل ویظهر من بعضها أنّ التأخیر مستحب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یمکن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الإمساک عن التیمم ابتغاء لحصول الماء والطهارة المائیة ، جمعا بین النسختین ، بل وجمعا بین الأدلة أیضا ، فتأمّل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للضرر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bookmarkStart w:id="366" w:name="pg14966_204045"/>
    </w:p>
    <w:p>
      <w:pPr>
        <w:pStyle w:val="BookText"/>
        <w:rPr/>
      </w:pPr>
      <w:bookmarkEnd w:id="366"/>
      <w:r>
        <w:rPr>
          <w:rFonts w:ascii="IRNazanin" w:hAnsi="IRNazanin" w:eastAsia="IRNazanin"/>
          <w:color w:val="111111"/>
          <w:sz w:val="28"/>
          <w:sz w:val="28"/>
          <w:szCs w:val="28"/>
          <w:rtl w:val="true"/>
          <w:lang w:bidi="fa-IR"/>
        </w:rPr>
        <w:t>هذا إذا لم یمکنهم أخذ الماء معهم ، وإذا أمکنهم فلا ضرر ، لکن إذا قصّروا ولم یأخذوا فلیتیمّموا ولیصلّوا ، وأعادوا إذا تطهروا بالماء احتیاطا ، لما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روایة السکونی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والمفتی به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284"/>
      </w:r>
      <w:r>
        <w:rPr>
          <w:rFonts w:ascii="IRNazanin" w:hAnsi="IRNazanin" w:eastAsia="IRNazanin"/>
          <w:color w:val="111111"/>
          <w:sz w:val="28"/>
          <w:sz w:val="28"/>
          <w:szCs w:val="28"/>
          <w:rtl w:val="true"/>
          <w:lang w:bidi="fa-IR"/>
        </w:rPr>
        <w:t>أراد الإجزاء بالقیاس إلی القضاء فهو مسلّم وإن أراد بالنسبة إلی الإعادة فی الوقت أیضا فمشکل ، لعدم ثبوت الخروج عن عهدة التکلیف الثابت من العمومات الدالة علی وجوب الصلاة مع الطهارة المائیة مع الإمکان فی الوقت ، بمجرد تقصیره فی الطلب وخطائه فی ظنّه تضیّق الوقت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 حتی ضاق الوقت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التقیید بالإهمال مشعر بأنّه مع عدم الإهمال والتقصیر لو اتفق کذلک یکون الواجب علیه التیمم من دون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ضعف سندها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 </w:t>
      </w:r>
      <w:r>
        <w:rPr>
          <w:rStyle w:val="FootnoteAnchor"/>
          <w:rtl w:val="true"/>
        </w:rPr>
        <w:footnoteReference w:id="285"/>
      </w:r>
      <w:r>
        <w:rPr>
          <w:rFonts w:ascii="IRNazanin" w:hAnsi="IRNazanin" w:eastAsia="IRNazanin"/>
          <w:color w:val="111111"/>
          <w:sz w:val="28"/>
          <w:sz w:val="28"/>
          <w:szCs w:val="28"/>
          <w:rtl w:val="true"/>
          <w:lang w:bidi="fa-IR"/>
        </w:rPr>
        <w:t>مطابقة للعمومات الدالة علی التکلیف مع بقاء الوقت ، ومتأیّدة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2087689_388300464"/>
      <w:bookmarkStart w:id="368" w:name="_Toc150"/>
      <w:bookmarkEnd w:id="367"/>
      <w:r>
        <w:rPr>
          <w:rtl w:val="true"/>
        </w:rPr>
        <w:t>حکم من أخل بالطلب</w:t>
      </w:r>
      <w:bookmarkEnd w:id="368"/>
    </w:p>
    <w:p>
      <w:pPr>
        <w:pStyle w:val="BookText"/>
        <w:rPr/>
      </w:pPr>
      <w:r>
        <w:rPr>
          <w:rFonts w:ascii="IRNazanin" w:hAnsi="IRNazanin" w:eastAsia="IRNazanin"/>
          <w:color w:val="111111"/>
          <w:sz w:val="28"/>
          <w:sz w:val="28"/>
          <w:szCs w:val="28"/>
          <w:rtl w:val="true"/>
          <w:lang w:bidi="fa-IR"/>
        </w:rPr>
        <w:t>بما دلّ علی اعتبار الضیق فی التیمم ، فإن کان محل النزاع القضاء فالأمر کما ذکره ، وإلاّ فلا ، لما عرفت ، مع أنّ النسیان مشعر بالإخلال فی الطلب فی سعة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واجب مشروط بالطهارة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العلة بعینها جاریة فی المسألة السابقة المنقولة عن المنتهی من أنّه لو کان بقرب المکلف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المسألة ، لأنّه متمکن من استعمال الماء بالمشی إلیه ، سیّما إذا کان المشی إلیه بخطوات یسیرة ، غایة الأمر أنّه یخرج الوقت ، فإن کان خروجه مانعا من التمکن ففی ما نحن فیه أیضا کذلک ، بسبب أنّه لا یوجد دلیل شرعی یقتضی المانعیة ، سوی عموم ما دل علی وجوب مراعاة الوقت ، وحرمة فوت الصلاة وترکها حتی یخرج الوقت ، وإلاّ فیجب أن یمشی إلیه ویتطهر به ، لعدم عجزه عن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تقیید هذه المسألة بقید الإخلال بالاستعمال یؤذن بأنّه لو لم یخلّ بالاستعمال ولم یقصّر واتفق ضیق الوقت عن المائیة ، مثل أن کان نائما فاستیقظ فی ضیق الوقت وغیر ذلک من أمثال هذا المثال لکان الواجب علیه التیمم ، ولا یخفی عدم الفرق بین هذه الأمثلة وبین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المکلف واجد للماء متمکن من استعماله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نسلّم کونه متمکنا ، لأنّ عموم ما دل علی وجوب مراعاة الوقت </w:t>
      </w:r>
    </w:p>
    <w:p>
      <w:pPr>
        <w:pStyle w:val="BookText"/>
        <w:rPr/>
      </w:pPr>
      <w:r>
        <w:rPr>
          <w:rFonts w:ascii="IRNazanin" w:hAnsi="IRNazanin" w:eastAsia="IRNazanin"/>
          <w:color w:val="111111"/>
          <w:sz w:val="28"/>
          <w:sz w:val="28"/>
          <w:szCs w:val="28"/>
          <w:rtl w:val="true"/>
          <w:lang w:bidi="fa-IR"/>
        </w:rPr>
        <w:t>وحفظ الصلاة من الفوت والترک یمنع عن الاستعمال ، سیّما علی القول بأنّ القضاء فرض جدید ومستأنف ، کما هو الحق والمحقّق والمسلّم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وجوب الطهارة المائیة إنّما هو لأجل الصلاة ، کما هو الحق والمحقّق ، ولیس لها وجوب أصلا إلاّ من جهة فعلها وأدائها ، فلا معنی لترجیح إیجابها علی إیجاب الصلاة واختیار فعلها علی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القول بالوجوب لنفسه غیر خفی أنّ الوجوب موسّع لا یتضیّق إلاّ بتضیّق وقت العبادة أو ظن الموت ، فبتضیّق وقت العبادة یتضیّق ، فکیف یقدم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الصلاة أداء مضیّق ومعیّن لا تخییر فیه بینه وبین القضاء أصلا ، سیّما علی القول بأنّه فرض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تؤدّی الصلاة بنجاسة الثوب والبدن ، ومع عدم ستر العورة ، ومع عدم استقبال القبلة ، ومع عدم الاستقرار ، ومع غصبیة المکان ، إلی غیر ذلک ، وکذا تؤدّی مع عدم الحمد والسورة والرکوع والسجود وغیرهما من الأرکان والواجبات ، ویکتفی بتکبیرتین بدلا عن الرکعتین ، بل وترجمة التکبیرتین ، مع عدم استقبال القبلة وغیره من الشرائط ، کل ذلک صونا عن الفوات الذی هو الترک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وربما قیل بتقدیم الوقت علی مطلق الطهور أیضا </w:t>
      </w:r>
      <w:r>
        <w:rPr>
          <w:rStyle w:val="FootnoteAnchor"/>
          <w:rtl w:val="true"/>
        </w:rPr>
        <w:footnoteReference w:id="286"/>
      </w:r>
      <w:r>
        <w:rPr>
          <w:rFonts w:ascii="IRNazanin" w:hAnsi="IRNazanin" w:eastAsia="IRNazanin"/>
          <w:color w:val="111111"/>
          <w:sz w:val="28"/>
          <w:sz w:val="28"/>
          <w:szCs w:val="28"/>
          <w:rtl w:val="true"/>
          <w:lang w:bidi="fa-IR"/>
        </w:rPr>
        <w:t>، فعلی هذا کیف یقدم خصوص المائیة التی هی أحد الطهورین علی نفس الفوت والترک؟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کان یقدم لکان یقدم فی غیر هذه الصورة من صور التمکن </w:t>
      </w:r>
      <w:bookmarkStart w:id="369" w:name="pg14966_204048"/>
    </w:p>
    <w:p>
      <w:pPr>
        <w:pStyle w:val="BookText"/>
        <w:rPr/>
      </w:pPr>
      <w:bookmarkEnd w:id="369"/>
      <w:r>
        <w:rPr>
          <w:rFonts w:ascii="IRNazanin" w:hAnsi="IRNazanin" w:eastAsia="IRNazanin"/>
          <w:color w:val="111111"/>
          <w:sz w:val="28"/>
          <w:sz w:val="28"/>
          <w:szCs w:val="28"/>
          <w:rtl w:val="true"/>
          <w:lang w:bidi="fa-IR"/>
        </w:rPr>
        <w:t>من استعمال المائیة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بتتبع أحادیث باب التیمم یظهر ظهورا تاما أنّ اختیاره إنّما هو لئلاّ تخرج الصلاة عن وقتها ، ولا یتحقّق فوتها وترکها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ذکرنا اختار جلّ الفقهاء ومعظمهم الثانی ووافقوا العلاّمة ، هذا من المتأخّرین ، وأمّا القدماء فلم یظهر منهم رأیهم ، وکیف کان ، الجمع بین الأداء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بأنّ من خشی من لصّ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نظره فی هذا إلی الإجماع الذی سیذکره فی هذه المسألة عند ذکر المسوّغ الثالث ، وسیظهر أنّ المسوّغ هو خوف اللصّ مطلقا ، من غیر مدخلیة خصوص أخذ ما یجحف به ، وکذلک الکلام فی روایة یعقوب ، إلاّ أن یتمسک بالقیاس بطریق أولی ، وفیه ما فیه ، لأنّ الإجحاف هنا شرط وعدمه مانع وموجب للشراء والطهارة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فانحصر المستند فی فتوی الأصحاب وعموم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الآیة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الآیة ، وهو رحمه الله لم یجعل دلیلا أصلا ، وجعل الأخیرین مؤیّدین ، ولعل المجموع کاف دلیلا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ونظائر ذلک فلیلاحظ</w:t>
      </w:r>
      <w:r>
        <w:rPr>
          <w:rFonts w:eastAsia="IRNazanin" w:cs="IRNazanin"/>
          <w:color w:val="111111"/>
          <w:sz w:val="28"/>
          <w:szCs w:val="28"/>
          <w:rtl w:val="true"/>
          <w:lang w:bidi="fa-IR"/>
        </w:rPr>
        <w:t>.</w:t>
      </w:r>
    </w:p>
    <w:p>
      <w:pPr>
        <w:pStyle w:val="Heading4"/>
        <w:numPr>
          <w:ilvl w:val="3"/>
          <w:numId w:val="1"/>
        </w:numPr>
        <w:rPr/>
      </w:pPr>
      <w:bookmarkStart w:id="370" w:name="__RefHeading___Toc2087691_388300464"/>
      <w:bookmarkStart w:id="371" w:name="_Toc151"/>
      <w:bookmarkEnd w:id="370"/>
      <w:r>
        <w:rPr>
          <w:rtl w:val="true"/>
        </w:rPr>
        <w:t>عدم الوصول إلی الماء</w:t>
      </w:r>
      <w:bookmarkEnd w:id="3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2087693_388300464"/>
      <w:bookmarkStart w:id="373" w:name="_Toc152"/>
      <w:bookmarkEnd w:id="372"/>
      <w:r>
        <w:rPr>
          <w:rtl w:val="true"/>
        </w:rPr>
        <w:t>عدم وجوب شراء الماء إذا أضرّ فی الحال</w:t>
      </w:r>
      <w:bookmarkStart w:id="374" w:name="pg14966_204049"/>
      <w:bookmarkEnd w:id="373"/>
    </w:p>
    <w:p>
      <w:pPr>
        <w:pStyle w:val="BookText"/>
        <w:rPr/>
      </w:pPr>
      <w:bookmarkEnd w:id="374"/>
      <w:r>
        <w:rPr>
          <w:rFonts w:ascii="IRNazanin" w:hAnsi="IRNazanin" w:eastAsia="IRNazanin"/>
          <w:color w:val="111111"/>
          <w:sz w:val="28"/>
          <w:sz w:val="28"/>
          <w:szCs w:val="28"/>
          <w:rtl w:val="true"/>
          <w:lang w:bidi="fa-IR"/>
        </w:rPr>
        <w:t>ویمکن أن یکون نظر المصنف رحمه الله إلی عموم نفی الضرر ، کما یظهر من آخر کلامه ، إلاّ أنّه لا وجه حینئذ للتمسک بحکایة الخشیة من لصّ أخذ ما یجحف به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فی ید المالک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مقید بإمکان الاستعمال ، بأن لا تخرج الصلاة عن الوقت ولا تفوت بسبب استعماله ، ومرّ وجه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غضاضة فیه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بالقیاس إلی ضیاع المال من جهة اللصّ تمام ، لکن کلام المصنّف أعم من ذلک ، وکذا 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المال بین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التعمیم لا یخلو عن الإشکال ، لصدق واجد الماء والمتمکن منه علیه ، وعدم ظهور مانع ، إلاّ أن یکون إجماع علیه ، فیکون حینئذ هو الفارق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الضرر معه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لأنّ المرض ضرر کیف کان ، نعم یسیره ضرر یسیر ، بل غالبا لا یؤمن من الانجرار إلی الشدید ، بل وإلی التهلکة فی کثیرین ، ثم فی جعل وجع الرأس والضرس یسیرا نظر ظاهر ، إلاّ أن یرید الیسیر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الخلاف مرتفعا فی المعنی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رحمه الله أنّ الشهید لمّا استند فی استشکاله إلی نفی العسر والحرج ظهر أن لیس لهم نزاع فی المعنی ، إذ لا یکون عسرا وحرجا حتی یکون فیه شدّة ، والسهل لا یکون عسرا ولا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لأنّ السهل أمر إضافی ، فربما یوصف الشی‌ء العسیر بالسهولة بالقیاس إلی فرده الشدید ، وکیف کان ، المرض السهل والیسیر</w:t>
      </w:r>
    </w:p>
    <w:p>
      <w:pPr>
        <w:pStyle w:val="Heading4"/>
        <w:numPr>
          <w:ilvl w:val="3"/>
          <w:numId w:val="1"/>
        </w:numPr>
        <w:rPr/>
      </w:pPr>
      <w:bookmarkStart w:id="375" w:name="__RefHeading___Toc2087695_388300464"/>
      <w:bookmarkStart w:id="376" w:name="_Toc153"/>
      <w:bookmarkEnd w:id="375"/>
      <w:r>
        <w:rPr>
          <w:rtl w:val="true"/>
        </w:rPr>
        <w:t>الخوف</w:t>
      </w:r>
      <w:bookmarkEnd w:id="376"/>
    </w:p>
    <w:p>
      <w:pPr>
        <w:pStyle w:val="Heading4"/>
        <w:numPr>
          <w:ilvl w:val="3"/>
          <w:numId w:val="1"/>
        </w:numPr>
        <w:rPr/>
      </w:pPr>
      <w:bookmarkStart w:id="377" w:name="__RefHeading___Toc2087697_388300464"/>
      <w:bookmarkStart w:id="378" w:name="_Toc154"/>
      <w:bookmarkEnd w:id="377"/>
      <w:r>
        <w:rPr>
          <w:rtl w:val="true"/>
        </w:rPr>
        <w:t>الخوف من اللص والسبع أو ضیاع المال</w:t>
      </w:r>
      <w:bookmarkEnd w:id="3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 w:name="__RefHeading___Toc2087699_388300464"/>
      <w:bookmarkStart w:id="380" w:name="_Toc155"/>
      <w:bookmarkEnd w:id="379"/>
      <w:r>
        <w:rPr>
          <w:rtl w:val="true"/>
        </w:rPr>
        <w:t>جواز التیمم مع خوف المرض</w:t>
      </w:r>
      <w:bookmarkStart w:id="381" w:name="pg14966_204050"/>
      <w:bookmarkEnd w:id="380"/>
    </w:p>
    <w:p>
      <w:pPr>
        <w:pStyle w:val="BookText"/>
        <w:rPr/>
      </w:pPr>
      <w:bookmarkEnd w:id="381"/>
      <w:r>
        <w:rPr>
          <w:rFonts w:ascii="IRNazanin" w:hAnsi="IRNazanin" w:eastAsia="IRNazanin"/>
          <w:color w:val="111111"/>
          <w:sz w:val="28"/>
          <w:sz w:val="28"/>
          <w:szCs w:val="28"/>
          <w:rtl w:val="true"/>
          <w:lang w:bidi="fa-IR"/>
        </w:rPr>
        <w:t xml:space="preserve">حرج عند الشهید ، إلاّ أنّه الفرد الیسیر من الحرج ، وهذا هو الظاهر من کلامه ، فالمرض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حرجا ، وإن کان فی غایة یسر وسهولة من الحرج ، ولا یخلو من قرب ، وکذلک هو ضرر ،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الشهید العمومات الدالة علی کون الترابیة بمنزلة المائیة </w:t>
      </w:r>
      <w:r>
        <w:rPr>
          <w:rStyle w:val="FootnoteAnchor"/>
          <w:rtl w:val="true"/>
        </w:rPr>
        <w:footnoteReference w:id="290"/>
      </w:r>
      <w:r>
        <w:rPr>
          <w:rFonts w:ascii="IRNazanin" w:hAnsi="IRNazanin" w:eastAsia="IRNazanin"/>
          <w:color w:val="111111"/>
          <w:sz w:val="28"/>
          <w:sz w:val="28"/>
          <w:szCs w:val="28"/>
          <w:rtl w:val="true"/>
          <w:lang w:bidi="fa-IR"/>
        </w:rPr>
        <w:t xml:space="preserve">، وکذا العمومات الواردة فی الجروح والقروح ، والخائف علی نفسه یتیمم ، وما یظهر من مواضع متعدّدة من أنّه بأدنی عذر یتیمم </w:t>
      </w:r>
      <w:r>
        <w:rPr>
          <w:rStyle w:val="FootnoteAnchor"/>
          <w:rtl w:val="true"/>
        </w:rPr>
        <w:footnoteReference w:id="29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یغتسل ، وصرّح بجواز التیمم له مع إعادة الصلاة عند رفع العذر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بتعمّد الجنابة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ظاهر صحیحة ابن مسلم عدم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بمضمونهما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خرج بالإجماع وبقی الباقی ، فالعمدة فی الجواب ما ذکره وما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سندهما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مخالفته للقرآن فی آیات متعددة ، وورد فی کثیر من الأخبار أنّ مخالفة القرآن یوجب منع العمل </w:t>
      </w:r>
      <w:r>
        <w:rPr>
          <w:rStyle w:val="FootnoteAnchor"/>
          <w:rtl w:val="true"/>
        </w:rPr>
        <w:footnoteReference w:id="293"/>
      </w:r>
      <w:r>
        <w:rPr>
          <w:rFonts w:ascii="IRNazanin" w:hAnsi="IRNazanin" w:eastAsia="IRNazanin"/>
          <w:color w:val="111111"/>
          <w:sz w:val="28"/>
          <w:sz w:val="28"/>
          <w:szCs w:val="28"/>
          <w:rtl w:val="true"/>
          <w:lang w:bidi="fa-IR"/>
        </w:rPr>
        <w:t>، فکیف فی مخالفته فی مواضع متعددة ، مضافا إلی غیر القرآن من الأدلة العقلیة والنقلیة الیقینیة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2087701_388300464"/>
      <w:bookmarkStart w:id="383" w:name="_Toc156"/>
      <w:bookmarkEnd w:id="382"/>
      <w:r>
        <w:rPr>
          <w:rtl w:val="true"/>
        </w:rPr>
        <w:t>حکم الجنب المختار لو خاف بالغسل التلف أو الزیادة فی المرض</w:t>
      </w:r>
      <w:bookmarkStart w:id="384" w:name="pg14966_204051"/>
      <w:bookmarkEnd w:id="383"/>
    </w:p>
    <w:p>
      <w:pPr>
        <w:pStyle w:val="BookText"/>
        <w:rPr/>
      </w:pPr>
      <w:bookmarkEnd w:id="384"/>
      <w:r>
        <w:rPr>
          <w:rFonts w:ascii="IRNazanin" w:hAnsi="IRNazanin" w:eastAsia="IRNazanin"/>
          <w:color w:val="111111"/>
          <w:sz w:val="28"/>
          <w:sz w:val="28"/>
          <w:szCs w:val="28"/>
          <w:rtl w:val="true"/>
          <w:lang w:bidi="fa-IR"/>
        </w:rPr>
        <w:t>فضلا عن الظنّیة ، ومنها النصوص المطلقة فی جواز التیمم ، مع أنّ تتبع تضاعیف مواضع معارضة حفظ النفس مع التکلیف ینادی بتقدیم حفظها علیه ، حتی أنّه یقدم علی نفس الصلاة ، فکیف یقدم أحد الطهورین علیه ، مضافا إلی ما أشرنا فی الحاشیتین السابقتین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الشّین فقیل إنّه عبارة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تقیید المرض بالشدّة ، وإبقاء الشین علی إطلاقه مشکل جدّا ، بل ربما کان تقییده موجبا لتقیید الشین ، فإنّه إن کان من المرض فظاهر ، وإن کان من الحرج والعسر فعند الشارح رحمه الله وموافقیه فکذلک ، وعند الشهید غیر مقید أصلا ، وتحقّق إجماع یقتضی زیادة حکمه علی حکم المرض وکونه أشدّ منه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بالنظر إلی الدوابّ فمشکل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إشکال علی طریقة الفقهاء ، لأنّهم ادعوا الإجماع فی خوف ضیاع المال وإن کان قلیلا ، فما نحن فیه داخل فیه ، بل بطریق أولی ، لما فی ذی الروح من حرمة تمنع عن الأذیة والقتل عبثا ، أی لا لأجل أکل اللحم أو الانتفاع بالجلد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ثبت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تأمّل فیه ، وإنّه یتعین علیه حینئذ ، لعموم المنزلة ، وعموم تحریم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تغلب </w:t>
      </w:r>
      <w:r>
        <w:rPr>
          <w:rStyle w:val="FootnoteAnchor"/>
          <w:rtl w:val="true"/>
        </w:rPr>
        <w:footnoteReference w:id="294"/>
      </w:r>
      <w:r>
        <w:rPr>
          <w:rFonts w:ascii="IRNazanin" w:hAnsi="IRNazanin" w:eastAsia="IRNazanin"/>
          <w:color w:val="111111"/>
          <w:sz w:val="28"/>
          <w:sz w:val="28"/>
          <w:szCs w:val="28"/>
          <w:rtl w:val="true"/>
          <w:lang w:bidi="fa-IR"/>
        </w:rPr>
        <w:t>عن ابن الأعرابی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الجوهری صرّح بکونه هو التراب مع نقله عن ابن الأعرابی</w:t>
      </w:r>
    </w:p>
    <w:p>
      <w:pPr>
        <w:pStyle w:val="Heading4"/>
        <w:numPr>
          <w:ilvl w:val="3"/>
          <w:numId w:val="1"/>
        </w:numPr>
        <w:rPr/>
      </w:pPr>
      <w:bookmarkStart w:id="385" w:name="__RefHeading___Toc2087703_388300464"/>
      <w:bookmarkStart w:id="386" w:name="_Toc157"/>
      <w:bookmarkEnd w:id="385"/>
      <w:r>
        <w:rPr>
          <w:rtl w:val="true"/>
        </w:rPr>
        <w:t>جواز التیمم مع خوف الشین</w:t>
      </w:r>
      <w:bookmarkEnd w:id="386"/>
    </w:p>
    <w:p>
      <w:pPr>
        <w:pStyle w:val="Heading4"/>
        <w:numPr>
          <w:ilvl w:val="3"/>
          <w:numId w:val="1"/>
        </w:numPr>
        <w:rPr/>
      </w:pPr>
      <w:bookmarkStart w:id="387" w:name="__RefHeading___Toc2087705_388300464"/>
      <w:bookmarkStart w:id="388" w:name="_Toc158"/>
      <w:bookmarkEnd w:id="387"/>
      <w:r>
        <w:rPr>
          <w:rtl w:val="true"/>
        </w:rPr>
        <w:t>جواز التیمم مع خوف العطش علی رفیقه أو دوابّه</w:t>
      </w:r>
      <w:bookmarkEnd w:id="388"/>
    </w:p>
    <w:p>
      <w:pPr>
        <w:pStyle w:val="Heading3"/>
        <w:numPr>
          <w:ilvl w:val="2"/>
          <w:numId w:val="1"/>
        </w:numPr>
        <w:rPr/>
      </w:pPr>
      <w:bookmarkStart w:id="389" w:name="__RefHeading___Toc2087707_388300464"/>
      <w:bookmarkStart w:id="390" w:name="_Toc159"/>
      <w:bookmarkEnd w:id="389"/>
      <w:r>
        <w:rPr>
          <w:rtl w:val="true"/>
        </w:rPr>
        <w:t>ما یجوز التیمم به</w:t>
      </w:r>
      <w:bookmarkEnd w:id="3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2087709_388300464"/>
      <w:bookmarkStart w:id="392" w:name="_Toc160"/>
      <w:bookmarkEnd w:id="391"/>
      <w:r>
        <w:rPr>
          <w:rtl w:val="true"/>
        </w:rPr>
        <w:t>بحث لغوی فی معنی الصعید</w:t>
      </w:r>
      <w:bookmarkEnd w:id="392"/>
    </w:p>
    <w:p>
      <w:pPr>
        <w:pStyle w:val="BookText"/>
        <w:rPr/>
      </w:pPr>
      <w:r>
        <w:rPr>
          <w:rFonts w:ascii="Amiri" w:hAnsi="Amiri" w:eastAsia="Amiri" w:cs="Amiri"/>
          <w:color w:val="111111"/>
          <w:sz w:val="28"/>
          <w:sz w:val="28"/>
          <w:szCs w:val="28"/>
          <w:rtl w:val="true"/>
          <w:lang w:bidi="ar-SA"/>
        </w:rPr>
        <w:t xml:space="preserve">أنّه الأرض </w:t>
      </w:r>
      <w:r>
        <w:rPr>
          <w:rStyle w:val="FootnoteAnchor"/>
          <w:rtl w:val="true"/>
        </w:rPr>
        <w:footnoteReference w:id="295"/>
      </w:r>
      <w:r>
        <w:rPr>
          <w:rFonts w:ascii="IRNazanin" w:hAnsi="IRNazanin" w:eastAsia="IRNazanin"/>
          <w:color w:val="111111"/>
          <w:sz w:val="28"/>
          <w:sz w:val="28"/>
          <w:szCs w:val="28"/>
          <w:rtl w:val="true"/>
          <w:lang w:bidi="fa-IR"/>
        </w:rPr>
        <w:t>، وفیه شهادة واضحة علی أنّه زیّف قوله وصحّح کونه التراب ، وهو أعرف باللغة ، وأضبط وأمتن ، والاعتماد علیه أزید عند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الجوهری صاحب القاموس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أو وجه الأرض </w:t>
      </w:r>
      <w:r>
        <w:rPr>
          <w:rStyle w:val="FootnoteAnchor"/>
          <w:rtl w:val="true"/>
        </w:rPr>
        <w:footnoteReference w:id="296"/>
      </w:r>
      <w:r>
        <w:rPr>
          <w:rFonts w:ascii="IRNazanin" w:hAnsi="IRNazanin" w:eastAsia="IRNazanin"/>
          <w:color w:val="111111"/>
          <w:sz w:val="28"/>
          <w:sz w:val="28"/>
          <w:szCs w:val="28"/>
          <w:rtl w:val="true"/>
          <w:lang w:bidi="fa-IR"/>
        </w:rPr>
        <w:t>، وهذا ینادی بعدم تعیین کونه وجه الأرض ، بل ربما یومئ إلی ترجیح ما لکونه التراب ، حیث قدمه علی وجه الأرض ، مع أنّه أخص منه ، فکان المناسب تأخیر ذکره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رحمه الله حکم بکونه التراب بالنقل عن أهل اللغة </w:t>
      </w:r>
      <w:r>
        <w:rPr>
          <w:rStyle w:val="FootnoteAnchor"/>
          <w:rtl w:val="true"/>
        </w:rPr>
        <w:footnoteReference w:id="297"/>
      </w:r>
      <w:r>
        <w:rPr>
          <w:rFonts w:ascii="IRNazanin" w:hAnsi="IRNazanin" w:eastAsia="IRNazanin"/>
          <w:color w:val="111111"/>
          <w:sz w:val="28"/>
          <w:sz w:val="28"/>
          <w:szCs w:val="28"/>
          <w:rtl w:val="true"/>
          <w:lang w:bidi="fa-IR"/>
        </w:rPr>
        <w:t xml:space="preserve">، وهذا یشیر إلی کون المعرف عندهم هو التراب ، وحکاه ابن درید عن أبی عبیدة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التراب الخالص الذی لا یخالطه سبخ ولا رمل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هو التراب </w:t>
      </w:r>
      <w:r>
        <w:rPr>
          <w:rStyle w:val="FootnoteAnchor"/>
          <w:rtl w:val="true"/>
        </w:rPr>
        <w:footnoteReference w:id="2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عباس الصعید التراب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هو التراب ، وإنّما سمی صعیدا لأنّه یصعد من الأرض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ظواهر بعض الأخبار ، مثل قوله علیه السلام فی الطین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صعید طیّب وماء طهور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أهوی بیدیه إلی الأرض فوضعهما علی الصعید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إلی غیر </w:t>
      </w:r>
    </w:p>
    <w:p>
      <w:pPr>
        <w:pStyle w:val="BookText"/>
        <w:rPr/>
      </w:pPr>
      <w:r>
        <w:rPr>
          <w:rFonts w:ascii="IRNazanin" w:hAnsi="IRNazanin" w:eastAsia="IRNazanin"/>
          <w:color w:val="111111"/>
          <w:sz w:val="28"/>
          <w:sz w:val="28"/>
          <w:szCs w:val="28"/>
          <w:rtl w:val="true"/>
          <w:lang w:bidi="fa-IR"/>
        </w:rPr>
        <w:t>ذلک ممّا سنذکر بعضها ، فعلی هذا تکون الآیة حجّة علیه لا له ، إذ ما ذکره لا یقاوم ما ذکرنا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 لکن نمنع کونها حجّة له ، وهو أیضا ظاهر ، مع أنّ الآیة ظاهرة فی التراب ، لأنّ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ظاهره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للتبعیض ، کما حقّقه المحقّقون ، فظاهرها اشتراط العلوق وکون المسح به ، وورد النص الصحیح أیضا بذلک ، وأنّ المراد منها ما ذکر </w:t>
      </w:r>
      <w:r>
        <w:rPr>
          <w:rStyle w:val="FootnoteAnchor"/>
          <w:rtl w:val="true"/>
        </w:rPr>
        <w:footnoteReference w:id="304"/>
      </w:r>
      <w:r>
        <w:rPr>
          <w:rFonts w:ascii="IRNazanin" w:hAnsi="IRNazanin" w:eastAsia="IRNazanin"/>
          <w:color w:val="111111"/>
          <w:sz w:val="28"/>
          <w:sz w:val="28"/>
          <w:szCs w:val="28"/>
          <w:rtl w:val="true"/>
          <w:lang w:bidi="fa-IR"/>
        </w:rPr>
        <w:t>، وظاهر أنّ الغالب الشائع تحقّق العلوق من التراب لا من الحجر والرخام ، وأمّا الغبار فإن کان من الأرض فهو من التراب البتّة ، وإلاّ فهو خارج عن حکم الآیة ، فإنّ الظاهر کون العلوق ممّا یتیمم به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فساد ما ذکره فی الذخیرة من أنّ الأقوی صحة التیمم بالحجر ونحوه ، لکن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 علیه شی‌ء من الغبار ونحوه ، لما سیجی‌ء من دلالة بعض الأخبار الصحیحة علی اشتراط العلوق </w:t>
      </w:r>
      <w:r>
        <w:rPr>
          <w:rStyle w:val="FootnoteAnchor"/>
          <w:rtl w:val="true"/>
        </w:rPr>
        <w:footnoteReference w:id="3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فی ما ذکرنا یظهر أیضا فساد ما أورده المحقّق علی السید فی تمسکه بقول اللغویین من أنّه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یظهر من کلماتهم أنّ التراب متعین فی کونه معنی الصعید ، وأنّ الظاهر منهم الردّ علی من یدعی أنّه وجه الأرض</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اللغوی إذا ذکر للفظ معنی واحدا لیس إلاّ لا شک فی کون معنی اللفظ عنده هو هذا المعنی خاصّة ، وأنّه لو کان عنده أنّ معناه </w:t>
      </w:r>
      <w:bookmarkStart w:id="393" w:name="pg14966_204054"/>
    </w:p>
    <w:p>
      <w:pPr>
        <w:pStyle w:val="BookText"/>
        <w:rPr/>
      </w:pPr>
      <w:bookmarkEnd w:id="393"/>
      <w:r>
        <w:rPr>
          <w:rFonts w:ascii="IRNazanin" w:hAnsi="IRNazanin" w:eastAsia="IRNazanin"/>
          <w:color w:val="111111"/>
          <w:sz w:val="28"/>
          <w:sz w:val="28"/>
          <w:szCs w:val="28"/>
          <w:rtl w:val="true"/>
          <w:lang w:bidi="fa-IR"/>
        </w:rPr>
        <w:t xml:space="preserve">متعدد لما اقتصر بالواحد ، یظهر القطع بذلک لمن تتبع کلماتهم ، سیّما وأن یذکروا معرّفا باللام مع ضمیر الفصل ، ویقولوا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هو التراب ، فإنّ الحصر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ذکره إثبات اللغة بالترجیح ، وهو فاسد ، لأنّه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ذکره ردّ علی اللغوی لا بیان لکلامه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استعماله فی الأرض محلّ منع ، ولو سلّم فکون الاستعمال ظاهرا فی الحقیقة وأصلا فیه ممنوع أیضا ، لأنّ الاستعمال أعم من الحقیقة ، وصرّح بعض المحقّقین بأنّ المجاز هو الأصل والظاهر ، لأنّ أکثر الاستعمالات مجاز ، وکذا اللغات أکثرها مجازات ، کما صرّح به ، وکون الأصل هو الحقیقة إنّما هو فی موضع علم المعنی الحقیقی وشکّ فی استعماله فیه ، وأمّا فی ما نحن فیه فلا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کون الأصل فیه أیضا الحقیقة لا جرم یتحقّق الاشتراک ، لأنّ الاستعمال إنّما وقع فی خصوص التراب لا الطبیعة الأرضیة الکائنة فیه ، وحمل کلام اللغوی علیه فاسد ، إذ متی ذکروا للفظ معنی وأرادوا منه نصفه وبعضه؟</w:t>
      </w:r>
    </w:p>
    <w:p>
      <w:pPr>
        <w:pStyle w:val="BookText"/>
        <w:rPr/>
      </w:pPr>
      <w:r>
        <w:rPr>
          <w:rFonts w:ascii="IRNazanin" w:hAnsi="IRNazanin" w:eastAsia="IRNazanin"/>
          <w:color w:val="111111"/>
          <w:sz w:val="28"/>
          <w:sz w:val="28"/>
          <w:szCs w:val="28"/>
          <w:rtl w:val="true"/>
          <w:lang w:bidi="fa-IR"/>
        </w:rPr>
        <w:t>مع أنّ ما ذکره لو سلّم فإنّما هو فی استعمالات أهل المحاورات ، بناء علی أنّهم یستعملون مع القرینة ، فیمکن أن یکون مرادهم من اللفظ خصوص القدر المشترک ، ومن القرینة الخصوصیة ، وأین هذا من قول أهل اللغة من أنّ لفظ کذا معناه کذا؟</w:t>
      </w:r>
    </w:p>
    <w:p>
      <w:pPr>
        <w:pStyle w:val="BookText"/>
        <w:rPr/>
      </w:pPr>
      <w:r>
        <w:rPr>
          <w:rFonts w:ascii="IRNazanin" w:hAnsi="IRNazanin" w:eastAsia="IRNazanin"/>
          <w:color w:val="111111"/>
          <w:sz w:val="28"/>
          <w:sz w:val="28"/>
          <w:szCs w:val="28"/>
          <w:rtl w:val="true"/>
          <w:lang w:bidi="fa-IR"/>
        </w:rPr>
        <w:t xml:space="preserve">ویمکن أن یقال من قبل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واقع علی جواز التیمم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4" w:name="__RefHeading___Toc2087711_388300464"/>
      <w:bookmarkStart w:id="395" w:name="_Toc161"/>
      <w:bookmarkEnd w:id="394"/>
      <w:r>
        <w:rPr>
          <w:rtl w:val="true"/>
        </w:rPr>
        <w:t>حکم التیمم بغیر التراب</w:t>
      </w:r>
      <w:bookmarkStart w:id="396" w:name="pg14966_204055"/>
      <w:bookmarkEnd w:id="395"/>
    </w:p>
    <w:p>
      <w:pPr>
        <w:pStyle w:val="BookText"/>
        <w:rPr/>
      </w:pPr>
      <w:bookmarkEnd w:id="396"/>
      <w:r>
        <w:rPr>
          <w:rFonts w:ascii="IRNazanin" w:hAnsi="IRNazanin" w:eastAsia="IRNazanin"/>
          <w:color w:val="111111"/>
          <w:sz w:val="28"/>
          <w:sz w:val="28"/>
          <w:szCs w:val="28"/>
          <w:rtl w:val="true"/>
          <w:lang w:bidi="fa-IR"/>
        </w:rPr>
        <w:t xml:space="preserve">بغیر التراب ، وورد منهم علیهم السلام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إنّما هو الماء والصعید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التیمم جائز بالغبار قطعا مع أنّه لیس من الصعید عند الشارح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307"/>
      </w:r>
      <w:r>
        <w:rPr>
          <w:rFonts w:ascii="IRNazanin" w:hAnsi="IRNazanin" w:eastAsia="IRNazanin"/>
          <w:color w:val="111111"/>
          <w:sz w:val="28"/>
          <w:sz w:val="28"/>
          <w:szCs w:val="28"/>
          <w:rtl w:val="true"/>
          <w:lang w:bidi="fa-IR"/>
        </w:rPr>
        <w:t xml:space="preserve">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الأرض التراب ، بل أصلها التراب ، وغیر التراب عرضتها حرارة إحالتها إلی الحجریة والرملیة وأمثالهما ، ولذا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أحجار ، وذات الحصاة وذات الرمل وأمثال ذلک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تراب ، أو أرض فیها تراب ، نعم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ترابها خالص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فیها أحجار وحصاة ورمل ، ومن هذا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وَالْجِبالَ أَوْتاداً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معظم الأرض التراب وغالبها ، والإطلاق ینصرف إلی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استعمال الکلّی فی الفرد حقیقة متعارف شائع ، وبهذا یحصل الجمع بین أقوال اللغویین ، سیّما استعمال لفظ الأرض فی خصوص التراب ، لأنّه حقیقة شائعة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الجوهری وصاحب القاموس أظهرا المخالفة بینهما بحسب الواقع </w:t>
      </w:r>
      <w:r>
        <w:rPr>
          <w:rStyle w:val="FootnoteAnchor"/>
          <w:rtl w:val="true"/>
        </w:rPr>
        <w:footnoteReference w:id="30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یؤیّد المطلوب أنّ المعادن مثل الزرنیخ والکحل ونحوهما إذا کانت فی محالّها یطلق علیها اسم الأرض ، ولذا جوّز بعض العلماء التیمم بها حینئذ </w:t>
      </w:r>
      <w:r>
        <w:rPr>
          <w:rStyle w:val="FootnoteAnchor"/>
          <w:rtl w:val="true"/>
        </w:rPr>
        <w:footnoteReference w:id="310"/>
      </w:r>
      <w:r>
        <w:rPr>
          <w:rFonts w:ascii="IRNazanin" w:hAnsi="IRNazanin" w:eastAsia="IRNazanin"/>
          <w:color w:val="111111"/>
          <w:sz w:val="28"/>
          <w:sz w:val="28"/>
          <w:szCs w:val="28"/>
          <w:rtl w:val="true"/>
          <w:lang w:bidi="fa-IR"/>
        </w:rPr>
        <w:t>والمشهور نافون له متحاشون عنه ، کما سیجی‌ء ، وإذا أخذ</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2087713_388300464"/>
      <w:bookmarkStart w:id="398" w:name="_Toc162"/>
      <w:bookmarkEnd w:id="397"/>
      <w:r>
        <w:rPr>
          <w:rtl w:val="true"/>
        </w:rPr>
        <w:t>حکم التیمم بالمعادن</w:t>
      </w:r>
      <w:bookmarkStart w:id="399" w:name="pg14966_204056"/>
      <w:bookmarkEnd w:id="398"/>
    </w:p>
    <w:p>
      <w:pPr>
        <w:pStyle w:val="BookText"/>
        <w:rPr/>
      </w:pPr>
      <w:bookmarkEnd w:id="399"/>
      <w:r>
        <w:rPr>
          <w:rFonts w:ascii="IRNazanin" w:hAnsi="IRNazanin" w:eastAsia="IRNazanin"/>
          <w:color w:val="111111"/>
          <w:sz w:val="28"/>
          <w:sz w:val="28"/>
          <w:szCs w:val="28"/>
          <w:rtl w:val="true"/>
          <w:lang w:bidi="fa-IR"/>
        </w:rPr>
        <w:t xml:space="preserve">النورة والجصّ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والحجر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محالّها فغیر معلوم إطلاق لفظ الأرض علی القطعة المأخوذة المنفردة عرفا ، ومن هذا قال ابن إدریس بأنّ الجصّ والنورة معدنیان </w:t>
      </w:r>
      <w:r>
        <w:rPr>
          <w:rStyle w:val="FootnoteAnchor"/>
          <w:rtl w:val="true"/>
        </w:rPr>
        <w:footnoteReference w:id="31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من الشیخ فی النهایة ، والمفید ، وابن إدریس ، وسلاّر ، المنع من التیمم بالحجر مع وجود التراب ، ومن ابن الجنید المنع منه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المانع بأنّ المأمور به التیمم بالصعید ، والصعید هو التراب ، وإنّما سمّی صعیدا لتصاعدها علی وجه الأرض ، فلا یجزی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بالمنع من عدم الحقیقة فی التراب ، فإنّه تراب اکتسب رطوبة لزجة ، وعملت حرارة الشمس فیه حتی تحجّر ، فإذا کانت الحقیقة فیه دخل تحت الأرض ، ولأنّها لو لم تکن باقیة لم یکن التیمم بها مجزیا عند فقد التراب ، کالمعدن ، والتالی باطل إجماعا فکذا المقدم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منه أنّ سلار ، وابن إدریس ، والشیخ فی النهایة شرکاء مع المفید فی کون الصعید هو التراب ، وکذلک ابن الجنید ، إلاّ أنّه لم یجوّز مطلقا ، والباقون جوّزوا مع فقد التراب ، للإجماع الذی ادعاه ، والعلاّمة أیضا مسلّم کون الصعید هو التراب ، إلاّ أنّه ادعی عدم خروج الحجر من الحقیقة ، مثل ما ادعوا فی الخزف ، کما سیجی‌ء ، وهذا دعوی آخر ، إلاّ أنّ الصعید لیس لغة اسم التراب بل هو أعم ، ولذا 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لغة هو الأرض ، وما تمسک بقول لغوی فی ذلک ، وهذا ینادی بأنّه لم یکن معتقدا بأنّه لغة اسم الأرض ، وأنّ لغویا قال کذلک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2087715_388300464"/>
      <w:bookmarkStart w:id="401" w:name="_Toc163"/>
      <w:bookmarkEnd w:id="400"/>
      <w:r>
        <w:rPr>
          <w:rtl w:val="true"/>
        </w:rPr>
        <w:t>جواز التیمم بالحجر عند فقد التراب</w:t>
      </w:r>
      <w:bookmarkEnd w:id="401"/>
    </w:p>
    <w:p>
      <w:pPr>
        <w:pStyle w:val="BookText"/>
        <w:rPr/>
      </w:pPr>
      <w:r>
        <w:rPr>
          <w:rFonts w:ascii="IRNazanin" w:hAnsi="IRNazanin" w:eastAsia="IRNazanin"/>
          <w:color w:val="111111"/>
          <w:sz w:val="28"/>
          <w:sz w:val="28"/>
          <w:szCs w:val="28"/>
          <w:rtl w:val="true"/>
          <w:lang w:bidi="fa-IR"/>
        </w:rPr>
        <w:t>کما أنّ المحقق فی مقام الجواب عن استدلال السید بأنّه لغة هو التراب لم یذکر قول لغوی بأنّه الأرض مع غایة إصراره فی الجواب عن دلیل السید ، وفی الصعید اسما للأرض ، حتی أنّه تمسک بما تمسک فی مقام الردّ علی قول اللغوی وأثبت اللغة بالدلیل ، ولا یخفی شناعته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رأیه رأی العلاّمة من کون الأرض هو التراب الخالص ، والمستحیل بما لا یخرج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أنّ الأکثر یقولون بکون الصعید اسما للتراب ، ولیس کما ذکره الشارح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فلیمسح من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أنّه للتبعیض ، کما هو ظاهر الآیة أیضا ، فظاهره العلوق والمسح به ، فظاهرها التراب ، لأنّ الحجر لا یمسح منه وغالب أجزاء الأرض هو التراب ، والغالب أنّ التیمم یکون به ، ولیس فی لفظ الأرض عموم ، بل هو مطلق ، والمطلق یرجع إلی العموم حیث لا یکون شائع ینصرف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یرجع إلی العموم إذا کان فی مقام بیان حکم نفسه لا أنّه ذکر تقریبا لحکم آخر ، لأنّ البناء علی العموم بسبب أن لا یخرج کلام الحکیم عن الفائدة ، وإذا ذکر تقریبا لحکم آخر ، فالفائدة حاصلة بنی علی العموم أم لا ، ولا حاجة لها فیه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الأخبار لا یخلو عن الضعف فی الدلالة لتطرّق هذه المناقشات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غیر واحد منها ذکر فیها الأمر بنفض الید </w:t>
      </w:r>
      <w:bookmarkStart w:id="402" w:name="pg14966_204058"/>
    </w:p>
    <w:p>
      <w:pPr>
        <w:pStyle w:val="BookText"/>
        <w:rPr/>
      </w:pPr>
      <w:bookmarkEnd w:id="402"/>
      <w:r>
        <w:rPr>
          <w:rFonts w:ascii="IRNazanin" w:hAnsi="IRNazanin" w:eastAsia="IRNazanin"/>
          <w:color w:val="111111"/>
          <w:sz w:val="28"/>
          <w:sz w:val="28"/>
          <w:szCs w:val="28"/>
          <w:rtl w:val="true"/>
          <w:lang w:bidi="fa-IR"/>
        </w:rPr>
        <w:t xml:space="preserve">بعد الضرب علی الأرض </w:t>
      </w:r>
      <w:r>
        <w:rPr>
          <w:rStyle w:val="FootnoteAnchor"/>
          <w:rtl w:val="true"/>
        </w:rPr>
        <w:footnoteReference w:id="314"/>
      </w:r>
      <w:r>
        <w:rPr>
          <w:rFonts w:ascii="IRNazanin" w:hAnsi="IRNazanin" w:eastAsia="IRNazanin"/>
          <w:color w:val="111111"/>
          <w:sz w:val="28"/>
          <w:sz w:val="28"/>
          <w:szCs w:val="28"/>
          <w:rtl w:val="true"/>
          <w:lang w:bidi="fa-IR"/>
        </w:rPr>
        <w:t>، وهذا ظاهر فی أنّهم علیهم السلام وإن کانوا یذکرون لفظ الأرض إلاّ أنّهم یریدون منها جزءها الغالب الذی هو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الحاشیة السابقة من ظهور اشتراط العلوق والمسح به من الآیة والحدیث ، وما مرّ فیها من ظهور کون الصعید هو التراب ورجحانه ، وورد فی الحدیث أنّ الطهور إنّما هو الماء والصعید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فهموا من الصعید التراب ، ولذا حکموا بکون الحجر بعد العجز عن التراب ، وفی حالة الاضطرار ، بل وبعضهم أخّره عن الغبار وغیره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سنذکر من الأخبار الدالة علی أنّ التیمم یکون بالتراب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التراب أرض ومعظم الأرض ، فإطلاق لفظ الأرض علیه من قبیل إطلاق لفظ الکلی علی الفرد ، مع أنّ ما نحن فیه معظم الأفراد ، وإطلاق الکلی علی الفرد شائع ، بل وحقیقة </w:t>
      </w:r>
      <w:r>
        <w:rPr>
          <w:rStyle w:val="FootnoteAnchor"/>
          <w:rtl w:val="true"/>
        </w:rPr>
        <w:footnoteReference w:id="317"/>
      </w:r>
      <w:r>
        <w:rPr>
          <w:rFonts w:ascii="IRNazanin" w:hAnsi="IRNazanin" w:eastAsia="IRNazanin"/>
          <w:color w:val="111111"/>
          <w:sz w:val="28"/>
          <w:sz w:val="28"/>
          <w:szCs w:val="28"/>
          <w:rtl w:val="true"/>
          <w:lang w:bidi="fa-IR"/>
        </w:rPr>
        <w:t>، غایة الأمر أن یکون خلاف الظاهر بالقیاس إلی إطلاقه علی نفس القدر المشترک ، لا أنّه خلاف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عرفت ما به یضعف هذا الظهور مطلقا أو ضعفا فی الجملة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لعله لا تأمّل فی صحة التیمم بالأرض من حیث هی هی فی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2087717_388300464"/>
      <w:bookmarkStart w:id="404" w:name="_Toc164"/>
      <w:bookmarkEnd w:id="403"/>
      <w:r>
        <w:rPr>
          <w:rtl w:val="true"/>
        </w:rPr>
        <w:t>بحث فی أنّ إطلاق لفظ الأرض علی التراب یکون من قبیل إطلاق الکلی علی الفرد</w:t>
      </w:r>
      <w:bookmarkStart w:id="405" w:name="pg14966_204059"/>
      <w:bookmarkEnd w:id="404"/>
    </w:p>
    <w:p>
      <w:pPr>
        <w:pStyle w:val="BookText"/>
        <w:rPr/>
      </w:pPr>
      <w:bookmarkEnd w:id="405"/>
      <w:r>
        <w:rPr>
          <w:rFonts w:ascii="IRNazanin" w:hAnsi="IRNazanin" w:eastAsia="IRNazanin"/>
          <w:color w:val="111111"/>
          <w:sz w:val="28"/>
          <w:sz w:val="28"/>
          <w:szCs w:val="28"/>
          <w:rtl w:val="true"/>
          <w:lang w:bidi="fa-IR"/>
        </w:rPr>
        <w:t>الجملة ، إنّما التأمّل فی الصحة مطلقا واختیارا ، وسیجی‌ء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السید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مذهبه أیضا أنّ العبادات وظیفة شرعیة موقوفة علی نصّ الشرع ، کنفس الأحکام الشرعیة ، ولم تثبت صحة التیمم بغیر التراب ، مثل الحجر وغیره ، أو </w:t>
      </w:r>
      <w:r>
        <w:rPr>
          <w:rStyle w:val="FootnoteAnchor"/>
          <w:rtl w:val="true"/>
        </w:rPr>
        <w:footnoteReference w:id="318"/>
      </w:r>
      <w:r>
        <w:rPr>
          <w:rFonts w:ascii="IRNazanin" w:hAnsi="IRNazanin" w:eastAsia="IRNazanin"/>
          <w:color w:val="111111"/>
          <w:sz w:val="28"/>
          <w:sz w:val="28"/>
          <w:szCs w:val="28"/>
          <w:rtl w:val="true"/>
          <w:lang w:bidi="fa-IR"/>
        </w:rPr>
        <w:t>لم یثبت کونه تیمما ، لاختلاف الأدلة والأمارات ، ولو لم نقل برجحان أدلة السید وأماراته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حسنة رفاعة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لا یقدر إلاّ علی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 فلو کان التیمم بالحجر مثل التراب من دون تفاوت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ترابا فانظر أجفّ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التیمم بالصخر والحجر لا مانع منه أن یکون مبتلاّ ، فإنّه حجر والضرب یقع علیه ، وفی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إشارة إلی العلوق والمسح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 الحسنة روایة علی بن مطر ، عن بعض أصحابنا ، عن الرضا علیه السلام ، عن الرجل لا یصیب الماء ولا التراب ، أیتیمم بالطین؟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صعید طیب ، وماء طهور </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شهادة ما علی کون الصعید هو التراب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الأخبار وکلام الفقهاء أنّ التیمم بالطین بعد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2087719_388300464"/>
      <w:bookmarkStart w:id="407" w:name="_Toc165"/>
      <w:bookmarkEnd w:id="406"/>
      <w:r>
        <w:rPr>
          <w:rtl w:val="true"/>
        </w:rPr>
        <w:t>دلیل ما قاله السیّد المرتضی من أنّه لا یجزئ فی التیمم إلاّ التراب الخالص</w:t>
      </w:r>
      <w:bookmarkEnd w:id="407"/>
    </w:p>
    <w:p>
      <w:pPr>
        <w:pStyle w:val="BookText"/>
        <w:rPr/>
      </w:pPr>
      <w:r>
        <w:rPr>
          <w:rFonts w:ascii="IRNazanin" w:hAnsi="IRNazanin" w:eastAsia="IRNazanin"/>
          <w:color w:val="111111"/>
          <w:sz w:val="28"/>
          <w:sz w:val="28"/>
          <w:szCs w:val="28"/>
          <w:rtl w:val="true"/>
          <w:lang w:bidi="fa-IR"/>
        </w:rPr>
        <w:t xml:space="preserve">العجز عن التراب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أو الأرض ، ولم یقل علیه السلام هل عنده حجر أم لا؟ ، فإن کان فلیتیمم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قوله علیه السلام فی صحیحة جمیل ، فی إمام القوم الجنب یتیمم ویصلی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وأمثال هذه ممّا یتضمّن لفظ التراب ،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طهور المسلم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وقوله فی حسنة معاویة بن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فی السفر لا یجد الماء ، ثم صلی ، ثم أتی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یمضی علی صلاته ، فإنّ ربّ الماء ربّ التراب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وغیر ذلک ، ومرّ فی الحاشیتین السابقتین ما یصلح للاستناد والاستدلال علی مذهب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ما یمکن أن یقال من طرف المحقّق وموافقیه إنّ الوصف فی هذه الأخبار خارج مخرج الغالب ، لکن هذا یوجب ضعف دلالة لفظ الأرض فی أخبارهم علی العموم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الحکم بصحة التیمم بالحجر ومثله مع وجود التراب والتمکن منه لا یخلو عن إشکال ، بملاحظة ما ذکرنا فی هذه الحواشی ، سیّما وأن یکتفی به فی تحصیل البراءة عن شغل الذمّة الیقینی ، والخروج عن عهدة الأمر الجزمی القطعی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صورة عدم التمکن من التراب أو عدم التمکن عن غیر الحجر مثلا فیشکل ترک التیمم به بعد ما ظهر من بعض الأخبار من صحة التیمم بالأرض من حیث إنّها أرض ، وأنّ الصلاة لا تفوت إلاّ بفوت </w:t>
      </w:r>
    </w:p>
    <w:p>
      <w:pPr>
        <w:pStyle w:val="BookText"/>
        <w:rPr/>
      </w:pPr>
      <w:r>
        <w:rPr>
          <w:rFonts w:ascii="IRNazanin" w:hAnsi="IRNazanin" w:eastAsia="IRNazanin"/>
          <w:color w:val="111111"/>
          <w:sz w:val="28"/>
          <w:sz w:val="28"/>
          <w:szCs w:val="28"/>
          <w:rtl w:val="true"/>
          <w:lang w:bidi="fa-IR"/>
        </w:rPr>
        <w:t xml:space="preserve">الأرض </w:t>
      </w:r>
      <w:r>
        <w:rPr>
          <w:rStyle w:val="FootnoteAnchor"/>
          <w:rtl w:val="true"/>
        </w:rPr>
        <w:footnoteReference w:id="326"/>
      </w:r>
      <w:r>
        <w:rPr>
          <w:rFonts w:ascii="IRNazanin" w:hAnsi="IRNazanin" w:eastAsia="IRNazanin"/>
          <w:color w:val="111111"/>
          <w:sz w:val="28"/>
          <w:sz w:val="28"/>
          <w:szCs w:val="28"/>
          <w:rtl w:val="true"/>
          <w:lang w:bidi="fa-IR"/>
        </w:rPr>
        <w:t>، للإشکال فی شمول أدلة السید لهذه الصورة ، بحیث یرتفع بسببها هذا الظنّ والظهور أصلا ورأسا ، ولعله لهذا اختار المفصّل التفصیل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بدلالة الخطاب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رحمه الله لم یستدل بمفهوم الوصف ، فإنّه لیس حجة عنده ، بل استدل بأنّ الأرض لو کانت هی الطهور فالطهور صفتها وحالها وحکمها ، لا التراب ، والأرض مذکورة فی العبارة بلفظها ومصرّح بها ، والطهور المذکور وصف هذه الأرض المذکورة وحالها ومن أحکامها ، فاللازم أن یسند إلیها ، لا إلی التراب الذی لیس هذا الوصف المذکور وصفه وحکمه ، فلا بدّ من أن یکون ذکره لغوا محضا وفاسدا ظاهرا ، سیّما وهو مذکور فی معرض التسهیل والتخفیف والتوسیع منه تعالی ، وإظهار منّته سبحانه علی هذه الأمّة ، وشفقته علی خاتم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غیر التراب أیضا طهورا لکان التخصیص بذکر التراب غلطا مخلاّ بالمقصود مخرجا عن البلاغة ، لعدم جریان الکلام علی مقتضی الحال ، بل وجریانه علی ضدّ مقتضی الحال ، ولا یخفی أنّ آحاد الناس بل والأطفال منهم لا یفعل کذلک ، فضلا عن أفصح العرب وأعلمهم بالبلاغة وأشدّهم بمراعاتها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والاحتمالات التی ذکرت فی نفی حجّیة المفهوم وجعلت مساویة لنفی الحکم فیه غیر ملائمة للمقام ولا مقاومة لما ذکرنا بلا تأمّل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الشارح والمحقّق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المحققین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بمقام الامتنان بما </w:t>
      </w:r>
      <w:bookmarkStart w:id="408" w:name="pg14966_204062"/>
    </w:p>
    <w:p>
      <w:pPr>
        <w:pStyle w:val="BookText"/>
        <w:rPr/>
      </w:pPr>
      <w:bookmarkEnd w:id="408"/>
      <w:r>
        <w:rPr>
          <w:rFonts w:ascii="IRNazanin" w:hAnsi="IRNazanin" w:eastAsia="IRNazanin"/>
          <w:color w:val="111111"/>
          <w:sz w:val="28"/>
          <w:sz w:val="28"/>
          <w:szCs w:val="28"/>
          <w:rtl w:val="true"/>
          <w:lang w:bidi="fa-IR"/>
        </w:rPr>
        <w:t>هو أدنی ممّا فی المقام بمراتب شتی ومسلّم ذلک عندهم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موجودة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یظهر من کلام السید الذی لا یعمل بأخبار الآحاد والظنون أنّ هذه الروایة علی ما هو قطعی مذکور فیها لفظ التراب ، فلو وجد فی الآحاد وبطریق مظلم بغیر هذا اللفظ لا یضرّه ، سیّما مع ظهور أنّ السقط أولی وأقرب من الازدیاد وأظهر جزما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حجّة یعتد بها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أشرنا إلی ما یصلح لکونه حجّة لهم ، مضافا إلی ما ادعاه فی المختلف من الإجماع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التیمم بأرض النورة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جواز التیمم بأرض النورة ، لا نفس النورة ، ولعل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 الأرض یسمی أرضا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ثبت ذلک جاز التیمم بهما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بناءه علی أنّ صدق الأرض علیهما حقیقة بلا ریبة ولا شبهة ، فلا وجه للتردید ، کما أنّه لا وجه للتردید المذکور فی الحجر ، لأنّ الشیخ فی النهایة جمع بینهما وبین الحجر فی الحکم ، کما نقل عنه سابقا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أشرنا إلی وجه اختیار الأکثر هذا التفصیل ، لأنّ اختیار عملهم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2087721_388300464"/>
      <w:bookmarkStart w:id="410" w:name="_Toc166"/>
      <w:bookmarkEnd w:id="409"/>
      <w:r>
        <w:rPr>
          <w:rtl w:val="true"/>
        </w:rPr>
        <w:t>جواز التیمم بأرض الجصّ والنورة</w:t>
      </w:r>
      <w:bookmarkEnd w:id="410"/>
    </w:p>
    <w:p>
      <w:pPr>
        <w:pStyle w:val="BookText"/>
        <w:rPr/>
      </w:pPr>
      <w:r>
        <w:rPr>
          <w:rFonts w:ascii="IRNazanin" w:hAnsi="IRNazanin" w:eastAsia="IRNazanin"/>
          <w:color w:val="111111"/>
          <w:sz w:val="28"/>
          <w:sz w:val="28"/>
          <w:szCs w:val="28"/>
          <w:rtl w:val="true"/>
          <w:lang w:bidi="fa-IR"/>
        </w:rPr>
        <w:t xml:space="preserve">بعینه هو نفس فتواهم ، وهذه طریقتهم ، ولا یخفی حسنها ، لأنّ الفتوی فائدتها العمل ، لا مثل طریقة الشارح ومن وافقه ، من أنّهم یناقشون فی دلیل الفقهاء مناقشات ثم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العمل علی ما ذکروه ، أو ما یقرب هذه العبارة ، مثل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اختیار ما ذکروه أولی وأحوط ، وغیر ذلک من أمثال هذه العبارات ، حتی أنّه وقع اصطلاح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الإفتاء غیر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ذکره الشارح هنا ، فإنّه بعد المناقشة الطویلة فی أدلة السید فی أنّ التیمم بالتراب ، وتسقیم تلک الأدلة وتضعیفها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التیمم بالتراب الخالص أولی وأحوط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أنّه رحمه الله عمله مقصور علی ما ذکره مهما أمکنه ، وکذا أمره لغیره مقصور فی اختیاره فی العمل ذلک مهما أمکنه ، کما هو طریقة غیره من فقهائنا فی أمثال هذه الأزمان ، وطریقتنا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أنّه متی یمکننا التیمم بالتراب لا نعدل إلی التیمم بمثل الحجر فی مقام العمل کما أنّ الشارح أیضا کان کذلک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تعذر التراب فلا شک أنّ الشارح کان یتیمم بالحجر وأمثاله فی مقام العمل ، وکان یأمر غیره أیضا بذلک فی ذلک المقام کما أن غیره من فقهائنا فی هذه الأزمان أیضا کذلک ، ونحن أیضا کذلک ، وهذا التفصیل فی العمل هو بعینه نفس فتوی المشهور من فقهائنا ، إلاّ من مثل ظاهر عبارة ابن الجنید والشیخ فی الخلاف والمبسوط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أنّا قد أشرنا إلی وجه فتواهم أیضا بأنّه لا شک فی أنّ الفتوی منوطة بالظنّ والوثوق والاعتماد فبعد التمکن من التراب والحجر لا شک </w:t>
      </w:r>
    </w:p>
    <w:p>
      <w:pPr>
        <w:pStyle w:val="BookText"/>
        <w:rPr/>
      </w:pPr>
      <w:r>
        <w:rPr>
          <w:rFonts w:ascii="IRNazanin" w:hAnsi="IRNazanin" w:eastAsia="IRNazanin"/>
          <w:color w:val="111111"/>
          <w:sz w:val="28"/>
          <w:sz w:val="28"/>
          <w:szCs w:val="28"/>
          <w:rtl w:val="true"/>
          <w:lang w:bidi="fa-IR"/>
        </w:rPr>
        <w:t>فی أنّ شغل الذمّة بالصلاة یقینی کما أن بعد التمکن من التراب خاصة أیضا کذلک ، وبعد التمکن منهما لو اخترنا التراب فلا شک فی حصول البراءة ، وأمّا لو اخترنا الحجر فلا یحصل العلم بل ولا الظنّ بحصول البراءة حینئذ ، لما عرفت من تعارض الأدلة والأمارات بحیث لا یمکن ترجیح یعتمد علیه ویستند إلیه ، سیّما فی مقام تحصیل البراءة عن شغل الذمّة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العجز عن التراب ووجود مثل الحجر فیحصل للمجتهد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بعض الأخبار المتضمّنة لکون التیمم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بوجوب التیمم بما یسمی أرضا ، أی شی‌ء کان ، وأنّه لا تفوت الصلاة إلاّ أن تفوت الأرض أصلا وبالمرة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علی کون التیمم بالأرض من حیث هی أرض ظاهرة فی الجملة لا تأمّل فیها ، إلاّ أنّ عمومها وشمولها لجمیع الأحوال والأوقات حتی مع وجود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یقاوم ذلک العموم والشمول مقتضی ما دل علی خصوص التراب وظهر منه ، بل ویغلب علیه إلی أن یحصل للمجتهد الظن والوثوق والاعتماد علی تیمم الحجر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 یظهر وجهه من ملاحظة ما ذکرناه فی الحواشی السابقة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شمول ما دل علی التراب لجمیع الأحوال والأوقات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حال فقد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واقتضاءه ترک الصلاة وفوتها حینئذ بحیث یقاوم دلالة تلک الأخبار المقتضیة لکون التیمم علی الأرض من حیث هی أرض واجبا وصحیحا ، وأنّ الصلاة لا تفوت إلاّ بفوت جمیع ما هو أرض ، وعدم وجدان أرض أصلا ورأسا أیضا محلّ تأمّل ، هذا</w:t>
      </w:r>
      <w:r>
        <w:rPr>
          <w:rFonts w:eastAsia="IRNazanin" w:cs="IRNazanin"/>
          <w:color w:val="111111"/>
          <w:sz w:val="28"/>
          <w:szCs w:val="28"/>
          <w:rtl w:val="true"/>
          <w:lang w:bidi="fa-IR"/>
        </w:rPr>
        <w:t xml:space="preserve">. </w:t>
      </w:r>
      <w:bookmarkStart w:id="411" w:name="pg14966_204065"/>
    </w:p>
    <w:p>
      <w:pPr>
        <w:pStyle w:val="BookText"/>
        <w:rPr/>
      </w:pPr>
      <w:bookmarkEnd w:id="411"/>
      <w:r>
        <w:rPr>
          <w:rFonts w:ascii="IRNazanin" w:hAnsi="IRNazanin" w:eastAsia="IRNazanin"/>
          <w:color w:val="111111"/>
          <w:sz w:val="28"/>
          <w:sz w:val="28"/>
          <w:szCs w:val="28"/>
          <w:rtl w:val="true"/>
          <w:lang w:bidi="fa-IR"/>
        </w:rPr>
        <w:t xml:space="preserve">مع أنّهم ادّعوا الإجماع علی التیمم بمثل الحجر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 فلاحظ المختلف </w:t>
      </w:r>
      <w:r>
        <w:rPr>
          <w:rStyle w:val="FootnoteAnchor"/>
          <w:rtl w:val="true"/>
        </w:rPr>
        <w:footnoteReference w:id="334"/>
      </w:r>
      <w:r>
        <w:rPr>
          <w:rFonts w:ascii="IRNazanin" w:hAnsi="IRNazanin" w:eastAsia="IRNazanin"/>
          <w:color w:val="111111"/>
          <w:sz w:val="28"/>
          <w:sz w:val="28"/>
          <w:szCs w:val="28"/>
          <w:rtl w:val="true"/>
          <w:lang w:bidi="fa-IR"/>
        </w:rPr>
        <w:t>، ویظهر ذلک بملاحظة فتاواهم ، إذ المخالف هو ظاهر عبارة ابن الجنید ، کما مرّ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بالطبخ عن اسم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فی التیمم لصلاة الجنازة الأمر بضرب الید علی حائط اللبن والتیمم به </w:t>
      </w:r>
      <w:r>
        <w:rPr>
          <w:rStyle w:val="FootnoteAnchor"/>
          <w:rtl w:val="true"/>
        </w:rPr>
        <w:footnoteReference w:id="336"/>
      </w:r>
      <w:r>
        <w:rPr>
          <w:rFonts w:ascii="IRNazanin" w:hAnsi="IRNazanin" w:eastAsia="IRNazanin"/>
          <w:color w:val="111111"/>
          <w:sz w:val="28"/>
          <w:sz w:val="28"/>
          <w:szCs w:val="28"/>
          <w:rtl w:val="true"/>
          <w:lang w:bidi="fa-IR"/>
        </w:rPr>
        <w:t xml:space="preserve">، وظاهره المنع من الآجر مع کون غالب حیطان الکوفة بالآجر ، وغالب حیطان المدینة ومکة وأمثالهما بالأحجار ، فیظهر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عن التیمم بالحجر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خارج عن العبادة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فی التیمم ضرب علی التراب ، ومسح علی الوجه والیدین ، والضرب والمسح حرکة وسکون ، وهما کونان ، ولا أقل من الحرکة وهی کون قطعا ، مع أنّ المنهی لیس إلاّ التصرف فی ملک الغیر غصبا ، وهذه الحرکة تصرف ، بل التیمم فعل وعمل فی ملک الغیر ، وهو هواؤه المملوک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أن یتیمم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أمکن أن یطلی به شیئا ویجفف لا إلی حدّ یصیر ترابا بل مثل التراب المبلّل فهو أیضا أولی وأحوط ، کما هو الظاهر من حسنة رفاعة ، وإن لم یمکن أو یکون عسرا وحرجا فیتیمم بالطین ، ولم یبین فی الأخبار</w:t>
      </w:r>
    </w:p>
    <w:p>
      <w:pPr>
        <w:pStyle w:val="Heading4"/>
        <w:numPr>
          <w:ilvl w:val="3"/>
          <w:numId w:val="1"/>
        </w:numPr>
        <w:rPr/>
      </w:pPr>
      <w:bookmarkStart w:id="412" w:name="__RefHeading___Toc2087723_388300464"/>
      <w:bookmarkStart w:id="413" w:name="_Toc167"/>
      <w:bookmarkEnd w:id="412"/>
      <w:r>
        <w:rPr>
          <w:rtl w:val="true"/>
        </w:rPr>
        <w:t>حکم التیمم بالخزف</w:t>
      </w:r>
      <w:bookmarkEnd w:id="413"/>
    </w:p>
    <w:p>
      <w:pPr>
        <w:pStyle w:val="Heading4"/>
        <w:numPr>
          <w:ilvl w:val="3"/>
          <w:numId w:val="1"/>
        </w:numPr>
        <w:rPr/>
      </w:pPr>
      <w:bookmarkStart w:id="414" w:name="__RefHeading___Toc2087725_388300464"/>
      <w:bookmarkStart w:id="415" w:name="_Toc168"/>
      <w:bookmarkEnd w:id="414"/>
      <w:r>
        <w:rPr>
          <w:rtl w:val="true"/>
        </w:rPr>
        <w:t>حکم التیمم فی المکان المغصوب</w:t>
      </w:r>
      <w:bookmarkEnd w:id="4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2087727_388300464"/>
      <w:bookmarkStart w:id="417" w:name="_Toc169"/>
      <w:bookmarkEnd w:id="416"/>
      <w:r>
        <w:rPr>
          <w:rtl w:val="true"/>
        </w:rPr>
        <w:t>عدم صحة التیمم بالوحل مع وجود التراب</w:t>
      </w:r>
      <w:bookmarkStart w:id="418" w:name="pg14966_204066"/>
      <w:bookmarkEnd w:id="417"/>
    </w:p>
    <w:p>
      <w:pPr>
        <w:pStyle w:val="BookText"/>
        <w:rPr/>
      </w:pPr>
      <w:bookmarkEnd w:id="418"/>
      <w:r>
        <w:rPr>
          <w:rFonts w:ascii="IRNazanin" w:hAnsi="IRNazanin" w:eastAsia="IRNazanin"/>
          <w:color w:val="111111"/>
          <w:sz w:val="28"/>
          <w:sz w:val="28"/>
          <w:szCs w:val="28"/>
          <w:rtl w:val="true"/>
          <w:lang w:bidi="fa-IR"/>
        </w:rPr>
        <w:t>کیفیة التیمم به ، والظاهر من الاخبار أنّ کیفیة التیمم به کیفیة التیمم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یدیه علی الطین ، ثم یصبر حتی ییبس ثم یتیمم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خلاف ما یظهر من الأخبار ، فالعمل به مشکل ، سیّما مع تضمّنه عدم الموالاة ، والظاهر من الأخبار أنّ التیمم بالطین متأخر عن کل ما یمکن التیمم به مثل الغبار والحجر ، فربما یظهر منها عدم التیمم بالثلج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عن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وزرارة فی الموثق عن الباقر علیه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 الخلیط من الید لم یماسّ التراب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تقدیر أن لا یصعد من جهة الضرب تراب وغبار منه یحیط بجمیع الکف ویلصق به ، أمّا مع الصعود والإحاطة فالحکم بالبطلان مشکل ، وإن کان الاحتیاط عدم الاعتداد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المناقشة فی الأوّل أیضا بأنّه تحقّق ضرب الید علی التراب عرفا فی صورة یتحقّق ، ولعلها محلّ نظر العلاّمة رحمه الله أو الأوّل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 الاحتیاط مع الشارح رحمه الله ولا عدول عنه فی مقام العمل والأمر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الرمل أجزاء أرضیّة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ببالی أنّه ورد روایة تدل علی أنّ الرمل لیس من جنس الأرض</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2087729_388300464"/>
      <w:bookmarkStart w:id="420" w:name="_Toc170"/>
      <w:bookmarkEnd w:id="419"/>
      <w:r>
        <w:rPr>
          <w:rtl w:val="true"/>
        </w:rPr>
        <w:t>کراهة التیمم بالأرض السبخة</w:t>
      </w:r>
      <w:bookmarkStart w:id="421" w:name="pg14966_204067"/>
      <w:bookmarkEnd w:id="420"/>
    </w:p>
    <w:p>
      <w:pPr>
        <w:pStyle w:val="BookText"/>
        <w:rPr/>
      </w:pPr>
      <w:bookmarkEnd w:id="421"/>
      <w:r>
        <w:rPr>
          <w:rFonts w:ascii="IRNazanin" w:hAnsi="IRNazanin" w:eastAsia="IRNazanin"/>
          <w:color w:val="111111"/>
          <w:sz w:val="28"/>
          <w:sz w:val="28"/>
          <w:szCs w:val="28"/>
          <w:rtl w:val="true"/>
          <w:lang w:bidi="fa-IR"/>
        </w:rPr>
        <w:t xml:space="preserve">قوله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به عن الحقیقة الأرضیة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الکافی فی الصحیح عن محمد بن الحسین أنّ بعض أصحابنا کتب إلی أبی الحسن الماضی یسأله عن الزجاج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نفذ کتابی إلیه تفکرت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أنبتت الأرض ، وما کان لی أن أسأل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علی الزجاج وإن حدّثتک نفسک أنّه ممّا نبتت الأرض ، ولکنه من الملح والرمل وهما ممسوخان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بعض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غایة البعد ، بل لعله لما أشرنا إلیه من وجود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وکونه مسخا کالملح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ولروایة غیاث بن إبراهیم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منها الکراهة ، وأنّ الکراهة لأجل الاستطراق ، کما رواه هو بطریق آخر أنّ أمیر المؤمنین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وضوء من موطإ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تطأ علیه برجلک </w:t>
      </w:r>
      <w:r>
        <w:rPr>
          <w:rStyle w:val="FootnoteAnchor"/>
          <w:rtl w:val="true"/>
        </w:rPr>
        <w:footnoteReference w:id="343"/>
      </w:r>
      <w:r>
        <w:rPr>
          <w:rFonts w:ascii="IRNazanin" w:hAnsi="IRNazanin" w:eastAsia="IRNazanin"/>
          <w:color w:val="111111"/>
          <w:sz w:val="28"/>
          <w:sz w:val="28"/>
          <w:szCs w:val="28"/>
          <w:rtl w:val="true"/>
          <w:lang w:bidi="fa-IR"/>
        </w:rPr>
        <w:t>، فظهر أنّه لیس من جهة کونه من المهابط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 روایة أبی بصیر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صحیحة عندی ، إلاّ أنّها قویة عند المشهور ، لاشتراک أبی بصیر عندهم بین الثقة والموثق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تنفضه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Heading4"/>
        <w:numPr>
          <w:ilvl w:val="3"/>
          <w:numId w:val="1"/>
        </w:numPr>
        <w:rPr/>
      </w:pPr>
      <w:bookmarkStart w:id="422" w:name="__RefHeading___Toc2087731_388300464"/>
      <w:bookmarkStart w:id="423" w:name="_Toc171"/>
      <w:bookmarkEnd w:id="422"/>
      <w:r>
        <w:rPr>
          <w:rtl w:val="true"/>
        </w:rPr>
        <w:t>استحباب التیمم من ربا الأرض</w:t>
      </w:r>
      <w:bookmarkEnd w:id="423"/>
    </w:p>
    <w:p>
      <w:pPr>
        <w:pStyle w:val="Heading4"/>
        <w:numPr>
          <w:ilvl w:val="3"/>
          <w:numId w:val="1"/>
        </w:numPr>
        <w:rPr/>
      </w:pPr>
      <w:bookmarkStart w:id="424" w:name="__RefHeading___Toc2087733_388300464"/>
      <w:bookmarkStart w:id="425" w:name="_Toc172"/>
      <w:bookmarkEnd w:id="424"/>
      <w:r>
        <w:rPr>
          <w:rtl w:val="true"/>
        </w:rPr>
        <w:t>جواز التیمم بغبار الثوب أو لبد السرج عند فقد التراب</w:t>
      </w:r>
      <w:bookmarkEnd w:id="42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2087735_388300464"/>
      <w:bookmarkStart w:id="427" w:name="_Toc173"/>
      <w:bookmarkEnd w:id="426"/>
      <w:r>
        <w:rPr>
          <w:rtl w:val="true"/>
        </w:rPr>
        <w:t>إشارة إلی أنّ أبا بصیر مشترک بین الثقات</w:t>
      </w:r>
      <w:bookmarkEnd w:id="427"/>
    </w:p>
    <w:p>
      <w:pPr>
        <w:pStyle w:val="BookText"/>
        <w:rPr/>
      </w:pPr>
      <w:r>
        <w:rPr>
          <w:rFonts w:ascii="IRNazanin" w:hAnsi="IRNazanin" w:eastAsia="IRNazanin"/>
          <w:color w:val="111111"/>
          <w:sz w:val="28"/>
          <w:sz w:val="28"/>
          <w:szCs w:val="28"/>
          <w:rtl w:val="true"/>
          <w:lang w:bidi="fa-IR"/>
        </w:rPr>
        <w:t xml:space="preserve">الظاهر منها وقوع النفض أوّلا ثم التیمم بما نفضه ، کما علیه بعض الأخیار مثل سلار وظاهر المفید وغیرهما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بغبار ثوبه وغیره </w:t>
      </w:r>
      <w:r>
        <w:rPr>
          <w:rStyle w:val="FootnoteAnchor"/>
          <w:rtl w:val="true"/>
        </w:rPr>
        <w:footnoteReference w:id="345"/>
      </w:r>
      <w:r>
        <w:rPr>
          <w:rFonts w:ascii="IRNazanin" w:hAnsi="IRNazanin" w:eastAsia="IRNazanin"/>
          <w:color w:val="111111"/>
          <w:sz w:val="28"/>
          <w:sz w:val="28"/>
          <w:szCs w:val="28"/>
          <w:rtl w:val="true"/>
          <w:lang w:bidi="fa-IR"/>
        </w:rPr>
        <w:t>، ولعله الأظهر بملاحظة مجموع الأخبار ، وإن کان الأحوط والأولی هو الأوّل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المستفاد من الأخبار اشتراط وجود الغبار والإحساس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یسمی صعیدا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بعدم التسمیة عرفا لعله محلّ إشکال ، لأنّهم یطلقون علیه لفظ التراب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الغبار ، إذا اجتمع الغبار ، وربما یظهر ذلک من ملاحظة أنّ الطین الذی هو من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أنّه صعید طیب وماء طهور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عنه بالنصوص والإجماع ، مع أنّهم علیهم السلام فی الغبار أمروا بالتیمم منه ، وأمّا الطین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بالتیمم منه ، فیؤذن هذا بصعوبة ما فی الطین من جهة الماء المخلوط به وإن کان هو من الصعید ، والغبار لا تأمّل فیه أصلا ولا صعوبة فیه رأسا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أنّ التیمم إنّما هو من الماء والصعید </w:t>
      </w:r>
      <w:r>
        <w:rPr>
          <w:rStyle w:val="FootnoteAnchor"/>
          <w:rtl w:val="true"/>
        </w:rPr>
        <w:footnoteReference w:id="347"/>
      </w:r>
      <w:r>
        <w:rPr>
          <w:rFonts w:ascii="IRNazanin" w:hAnsi="IRNazanin" w:eastAsia="IRNazanin"/>
          <w:color w:val="111111"/>
          <w:sz w:val="28"/>
          <w:sz w:val="28"/>
          <w:szCs w:val="28"/>
          <w:rtl w:val="true"/>
          <w:lang w:bidi="fa-IR"/>
        </w:rPr>
        <w:t xml:space="preserve">، 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الأرض مسجدا وترابها طهورا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بالتقریب الذی مرّ </w:t>
      </w:r>
      <w:r>
        <w:rPr>
          <w:rStyle w:val="FootnoteAnchor"/>
          <w:rtl w:val="true"/>
        </w:rPr>
        <w:footnoteReference w:id="349"/>
      </w:r>
      <w:r>
        <w:rPr>
          <w:rFonts w:ascii="IRNazanin" w:hAnsi="IRNazanin" w:eastAsia="IRNazanin"/>
          <w:color w:val="111111"/>
          <w:sz w:val="28"/>
          <w:sz w:val="28"/>
          <w:szCs w:val="28"/>
          <w:rtl w:val="true"/>
          <w:lang w:bidi="fa-IR"/>
        </w:rPr>
        <w:t xml:space="preserve">، 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وورد أن الطهورین الماء </w:t>
      </w:r>
      <w:bookmarkStart w:id="428" w:name="pg14966_204069"/>
    </w:p>
    <w:p>
      <w:pPr>
        <w:pStyle w:val="BookText"/>
        <w:rPr/>
      </w:pPr>
      <w:bookmarkEnd w:id="428"/>
      <w:r>
        <w:rPr>
          <w:rFonts w:ascii="IRNazanin" w:hAnsi="IRNazanin" w:eastAsia="IRNazanin"/>
          <w:color w:val="111111"/>
          <w:sz w:val="28"/>
          <w:sz w:val="28"/>
          <w:szCs w:val="28"/>
          <w:rtl w:val="true"/>
          <w:lang w:bidi="fa-IR"/>
        </w:rPr>
        <w:t xml:space="preserve">والصعید </w:t>
      </w:r>
      <w:r>
        <w:rPr>
          <w:rStyle w:val="FootnoteAnchor"/>
          <w:rtl w:val="true"/>
        </w:rPr>
        <w:footnoteReference w:id="351"/>
      </w:r>
      <w:r>
        <w:rPr>
          <w:rFonts w:ascii="IRNazanin" w:hAnsi="IRNazanin" w:eastAsia="IRNazanin"/>
          <w:color w:val="111111"/>
          <w:sz w:val="28"/>
          <w:sz w:val="28"/>
          <w:szCs w:val="28"/>
          <w:rtl w:val="true"/>
          <w:lang w:bidi="fa-IR"/>
        </w:rPr>
        <w:t>، وغیر ذلک ، فتأمّل ، بل ربما لا یظهر من الأخبار تأخیر الغبار عن التراب أصلا ، وفیه أیضا إشعار ، ویؤیّده أیضا التیمم للنوم ، مع عدم اشتراطه بفقد التراب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العمل علی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بحال الثلج المانعة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منع بملاحظة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الروایة الأولی لا ضعف فیها ، لأنّ أبا بصیر مشترک بین ثقات ، کما حقّق فی محلّه ، ومع ذلک منجبر بعمل الأصحاب علی تقدیر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الموثق کالصحیح عن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أصابه الثلج فلینظر لبد سرجه فیتیمم من غباره أو من شی‌ء معه ، فإن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ظهر من هذه الأخبار أنّه لا ترتیب فی الأمور المغبرة التی یتیمم بغبارها ، خلافا لها ذکره الشیخ من الترتیب </w:t>
      </w:r>
      <w:r>
        <w:rPr>
          <w:rStyle w:val="FootnoteAnchor"/>
          <w:rtl w:val="true"/>
        </w:rPr>
        <w:footnoteReference w:id="3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المرتضی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عن سلار أیضا </w:t>
      </w:r>
      <w:r>
        <w:rPr>
          <w:rStyle w:val="FootnoteAnchor"/>
          <w:rtl w:val="true"/>
        </w:rPr>
        <w:footnoteReference w:id="354"/>
      </w:r>
      <w:r>
        <w:rPr>
          <w:rFonts w:ascii="IRNazanin" w:hAnsi="IRNazanin" w:eastAsia="IRNazanin"/>
          <w:color w:val="111111"/>
          <w:sz w:val="28"/>
          <w:sz w:val="28"/>
          <w:szCs w:val="28"/>
          <w:rtl w:val="true"/>
          <w:lang w:bidi="fa-IR"/>
        </w:rPr>
        <w:t xml:space="preserve">، وأنّه احتج بصحیحة محمد بن مسلم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السفر ، فلا یجد إلاّ الثلج أو ماء جامدا؟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بمنزلة الضرورة یتیمّم ، ولا أری أن یعود إلی هذه الأرض التی توبق دینه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ولعل مستند غیره أیضا هذه الصحیحة ، لکن الدلالة غیر واضحة ، إذ لعل المراد التیمم بالصعید ، وأنّه لا یجد إلاّ الثلج والماء الجامد لا غیر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2087737_388300464"/>
      <w:bookmarkStart w:id="430" w:name="_Toc174"/>
      <w:bookmarkEnd w:id="429"/>
      <w:r>
        <w:rPr>
          <w:rtl w:val="true"/>
        </w:rPr>
        <w:t>دلیل السیّد المرتضی بجواز التیمم بالثلج والمناقشة فیه</w:t>
      </w:r>
      <w:bookmarkStart w:id="431" w:name="pg14966_204070"/>
      <w:bookmarkEnd w:id="430"/>
    </w:p>
    <w:p>
      <w:pPr>
        <w:pStyle w:val="BookText"/>
        <w:rPr/>
      </w:pPr>
      <w:bookmarkEnd w:id="431"/>
      <w:r>
        <w:rPr>
          <w:rFonts w:ascii="IRNazanin" w:hAnsi="IRNazanin" w:eastAsia="IRNazanin"/>
          <w:color w:val="111111"/>
          <w:sz w:val="28"/>
          <w:sz w:val="28"/>
          <w:szCs w:val="28"/>
          <w:rtl w:val="true"/>
          <w:lang w:bidi="fa-IR"/>
        </w:rPr>
        <w:t>الجامد وإن وجد التراب ، کما هو الغالب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الأصحاب علی عدم جواز</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فی صورة رجاء التیمم فی الوقت وبعد دخوله ، أمّا لو علم یقینا أو ظنّ أنّه بعد دخول الوقت لا یمکن التیمم مطلقا ، أو لا یمکن التیمم إلاّ بالطین مثلا فالحکم بعدم الجواز مشکل ، لشمول کثیر من الأدلة ، مثل کونه بمنزلة المائیة ، ویکفیک الصعید عشر سنین وغیر ذلک ، ولأنّه واجد للطهور ومتمکن من أداء الصلاة وإیجادها فی وقتها ، فیجب ، لعموم ما دل علیه ، وعدم سقوطها عن کل مکلف ولو بغیر ستر العورة وغیره من الشرائط المماثلة له ، وبغیر الحمد والسورة والرکوع وغیرها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یسقط إلاّ أن یموت المکلف ، أو یخرج عن التکلیف ، أو لا یتمکن منها أصلا ورأسا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مع عدم ظهور شمول إجماعهم لمثل ما نحن فیه ، لکونه من الفروض النادرة ، فلم یظهر دخوله تحت إطلاق کلام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ثبوت هذا الإجماع ، لما مرّ عن الشهید من نقل القول بوجوب الطهارات أجمع لأنفسها وجوبا موسّعا </w:t>
      </w:r>
      <w:r>
        <w:rPr>
          <w:rStyle w:val="FootnoteAnchor"/>
          <w:rtl w:val="true"/>
        </w:rPr>
        <w:footnoteReference w:id="356"/>
      </w:r>
      <w:r>
        <w:rPr>
          <w:rFonts w:ascii="IRNazanin" w:hAnsi="IRNazanin" w:eastAsia="IRNazanin"/>
          <w:color w:val="111111"/>
          <w:sz w:val="28"/>
          <w:sz w:val="28"/>
          <w:szCs w:val="28"/>
          <w:rtl w:val="true"/>
          <w:lang w:bidi="fa-IR"/>
        </w:rPr>
        <w:t xml:space="preserve">، غایة ما فی الباب أن یکون إجماعا منقولا بخبر الواحد ، فعلی القول بحجّیته وأنّه لا یضرّ خروج الفقیه الغیر المعروف لا شبهة فی کونه 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یقاوم ما ذکرناه من العموم ، لأنّه أقوی ، کما أشرنا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مضافا إلی ضعف دلالته أیضا ،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ما ذکرنا ما ورد من المنع عن السفر إلی بلد یحتاج فیه إلی التیمم للصلاة ، وعدّهم علیهم السلام ذلک هلاک الدین ، فکیف یجوّزون ترک</w:t>
      </w:r>
    </w:p>
    <w:p>
      <w:pPr>
        <w:pStyle w:val="Heading3"/>
        <w:numPr>
          <w:ilvl w:val="2"/>
          <w:numId w:val="1"/>
        </w:numPr>
        <w:rPr/>
      </w:pPr>
      <w:bookmarkStart w:id="432" w:name="__RefHeading___Toc2087739_388300464"/>
      <w:bookmarkStart w:id="433" w:name="_Toc175"/>
      <w:bookmarkEnd w:id="432"/>
      <w:r>
        <w:rPr>
          <w:rtl w:val="true"/>
        </w:rPr>
        <w:t>کیفیة التیمم</w:t>
      </w:r>
      <w:bookmarkEnd w:id="4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2087741_388300464"/>
      <w:bookmarkStart w:id="435" w:name="_Toc176"/>
      <w:bookmarkEnd w:id="434"/>
      <w:r>
        <w:rPr>
          <w:rtl w:val="true"/>
        </w:rPr>
        <w:t>وقت التیمم</w:t>
      </w:r>
      <w:bookmarkStart w:id="436" w:name="pg14966_204071"/>
      <w:bookmarkEnd w:id="435"/>
    </w:p>
    <w:p>
      <w:pPr>
        <w:pStyle w:val="BookText"/>
        <w:rPr/>
      </w:pPr>
      <w:bookmarkEnd w:id="436"/>
      <w:r>
        <w:rPr>
          <w:rFonts w:ascii="IRNazanin" w:hAnsi="IRNazanin" w:eastAsia="IRNazanin"/>
          <w:color w:val="111111"/>
          <w:sz w:val="28"/>
          <w:sz w:val="28"/>
          <w:szCs w:val="28"/>
          <w:rtl w:val="true"/>
          <w:lang w:bidi="fa-IR"/>
        </w:rPr>
        <w:t xml:space="preserve">التیمم أیضا مع التمکن والوجدان العقلی والعرفی ، فیترک الصلاة لأجله ، مع کونه من مقدمات الواجب المطلق لا المشروط ، وحاله حالها ، مع أنّ المقدمات ترتکب قبل دخول الوقت البتّة ، ولا مانع فی غیر الموضع ، مع التمکن منها فی الوقت فکیف مع عدم التمکن ، مثل تحصیل الدلو والرشاء لاستقاء ماء الطهارة واشتراء أسباب السفر للحج وغیر ذلک ، ومفهوم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الطهور والصلاة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یقتضی عدم الوجوب لا عدم الجواز ، وعدم الوجوب العقلی الذی هو فی المقدّمات ، مع التأمّل فی عموم المفهوم ، ثم شموله للفرد النادر ، ثم مقاومته لما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قبل الوقت لو تمکن من الوضوء والغسل تعین إتیانهما حینئذ لو علم أو ظنّ عدم التمکن منهما فی الوقت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منهم أبو الصلاح ، وسلار ، وابن حمزة ، وابن إدریس وظاهر المفید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علیه السید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والشیخ أیضا ، کما سیذکر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وقوّاه فی المنتهی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والتحریر أیضا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7" w:name="__RefHeading___Toc2087743_388300464"/>
      <w:bookmarkStart w:id="438" w:name="_Toc177"/>
      <w:bookmarkEnd w:id="437"/>
      <w:r>
        <w:rPr>
          <w:rtl w:val="true"/>
        </w:rPr>
        <w:t>تحقیق فی الاجماع المنقول</w:t>
      </w:r>
      <w:bookmarkStart w:id="439" w:name="pg14966_204072"/>
      <w:bookmarkEnd w:id="438"/>
    </w:p>
    <w:p>
      <w:pPr>
        <w:pStyle w:val="BookText"/>
        <w:rPr/>
      </w:pPr>
      <w:bookmarkEnd w:id="43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وظاهر الجعفی وظاهر البزنطی علی ما نقل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العلاّمة فی أکثر کتبه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ویومئ إلیه کلام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للمتیمم أن یتیمم إلاّ فی آخر الوقت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فبالمنع منه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الخلاف وإن لم یضرّ الإجماع المعتبر عندنا ، لعدم کونه وفاق الکل ، إلاّ أنّه یضرّه من حیث إنّه یمنع من حصول العلم بقول المعصوم ، لأنّ العلم علی فرض حصوله من مجرّد الاتفاق فإنّما یحصل من اتفاق جمیع الفقهاء بحیث لا یشذّ عنهم أحد ، وأمّا مع اتفاق بعضهم فحصول العلم غیر ممکن ، إلاّ بضمیمة قرینة تفید ضمّها العلم ، وهی فی أمثال زماننا مفقودة إلاّ ما شذّ ، مثل العلم بحرمة القیاس ونظائرها ، وما نحن فیه لا یوجد فیه قرینة ، بل القرائن علی خلافه ، فإنّ کثیرا من الأخبار یظهر منها عدم وجوب التأخیر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هو حجّة لا ینحصر فی القطعی ، لعموم ما دل علی حجّیة ظنّ المجتهد ، فیکفی کونه ظنیّا ، والعادل الضابط الماهر أخبر بالإجماع ، ومخالفة الغیر غیر مضرّ ، إذ لعله لم یحصل له العلم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0" w:name="__RefHeading___Toc2087745_388300464"/>
      <w:bookmarkStart w:id="441" w:name="_Toc178"/>
      <w:bookmarkEnd w:id="440"/>
      <w:r>
        <w:rPr>
          <w:rtl w:val="true"/>
        </w:rPr>
        <w:t xml:space="preserve">أدلّة القائلین بوجوب تأخیر التیمم </w:t>
      </w:r>
      <w:r>
        <w:rPr>
          <w:rtl w:val="true"/>
        </w:rPr>
        <w:t xml:space="preserve">... </w:t>
      </w:r>
      <w:r>
        <w:rPr>
          <w:rtl w:val="true"/>
        </w:rPr>
        <w:t>إلی آخر الوقت والجواب عنها</w:t>
      </w:r>
      <w:bookmarkEnd w:id="441"/>
    </w:p>
    <w:p>
      <w:pPr>
        <w:pStyle w:val="BookText"/>
        <w:rPr/>
      </w:pPr>
      <w:r>
        <w:rPr>
          <w:rFonts w:ascii="IRNazanin" w:hAnsi="IRNazanin" w:eastAsia="IRNazanin"/>
          <w:color w:val="111111"/>
          <w:sz w:val="28"/>
          <w:sz w:val="28"/>
          <w:szCs w:val="28"/>
          <w:rtl w:val="true"/>
          <w:lang w:bidi="fa-IR"/>
        </w:rPr>
        <w:t>وحصل لمدعی الإجماع ولا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یحصل بسببه الوهن فی دعوی المدعی ، بسبب أنّ جمعا من الماهرین العادلین الضابطین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بذل جهدهم واستفراغ وسعهم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یتفطّنوا بهذا الإجماع مع اتحاد زمانهم بزمان المدعی ، أو قرب عهدهم أو تقدمهم علیه ، فإنّ هذا ربما یورث لنا الوهم والریبة ، فعلی تقدیر بقاء ظنّ بعد ذلک فظنّ ضعیف لا یقاوم الأخبار ، بل ملاحظة الأخبار توجب ضعفا آخر زائدا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من لم یقل بحجّیة المنقول بخبر الواحد لا ینفعه هذا الإجماع أصلا وبالمرّة ، ومن یقول بها ولا یوجب له ما ذکرناه وهنا أصلا یکون عنده مثل الخبر ، فحکمه حکم خبر آخر رواه ، فیصیر التعارض ، فلا بدّ من الجمع الوجیه أو الترجیح کذلک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الأولی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یشکل هذا الجواب علی الطریقة الأخری فی هذه الروایة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ذکرنا </w:t>
      </w:r>
      <w:r>
        <w:rPr>
          <w:rStyle w:val="FootnoteAnchor"/>
          <w:rtl w:val="true"/>
        </w:rPr>
        <w:footnoteReference w:id="366"/>
      </w:r>
      <w:r>
        <w:rPr>
          <w:rFonts w:ascii="IRNazanin" w:hAnsi="IRNazanin" w:eastAsia="IRNazanin"/>
          <w:color w:val="111111"/>
          <w:sz w:val="28"/>
          <w:sz w:val="28"/>
          <w:szCs w:val="28"/>
          <w:rtl w:val="true"/>
          <w:lang w:bidi="fa-IR"/>
        </w:rPr>
        <w:t>، لکن الجواب عنه وقوع الاضطراب ، وعدم ظهور کون هذه الطریقة حقا ، سیّما والطریقة المذکورة فی کلام الشارح أصح سندا وأشهر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الشک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یقتضی احتمال الفوت فی الواقع ، لا بالنضر إلی رأی المکلف ، إذ کثیرا ما لا یرجو الماء ومع ذلک یحصل له ، بل وربما یقطع بعدمه ومع ذلک یوجد له ، وتخلف القطع غیر نادر</w:t>
      </w:r>
      <w:r>
        <w:rPr>
          <w:rFonts w:eastAsia="IRNazanin" w:cs="IRNazanin"/>
          <w:color w:val="111111"/>
          <w:sz w:val="28"/>
          <w:szCs w:val="28"/>
          <w:rtl w:val="true"/>
          <w:lang w:bidi="fa-IR"/>
        </w:rPr>
        <w:t xml:space="preserve">. </w:t>
      </w:r>
      <w:bookmarkStart w:id="442" w:name="pg14966_204074"/>
    </w:p>
    <w:p>
      <w:pPr>
        <w:pStyle w:val="BookText"/>
        <w:rPr/>
      </w:pPr>
      <w:bookmarkEnd w:id="44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حملهما علی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الجدل ، وإلاّ فهو رحمه الله کثیرا ما یستدل بأمثالهما ویصرّح بعدم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متروکة الظاهر ، لتصریحه بأنّ الخبر الصحیح حجّة ، وإن لم یکن بمضمونه قائل ، إلاّ أن یکون مراده أنّ الفقهاء قالوا بخلافه ، لکن المحقق مال إلیه ، وطریقة الشارح رحمه الله العمل بمثله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الحمل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معارضة ظاهرهما لظواهر کثیر من الأدلة ومقاومته لها ، فلا بد من الملاحظة والتأمّل فی المعارضات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الکلام فی عبارة الفقه الرضوی أیضا ، فإنّها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للمتیمم أن یتیمم إلاّ آخر الوقت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ولعل هذه العبارة مستند القائلین بالتأخیر مطلقا ، ویمکن أن یکون المراد فیها أیضا أنّه مع الرجاء یتأخر ، لأنّه الغالب ، ویقربه ملاحظة هذین الخبرین وأمثالهما ، حیث أمر فیها بالتأخیر مطلقا ، وعلّل بأنّه إن فاته الماء لم تفته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یدل علی هذا القول عمومات وإطلاقات کثیرة فی أنّ الوقت یدخل بمجرّد الزوال ، وأنّه وقت إلی الغروب مثلا ، وفی أنّ فاقد الماء والعاجز عن استعماله یتیمم ویصلی ، مضافا إلی ما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صحیحة محمد بن حمران وجمیل بن دراج ، عن الصادق علیه السلام ، فی إمام قوم أصابته جنابة ولیس معه ماء یکفیه للغسل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2087747_388300464"/>
      <w:bookmarkStart w:id="444" w:name="_Toc179"/>
      <w:bookmarkEnd w:id="443"/>
      <w:r>
        <w:rPr>
          <w:rtl w:val="true"/>
        </w:rPr>
        <w:t>أدلّة القائلین بجواز التیمم مع سعة الوقت</w:t>
      </w:r>
      <w:bookmarkEnd w:id="444"/>
    </w:p>
    <w:p>
      <w:pPr>
        <w:pStyle w:val="BookText"/>
        <w:rPr/>
      </w:pPr>
      <w:r>
        <w:rPr>
          <w:rFonts w:ascii="IRNazanin" w:hAnsi="IRNazanin" w:eastAsia="IRNazanin"/>
          <w:color w:val="111111"/>
          <w:sz w:val="28"/>
          <w:sz w:val="28"/>
          <w:szCs w:val="28"/>
          <w:rtl w:val="true"/>
          <w:lang w:bidi="fa-IR"/>
        </w:rPr>
        <w:t xml:space="preserve">أیتوضّأ بعضهم ویصلّی بهم؟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یتیمم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بهم ، إنّ الله قد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فإنّ الظاهر عدم إیجابه علیه السلام علی المأمومین والإمام تأخیرهم الصلاة إلی ضیق الوقت ، وإلاّ لکان أمرهم فی المقام ، لشدّة الحاجة ، ونهایة بعد أن یکون علی المأمومین </w:t>
      </w:r>
      <w:r>
        <w:rPr>
          <w:rStyle w:val="FootnoteAnchor"/>
          <w:rtl w:val="true"/>
        </w:rPr>
        <w:footnoteReference w:id="370"/>
      </w:r>
      <w:r>
        <w:rPr>
          <w:rFonts w:ascii="IRNazanin" w:hAnsi="IRNazanin" w:eastAsia="IRNazanin"/>
          <w:color w:val="111111"/>
          <w:sz w:val="28"/>
          <w:sz w:val="28"/>
          <w:szCs w:val="28"/>
          <w:rtl w:val="true"/>
          <w:lang w:bidi="fa-IR"/>
        </w:rPr>
        <w:t>التأخیر إلی ذلک الوقت لدرک فضیلة الجماعة مع خصوص هذا الإمام المتیمم مع وجود إمام متوضّئ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تأخیر الصلاة إلی هذا الحدّ فی غایة الشدة من الکراهة وکمال المرجوحیة ، کما یظهر من کثیر من الأخبار ، وأمّا علی القول بالاختیار والاضطرار فالأمر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کراهة اقتداء غیر المتیمم بالمتیمم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یعقوب بن سالم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 عدم وجوب التأخیر کذا یدل علی عدم وجوب الطلب وغیره من شرائط التیمم المسلّمة ، والبناء علی أنّ المراد أنّه إذا تیمم تیمما صحیحا مستجمعا لجمیع الشرائط لا یجب علیه ، یوجب انسداد باب استدلالهم ، لأنّ التیمم فی أوّل الوقت من أین ظهر صحته؟ مع نقل الإجماعات وورود الأخبار الکثیرة المانعة إمّا مطلقا أو مع رجاء ارتفاع العذر للمائیة ، فإنّ الضیق المعتبر عند معتبرة إنّما هو بحسب الظن والتخمین ، ومع عدم مداقة ومضایقة فی الأجزاء الواجبة وکیفیة أدائها ، ولا مانع من وجدان الماء بعد الصلاة بالتیمم الصحیح ، وبقاء شی‌ء </w:t>
      </w:r>
      <w:bookmarkStart w:id="445" w:name="pg14966_204076"/>
    </w:p>
    <w:p>
      <w:pPr>
        <w:pStyle w:val="BookText"/>
        <w:rPr/>
      </w:pPr>
      <w:bookmarkEnd w:id="445"/>
      <w:r>
        <w:rPr>
          <w:rFonts w:ascii="IRNazanin" w:hAnsi="IRNazanin" w:eastAsia="IRNazanin"/>
          <w:color w:val="111111"/>
          <w:sz w:val="28"/>
          <w:sz w:val="28"/>
          <w:szCs w:val="28"/>
          <w:rtl w:val="true"/>
          <w:lang w:bidi="fa-IR"/>
        </w:rPr>
        <w:t>من الوقت ، ولو بقدر رکعة من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یتناول المتیمم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القول بوجوب التأخیر مطلقا وجیه ، لکن القائل بالثانی إنّما یقول به بناء علی اختیاره القول بالتفصیل ، کما هو صریح کلامه ، ومعلوم علی القول بالتفصیل أنّ الأمر بتأخیر التیمم لیس إلاّ لرجاء حصول الماء وحصول الصلاة بالطهور الاختیاری مهما أمکن ، وأنّ التیمم طهور اضطراری لا یرتکب إلاّ أن یضطر إلیه ، ومع الرجاء ما حصل الاضطرار ، وقد أشرنا إلی أنّهم علیهم السلام نهوا عن المسافرة إلی بلد ربما یتحقّق فی المسافرة إلیه الصلاة بالتیمم ، وحکموا بأنّ فی ذلک هلاک الدین ، ومعلوم أیضا أنّ الطهور إذا کان لأجل الصلاة لا یکون حینئذ مطلوبا لنفسه ، بل مطلوبیته حینئذ منحصرة فی کونها لأجل الصلاة خاصّة ، وممّا ذکرنا ظهر أنّ تضعیفه لا یخلو عن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تیممه صحیح البتّة ، ولا معنی لصحته إلاّ جواز الدخول 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یکون المعنی جواز الدخول فی أوّل الوقت ، بل جواز الدخول فی الجملة ، لأنّ معنی الصحة هو ترتّب الأثر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حدثه مرفوع بالتیمم ، والحدث هو الحالة المانعة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الکلام فی کونه رافعا للحدث ، وعلی تقدیر کونه رافعا لم یعلم أنّه رفع مطلقا ، فإنّه أوّل الکلام ، بل رفع فی الجملة ، وهو أنّه إن حصل الیأس فتجوز الصلاة حینئذ ، وإلاّ فعند حصول الیأس أو ضیق الوقت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2087749_388300464"/>
      <w:bookmarkStart w:id="447" w:name="_Toc180"/>
      <w:bookmarkEnd w:id="446"/>
      <w:r>
        <w:rPr>
          <w:rtl w:val="true"/>
        </w:rPr>
        <w:t>هل یجوز للمتیمم الصلاة فی أوّل الوقت؟</w:t>
      </w:r>
      <w:bookmarkStart w:id="448" w:name="pg14966_204077"/>
      <w:bookmarkEnd w:id="447"/>
    </w:p>
    <w:p>
      <w:pPr>
        <w:pStyle w:val="BookText"/>
        <w:rPr/>
      </w:pPr>
      <w:bookmarkEnd w:id="448"/>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بوجوب تأخیر التیمم عند رجاء المائیة لا یخلو ما ذکره عن الإشکال ، ویؤیّد هذا الإشکال ما سنذکر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فینتفی اعتبار فائدة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له 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الشهادة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قوله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شموله لحالة العذر من المائیة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 اعتبار فائدة التضییق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والانتفاء خلاف مدلول الأخبار وضدّ مقتضاه ، لأنّ الأوقات صالحة للنافلة ، والتیمم صحیح لها متی أرادها ، علی ما ذکر ، والصلاة الفریضة تصح بالتیمم السابق فی أوّل الوقت ، کما اختاره الشارح أیضا ، فلأیّ جهة أمروا بالتأخیر إلی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مبنی علی ترجیحه کون التأخیر علی سبیل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علی هذا لا یبقی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 لأنّه علی أیّ تقدیر کان اعتبارها منتفیا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أنّه علی القول باعتبار التضییق إمّا لا یصح التیمم للنافلة متی أرادها ، أو یصح لکن لا یمکن أداء الفریضة بالتیمم السابق فی غیر وقت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الظاهر من الأخبار صحة التیمم للنافلة متی أرادها ولا یوجد مانع من ذلک من قبلها أصلا ، فظهر أنّ المانع هو الثانی ، کما أشرنا وظهر لک فی الحاشیة السابقة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زالت تلک الحالة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تلک الحالة إذا زالت فلا جرم أنّها بوجود الماء لا بدّ أن</w:t>
      </w:r>
    </w:p>
    <w:p>
      <w:pPr>
        <w:pStyle w:val="Heading4"/>
        <w:numPr>
          <w:ilvl w:val="3"/>
          <w:numId w:val="1"/>
        </w:numPr>
        <w:rPr/>
      </w:pPr>
      <w:bookmarkStart w:id="449" w:name="__RefHeading___Toc2087751_388300464"/>
      <w:bookmarkStart w:id="450" w:name="_Toc181"/>
      <w:bookmarkEnd w:id="449"/>
      <w:r>
        <w:rPr>
          <w:rtl w:val="true"/>
        </w:rPr>
        <w:t>حکم التیمم للنافلة</w:t>
      </w:r>
      <w:bookmarkEnd w:id="450"/>
    </w:p>
    <w:p>
      <w:pPr>
        <w:pStyle w:val="Heading3"/>
        <w:numPr>
          <w:ilvl w:val="2"/>
          <w:numId w:val="1"/>
        </w:numPr>
        <w:rPr/>
      </w:pPr>
      <w:bookmarkStart w:id="451" w:name="__RefHeading___Toc2087753_388300464"/>
      <w:bookmarkStart w:id="452" w:name="_Toc182"/>
      <w:bookmarkEnd w:id="451"/>
      <w:r>
        <w:rPr>
          <w:rtl w:val="true"/>
        </w:rPr>
        <w:t>واجبات التیمم</w:t>
      </w:r>
      <w:bookmarkEnd w:id="4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2087755_388300464"/>
      <w:bookmarkStart w:id="454" w:name="_Toc183"/>
      <w:bookmarkEnd w:id="453"/>
      <w:r>
        <w:rPr>
          <w:rtl w:val="true"/>
        </w:rPr>
        <w:t>النیّة</w:t>
      </w:r>
      <w:bookmarkEnd w:id="454"/>
    </w:p>
    <w:p>
      <w:pPr>
        <w:pStyle w:val="BookText"/>
        <w:rPr/>
      </w:pPr>
      <w:r>
        <w:rPr>
          <w:rFonts w:ascii="IRNazanin" w:hAnsi="IRNazanin" w:eastAsia="IRNazanin"/>
          <w:color w:val="111111"/>
          <w:sz w:val="28"/>
          <w:sz w:val="28"/>
          <w:szCs w:val="28"/>
          <w:rtl w:val="true"/>
          <w:lang w:bidi="fa-IR"/>
        </w:rPr>
        <w:t>تحدث وتعود ، ویصیر غیر الجنب جنبا ، وغیر الحائض حائضا ، وهکذا ، وغیر خفی أنّ وجود الماء لیس من موجبات تلک الحالة ، ولیس هو من الأحداث ، لأنّ موجبها هو الجنابة ، أعنی التقاء الختانین أو نزول المنی ، أو الحیض ، أو الاستحاضة ، أو النفاس ، أو مسّ المیت إذا کان ، لیس إلاّ ،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المحقق نقل الإجماع علی أنّ وجود الماء لیس بحدث </w:t>
      </w:r>
      <w:r>
        <w:rPr>
          <w:rStyle w:val="FootnoteAnchor"/>
          <w:rtl w:val="true"/>
        </w:rPr>
        <w:footnoteReference w:id="372"/>
      </w:r>
      <w:r>
        <w:rPr>
          <w:rFonts w:ascii="IRNazanin" w:hAnsi="IRNazanin" w:eastAsia="IRNazanin"/>
          <w:color w:val="111111"/>
          <w:sz w:val="28"/>
          <w:sz w:val="28"/>
          <w:szCs w:val="28"/>
          <w:rtl w:val="true"/>
          <w:lang w:bidi="fa-IR"/>
        </w:rPr>
        <w:t xml:space="preserve">، وسیجی‌ء عن الشارح أیضا ادعاء الإجماع علیه </w:t>
      </w:r>
      <w:r>
        <w:rPr>
          <w:rStyle w:val="FootnoteAnchor"/>
          <w:rtl w:val="true"/>
        </w:rPr>
        <w:footnoteReference w:id="373"/>
      </w:r>
      <w:r>
        <w:rPr>
          <w:rFonts w:ascii="IRNazanin" w:hAnsi="IRNazanin" w:eastAsia="IRNazanin"/>
          <w:color w:val="111111"/>
          <w:sz w:val="28"/>
          <w:sz w:val="28"/>
          <w:szCs w:val="28"/>
          <w:rtl w:val="true"/>
          <w:lang w:bidi="fa-IR"/>
        </w:rPr>
        <w:t xml:space="preserve">، وحین وجود الماء أو رفع المرض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أجنب الآن ، أو أنّها حاضت ، أو أنّهما أحدثا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والأخبار دالة علی هذا المعنی من غیر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إنّ التیمم یبیح ما تبیحه المائیة فی حال الاضطرار لا مطلقا ، فعدم الإباحة فی الجملة باق لم یرفع منه ، إنّما المرفوع هو عدم الإباحة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قد عرفت فی الحاشیة السابقة المکتوبة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یتناول المتیمم</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أنّ رفع الحدث یکون فی الجملة لا مطلقا ، فغیر المرتفع من الحالة لم یرتفع مطلقا ، والمرتفع منها ارتفع مطلقا ، والحدث موجب لحدوثها ، ووجدان الماء لیس موجبا لحدوث هذا المرتفع ، بل المانع هو الحالة الباقیة ، لأنّ المکلف حینئذ مختار لا مضطر ، فتأمّل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علی تقدیر تمامه یجعل النزاع لفظیا ، کما اعترف </w:t>
      </w:r>
      <w:bookmarkStart w:id="455" w:name="pg14966_204079"/>
    </w:p>
    <w:p>
      <w:pPr>
        <w:pStyle w:val="BookText"/>
        <w:rPr/>
      </w:pPr>
      <w:bookmarkEnd w:id="455"/>
      <w:r>
        <w:rPr>
          <w:rFonts w:ascii="IRNazanin" w:hAnsi="IRNazanin" w:eastAsia="IRNazanin"/>
          <w:color w:val="111111"/>
          <w:sz w:val="28"/>
          <w:sz w:val="28"/>
          <w:szCs w:val="28"/>
          <w:rtl w:val="true"/>
          <w:lang w:bidi="fa-IR"/>
        </w:rPr>
        <w:t>به ، فلا ثمرة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علی أن التیمم لا یرفع الحدث ما ورد فی الأخبار المتعددة من إطلاق لفظ الجنب علی المتیمم بعد تیممه ، وکراهة الإمامة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بعض الأمور الأخر ، مثل الأکل والشرب والجماع وأمثال ذلک ، بل ولعل منع بعض الأمور یکون باقیا ، فتأمّل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العوالی ، عن النبی صلی الله علیه و آله ، أنّه قال لبعض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أتصلّی بالناس وأنت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جنبا بعد التیمم </w:t>
      </w:r>
      <w:r>
        <w:rPr>
          <w:rStyle w:val="FootnoteAnchor"/>
          <w:rtl w:val="true"/>
        </w:rPr>
        <w:footnoteReference w:id="377"/>
      </w:r>
      <w:r>
        <w:rPr>
          <w:rFonts w:ascii="IRNazanin" w:hAnsi="IRNazanin" w:eastAsia="IRNazanin"/>
          <w:color w:val="111111"/>
          <w:sz w:val="28"/>
          <w:sz w:val="28"/>
          <w:szCs w:val="28"/>
          <w:rtl w:val="true"/>
          <w:lang w:bidi="fa-IR"/>
        </w:rPr>
        <w:t xml:space="preserve">، انتهی ، وسیجی‌ء تمام الکلام عند شرح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تیمم الجنب بدلا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یظهر من بعض الأخبار کونه خارجا عن التیمم ، لأنّهم علیهم السلام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یضرب بیده ویتیمم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یتیمم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ولیس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مسح الأعضاء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اعتبر کون المسح بالکف ، إلاّ أنّه جعل الضرب بمنزلة أخذ الماء ، فعدم إجزاء ما ذکره لیس لکون أوّل أجزاء التیمم هو الضرب ، بل لعدم المسح المعتبر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معا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Heading4"/>
        <w:numPr>
          <w:ilvl w:val="3"/>
          <w:numId w:val="1"/>
        </w:numPr>
        <w:rPr/>
      </w:pPr>
      <w:bookmarkStart w:id="456" w:name="__RefHeading___Toc2087757_388300464"/>
      <w:bookmarkStart w:id="457" w:name="_Toc184"/>
      <w:bookmarkEnd w:id="456"/>
      <w:r>
        <w:rPr>
          <w:rtl w:val="true"/>
        </w:rPr>
        <w:t>وقت النیّة</w:t>
      </w:r>
      <w:bookmarkEnd w:id="45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2087759_388300464"/>
      <w:bookmarkStart w:id="459" w:name="_Toc185"/>
      <w:bookmarkEnd w:id="458"/>
      <w:r>
        <w:rPr>
          <w:rtl w:val="true"/>
        </w:rPr>
        <w:t>وضع الیدین معاً علی الأرض</w:t>
      </w:r>
      <w:bookmarkEnd w:id="459"/>
    </w:p>
    <w:p>
      <w:pPr>
        <w:pStyle w:val="BookText"/>
        <w:rPr/>
      </w:pPr>
      <w:r>
        <w:rPr>
          <w:rFonts w:ascii="IRNazanin" w:hAnsi="IRNazanin" w:eastAsia="IRNazanin"/>
          <w:color w:val="111111"/>
          <w:sz w:val="28"/>
          <w:sz w:val="28"/>
          <w:szCs w:val="28"/>
          <w:rtl w:val="true"/>
          <w:lang w:bidi="fa-IR"/>
        </w:rPr>
        <w:t xml:space="preserve">أی لا یتقدم أحدهما علی الآخر ، بأن یکون وضعهما دفعة واحدة ، ویدل علیه بعد الإجماع المنقول ظواهر الأخبار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للوجه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للکفین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وأمثال ذلک ، ولتوقّف الوظائف الشرعیة علی النقل ، والقدر الثابت منه هو الوضع معا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استقبل فی العواصف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فإنّ المسح فی هذه منتف ، فکان علیه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 العواصف حتی لصق صعیدها ببطن کفیه فمسح به لم یجز ، 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لا یخفی أنّه رحمه الله کثیرا ما یمنع ثبوت وجوب شی‌ء بمجرّد نقله فی کیفیة التیمم ، مثل البدأة بالأعلی ، والموالاة ، وغیر ذلک ، کما ارتکب فی الوضوء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یکون مراده من النقل هنا أعم من القول ، 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العمومات مثل آیة التیمم یقتضی صحة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مراده أنّه ورد فی الأخبار لفظ الضربة والوضع ، فیکون مخصصا ، لکن لا یخفی أنّ هذا کلام آخر ولیس ذلک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w:t>
      </w:r>
      <w:r>
        <w:rPr>
          <w:rStyle w:val="FootnoteAnchor"/>
          <w:rtl w:val="true"/>
        </w:rPr>
        <w:footnoteReference w:id="381"/>
      </w:r>
      <w:r>
        <w:rPr>
          <w:rFonts w:ascii="IRNazanin" w:hAnsi="IRNazanin" w:eastAsia="IRNazanin"/>
          <w:color w:val="111111"/>
          <w:sz w:val="28"/>
          <w:sz w:val="28"/>
          <w:szCs w:val="28"/>
          <w:rtl w:val="true"/>
          <w:lang w:bidi="fa-IR"/>
        </w:rPr>
        <w:t>أن یناقش فی ثبوت التخصیص بمجرّد هذا ، إمّا لوروده مورد الغالب ، أو لبنائه علی الاستحباب ، لکنه خلاف الظاهر والإنصاف ، فتدبّر ، وهو رحمه الله استدل فی المسألة السابقة بورود الأمر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یخدشه ما نقله عن العلاّمة فیها ، فتأمّل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الوظائف الشرعیة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لعلّ </w:t>
      </w:r>
      <w:r>
        <w:rPr>
          <w:rStyle w:val="FootnoteAnchor"/>
          <w:rtl w:val="true"/>
        </w:rPr>
        <w:footnoteReference w:id="382"/>
      </w:r>
      <w:r>
        <w:rPr>
          <w:rFonts w:ascii="IRNazanin" w:hAnsi="IRNazanin" w:eastAsia="IRNazanin"/>
          <w:color w:val="111111"/>
          <w:sz w:val="28"/>
          <w:sz w:val="28"/>
          <w:szCs w:val="28"/>
          <w:rtl w:val="true"/>
          <w:lang w:bidi="fa-IR"/>
        </w:rPr>
        <w:t>هذا التعلیل بناء علی عدم اعتماده علی ما ادعاه من الإجماع ، بأنّ المراد مجرّد الاتفاق ، أو أنّه مستند إجماعهم ، أو أنّه دلیل آخر ، کما أنّ الأمر بالضرب أیضا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التعلیل مبنی علی ثبوت التکلیف بالمجمل ، وأنّ البیان منحصر فی فعل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یناقش الشارح فی دلالة الجملة الخبریة علی الأمر ، سیّما مع انضمام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تنفضهما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مستحب قطعا ، فربما کان نفس الضرب أیضا مستحبا بناء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حاصل بالوضع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أشار به إلی ظاهر الآیة ، بأنّ الضرب لو کان واجبا فی التیمم لما اکتفی سبحانه بمجرّد القصد ، فظاهرها أنّ قصد الصعید الذی یحصل به مسح الوجه والید یکفی کیف کان ، إلاّ أن یثبت من إجماع أو نص زائد علی ذلک ، کما ثبت منهما وجوب الوضع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نمنع حصول الغرض</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یظهر من هذا أنّ الشارح رحمه الله سلم کون الظاهر من الآیة حصول الغرض من قصد الصعید کیف کان ، إلاّ أنّ الأخبار تقید وتخصص ، وهذا لا یوافق ما ذکر سابقا فی المقام من أنّ الوظائف الشرعیة تتوقف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یتوقف ما ذکره علی کون دلالة الأخبار علی وجوب الضرب أقوی من دلالة الآیة والأخبار الموافقة لها ، ولعله کذلک</w:t>
      </w:r>
      <w:r>
        <w:rPr>
          <w:rFonts w:eastAsia="IRNazanin" w:cs="IRNazanin"/>
          <w:color w:val="111111"/>
          <w:sz w:val="28"/>
          <w:szCs w:val="28"/>
          <w:rtl w:val="true"/>
          <w:lang w:bidi="fa-IR"/>
        </w:rPr>
        <w:t xml:space="preserve">. </w:t>
      </w:r>
      <w:bookmarkStart w:id="460" w:name="pg14966_204082"/>
    </w:p>
    <w:p>
      <w:pPr>
        <w:pStyle w:val="BookText"/>
        <w:rPr/>
      </w:pPr>
      <w:bookmarkEnd w:id="46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خلافه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أنّه لم یصل إلینا منهم علیهم السلام تیمم بهذه الکیفیة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یصل أیضا ما ذکره من الضرب علی تراب بدنه أو بدن غیره ، وأمثال ذلک ، وإن أراد أنّه بملاحظة التیممات الواردة یظهر أنّه لا فرق بینها وبین هذه التیممات سوی التیمم بتراب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أیضا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الدلیل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تتوقف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الطهور شرط للصلاة مثلا ، والشک فی الشرط یوجب الشک 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الأصل عدم الصحة حتی تثبت الصحة بدلیل شرعی ، فعدم الدلیل لا یکفی ، بل لا بدّ من الدلیل علی عدم الاشتراط ولو کان إطلاقا یرجع إلی العموم ، والمطلقات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التراب طهورا ، کما جعل الماء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ضربة للوجه وضربة للکفین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 بیدیه علی الأرض فمسح بهما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 لو لم یفهم منها العلوق وکون المسح به لم یفهم منها عدم العلوق وکون المسح بمجرّد الید الخالی عن الغبار أصلا والمعرّی عن أثر مطلقا ، ولعل الراجح بحسب فهم العرف هو الأوّل ، وعلی تقدیر تسلیم عدمه ففهم الثانی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قطع النظر عمّا أشرنا إلیه فی بحث ما یجوز به التیمم من وجود الدلیل من الآیة والصحیح من الحدیث علی اشتراط العلوق </w:t>
      </w:r>
      <w:r>
        <w:rPr>
          <w:rStyle w:val="FootnoteAnchor"/>
          <w:rtl w:val="true"/>
        </w:rPr>
        <w:footnoteReference w:id="3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عرضة لزواله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2087761_388300464"/>
      <w:bookmarkStart w:id="462" w:name="_Toc186"/>
      <w:bookmarkEnd w:id="461"/>
      <w:r>
        <w:rPr>
          <w:rtl w:val="true"/>
        </w:rPr>
        <w:t>المناقشة فی اشتراط علوق التراب بالید وعدمه</w:t>
      </w:r>
      <w:bookmarkEnd w:id="462"/>
    </w:p>
    <w:p>
      <w:pPr>
        <w:pStyle w:val="BookText"/>
        <w:rPr/>
      </w:pPr>
      <w:r>
        <w:rPr>
          <w:rFonts w:ascii="IRNazanin" w:hAnsi="IRNazanin" w:eastAsia="IRNazanin"/>
          <w:color w:val="111111"/>
          <w:sz w:val="28"/>
          <w:sz w:val="28"/>
          <w:szCs w:val="28"/>
          <w:rtl w:val="true"/>
          <w:lang w:bidi="fa-IR"/>
        </w:rPr>
        <w:t>کونه فی عرضة الزوال ممنوع ، لأنّ مجرّد النفض لا یزیل العلوق بالتمام البتّة ، بل وإن بولغ فیه ، إلاّ أن یمسح الیدین بشی‌ء أو یمسح أحدهما بالآخر ویبالغ فی المسح إلی أن یزول الأثر ، وهذا غیر النفض وخلافه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یظهر من الأخبار المبالغة فی النفض ، بل ربما یظهر منها کون النفض مرّة واحدة کالضرب ، والظاهر أنّه لقلّة التشویه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یلزم علی ما ذکره أن یکون عدم العلوق واجبا أو مستحبا شرعا ، وأنّه إن کان المسح بالعلوق یکون حراما باطلا أو مرجوحا ، وفیه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ولأنّا بیّنّا أنّ الصعید وجه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مرّ الکلام فیه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الغالب عدم بقاء الغبار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بل الغالب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لعلّه لهذا أمروا بالضربتین ، لأنّه ربما یقلّ العلوق فیستحب الضرب الثانی ، أو ینعدم نادرا فیجب ، هذا علی تقدیر تسلیم ما ذکره من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ظاهر ابن الجنید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هذا أنّ ابن الجنید منفرد بهذا ، ولیس کذلک ، بل ظاهر جماعة کذلک ، کما صرّح به بعض المتأخرین </w:t>
      </w:r>
      <w:r>
        <w:rPr>
          <w:rStyle w:val="FootnoteAnchor"/>
          <w:rtl w:val="true"/>
        </w:rPr>
        <w:footnoteReference w:id="386"/>
      </w:r>
      <w:r>
        <w:rPr>
          <w:rFonts w:ascii="IRNazanin" w:hAnsi="IRNazanin" w:eastAsia="IRNazanin"/>
          <w:color w:val="111111"/>
          <w:sz w:val="28"/>
          <w:sz w:val="28"/>
          <w:szCs w:val="28"/>
          <w:rtl w:val="true"/>
          <w:lang w:bidi="fa-IR"/>
        </w:rPr>
        <w:t xml:space="preserve">، بل ظاهر الکل کذلک ، لحکمهم باستحباب النفض مطلقا ، بل ربما یظهر من بعضهم الأمر به مطلقا </w:t>
      </w:r>
      <w:r>
        <w:rPr>
          <w:rStyle w:val="FootnoteAnchor"/>
          <w:rtl w:val="true"/>
        </w:rPr>
        <w:footnoteReference w:id="387"/>
      </w:r>
      <w:r>
        <w:rPr>
          <w:rFonts w:ascii="IRNazanin" w:hAnsi="IRNazanin" w:eastAsia="IRNazanin"/>
          <w:color w:val="111111"/>
          <w:sz w:val="28"/>
          <w:sz w:val="28"/>
          <w:szCs w:val="28"/>
          <w:rtl w:val="true"/>
          <w:lang w:bidi="fa-IR"/>
        </w:rPr>
        <w:t xml:space="preserve">، موافقا لما هو الظاهر من الأخبار ، لتضمّنها الأمر بالنفض مطلقا ، لا أنّه إن اتفق العلوق یستحب أو یؤمر به ، وإلاّ فلا ، ومعلوم أنّ النفض فرع </w:t>
      </w:r>
    </w:p>
    <w:p>
      <w:pPr>
        <w:pStyle w:val="BookText"/>
        <w:rPr/>
      </w:pPr>
      <w:r>
        <w:rPr>
          <w:rFonts w:ascii="IRNazanin" w:hAnsi="IRNazanin" w:eastAsia="IRNazanin"/>
          <w:color w:val="111111"/>
          <w:sz w:val="28"/>
          <w:sz w:val="28"/>
          <w:szCs w:val="28"/>
          <w:rtl w:val="true"/>
          <w:lang w:bidi="fa-IR"/>
        </w:rPr>
        <w:t>العلوق وهو شرطه ، إذ یتوقّف علیه ، فیظهر أنّ العلوق عند من قال بالنفض مطلق ، إلاّ أن یظهر من کلامه عدم اشتراط العلوق ، فیصیر قرینة علی عدم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وملاحظة کلام الفقهاء فی کیفیة التیمم فی الوحل ونحوه یکشف عن اعتبارهم العلوق مطلقا ، لعدم القول بالفصل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نسبة الاشتراط إلی خصوص ابن الجنید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النفض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ناف للاشتراط البتّة ، لعدم اجتماعه مع الاشتراط ، ولم یتأمّل رحمه الله أنّه لا منافاة أصلا ، بل یلزمه البتّة ، فدلالته علی الاشتراط أولی ، کما صرّح به بعض المتأخرین </w:t>
      </w:r>
      <w:r>
        <w:rPr>
          <w:rStyle w:val="FootnoteAnchor"/>
          <w:rtl w:val="true"/>
        </w:rPr>
        <w:footnoteReference w:id="389"/>
      </w:r>
      <w:r>
        <w:rPr>
          <w:rFonts w:ascii="IRNazanin" w:hAnsi="IRNazanin" w:eastAsia="IRNazanin"/>
          <w:color w:val="111111"/>
          <w:sz w:val="28"/>
          <w:sz w:val="28"/>
          <w:szCs w:val="28"/>
          <w:rtl w:val="true"/>
          <w:lang w:bidi="fa-IR"/>
        </w:rPr>
        <w:t>، مع أنّ القائل بالاشتراط قائل باستحباب النفض ، أو آمر به ، ولذا ادعی الإجماع علی النفض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المنع من عود الضمیر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الآیة عود الضمیر إلی الصعید ، وأمّا الحدیث فعلی تقدیر تسلیم تأویل الآیة بمثله وارتکاب خلاف ظاهرها بسببه لا یظهر منه ما یخالف ظاهرها ، فإنّ الظاهر منه أنّ المراد من التیمم المتیمّم بقرینة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علم أنّ جمیع ذلک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هذا الحدیث ینادی باشتراط العلوق ، وأنّه السبب فی جعله تعالی المسح ببعض الوجه والیدین ، وإذا کان الحدیث تفسیرا بالنسبة إلی الآیة یظهر منه اعتبار العلوق فی الآیة أیضا وإن أبقینا التیمم علی مقتضی ظاهر نفس اللفظ ، فتأمّل</w:t>
      </w:r>
      <w:r>
        <w:rPr>
          <w:rFonts w:eastAsia="IRNazanin" w:cs="IRNazanin"/>
          <w:color w:val="111111"/>
          <w:sz w:val="28"/>
          <w:szCs w:val="28"/>
          <w:rtl w:val="true"/>
          <w:lang w:bidi="fa-IR"/>
        </w:rPr>
        <w:t xml:space="preserve">. </w:t>
      </w:r>
      <w:bookmarkStart w:id="463" w:name="pg14966_204085"/>
    </w:p>
    <w:p>
      <w:pPr>
        <w:pStyle w:val="BookText"/>
        <w:rPr/>
      </w:pPr>
      <w:bookmarkEnd w:id="4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أیضا أنّ صحیحة ابن سنان وصحیحة الحلبی تدلاّن علی العلوق ، لقوله علیه السلام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یمسح من الأرض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 ویؤیّده أیضا صحیحة زرارة ، لقوله علیه السلام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یمسح الذراعین بشی‌ء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وکذا ما ورد من أنّ التراب طهور ، أو طهور مثل الماء ، وغیرهما ممّا دل علی عموم البدلیة وعموم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الظاهر من طهوریة التراب أنّه طهور الوجه والیدین فیکون طهورا مطلقا ، لا أنّ جلد باطن الکف طهور بسبب ملاقاته التراب ، فتأمّل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أنّ المراد بمسح الوجه مسح بعضه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الأظهر بملاحظة أنّ الروایات المتضمّنة لحکایة عمّار حکایة قضیة واحدة ، ففی صحیحة زرارة أنّه علیه السلام مسح جبینه فقط ، وهذا نصّ فی عدم الاستیعاب ، ومع ذلک عبّروا عن تلک الحکایة بعینها أنّه علیه السلام مسح الوجه علی 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أنّهم علیهم السلام فی الید کثیرا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بیدیک ، ومسح یده ، وأمثال هذه العبارة علی سبیل الإطلاق ، مع أنّ المسح ببعض الید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أنّه ورد مرّة للوجه ومرّة للیدین أیضا علی سبیل الإطلاق ، فیظهر أنّهم علیهم السلام کانوا یسامحون فی التعبیر فی حکایة مسح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مسح جبینیه أظهر دلالة فی عدم الاستیعاب من مسح وجهه فی الاستیعاب ، فیرجّح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2087763_388300464"/>
      <w:bookmarkStart w:id="465" w:name="_Toc187"/>
      <w:bookmarkEnd w:id="464"/>
      <w:r>
        <w:rPr>
          <w:rtl w:val="true"/>
        </w:rPr>
        <w:t>مسح الجبهة</w:t>
      </w:r>
      <w:bookmarkStart w:id="466" w:name="pg14966_204086"/>
      <w:bookmarkEnd w:id="465"/>
    </w:p>
    <w:p>
      <w:pPr>
        <w:pStyle w:val="BookText"/>
        <w:rPr/>
      </w:pPr>
      <w:bookmarkEnd w:id="466"/>
      <w:r>
        <w:rPr>
          <w:rFonts w:ascii="IRNazanin" w:hAnsi="IRNazanin" w:eastAsia="IRNazanin"/>
          <w:color w:val="111111"/>
          <w:sz w:val="28"/>
          <w:sz w:val="28"/>
          <w:szCs w:val="28"/>
          <w:rtl w:val="true"/>
          <w:lang w:bidi="fa-IR"/>
        </w:rPr>
        <w:t xml:space="preserve">وبالجملة التخییر بعید ، سیّما بعد ملاحظة فتوی قدمائنا ، 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مسح الجبینین وظاهر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مشایخنا رضی الله عنهم </w:t>
      </w:r>
      <w:r>
        <w:rPr>
          <w:rStyle w:val="FootnoteAnchor"/>
          <w:rtl w:val="true"/>
        </w:rPr>
        <w:footnoteReference w:id="393"/>
      </w:r>
      <w:r>
        <w:rPr>
          <w:rFonts w:ascii="IRNazanin" w:hAnsi="IRNazanin" w:eastAsia="IRNazanin"/>
          <w:color w:val="111111"/>
          <w:sz w:val="28"/>
          <w:sz w:val="28"/>
          <w:szCs w:val="28"/>
          <w:rtl w:val="true"/>
          <w:lang w:bidi="fa-IR"/>
        </w:rPr>
        <w:t xml:space="preserve">، فربما یظهر أنّ والده أیضا ما کان قائلا بمسح کل الوجه ، ولعله کان مراده من الوجه الوجه الوارد فی الأخبار علی حسب ما ورد فیها ، وهذا غیر بعید عن طریقة القدماء ، فإنّهم ربما کانوا یفتون بمتن ما ورد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دین الإمامیة مسح الجبینین وظهر الکف ، وهذا أیضا صریح فی أنّ مذهب علی بن بابویه لم یکن مسح الوجه وکل الید ، فتأمّل </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 عبارة الأمالی فی بحث عدد الضربات </w:t>
      </w:r>
      <w:r>
        <w:rPr>
          <w:rStyle w:val="FootnoteAnchor"/>
          <w:rtl w:val="true"/>
        </w:rPr>
        <w:footnoteReference w:id="395"/>
      </w:r>
      <w:r>
        <w:rPr>
          <w:rFonts w:ascii="IRNazanin" w:hAnsi="IRNazanin" w:eastAsia="IRNazanin"/>
          <w:color w:val="111111"/>
          <w:sz w:val="28"/>
          <w:sz w:val="28"/>
          <w:szCs w:val="28"/>
          <w:rtl w:val="true"/>
          <w:lang w:bidi="fa-IR"/>
        </w:rPr>
        <w:t>، فلاحظ ، ومنها أیضا یظهر ذلک ، بل هی أظهر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وضعفهما ظاهر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تضعیفه هنا وأمثال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فی کثیر من المواضع من أنّ العبادة تتوقف علی النقل فما وصل إلینا یقتصر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المسح معلوم معناه یعرفه کل من یفهم کلام العرب ، فهو ظاهر فی کونه بأیّ وجه حصل ، بخلاف الموضع الذی لم یرد فیه 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المواضع یمکن الاستناد إلی الإطلاقات والعمومات ، وأیضا ظهور ما نحن فیه وأمثاله بحیث یطمأنّ إلیه لا یخلو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ورد فی الأخبار کثیرا أنّهم کانوا یسألون عن کیفیة التیمم مطلقا من غیر تخصیص بجزء دون جزء ، وهم علیهم السلام أیضا فی مقام الجواب ما کانوا یخصّصون ، بل وما کانوا یجیبون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غالب الأوقات ، بل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2087765_388300464"/>
      <w:bookmarkStart w:id="468" w:name="_Toc188"/>
      <w:bookmarkEnd w:id="467"/>
      <w:r>
        <w:rPr>
          <w:rtl w:val="true"/>
        </w:rPr>
        <w:t>وجوب الابتداء فی مسح الجبهة بالأعلی</w:t>
      </w:r>
      <w:bookmarkEnd w:id="468"/>
    </w:p>
    <w:p>
      <w:pPr>
        <w:pStyle w:val="BookText"/>
        <w:rPr/>
      </w:pPr>
      <w:r>
        <w:rPr>
          <w:rFonts w:ascii="IRNazanin" w:hAnsi="IRNazanin" w:eastAsia="IRNazanin"/>
          <w:color w:val="111111"/>
          <w:sz w:val="28"/>
          <w:sz w:val="28"/>
          <w:szCs w:val="28"/>
          <w:rtl w:val="true"/>
          <w:lang w:bidi="fa-IR"/>
        </w:rPr>
        <w:t xml:space="preserve">وجمیع أوقاتهم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سؤالهم عن کیفیة نفس التیمم ، بل کانوا یأتون بالفعل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ذلک لأنّ أصحابهم ما کانوا یطمئنّون فی الفهم الظاهری ، لکون المقام عبادة غریبة عجیبة خارجة عن قانون اعتبارهم ، أو کان وصل إلیهم أنّ ظاهر الآیة لیست باقیة علی حالها ، بحیث إنّه ما اعتبر شرعا زائدا عمّا ذکر أمور وشرائط أو أجزاء آخر ، وهم علیهم السلام ما قالوا قط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عرب ، فما وجه سؤالکم عن کیفیة التیمم ، بل کانوا یأتون بالکیفیة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الأصحاب کانوا یسألون عن التیمم المأمور به الذی أوجبه الله تعالی ، وهم ما کانوا یشیرون قط إلی أنّ هذا الجزء أو الکیفیة واجب وهذا مستحب أو لیس بواجب ، ولا یخفی أنّ السائلین أیضا ما سألوا عن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وکونهم یفهمون ذلک من الخارج ومع ذلک کانوا یسألون عن کیفیة التیمم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یقتضی الاقتصار علی نفس ما فعلوا من دون دخل وتصرف وجعل ، وهم علیهم السلام إن بدؤوا بالأعلی یثبت المطلوب ، وإلاّ یلزم عدم البدأة بالأعلی ، وهو فاسد البتّة ، وبالجملة المخالفة والاکتفاء بعدم البدأة فی غایة الإشکال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دلالة فیه ، أمّا علی القول المشهور من أنّ الید حقیقة فی ما هو طرفه متصل بالمنکب ، والطرف الآخر رؤوس الأصابع ، وکذا علی القول بالاشتراک اللفظی بینه وبین أبعاضه فظاهر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ما سیذکره من أنّ الید هی الکف ولا یتناول ما فوق الرسغ حقیقة فیضرّه فضلا عن أن ینفعه ، لأنّه یقتضی أن یکون المسح ببعض </w:t>
      </w:r>
      <w:bookmarkStart w:id="469" w:name="pg14966_204088"/>
    </w:p>
    <w:p>
      <w:pPr>
        <w:pStyle w:val="BookText"/>
        <w:rPr/>
      </w:pPr>
      <w:bookmarkEnd w:id="469"/>
      <w:r>
        <w:rPr>
          <w:rFonts w:ascii="IRNazanin" w:hAnsi="IRNazanin" w:eastAsia="IRNazanin"/>
          <w:color w:val="111111"/>
          <w:sz w:val="28"/>
          <w:sz w:val="28"/>
          <w:szCs w:val="28"/>
          <w:rtl w:val="true"/>
          <w:lang w:bidi="fa-IR"/>
        </w:rPr>
        <w:t>الکف ، إلاّ أنّه یرید من البعض خصوص ظهر الکف ، لکن علی هذا لا یکون الدلالة علی مطلوبه من جهة الباء ، بل من جهة کون الید هی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بین استدلالیه تدافع ظاهر ، مع قطع النظر عن عدم التمامیة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لعدم تناول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منع ظاهر ، مع أنّ من لاحظ کلام فقهائنا وفقهاء العامة فی الأصول والفروع لا یبقی له تأمّل فی عدم اتفاقهم علی کون الید غیر متناول لما فوق الرسغ ، بل القول بکون مجموع ما بین المنکب ورؤوس الأصابع معنی حقیقیا ، والقول بالاشتراک بینه وبین الأبعاض مشهوران معروفان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الحق هو الأوّل ، للتبادر عند الإطلاق ، ویشهد علیه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وَأَیْدِیَکُمْ 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العلاّمة فی المختلف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العلاّمة حمل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الکف ، فحمل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فی الاستبصار هذا التوجیه إلی القیل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یجری فی صحیحة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الغسل فی هذه الصحیحة بفتح الغین لا بضمّها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 الذی فیه الغسل فی الوضوء یتیمم ، لا الموضع الذی فیه المسح فیه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النسخة التی لا تکون کلمة واو ما بین لفظ الغسل وکلمة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0" w:name="__RefHeading___Toc2087767_388300464"/>
      <w:bookmarkStart w:id="471" w:name="_Toc189"/>
      <w:bookmarkEnd w:id="470"/>
      <w:r>
        <w:rPr>
          <w:rtl w:val="true"/>
        </w:rPr>
        <w:t>مسح ظاهر الکفین</w:t>
      </w:r>
      <w:bookmarkStart w:id="472" w:name="pg14966_204089"/>
      <w:bookmarkEnd w:id="471"/>
    </w:p>
    <w:p>
      <w:pPr>
        <w:pStyle w:val="BookText"/>
        <w:rPr/>
      </w:pPr>
      <w:bookmarkEnd w:id="4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w:t>
      </w:r>
      <w:r>
        <w:rPr>
          <w:rStyle w:val="FootnoteAnchor"/>
          <w:rtl w:val="true"/>
        </w:rPr>
        <w:footnoteReference w:id="39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بعید ، بل الظاهر حمل هذه الروایات علی التقیّة ، کما فعله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وجوب مسح الکف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أنّ ظاهرها یقتضی عدم کون الباء للتبعیض ، وعلی تقدیر الصحة فالظاهر أنّه علیه السلام کان فی مقام الجدل مع العامة وإثبات الحق علی طریقتهم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فیمکن الاستدلال بعدم القول بالفصل والإجماع المرکب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ظاهرها الاستیعاب لو لم یکن مانع من الخارج ، مثل فهم الفقهاء ، والإجماع المرکب ، وحسنة الکاهلی المنجبرة بعمل الأصحاب ، ومضمونها نص فلا تقاومه الظواهر ، سیّما بعد اعتضاده بما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لمساواة الوضوء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مضی الکلام فیه فی بحث البدأة بالأعلی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صحیحة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التمسک به إشکال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فی مثل ما نحن فیه فی بحث البدأة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ودلت علیه ظواهر النصوص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Heading4"/>
        <w:numPr>
          <w:ilvl w:val="3"/>
          <w:numId w:val="1"/>
        </w:numPr>
        <w:rPr/>
      </w:pPr>
      <w:bookmarkStart w:id="473" w:name="__RefHeading___Toc2087769_388300464"/>
      <w:bookmarkStart w:id="474" w:name="_Toc190"/>
      <w:bookmarkEnd w:id="473"/>
      <w:r>
        <w:rPr>
          <w:rtl w:val="true"/>
        </w:rPr>
        <w:t>وجوب مسح ظاهر الکفین</w:t>
      </w:r>
      <w:bookmarkEnd w:id="4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2087771_388300464"/>
      <w:bookmarkStart w:id="476" w:name="_Toc191"/>
      <w:bookmarkEnd w:id="475"/>
      <w:r>
        <w:rPr>
          <w:rtl w:val="true"/>
        </w:rPr>
        <w:t>الترتیب</w:t>
      </w:r>
      <w:bookmarkEnd w:id="476"/>
    </w:p>
    <w:p>
      <w:pPr>
        <w:pStyle w:val="BookText"/>
        <w:rPr/>
      </w:pPr>
      <w:r>
        <w:rPr>
          <w:rFonts w:ascii="IRNazanin" w:hAnsi="IRNazanin" w:eastAsia="IRNazanin"/>
          <w:color w:val="111111"/>
          <w:sz w:val="28"/>
          <w:sz w:val="28"/>
          <w:szCs w:val="28"/>
          <w:rtl w:val="true"/>
          <w:lang w:bidi="fa-IR"/>
        </w:rPr>
        <w:t xml:space="preserve">لم نجد إلاّ حسنة الکاهلی ، ومع ذلک لا یظهر منه جمیع الترتیب ، ومضی الکلام فی بحث البدأة بالأعلی ، وورد عنهم علیهم السلام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ابدؤوا بما بدأ الله به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والعبرة بعموم اللفظ لا خصوص المحلّ ،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علیه أیضا عموم المنزلة ، وتوقیفیة العبادة ، وقاعدة البدلیة ، لأنّ أهل العرف إذا علموا بهیئة وکیفیة فی المائیة ثم سمعوا أنّه إذا لم یوجد الماء فالتراب ، أو بدله التراب عند العذر ، وأمثال هذه العبارات لا یفهمون منها إلاّ أنّ الترابیة بهیئة المائیة ، إلاّ أن تثبت المخالفة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تری عمارا مع کونه مدنیا مطیعا من أهل الفهم جزما فعل فی مقام إطاعة الواجب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تعالی ما فعل ولیس ذلک إلاّ من الجهة التی ذکر ، ولذا لم یشنّع علیه بأنّ هذا الخیال من أین؟ وبأیّ جهة؟ ، بل مازح معه بما مازح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الجهة أیضا قال فی بحث التیمم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 تقدیم الیمنی علی الیسری بإجماعنا ، لأنّه بدل مما یجب فیه التقدیم </w:t>
      </w:r>
      <w:r>
        <w:rPr>
          <w:rStyle w:val="FootnoteAnchor"/>
          <w:rtl w:val="true"/>
        </w:rPr>
        <w:footnoteReference w:id="401"/>
      </w:r>
      <w:r>
        <w:rPr>
          <w:rFonts w:ascii="IRNazanin" w:hAnsi="IRNazanin" w:eastAsia="IRNazanin"/>
          <w:color w:val="111111"/>
          <w:sz w:val="28"/>
          <w:sz w:val="28"/>
          <w:szCs w:val="28"/>
          <w:rtl w:val="true"/>
          <w:lang w:bidi="fa-IR"/>
        </w:rPr>
        <w:t xml:space="preserve">، إذ یظهر منه أنّ جمیع المجمعین استندوا إلی قاعدة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الحکم المجمع علیه ، واستندوا أیضا فی وجوب البدأة بالأعلی فی الوجه والکفین بهذه القاعدة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أحکام آخر فی المقام وغیره ، مثل الخطبتین فی الجمعة ، والتسبیح فی الرکعتین الأخیرتین ، وغیر ذلک ممّا لا یحصی </w:t>
      </w:r>
      <w:bookmarkStart w:id="477" w:name="pg14966_204091"/>
    </w:p>
    <w:p>
      <w:pPr>
        <w:pStyle w:val="BookText"/>
        <w:rPr/>
      </w:pPr>
      <w:bookmarkEnd w:id="477"/>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اتفق أفهام الکل فی قول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یوجد التراب فالغبار ، وإن لم یوجد فالطین ،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ما ورد فی الأخبار ، بل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 بالطین ، أو تیمم بالغبار ، أو ما یؤدّی ما ذکرت من العبارة ، وإن کان بتفاوت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فرق بین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تجدوا ماء فبالتراب ، وإن لم تجدوا ترابا فبالغبار ، وأمثال ذلک ، کما ورد فی الأخبار ، وأمّا فی الغبار والطین یفهم اتحاد الهیئة علی الیقین من دون شک ، ولیس ذلک من الاطلاع عن الخارج ، إذ لو عرض هذه العبارة علی أهل العرف یفهمون کذلک البتّة ، حتی لو وجدوا من الفقهاء مخالفة فی ذلک کلا أو بعضا لحکموا بثبوت مانع ، أی دلیل شرعی یمنع من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 أو یمنع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الحال فی الماء کذلک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ماء فجمدا وثلجا ، یفهم أنّ الوضوء أو الغسل من الجمد والثلج مثل الماء ، فتأمّل جدّا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یستدل بوجوب التأسّی بفعله علیه السلام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حتی یعلم وجوبه ، کما هو أحد المذاهب فی التأسی ، بل استدلاله لیس إلاّ بالتیمم البیانی الوارد فی مقام بیان الواجب الذی هو عبادة توقیفیة ، فلو کان جواب له فهو أنّ البیان غیر منحصر بالفعل ، بل إطلاق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2087773_388300464"/>
      <w:bookmarkStart w:id="479" w:name="_Toc192"/>
      <w:bookmarkEnd w:id="478"/>
      <w:r>
        <w:rPr>
          <w:rtl w:val="true"/>
        </w:rPr>
        <w:t>إشارة إلی معنی التأسی بفعل المعصوم علیه السلام</w:t>
      </w:r>
      <w:bookmarkStart w:id="480" w:name="pg14966_204092"/>
      <w:bookmarkEnd w:id="479"/>
    </w:p>
    <w:p>
      <w:pPr>
        <w:pStyle w:val="BookText"/>
        <w:rPr/>
      </w:pPr>
      <w:bookmarkEnd w:id="480"/>
      <w:r>
        <w:rPr>
          <w:rFonts w:ascii="IRNazanin" w:hAnsi="IRNazanin" w:eastAsia="IRNazanin"/>
          <w:color w:val="111111"/>
          <w:sz w:val="28"/>
          <w:sz w:val="28"/>
          <w:szCs w:val="28"/>
          <w:rtl w:val="true"/>
          <w:lang w:bidi="fa-IR"/>
        </w:rPr>
        <w:t xml:space="preserve">لکن مرّ الکلام فی هذا الجواب فی بحث البدأة بالأعلی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والصحة لصدق التیمم المأمور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تقدیر ثبوت الوجوب من وجوب التأخیر لعله یتعین الاحتمال الثانی ، لأنّ الوجوب حینئذ لأجل عدم فوت الصلاة ، وهو أمر خارج عن التیمم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محض</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کذلک ، بل نظره إلی عموم البدلیة وعموم المنزلة وقد اعترف بذلک فی ما سبق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ویجزیه فی الوضوء ضربة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الموثق عن عمار أنّه سأل الصادق علیه السلام عن التیمم ، من الوضوء ومن الجنابة ومن الحیض للنساء سواء؟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بیّنّا أنّ الموثق حجّة ، سیّما إذا وافق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الصدوق فی أمالیه عدّ ما اختاره فی الفقیه هو والمشهور من جملة دین الإمامیة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من لم یجد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علی الأرض ضربة للوضوء ویمسح بها وجهه من قصاص الشعر إلی طرف الأنف الأعلی ، وإلی الأسفل أولی ، ثم یمسح ظهر یده الیمنی ببطن الیسری من الزند إلی أطراف الأصابع ، ثم یمسح الیسری کذلک ، ویضرب بدل غسل الجنابة ضربتین ضربة یمسح بها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1" w:name="__RefHeading___Toc2087775_388300464"/>
      <w:bookmarkStart w:id="482" w:name="_Toc193"/>
      <w:bookmarkEnd w:id="481"/>
      <w:r>
        <w:rPr>
          <w:rtl w:val="true"/>
        </w:rPr>
        <w:t>اختلاف الأقوال فی عدد الضربات</w:t>
      </w:r>
      <w:bookmarkEnd w:id="482"/>
    </w:p>
    <w:p>
      <w:pPr>
        <w:pStyle w:val="BookText"/>
        <w:rPr/>
      </w:pPr>
      <w:r>
        <w:rPr>
          <w:rFonts w:ascii="IRNazanin" w:hAnsi="IRNazanin" w:eastAsia="IRNazanin"/>
          <w:color w:val="111111"/>
          <w:sz w:val="28"/>
          <w:sz w:val="28"/>
          <w:szCs w:val="28"/>
          <w:rtl w:val="true"/>
          <w:lang w:bidi="fa-IR"/>
        </w:rPr>
        <w:t xml:space="preserve">وجهه ، واخری ظهر کفیه </w:t>
      </w:r>
      <w:r>
        <w:rPr>
          <w:rStyle w:val="FootnoteAnchor"/>
          <w:rtl w:val="true"/>
        </w:rPr>
        <w:footnoteReference w:id="4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الشیخ فی التهذیب أیضا أنّ هذا مذهب الشیعة </w:t>
      </w:r>
      <w:r>
        <w:rPr>
          <w:rStyle w:val="FootnoteAnchor"/>
          <w:rtl w:val="true"/>
        </w:rPr>
        <w:footnoteReference w:id="40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التیمم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للوجه ، وضربة للیدین إلی المرفقین ، ذهب إلیه أکثر فقهاء العامة وقوم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للوجه ، وضربة للیدین إلی الزندین ، ذهب إلیه عمار بن یاسر ، ومکحول والطبری ، وهو مذهبنا إذا کان التیمم بدلا من الجنابة ، وإن کان بدلا من الوضوء فکیفیته ضربة واحدة یمسح بها الوجه إلی طرف انفه والیدین إلی الزندین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الإبطین ، قاله أبو الیقظان والزهری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قاله الطبرسی فی مجمع البیان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منهما إجماع الشیعة علی التفصیل ، وأنّ القول بالضربتین مطلقا رأی العامة ، ویظهر منهما ومن غیرهما أنّ أحدا من العامة لم یذهب إلی التفصیل ، بل ذهبوا إلی الضربتین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أنّ علیا وعمارا وابن عباس وجمعا من التابعین قالوا بالضربة الواحدة مطلقا </w:t>
      </w:r>
      <w:r>
        <w:rPr>
          <w:rStyle w:val="FootnoteAnchor"/>
          <w:rtl w:val="true"/>
        </w:rPr>
        <w:footnoteReference w:id="412"/>
      </w:r>
      <w:r>
        <w:rPr>
          <w:rFonts w:ascii="IRNazanin" w:hAnsi="IRNazanin" w:eastAsia="IRNazanin"/>
          <w:color w:val="111111"/>
          <w:sz w:val="28"/>
          <w:sz w:val="28"/>
          <w:szCs w:val="28"/>
          <w:rtl w:val="true"/>
          <w:lang w:bidi="fa-IR"/>
        </w:rPr>
        <w:t>، فالأخبار الدالة علی الضربتین محمولة علی التقیة ، وما دل علی الضربة مطلقا إمّا مجملة أو محمولة علی التقیّة أیضا أو کلیهما ، بأنّهم علیهم السلام من جهة أنّ جماعة من التابعین کانوا یقولون بالضربة سکتوا عن التعرض لذکر الضربة الثانیة فی الغسل واکتفوا بالإجمال ، فتأمّل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 </w:t>
      </w:r>
      <w:r>
        <w:rPr>
          <w:rStyle w:val="FootnoteAnchor"/>
          <w:rtl w:val="true"/>
        </w:rPr>
        <w:footnoteReference w:id="413"/>
      </w:r>
      <w:r>
        <w:rPr>
          <w:rFonts w:ascii="IRNazanin" w:hAnsi="IRNazanin" w:eastAsia="IRNazanin"/>
          <w:color w:val="111111"/>
          <w:sz w:val="28"/>
          <w:sz w:val="28"/>
          <w:szCs w:val="28"/>
          <w:rtl w:val="true"/>
          <w:lang w:bidi="fa-IR"/>
        </w:rPr>
        <w:t>صحیحة ابن همام عن الرضا علیه السلام تتضمّن ذکر الکفّین ، فکیف تحمل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تضمّنت الکفّین تضمّنت الوجه أیضا ، وهو ظاهر فی المجموع ، وکون التیمم ضربة للوجه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وضربة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للکفّین مذهب أحمد بن حنبل إمام الحنابلة </w:t>
      </w:r>
      <w:r>
        <w:rPr>
          <w:rStyle w:val="FootnoteAnchor"/>
          <w:rtl w:val="true"/>
        </w:rPr>
        <w:footnoteReference w:id="415"/>
      </w:r>
      <w:r>
        <w:rPr>
          <w:rFonts w:ascii="IRNazanin" w:hAnsi="IRNazanin" w:eastAsia="IRNazanin"/>
          <w:color w:val="111111"/>
          <w:sz w:val="28"/>
          <w:sz w:val="28"/>
          <w:szCs w:val="28"/>
          <w:rtl w:val="true"/>
          <w:lang w:bidi="fa-IR"/>
        </w:rPr>
        <w:t xml:space="preserve">، وهو کان معاصرا للرضا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ینادی بکون الضربتین للتقیة أنّ جمیع ما ورد فیه هذا اللفظ إمّا صریح فی تیمم أهل السنّة والمعروف من العامة ، وإمّا بلفظ الوجه الظاهر فی المجموع والید 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الظاهر فی المجموع ، کما هو عند بعض أهل السنّة ، وکذا یقول بمسح جمیع الید إلی الإبطین للعلّة التی ذکرناها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 ظهر أنّ ما دل علی کون التیمم فی الوضوء والغسل واحدا محمول علی التقیة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فی الرسالة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ما ذکره ثلاث ضربات حقیقة ، بل ضربة للوجه وضربة للیدین علی التعقیب ، ولعلّه لذلک نسب إلیه الضربتان ، لکن الإشکال فی ما حکاه فی المعتبر ، وقد نقلنا عن أمالی الصدوق فی بحث مسح الجبهة ما ینبغی أن یلاحظ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التیمم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الظاهر منه کون المسح مرّتین لا الضرب ، والمستفاد من بعض الأخبار أنّه علیه السلام مسح مرّة ولم یعد المسح </w:t>
      </w:r>
      <w:r>
        <w:rPr>
          <w:rStyle w:val="FootnoteAnchor"/>
          <w:rtl w:val="true"/>
        </w:rPr>
        <w:footnoteReference w:id="419"/>
      </w:r>
      <w:r>
        <w:rPr>
          <w:rFonts w:ascii="IRNazanin" w:hAnsi="IRNazanin" w:eastAsia="IRNazanin"/>
          <w:color w:val="111111"/>
          <w:sz w:val="28"/>
          <w:sz w:val="28"/>
          <w:szCs w:val="28"/>
          <w:rtl w:val="true"/>
          <w:lang w:bidi="fa-IR"/>
        </w:rPr>
        <w:t>، فلیلاحظ ولیتأمّل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الاکتفاء بالمرّة فی الجمیع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الجمع أیضا لا دلیل علیه من الأخبار ولا غیرها ، کیف والسؤال فی أخبار المرّتین وقع عن کیفیة التیمم وماهیته ، فکیف یمکن أن یجعل جواب هذا السؤال استحباب الضربة الثانیة ، سیّما مع اعترافه بأنّه صحیح صریح الدلالة ، والمعارض له مجمل الدلالة ، والظاهر أنّه کذلک ، إذ لعلّ حال الضربة الثانیة حال تقدیم الیمنی علی الیسری ، وغیره من الواجبات المسلّمة ، مع أنّ الضربة الأولی داخلة فی الکیفیة جزما ، وجعلوها کذلک جزما ، لجعل الجواب جوابا عن سؤال الکیفیة ، فکیف یستقیم حمل الثانیة علی الاستحباب والخروج عن الماهیة؟</w:t>
      </w:r>
    </w:p>
    <w:p>
      <w:pPr>
        <w:pStyle w:val="BookText"/>
        <w:rPr/>
      </w:pPr>
      <w:r>
        <w:rPr>
          <w:rFonts w:ascii="IRNazanin" w:hAnsi="IRNazanin" w:eastAsia="IRNazanin"/>
          <w:color w:val="111111"/>
          <w:sz w:val="28"/>
          <w:sz w:val="28"/>
          <w:szCs w:val="28"/>
          <w:rtl w:val="true"/>
          <w:lang w:bidi="fa-IR"/>
        </w:rPr>
        <w:t>مضافا إلی أنّ خطر مخالفة العامة شدید کخطر مخالفة الأحادیث ، بل لا یجوز لهم المخالفة أصلا ، فکیف خالفهما المعظم من القدماء وکل المتأخّرین إلاّ من شذّ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کذلک ، بل فاسد ، لأنّ ما تضمّن المرّة فی غایة الضعف من الدلالة فی جنبة ما تضمّن المرّتین ، کما ستعرف ، مع أنّ کثیرا من الروایات المتضمّنة للمرّة ورد بلفظ الوجه والید والکفّ ، وقد عرفت أنّ مذهب </w:t>
      </w:r>
    </w:p>
    <w:p>
      <w:pPr>
        <w:pStyle w:val="BookText"/>
        <w:rPr/>
      </w:pPr>
      <w:r>
        <w:rPr>
          <w:rFonts w:ascii="IRNazanin" w:hAnsi="IRNazanin" w:eastAsia="IRNazanin"/>
          <w:color w:val="111111"/>
          <w:sz w:val="28"/>
          <w:sz w:val="28"/>
          <w:szCs w:val="28"/>
          <w:rtl w:val="true"/>
          <w:lang w:bidi="fa-IR"/>
        </w:rPr>
        <w:t xml:space="preserve">جماعة من التابعین علی ما قاله العامة فی کتبهم ، والبواقی روایة </w:t>
      </w:r>
      <w:r>
        <w:rPr>
          <w:rStyle w:val="FootnoteAnchor"/>
          <w:rtl w:val="true"/>
        </w:rPr>
        <w:footnoteReference w:id="421"/>
      </w:r>
      <w:r>
        <w:rPr>
          <w:rFonts w:ascii="IRNazanin" w:hAnsi="IRNazanin" w:eastAsia="IRNazanin"/>
          <w:color w:val="111111"/>
          <w:sz w:val="28"/>
          <w:sz w:val="28"/>
          <w:szCs w:val="28"/>
          <w:rtl w:val="true"/>
          <w:lang w:bidi="fa-IR"/>
        </w:rPr>
        <w:t>زرارة عن الباقر علیه السلام فی حکایة تیمم عمار ، ولا شک فی کون الحکایة واحدة عن أمر واحد شخصی ، لأنّ الفعل لیس له عموم بل شخص واحد ، والفعل هنا لیس إلاّ ما صدر عن الرسول صلی الله علیه و آله بالنسبة إلی عمار ، ومن البدیهیات أنّه کان شخصا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روی زرارة وغیره هذا الفعل الشخصی تارة بلفظ الضرب ، وتارة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 وتارة بلفظ الوجه ، وتارة بلفظ الجبهة ، وتارة بلفظ الجبین ، وتارة بلفظ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الید ، وتارة بلفظ الکف ، وتارة بلفظ الأرض ، وتارة بلفظ المسح ، وتارة بغیر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بلفظ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وتارة بلفظ النفض بعد الضرب ، وتارة بترکه ، إلی غیر ذلک من الاختلافات فی حکایة جزئی واحد وشخصی واحد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روایة زرارة عن الباقر علیه السلام بخصوصه ، فی ثلاث روایاته ، بل وأربع روایاته عنه ، بلفظ الضربة الواحدة مقدّما علی مسح الجبهة والوجه ، من دون التعرض لذکر ضربة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للیدین ، وفی روایة أخری من زرارة أیضا عن الباقر علیه السلام أیضا بلفظ الضربتین ، کما لا یخفی علی المطّلع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فظهر أنّ ترک الضربة الأخری إنّما هو مسامحة من الراوی أو غیره ، وقع المسامحة فی الأمور الکثیرة التی عرفتها ، مضافا إلی واجبات مسلّمة أخری لم یتعرض لها ، مثل تقدیم الیمنی علی الیسری ، وتقدیم </w:t>
      </w:r>
    </w:p>
    <w:p>
      <w:pPr>
        <w:pStyle w:val="BookText"/>
        <w:rPr/>
      </w:pPr>
      <w:r>
        <w:rPr>
          <w:rFonts w:ascii="IRNazanin" w:hAnsi="IRNazanin" w:eastAsia="IRNazanin"/>
          <w:color w:val="111111"/>
          <w:sz w:val="28"/>
          <w:sz w:val="28"/>
          <w:szCs w:val="28"/>
          <w:rtl w:val="true"/>
          <w:lang w:bidi="fa-IR"/>
        </w:rPr>
        <w:t>الأعلی ، وغیرهما ممّا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المسامحة إمّا عدم الداعی إلی التعرض له فی مقام فعل الثانی ، کما هو الحال فی العام والخاص المتنافیة الظاهر ، وکذا المطلق والمقید ، والأمر والنهی ، وغیر ذلک من الأخبار المتعارضة المسلّمة تعارضها ، ویدفع بالجمع المسلّم الذی بناء الفقه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جهة التقیة ، لما عرفت الحال ، فعلی هذا کیف یقدّم ما دل علی الضربة علی ما دل علی الضربتین؟ مع غایة ضعف دلالته بالنسبة إلیه حتی أنّه بمنزلة الإجمال فی جنبه ، بل لا بدّ من کون الأمر بالعکس ، فإنّ الضعیف یؤوّل ویرجع إلی القوی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ترجیحه علیه بناء علی ظهور کونه تقیة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 یبن الأمر علی التقیة ، کما یظهر من کلامه هنا ، سیّما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مستنده وصراحته ، ومع ذلک لا وجه للحمل علی الاستحباب ، فإنّ ما هو تقیة یجب طرحه وترک العمل به ، ومع ذلک ما دل علی الضربة لیس خالصا عن الثلاث بالمرّة ، لما عرفت من اتفاق جماعة من التابعین علی الضربة للوجه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أنّ الظاهر من الوجه کلّه ، بل لا شبهة فی أنّ مراد من نسبهم إلی ذلک هو مجموع الوجه ، هذا کلّه مع المخالفة للإجماعات المنقولة وغیرها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کل واحد من القول بالضربة مطلقا ، والقول بالضربتین مطلقا ضعیف لا دلیل له بحیث یصیر منشأ العمل به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القول بالتفصیل ، لانحصار الاحتمال فی أربعة ، والقول بالمرّة فی الغسل والمرّتین فی الوضوء خلاف ما أجمع علیه أمّة رسول الله صلی الله علیه و آله ، بل خلاف ضروری الدین ، فانحصر القول بما ذهب إلیه مشهور الشیعة ، وادّعی علیه إجماعات </w:t>
      </w:r>
    </w:p>
    <w:p>
      <w:pPr>
        <w:pStyle w:val="BookText"/>
        <w:rPr/>
      </w:pP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محمل لجمع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الأخبار الواردة فی الباب ، فإنّ المکلف فی التیمم عن الوضوء یختار ما 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جزما ، ولیس العمل به فی الوضوء مشروطا بالعمل به فی الغسل بلا شبهة ، وفی التیمم عن الغسل یختار ما دلّ علی </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المرّتین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الأخبار من الطرفین موافقا للتقیة فکیف یجوز العمل بها من دون تقیة؟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تضمّنت حکما تقیة لا أنّ جمیع ما فیها تقیة ، لأنّ الأخبار الواردة فی مقام التقیة ربما کان کثیر من أحکامها حقّا ، لأنّ الحدیث حجّة مطلقا ، فإن ظهر من الخارج أنّ شیئا منها تقیة یرفع الید عن خصوص ذلک الشی‌ء فی مقام عدم التقیة ، ویعمل بالباقی بالضرورة ، لوجود المقتضی وعدم المانع ، ولذا تری الشیخ وغیره یعملون بما ورد فی الأخبار الدالة علی سهو النبی صلی الله علیه و آله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تضمّن الضربتین تکون التقیة فی إطلاقه ، وأنّ بدل الغسل وبدل الوضوء کلیهما کذلک ، وإلاّ فکون بدل الغسل خاصّة ضربتین حقّ جزما من وجود المقتضی وعدم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یجعل المراد أنّ بدل الوضوء خاصّة بضربتین ، فإنّه أیضا مخالف للعامة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وإن کان کذلک ، إلاّ أنّه مخالف لضروری الدین ، کما عرفت ، إذ معنی کون بدل الوضوء خاصّة کذلک أنّ بدل الغسل یکون </w:t>
      </w:r>
    </w:p>
    <w:p>
      <w:pPr>
        <w:pStyle w:val="BookText"/>
        <w:rPr/>
      </w:pPr>
      <w:r>
        <w:rPr>
          <w:rFonts w:ascii="Amiri" w:hAnsi="Amiri" w:eastAsia="Amiri" w:cs="Amiri"/>
          <w:color w:val="111111"/>
          <w:sz w:val="28"/>
          <w:sz w:val="28"/>
          <w:szCs w:val="28"/>
          <w:rtl w:val="true"/>
          <w:lang w:bidi="ar-SA"/>
        </w:rPr>
        <w:t>بضربة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ظهر حال ما دل علی الضربة الواحدة أیضا إذ حملها علی ظاهرها عرفت ما فیه من المفاسد ، مضافا إلی أنه یوجب طرح ما ثبتت حجّیته فی ما تضمّن للضربتین من دون داع ، إذ ذلک لیس أولی من الغسل ، بل عرفت أولویة العکس ، فظهر أنّ المشهور عملهم بجمیع ما ورد من الأخبار فی الطرفین بخلاف غیرهم ، فتأمّل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مستنده وصراحته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وإن کانت صحیحة صریحة إلاّ أنّها موافقة للتقیة ، لما عرفت من التبیان وغیره </w:t>
      </w:r>
      <w:r>
        <w:rPr>
          <w:rStyle w:val="FootnoteAnchor"/>
          <w:rtl w:val="true"/>
        </w:rPr>
        <w:footnoteReference w:id="427"/>
      </w:r>
      <w:r>
        <w:rPr>
          <w:rFonts w:ascii="IRNazanin" w:hAnsi="IRNazanin" w:eastAsia="IRNazanin"/>
          <w:color w:val="111111"/>
          <w:sz w:val="28"/>
          <w:sz w:val="28"/>
          <w:szCs w:val="28"/>
          <w:rtl w:val="true"/>
          <w:lang w:bidi="fa-IR"/>
        </w:rPr>
        <w:t xml:space="preserve">، مع أنّ الفقهاء الأربعة منهم علی ذلک ، والأخبار الواردة فی الضربتین إمّا صریحة فی مذهب العامة ، أو واردة بلفظ الوجه والید کما فی القرائن </w:t>
      </w:r>
      <w:r>
        <w:rPr>
          <w:rStyle w:val="FootnoteAnchor"/>
          <w:rtl w:val="true"/>
        </w:rPr>
        <w:footnoteReference w:id="428"/>
      </w:r>
      <w:r>
        <w:rPr>
          <w:rFonts w:ascii="IRNazanin" w:hAnsi="IRNazanin" w:eastAsia="IRNazanin"/>
          <w:color w:val="111111"/>
          <w:sz w:val="28"/>
          <w:sz w:val="28"/>
          <w:szCs w:val="28"/>
          <w:rtl w:val="true"/>
          <w:lang w:bidi="fa-IR"/>
        </w:rPr>
        <w:t>فهی ملائمة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صحیحة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والکفّین ، لکنه بعینه مذهب أحمد بن حنبل إمام الحنابلة ، وهو کان فی عصر الرضا علیه السلام ، وتلک الصحیحة من الرضا علیه السلام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ترک العمل بظاهر هذه الصحاح الصراح ، فضلا أن یطرح بالعمل به الصحاح الکثیرة المتضمّنة للضربة الواحدة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مجملة ، أو ضعیفة الدلالة فتطرح ، ویعمل بما دل علی الضربتین لصراحته ، مضافا إلی کون الصحاح الصراح مخالفة للمشهور بین الأصحاب أیضا ، بل الإجماعات المنقولة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ورد فی الأخبار الکثیرة منع العمل </w:t>
      </w:r>
      <w:bookmarkStart w:id="483" w:name="pg14966_204100"/>
    </w:p>
    <w:p>
      <w:pPr>
        <w:pStyle w:val="BookText"/>
        <w:rPr/>
      </w:pPr>
      <w:bookmarkEnd w:id="483"/>
      <w:r>
        <w:rPr>
          <w:rFonts w:ascii="IRNazanin" w:hAnsi="IRNazanin" w:eastAsia="IRNazanin"/>
          <w:color w:val="111111"/>
          <w:sz w:val="28"/>
          <w:sz w:val="28"/>
          <w:szCs w:val="28"/>
          <w:rtl w:val="true"/>
          <w:lang w:bidi="fa-IR"/>
        </w:rPr>
        <w:t xml:space="preserve">حینئذ بما وافق العامة ، وکذا ورد منع العمل بالشاذّ بعد الأمر بأخذ ما اشتهر بین الأصحاب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عدم جواز العمل بالصحاح الصراح ، فضلا عن کونه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 الأظهر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جاریا مجری أسباب الوضوء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مشکل ، لما عرفت من أنّ الأصل عدم التداخل إلاّ فی ما ثبت من الشرع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قطعت کفّاه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للاستصحاب ، وعموم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ولأنّ الظاهر أنّه إجماعی ، ولأنّه لو لم یجب التیمم إلاّ ببقاء جمیع الأعضاء علی حالها سالمة لزم أن یکون بمجرّد ذهاب شی‌ء من عظم الإصبع بل وشی‌ء من لحم العضو من جهة الدمامیل أو الجروح لم یکن علی المکلف تیمم ، بل ولا صلاة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فی ذلک علی حجّة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حجّته روایة السکونی الآتیة فی التیمم للزحام </w:t>
      </w:r>
      <w:r>
        <w:rPr>
          <w:rStyle w:val="FootnoteAnchor"/>
          <w:rtl w:val="true"/>
        </w:rPr>
        <w:footnoteReference w:id="433"/>
      </w:r>
      <w:r>
        <w:rPr>
          <w:rFonts w:ascii="Amiri" w:hAnsi="Amiri" w:eastAsia="Amiri" w:cs="Amiri"/>
          <w:color w:val="111111"/>
          <w:sz w:val="28"/>
          <w:sz w:val="28"/>
          <w:szCs w:val="28"/>
          <w:rtl w:val="true"/>
          <w:lang w:bidi="ar-SA"/>
        </w:rPr>
        <w:t>، وفیه تأمّل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087777_388300464"/>
      <w:bookmarkStart w:id="485" w:name="_Toc194"/>
      <w:bookmarkEnd w:id="484"/>
      <w:r>
        <w:rPr>
          <w:rtl w:val="true"/>
        </w:rPr>
        <w:t>حکم مقطوع الکفین</w:t>
      </w:r>
      <w:bookmarkEnd w:id="485"/>
    </w:p>
    <w:p>
      <w:pPr>
        <w:pStyle w:val="Heading3"/>
        <w:numPr>
          <w:ilvl w:val="2"/>
          <w:numId w:val="1"/>
        </w:numPr>
        <w:rPr/>
      </w:pPr>
      <w:bookmarkStart w:id="486" w:name="__RefHeading___Toc2087779_388300464"/>
      <w:bookmarkStart w:id="487" w:name="_Toc195"/>
      <w:bookmarkEnd w:id="486"/>
      <w:r>
        <w:rPr>
          <w:rtl w:val="true"/>
        </w:rPr>
        <w:t>أحکام التیمم</w:t>
      </w:r>
      <w:bookmarkEnd w:id="48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8" w:name="__RefHeading___Toc2087781_388300464"/>
      <w:bookmarkStart w:id="489" w:name="_Toc196"/>
      <w:bookmarkEnd w:id="488"/>
      <w:r>
        <w:rPr>
          <w:rtl w:val="true"/>
        </w:rPr>
        <w:t>حکم من صلّی متیمماً</w:t>
      </w:r>
      <w:bookmarkStart w:id="490" w:name="pg14966_204101"/>
      <w:bookmarkEnd w:id="489"/>
    </w:p>
    <w:p>
      <w:pPr>
        <w:pStyle w:val="BookText"/>
        <w:rPr/>
      </w:pPr>
      <w:bookmarkEnd w:id="490"/>
      <w:r>
        <w:rPr>
          <w:rFonts w:ascii="IRNazanin" w:hAnsi="IRNazanin" w:eastAsia="IRNazanin"/>
          <w:color w:val="111111"/>
          <w:sz w:val="28"/>
          <w:sz w:val="28"/>
          <w:szCs w:val="28"/>
          <w:rtl w:val="true"/>
          <w:lang w:bidi="fa-IR"/>
        </w:rPr>
        <w:t xml:space="preserve">قوله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الحسن عن زرارة عن أحدهما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استدلاله به فی غایة الغرابة ، لأنّ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بذلک فی الحاضر دون المسافر ، فلو کان مفهوم الشرط فیه وفی أمثاله لا یکون حجّة للسیّد لم یکن حجّة علیه قطعا ، بل استدلاله بالصحیحة أیضا لیس بشی‌ء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أدوات العموم لغة ، فیبقی الإطلاق المفید للعموم عرفا فی مثل الأحکام الشرعیة ، والإطلاقات لا تنصرف إلاّ إلی الأفراد الشائعة ، وعدم وجدان الماء فی الحضر إلی أن یحتاج إلی التیمم ثم یجد بعد ما صلّی به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تیمم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والصدوق فی أمالیه عدّ من دین الإمامیة أنّ من تیمم وصلّی ثم وجد الماء وهو فی وقت أو قد خرج الوقت فلا إعادة علیه ، لأنّ التیمم أحد الطهورین ، فلیتوضّأ لما یستقبل </w:t>
      </w:r>
      <w:r>
        <w:rPr>
          <w:rStyle w:val="FootnoteAnchor"/>
          <w:rtl w:val="true"/>
        </w:rPr>
        <w:footnoteReference w:id="4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 أنّ الوضوء عند الإمامیة کان واجبا لغیره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الجنابة وقعت عمدا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الظاهر منها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تصیبه الجنابة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أیضا ظاهر فی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التخصیص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التخصیص أولی ، لنهایة غلبة شیوعه ، إلاّ أن یرید أنّ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2087783_388300464"/>
      <w:bookmarkStart w:id="492" w:name="_Toc197"/>
      <w:bookmarkEnd w:id="491"/>
      <w:r>
        <w:rPr>
          <w:rtl w:val="true"/>
        </w:rPr>
        <w:t>جواز التیمم لمتعمد الجنابة إذا خشی علی نفسه</w:t>
      </w:r>
      <w:bookmarkEnd w:id="492"/>
    </w:p>
    <w:p>
      <w:pPr>
        <w:pStyle w:val="BookText"/>
        <w:rPr/>
      </w:pPr>
      <w:r>
        <w:rPr>
          <w:rFonts w:ascii="IRNazanin" w:hAnsi="IRNazanin" w:eastAsia="IRNazanin"/>
          <w:color w:val="111111"/>
          <w:sz w:val="28"/>
          <w:sz w:val="28"/>
          <w:szCs w:val="28"/>
          <w:rtl w:val="true"/>
          <w:lang w:bidi="fa-IR"/>
        </w:rPr>
        <w:t>الجملة الخبریة لا ظهور لها فی الوجوب ظهورا معتدّا به ، بل ظهور ضعیف غایة الضعف ، ولذا کثیرا ما یمنع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التخصیص المذکور فی غایة الضعف ، لعدم الدلالة علی خصوص التعمّد ، والحمل علیه من جهة الجمع بین الأخبار أیضا فی غایة الضعف ، لأنّ الخاصّ مقدّم من جهة الدلالة ، بل ربما یقول الأصولیون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قطعی الدلالة ، ولیس المراد أنّه کذلک حقیقة ، بل کاد أن یکون مثل القطعی من جهة القوّة ، وما نحن فیه لا دلالة له علی الخصوص أصلا ، فضلا أن تکون ظاهرة ، فضلا أن تکون قطعیة ، بل قد عرفت أنّ الظاهر منهما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ما ذکره من أنّ القول بالوجوب لا یخلو عن قوّة ، لا یخلو عن غرابة ، سیّما بعد ما مرّ منه مرارا أنّه صلّی صلاة مأمورا بها ، وهو یقتضی الإجزاء ، مضافا إلی الأخبار الصحیحة الدالة علی عدم الإعادة ، سیّما مع عدم کون الجنابة علیه حراما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مقتضی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شمولها لما نحن فیه محلّ تأمّل ، لما یظهر من الأخبار أنّه مهما أمکن یصلّی بالمائیة إلاّ أن یتحقّق العذر عنها ، وتحقّقه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 أنّهم علیهم السلام عدّوا الصلاة بالتیمم هلاک الدین ، وغیر ذلک ، مثل ما روی فی الصحیح أیضا ، عن محمد بن مسلم ، عن أحدهما علیهماالسلام ، أنّه سئل عن الرجل یقیم فی البلاد الأشهر لیس فیها ماء من أجل المراعی وصلاح الإبل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bookmarkStart w:id="493" w:name="pg14966_204103"/>
    </w:p>
    <w:p>
      <w:pPr>
        <w:pStyle w:val="BookText"/>
        <w:rPr/>
      </w:pPr>
      <w:bookmarkEnd w:id="493"/>
      <w:r>
        <w:rPr>
          <w:rFonts w:ascii="IRNazanin" w:hAnsi="IRNazanin" w:eastAsia="IRNazanin"/>
          <w:color w:val="111111"/>
          <w:sz w:val="28"/>
          <w:sz w:val="28"/>
          <w:szCs w:val="28"/>
          <w:rtl w:val="true"/>
          <w:lang w:bidi="fa-IR"/>
        </w:rPr>
        <w:t xml:space="preserve">علی أنّه لو سلّم أنّ تفویت الصلاة المائیة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الواجب هو المائیة إلاّ أن یتحقّق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فرق بین جواز التأخیر وعدمه ، وإن لم نقل بحرمته لم یکن أیضا فرق ، والقول بالحرمة عند الضیق وعدمها مع جواز التأخیر مع العلم بعدم التمکّن من المائیة بعد ذلک أو الظنّ به ممّا لا وجه له بالنظر إلی الأخبار والأدلة ، بل مع احتمال عدم التمکّن أیضا یشکل الفرق بالقیاس إلی الأخبار وغیرها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عدم الإعادة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الأحوط الإعادة ، للعمومات الدالة علی وجوب الصلاة مع الطهارة المائیة عند القدرة ، وإن کان شمولها لما نحن فیه لا یخلو عن ضعف ، فتأمّل ، ولأنّ السکونی ادعی الشیخ إجماع الشیعة علی العمل بروایاته ، وصرّح بأنّه ثقة فی العدّة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فوات الجمعة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مخالف لما اختاره من أنّ خوف فوات الصلاة لا یصیر منشأ لصحة التیمم مع کونه متمکّنا من الطهارات المائیة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الأحوط مراعاة مضمون هذه الروایة ، لما ذکرنا من کون الموثّق حجّة ، وإن کان الأخبار الصحیحة الدالة علی عدم وجوب الإعادة فی الصلاة بالتیمم ، وعلی عدم وجوب الإعادة فی الصلاة فی الثوب </w:t>
      </w:r>
      <w:r>
        <w:rPr>
          <w:rStyle w:val="FootnoteAnchor"/>
          <w:rtl w:val="true"/>
        </w:rPr>
        <w:footnoteReference w:id="441"/>
      </w:r>
      <w:r>
        <w:rPr>
          <w:rFonts w:ascii="IRNazanin" w:hAnsi="IRNazanin" w:eastAsia="IRNazanin"/>
          <w:color w:val="111111"/>
          <w:sz w:val="28"/>
          <w:sz w:val="28"/>
          <w:szCs w:val="28"/>
          <w:rtl w:val="true"/>
          <w:lang w:bidi="fa-IR"/>
        </w:rPr>
        <w:t>النجس</w:t>
      </w:r>
    </w:p>
    <w:p>
      <w:pPr>
        <w:pStyle w:val="Heading4"/>
        <w:numPr>
          <w:ilvl w:val="3"/>
          <w:numId w:val="1"/>
        </w:numPr>
        <w:rPr/>
      </w:pPr>
      <w:bookmarkStart w:id="494" w:name="__RefHeading___Toc2087785_388300464"/>
      <w:bookmarkStart w:id="495" w:name="_Toc198"/>
      <w:bookmarkEnd w:id="494"/>
      <w:r>
        <w:rPr>
          <w:rtl w:val="true"/>
        </w:rPr>
        <w:t>جواز التیمم لمن منعه زحام الجمعة علی الخروج</w:t>
      </w:r>
      <w:bookmarkEnd w:id="495"/>
    </w:p>
    <w:p>
      <w:pPr>
        <w:pStyle w:val="Heading4"/>
        <w:numPr>
          <w:ilvl w:val="3"/>
          <w:numId w:val="1"/>
        </w:numPr>
        <w:rPr/>
      </w:pPr>
      <w:bookmarkStart w:id="496" w:name="__RefHeading___Toc2087787_388300464"/>
      <w:bookmarkStart w:id="497" w:name="_Toc199"/>
      <w:bookmarkEnd w:id="496"/>
      <w:r>
        <w:rPr>
          <w:rtl w:val="true"/>
        </w:rPr>
        <w:t>بحث رجالی حول السکونی</w:t>
      </w:r>
      <w:bookmarkEnd w:id="49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8" w:name="__RefHeading___Toc2087789_388300464"/>
      <w:bookmarkStart w:id="499" w:name="_Toc200"/>
      <w:bookmarkEnd w:id="498"/>
      <w:r>
        <w:rPr>
          <w:rtl w:val="true"/>
        </w:rPr>
        <w:t>حکم المتیمم إذا صلّی وعلی جسده النجاسة</w:t>
      </w:r>
      <w:bookmarkStart w:id="500" w:name="pg14966_204104"/>
      <w:bookmarkEnd w:id="499"/>
    </w:p>
    <w:p>
      <w:pPr>
        <w:pStyle w:val="BookText"/>
        <w:rPr/>
      </w:pPr>
      <w:bookmarkEnd w:id="500"/>
      <w:r>
        <w:rPr>
          <w:rFonts w:ascii="IRNazanin" w:hAnsi="IRNazanin" w:eastAsia="IRNazanin"/>
          <w:color w:val="111111"/>
          <w:sz w:val="28"/>
          <w:sz w:val="28"/>
          <w:szCs w:val="28"/>
          <w:rtl w:val="true"/>
          <w:lang w:bidi="fa-IR"/>
        </w:rPr>
        <w:t>بإطلاقاتها تعارضها ، إلاّ أنّه لا قوة فی تلک الإطلاقات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من سقوط التکلیف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القائل بذلک لا یجعل الصلاة مشروطة بالطهارة إلاّ حال التمکّن من الطهور ، حملا للحدیث علی الصورة المتعارفة الشائعة ، وما دل علی نفسها علی الوجوب مطلقا ، لتأکّد الدلالة ، وظهور شمولها لصورة عدم التمکّن من الطهور ، ویحتاج ذلک إلی ملاحظة العمومات والتأمّل فی دلالتها ، وإلاّ فیشکل التفریق بین العمومین ، والظاهر أنّ التفریق مشکل ، والفعل قضاء لازم ، لما ستعرف ، والأداء مع ذلک لعلّه لا یخلو من احتیاط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أشار بذلک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المراد أنّه باعتبار هذا الحدث لم یتعلق الخطاب بالصلاة ، لأنّه لا صلاة إلاّ بطهور ، فلم تکن فائتة ، لأنّ الفوت فرع کونها مطلوبة ، فاتت بعذر أو غیر عذر ، وأمّا إذا لم تکن مطلوبة کالصلاة قبل دخول الوقت فلا معنی للفوت فیها ، وإذا لم تکن فائتة فلا معنی لقضائها ، لأنّ القضاء تدارک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مطلوبة إلاّ أنّها لا یمکن تحقّقها ووجودها ، فیتحقّق معنی الفوت ، فیجب قضاؤها ، لما دل علی وجوب قضاء الفوائت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کلامهم یقتضی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Heading4"/>
        <w:numPr>
          <w:ilvl w:val="3"/>
          <w:numId w:val="1"/>
        </w:numPr>
        <w:rPr/>
      </w:pPr>
      <w:bookmarkStart w:id="501" w:name="__RefHeading___Toc2087791_388300464"/>
      <w:bookmarkStart w:id="502" w:name="_Toc201"/>
      <w:bookmarkEnd w:id="501"/>
      <w:r>
        <w:rPr>
          <w:rtl w:val="true"/>
        </w:rPr>
        <w:t>عدم سقوط الصلاة مع عدم التمکن من التیمم</w:t>
      </w:r>
      <w:bookmarkEnd w:id="5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2087793_388300464"/>
      <w:bookmarkStart w:id="504" w:name="_Toc202"/>
      <w:bookmarkEnd w:id="503"/>
      <w:r>
        <w:rPr>
          <w:rtl w:val="true"/>
        </w:rPr>
        <w:t>حکم من تیمم ثم وجد الماء قبل الشروع فی الصلاة</w:t>
      </w:r>
      <w:bookmarkStart w:id="505" w:name="pg14966_204105"/>
      <w:bookmarkEnd w:id="504"/>
    </w:p>
    <w:p>
      <w:pPr>
        <w:pStyle w:val="BookText"/>
        <w:rPr/>
      </w:pPr>
      <w:bookmarkEnd w:id="505"/>
      <w:r>
        <w:rPr>
          <w:rFonts w:ascii="IRNazanin" w:hAnsi="IRNazanin" w:eastAsia="IRNazanin"/>
          <w:color w:val="111111"/>
          <w:sz w:val="28"/>
          <w:sz w:val="28"/>
          <w:szCs w:val="28"/>
          <w:rtl w:val="true"/>
          <w:lang w:bidi="fa-IR"/>
        </w:rPr>
        <w:t>فیه تأمّل ظاهر ، لأنّ المشهور عند فقهائنا أنّه یتیمم ویصلّی أداء ، فکیف یتمسّک بهذا الإطلاق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نحن فیه مسألة أخری وملحوظ نظرهم فیها حیثیة أخری ، کما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باق علی ظاهر إطلاقه ، لما سیجی‌ء فی المبحث الأوّل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إذا تمکّن</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 إلاّ أن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التمکّن ، علی التمکّن الشرعی ، یعنی بعد ما تمکّن من فعل الطهارة وإتمامهما جمیعا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تلبّس بتکبیرة الإحرام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کبّرت تکبیرة الافتتاح وأوتیت بالماء فلا تقطع الصلاة ولا تنقض تیمّمک وامض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المراد منه الاستصحاب ، لأنّهم فی مقام البحث عن حجّیة الاستصحاب أتوا بهذه المسألة مثالا ، وحکموا بالإمضاء بمجرّد الدخول بناء علی حجّیة الاستصحاب ، وعدمه بناء علی عدمها ، والتعلیل المستفاد من صحیحة زرارة وابن مسلم مشیر إلی حجّیة الاستصحاب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المراد منه أصالة البراءة عن التکلیف الزائد ، لکن یعارضه أنّ شغل الذمّة بالصلاة یقینی ، والبراءة الاحتمالیة غیر کافیة حتی تثبت البراءة بدلیل شرعی ، والبراءة تتحقّق بالعود البتّة ، فتأمّل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2087795_388300464"/>
      <w:bookmarkStart w:id="507" w:name="_Toc203"/>
      <w:bookmarkEnd w:id="506"/>
      <w:r>
        <w:rPr>
          <w:rtl w:val="true"/>
        </w:rPr>
        <w:t>حکم من تیمم ثم وجد الماء فی أثناء الصلاة</w:t>
      </w:r>
      <w:bookmarkEnd w:id="50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المحقّق أنّه لم یتأمّل فیها إلاّ من جهة عبد الله بن عاصم خاصّة ، وأنّه لا یخلو عن عدالة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یرجّح روایة عبد الله أنّها رویت بطرق کثیرة ، ولذا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تکثّرت إلاّ أنّ أصلها عبد الله بن عاصم ، هذا ، مضافا إلی موافقتها لصحیحة زرارة المستجمعة لوجوه کثیرة من الرجحان علی ما ستعرف فی بحث صلاة الجمعة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لروایته محمل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الحمل علی الدخول الکامل ، ویؤیّده ما ورد فی بعض الأخبار أنّ أوّل الصلاة هو الرکوع </w:t>
      </w:r>
      <w:r>
        <w:rPr>
          <w:rStyle w:val="FootnoteAnchor"/>
          <w:rtl w:val="true"/>
        </w:rPr>
        <w:footnoteReference w:id="45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الدالة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تأمّل ظاهر ، لأنّ قطع الصلاة المحرّم هو أن یکون المکلف یقطع الصلاة الصحیحة اختیارا ، وما نحن فیه لیس کذلک ، إذ لا یعلم صحة الصلاة بعد وجدان الماء ، فانقطاع الصلاة محتمل شرعا احتمالا مساویا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المکلف لو لم یقطع الصلاة بل یتمّها لا یعلم کون صلاته صحیحة غیر منقطعة أم فاسدة منقطعة ، ومجرّد الاحتمال لا یکفی للحکم بالحرمة ثم الحکم بالصحة من جهة الحکم بالحرمة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نجد مطلقا أصلا سوی روایتی محمد بن حمران والتعلیل </w:t>
      </w:r>
    </w:p>
    <w:p>
      <w:pPr>
        <w:pStyle w:val="BookText"/>
        <w:rPr/>
      </w:pPr>
      <w:r>
        <w:rPr>
          <w:rFonts w:ascii="IRNazanin" w:hAnsi="IRNazanin" w:eastAsia="IRNazanin"/>
          <w:color w:val="111111"/>
          <w:sz w:val="28"/>
          <w:sz w:val="28"/>
          <w:szCs w:val="28"/>
          <w:rtl w:val="true"/>
          <w:lang w:bidi="fa-IR"/>
        </w:rPr>
        <w:t xml:space="preserve">المستفاد ، وظاهرهما وإن اقتضی الصحة إلاّ أنّ روایتی زرارة وابن عاصم نصّان فی أنّه یرجع ما لم یرکع ، ویؤیّدهما ما ورد من أنّ أول صلاتکم الرکوع </w:t>
      </w:r>
      <w:r>
        <w:rPr>
          <w:rStyle w:val="FootnoteAnchor"/>
          <w:rtl w:val="true"/>
        </w:rPr>
        <w:footnoteReference w:id="451"/>
      </w:r>
      <w:r>
        <w:rPr>
          <w:rFonts w:ascii="IRNazanin" w:hAnsi="IRNazanin" w:eastAsia="IRNazanin"/>
          <w:color w:val="111111"/>
          <w:sz w:val="28"/>
          <w:sz w:val="28"/>
          <w:szCs w:val="28"/>
          <w:rtl w:val="true"/>
          <w:lang w:bidi="fa-IR"/>
        </w:rPr>
        <w:t xml:space="preserve">، وأنّ الصلاة ثلث طهور ، وثلث رکوع ، وثلث سجود </w:t>
      </w:r>
      <w:r>
        <w:rPr>
          <w:rStyle w:val="FootnoteAnchor"/>
          <w:rtl w:val="true"/>
        </w:rPr>
        <w:footnoteReference w:id="452"/>
      </w:r>
      <w:r>
        <w:rPr>
          <w:rFonts w:ascii="IRNazanin" w:hAnsi="IRNazanin" w:eastAsia="IRNazanin"/>
          <w:color w:val="111111"/>
          <w:sz w:val="28"/>
          <w:sz w:val="28"/>
          <w:szCs w:val="28"/>
          <w:rtl w:val="true"/>
          <w:lang w:bidi="fa-IR"/>
        </w:rPr>
        <w:t>، وأمثال هذا ، وأنّه ورد هذا التعلیل بعینه فی صحیحة زرارة مع تصریح المعصوم بوجوب الإعادة ما لم یرکع ، وأنّ العلّة تنفع ما بعد الدخول فی الرکوع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شغل الذمّة یقینی والبراءة لا بدّ منها ، للقطع بأنّا مأمورون بالإطاعة والخروج عن العهدة ، ولا یتحقّق ذلک إلاّ بالامتثال الیقینی أو الظنّی الذی اعتباره شرعا یقینی ، لقاعدة الاستصحاب ، فإنّ ثبوت الخلاف إنّما یتحقّق بما ذکر ،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إلاّ بیقین مثله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وهو وفاقی أیضا بین الفقهاء ، وتتبّع الأحکام الشرعیة أیضا یشهد علی ذلک ، وکون الظنّ من حیث هو هو لا دلیل علی حجّیته واعتباره بل ورود النهی عن اعتباره فی الآیات والأخبار أیضا یقتضی ما ذکرنا ، فحیث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الذمّة الیقینی یقتضی البراءة الیقینیة نرید المعنی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الإعادة وعدم الاکتفاء بتلک الصلاة ، وإن کان الأحوط من هذا أیضا الإتمام ثم الإعادة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لإطلاق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الإطلاق ضعف ظاهر</w:t>
      </w:r>
      <w:r>
        <w:rPr>
          <w:rFonts w:eastAsia="IRNazanin" w:cs="IRNazanin"/>
          <w:color w:val="111111"/>
          <w:sz w:val="28"/>
          <w:szCs w:val="28"/>
          <w:rtl w:val="true"/>
          <w:lang w:bidi="fa-IR"/>
        </w:rPr>
        <w:t xml:space="preserve">. </w:t>
      </w:r>
      <w:bookmarkStart w:id="508" w:name="pg14966_204108"/>
    </w:p>
    <w:p>
      <w:pPr>
        <w:pStyle w:val="BookText"/>
        <w:rPr/>
      </w:pPr>
      <w:bookmarkEnd w:id="508"/>
      <w:r>
        <w:rPr>
          <w:rFonts w:ascii="IRNazanin" w:hAnsi="IRNazanin" w:eastAsia="IRNazanin"/>
          <w:color w:val="111111"/>
          <w:sz w:val="28"/>
          <w:sz w:val="28"/>
          <w:szCs w:val="28"/>
          <w:rtl w:val="true"/>
          <w:lang w:bidi="fa-IR"/>
        </w:rPr>
        <w:t xml:space="preserve">قوله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روی هذه الصحیحة بعینها عن عبد الرحمن بن أبی نجران ، عن رجل حدثه ، قال سألت أبا الحسن علیه السلام </w:t>
      </w:r>
      <w:r>
        <w:rPr>
          <w:rStyle w:val="FootnoteAnchor"/>
          <w:rtl w:val="true"/>
        </w:rPr>
        <w:footnoteReference w:id="45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سقوط هذه الواسطة فی طریق الصدوق ، لأنّ زیادة ما ذکر مستبعد ، وعلی تقدیر تسلیم عدم الظهور فالحدیث لا یخلو عن اضطراب وتحقّق احتمال ، فلا وثوق بکونه صحیحا ، نعم هو منجبر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والتخییر حسن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بالتخییر بالنسبة إلی الکل لا یخلو عن الإشکال بعد ملاحظة العلّة الواردة فی الحدیث الصحیح من أنّ الغسل من الجنابة فریضة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یلزم منه امتناع الرفع فیه إلی غایة معینة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ظهر ما فی هذا الکلام ممّا ذکرنا فی بحث النیّة </w:t>
      </w:r>
      <w:r>
        <w:rPr>
          <w:rStyle w:val="FootnoteAnchor"/>
          <w:rtl w:val="true"/>
        </w:rPr>
        <w:footnoteReference w:id="457"/>
      </w:r>
      <w:r>
        <w:rPr>
          <w:rFonts w:ascii="IRNazanin" w:hAnsi="IRNazanin" w:eastAsia="IRNazanin"/>
          <w:color w:val="111111"/>
          <w:sz w:val="28"/>
          <w:sz w:val="28"/>
          <w:szCs w:val="28"/>
          <w:rtl w:val="true"/>
          <w:lang w:bidi="fa-IR"/>
        </w:rPr>
        <w:t xml:space="preserve">، إذ لو أراد أنّه بعد الغایة لم یرتفع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ارتفع بالمرّة ولم یکن باقیا أصلا ، فکیف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الغایة لم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أنّه بعد الغایة یعود فالعود لیس إلاّ الحدوث بعد الانعدام ، فیکون الحادث حدثا جدیدا ، وهذا الحدث لیس إلاّ الحالة المانعة ، ومحال تحقّقها من غیر سبب ، والسبب منحصر فی وجود الماء مثلا ، وهو لیس بحدث بالإجماع ، بل بالضرورة ، ومسلّم عند الشارح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ما ذکره ، ویقول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التمکّن لیس بحدث إجماعا ، فلا یبقی</w:t>
      </w:r>
    </w:p>
    <w:p>
      <w:pPr>
        <w:pStyle w:val="Heading4"/>
        <w:numPr>
          <w:ilvl w:val="3"/>
          <w:numId w:val="1"/>
        </w:numPr>
        <w:rPr/>
      </w:pPr>
      <w:bookmarkStart w:id="509" w:name="__RefHeading___Toc2087797_388300464"/>
      <w:bookmarkStart w:id="510" w:name="_Toc204"/>
      <w:bookmarkEnd w:id="509"/>
      <w:r>
        <w:rPr>
          <w:rtl w:val="true"/>
        </w:rPr>
        <w:t>حکم اجتماع المیت والجنب والمحدث مع کفایة الماء لأحدهم</w:t>
      </w:r>
      <w:bookmarkEnd w:id="5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2087799_388300464"/>
      <w:bookmarkStart w:id="512" w:name="_Toc205"/>
      <w:bookmarkEnd w:id="511"/>
      <w:r>
        <w:rPr>
          <w:rtl w:val="true"/>
        </w:rPr>
        <w:t>فی أن التیمم لا یرفع الحدث</w:t>
      </w:r>
      <w:bookmarkStart w:id="513" w:name="pg14966_204109"/>
      <w:bookmarkEnd w:id="512"/>
    </w:p>
    <w:p>
      <w:pPr>
        <w:pStyle w:val="BookText"/>
        <w:rPr/>
      </w:pPr>
      <w:bookmarkEnd w:id="513"/>
      <w:r>
        <w:rPr>
          <w:rFonts w:ascii="IRNazanin" w:hAnsi="IRNazanin" w:eastAsia="IRNazanin"/>
          <w:color w:val="111111"/>
          <w:sz w:val="28"/>
          <w:sz w:val="28"/>
          <w:szCs w:val="28"/>
          <w:rtl w:val="true"/>
          <w:lang w:bidi="fa-IR"/>
        </w:rPr>
        <w:t xml:space="preserve">لما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من الارتفاع الکمون ، وبعد الغایة یصیر بارزا ، وهذا بعینه مراد القوم مع المناقشة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إنّما تدل علی النهی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مطلق غیر مقید بخصوص ما قبل التیمم عن الجنابة ، وکذا یتیمم أیضا مطلقا ، ومدار الشارح الاستدلال بأمثال هذا الإطلاق ، بل استصحابه لیس إلاّ هذه الإطلاقات والأخبار التی یظهر منها کون التیمم بدلا من الغسل من غیر فرق بین التیمم الأوّل والثانی والثالث وهکذا ، وکذا یظهر أنّه یتیمم مطلقا سواء کان متمکّنا من الوضوء أم لا ، مضافا إلی الاستصحاب والإجماع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فساد القول بارتفاع الحدث ، کما بیّنا فی ما سبق فی بحث نیّة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ذا نفس سائلة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الإجماع یدل علی نجاسة البول والغائط من الطیور التی لا یحلّ أکلها أیضا ، لعدم التخصیص بغیر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حقیقة فی الوجوب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یتوقّف الاستدلال علی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 حقیقة فی الوجوب ،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واجبا لنفسه ، إذ لو کان واجبا لنفسه لم یکن بینه وبین النجاسة مناسبة ، لأنّ النجس لا یجب إزالته بعنوان الوجوب النفسی ، ولیس مثل وجوب الحجّ عند الاستطاعة ، والصلاة عند دخول الوقت ، وغیر ذلک</w:t>
      </w:r>
      <w:r>
        <w:rPr>
          <w:rFonts w:eastAsia="IRNazanin" w:cs="IRNazanin"/>
          <w:color w:val="111111"/>
          <w:sz w:val="28"/>
          <w:szCs w:val="28"/>
          <w:rtl w:val="true"/>
          <w:lang w:bidi="fa-IR"/>
        </w:rPr>
        <w:t>.</w:t>
      </w:r>
    </w:p>
    <w:p>
      <w:pPr>
        <w:pStyle w:val="Heading4"/>
        <w:numPr>
          <w:ilvl w:val="3"/>
          <w:numId w:val="1"/>
        </w:numPr>
        <w:rPr/>
      </w:pPr>
      <w:bookmarkStart w:id="514" w:name="__RefHeading___Toc2087801_388300464"/>
      <w:bookmarkStart w:id="515" w:name="_Toc206"/>
      <w:bookmarkEnd w:id="514"/>
      <w:r>
        <w:rPr>
          <w:rtl w:val="true"/>
        </w:rPr>
        <w:t>فیما إذا تیمم الجنب بدلاً من الغسل ثم أحدث حدثاً</w:t>
      </w:r>
      <w:bookmarkEnd w:id="515"/>
    </w:p>
    <w:p>
      <w:pPr>
        <w:pStyle w:val="Heading2"/>
        <w:numPr>
          <w:ilvl w:val="1"/>
          <w:numId w:val="1"/>
        </w:numPr>
        <w:rPr/>
      </w:pPr>
      <w:bookmarkStart w:id="516" w:name="__RefHeading___Toc2087803_388300464"/>
      <w:bookmarkStart w:id="517" w:name="_Toc207"/>
      <w:bookmarkEnd w:id="516"/>
      <w:r>
        <w:rPr>
          <w:rtl w:val="true"/>
        </w:rPr>
        <w:t>النجاسات</w:t>
      </w:r>
      <w:bookmarkEnd w:id="517"/>
    </w:p>
    <w:p>
      <w:pPr>
        <w:pStyle w:val="Heading3"/>
        <w:numPr>
          <w:ilvl w:val="2"/>
          <w:numId w:val="1"/>
        </w:numPr>
        <w:rPr/>
      </w:pPr>
      <w:bookmarkStart w:id="518" w:name="__RefHeading___Toc2087805_388300464"/>
      <w:bookmarkStart w:id="519" w:name="_Toc208"/>
      <w:bookmarkEnd w:id="518"/>
      <w:r>
        <w:rPr>
          <w:rtl w:val="true"/>
        </w:rPr>
        <w:t>أنواع النجاسات</w:t>
      </w:r>
      <w:bookmarkEnd w:id="5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2087807_388300464"/>
      <w:bookmarkStart w:id="521" w:name="_Toc209"/>
      <w:bookmarkEnd w:id="520"/>
      <w:r>
        <w:rPr>
          <w:rtl w:val="true"/>
        </w:rPr>
        <w:t>البول والغائط</w:t>
      </w:r>
      <w:bookmarkEnd w:id="521"/>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إزالتها لأجل الصلاة من حیث النجاسة ، لأنّ المنع عن الصلاة فیه لا ینحصر وجهه فی النجاسة ، لاحتمال کونه تعبّدا ، وسیصرّح الشارح بأنّ المنع عن الصلاة لا ینحصر وجهه فی النجاسة ، فی مسألة فأرة المسک </w:t>
      </w:r>
      <w:r>
        <w:rPr>
          <w:rStyle w:val="FootnoteAnchor"/>
          <w:rtl w:val="true"/>
        </w:rPr>
        <w:footnoteReference w:id="459"/>
      </w:r>
      <w:r>
        <w:rPr>
          <w:rFonts w:ascii="IRNazanin" w:hAnsi="IRNazanin" w:eastAsia="IRNazanin"/>
          <w:color w:val="111111"/>
          <w:sz w:val="28"/>
          <w:sz w:val="28"/>
          <w:szCs w:val="28"/>
          <w:rtl w:val="true"/>
          <w:lang w:bidi="fa-IR"/>
        </w:rPr>
        <w:t xml:space="preserve">، وفی مسألة نجاسة المیتة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النجاسة الشرعیة عبارة عن تکلیفات متعدّدة کثیرة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الصلاة والأکل والشرب ، وإدخال المساجد ، وکونه مع المصحف وأمثاله ممّا یعظّم شرعا ، إلی غیر ذلک ، وکذا عمّا لاقاه رطبا بجمیع التفصیل الذی مرّ ، وکذا ما لاقی ما لاقاه بجمیع التفصیل المذکور ، وهکذا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الشرعیة مجموعة تکالیف لا تعدّ ولا تحصی ، بل ولا نهایة لها ، ولم یرد آیة ولا حدیث یدل علی هذا المجموع ، حتی یکون الدلیل علی تحقّق واحد من تلک الأحکام دلیلا علی تحقّق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المجموع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ویحکم بتحقّق المجموع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التلازم شرعا بین کلّ واحد من تلک الأحکام وبین المجموع ، بحیث لا ینفکّ عنه شرعا حتی یتأتّی الاستدلال 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حکم الثوب مع البدن وغیر ذلک فی ذلک حتی یحکم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بدنک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 مع أنّه علی القول بحجّیة هذا المفهوم یکون ظاهر الحدیث عدم وجوب غسل غیر الثوب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التلازم بین حکم البول والروث ، مع أنّه علی القول بحجّیة مثل هذا المفهوم یکون الظاهر من الحدیث عدم نجاسة الروث ، </w:t>
      </w:r>
      <w:bookmarkStart w:id="522" w:name="pg14966_204111"/>
    </w:p>
    <w:p>
      <w:pPr>
        <w:pStyle w:val="BookText"/>
        <w:rPr/>
      </w:pPr>
      <w:bookmarkEnd w:id="522"/>
      <w:r>
        <w:rPr>
          <w:rFonts w:ascii="IRNazanin" w:hAnsi="IRNazanin" w:eastAsia="IRNazanin"/>
          <w:color w:val="111111"/>
          <w:sz w:val="28"/>
          <w:sz w:val="28"/>
          <w:szCs w:val="28"/>
          <w:rtl w:val="true"/>
          <w:lang w:bidi="fa-IR"/>
        </w:rPr>
        <w:t>فالاستناد فی فهم المطلوب من هذا الحدیث إنّما یکون بإجماعات کثیرة ، فلا یکون الحدیث دالاّ علی المطلوب بنفسه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ثبت وجوب الغسل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یقل أحد بوجوب غسل النجاسة بالوجوب الشرعی ، بل یقولون به بالوجوب الشرطی ، بل لا یوجبون الغسل أصلا ، لا علی صاحب الثوب الذی هو المخاطب فی الحدیث والمأمور ولا علی غیره ، بل لو وقع فی الماء فطهر یکفی ، وکذا لو غسله غاصب ، وکذا لو غسل بالماء الغصبی ، بل یوجبون کون الصلاة فی الثوب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من تأمّل حق التأمّل علم أنّ منشأ فهم النجاسة من الحدیث هو الإجماع لا غیر ، ولذا لا یفرّقون بین الرجل والمرأة وغیرهما ، وإن کان المخاطب هو الرجل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 العلاّمة فی المختلف عن السید فی جواب المسائل المیافارقیات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البول قد عفی عنه فی ما یرشّش عند الاستنجاء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إدریس عن بعض الأصحاب فی مطلق النجاسة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 القولین العمومات ، وخصوص ما سیذکره عن الفقه الرضوی ، فی مسألة العفو عمّا دون الدرهم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ویشکل بأنّها إنّما تضمّنت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الاستدلال بها بناء علی أنّ الأمّة لم تفرّق بین البول والروث ، کما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2087809_388300464"/>
      <w:bookmarkStart w:id="524" w:name="_Toc210"/>
      <w:bookmarkEnd w:id="523"/>
      <w:r>
        <w:rPr>
          <w:rtl w:val="true"/>
        </w:rPr>
        <w:t>حکم رجیع الطیر</w:t>
      </w:r>
      <w:bookmarkEnd w:id="524"/>
    </w:p>
    <w:p>
      <w:pPr>
        <w:pStyle w:val="BookText"/>
        <w:rPr/>
      </w:pPr>
      <w:r>
        <w:rPr>
          <w:rFonts w:ascii="IRNazanin" w:hAnsi="IRNazanin" w:eastAsia="IRNazanin"/>
          <w:color w:val="111111"/>
          <w:sz w:val="28"/>
          <w:sz w:val="28"/>
          <w:szCs w:val="28"/>
          <w:rtl w:val="true"/>
          <w:lang w:bidi="fa-IR"/>
        </w:rPr>
        <w:t>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الاستفصال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خرء غیر المأکول لیس من الأفراد الشائعة التی یجب الاستفصال من جهتها ، بعد بناء الراوی الجلیل علی أنّ خرء الطیر لا یضرّ وجودها للصلاة ، فهل یضرّ حکّها فیها أم لا؟ وغیر خفیّ أن الحکّ لیس من المطهّرات بالضرورة حتی یتوهّم التطهیر من جهته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ما ذکرنا ویضعّف استدلاله ضمیمة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 وعطفه علی خرء الطیر ،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مستدرک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التمسّک بمثله تأمّل یظهر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العدالة فی حجّیة خبر الواحد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فکیف عمل بهذا الخبر ، حتی رجحه علی ما هو حجّة عند جمیع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باشتراکه </w:t>
      </w:r>
      <w:r>
        <w:rPr>
          <w:rStyle w:val="FootnoteAnchor"/>
          <w:rtl w:val="true"/>
        </w:rPr>
        <w:footnoteReference w:id="467"/>
      </w:r>
      <w:r>
        <w:rPr>
          <w:rFonts w:ascii="IRNazanin" w:hAnsi="IRNazanin" w:eastAsia="IRNazanin"/>
          <w:color w:val="111111"/>
          <w:sz w:val="28"/>
          <w:sz w:val="28"/>
          <w:szCs w:val="28"/>
          <w:rtl w:val="true"/>
          <w:lang w:bidi="fa-IR"/>
        </w:rPr>
        <w:t xml:space="preserve">فیضعف الخبر عنده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لیس بمکانه بعد معلومیة أنّ معلوم النسب خروجه غیر مضرّ ، والإجماع المنقول حجّة ، لشمول ما دلّ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والطعن </w:t>
      </w:r>
    </w:p>
    <w:p>
      <w:pPr>
        <w:pStyle w:val="BookText"/>
        <w:rPr/>
      </w:pPr>
      <w:r>
        <w:rPr>
          <w:rFonts w:ascii="IRNazanin" w:hAnsi="IRNazanin" w:eastAsia="IRNazanin"/>
          <w:color w:val="111111"/>
          <w:sz w:val="28"/>
          <w:sz w:val="28"/>
          <w:szCs w:val="28"/>
          <w:rtl w:val="true"/>
          <w:lang w:bidi="fa-IR"/>
        </w:rPr>
        <w:t xml:space="preserve">بکونه خبرا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آخر ، مع أنّه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قد عرفت جوابه ، مع أنّ الشیخ رحمه الله فی التهذیب نسب ما دلّ علی طهارته إلی الشذوذ ، وإلی موافقة التقیة </w:t>
      </w:r>
      <w:r>
        <w:rPr>
          <w:rStyle w:val="FootnoteAnchor"/>
          <w:rtl w:val="true"/>
        </w:rPr>
        <w:footnoteReference w:id="470"/>
      </w:r>
      <w:r>
        <w:rPr>
          <w:rFonts w:ascii="Amiri" w:hAnsi="Amiri" w:eastAsia="Amiri" w:cs="Amiri"/>
          <w:color w:val="111111"/>
          <w:sz w:val="28"/>
          <w:sz w:val="28"/>
          <w:szCs w:val="28"/>
          <w:rtl w:val="true"/>
          <w:lang w:bidi="ar-SA"/>
        </w:rPr>
        <w:t xml:space="preserve">، وهذا یؤیّد </w:t>
      </w:r>
      <w:r>
        <w:rPr>
          <w:rStyle w:val="FootnoteAnchor"/>
          <w:rtl w:val="true"/>
        </w:rPr>
        <w:footnoteReference w:id="471"/>
      </w:r>
      <w:r>
        <w:rPr>
          <w:rFonts w:ascii="Amiri" w:hAnsi="Amiri" w:eastAsia="Amiri" w:cs="Amiri"/>
          <w:color w:val="111111"/>
          <w:sz w:val="28"/>
          <w:sz w:val="28"/>
          <w:szCs w:val="28"/>
          <w:rtl w:val="true"/>
          <w:lang w:bidi="ar-SA"/>
        </w:rPr>
        <w:t>العلاّمة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استثناء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أنّ نقل الاستثناء عن خصوص الشیخ ، مع موافقته لابن بابویه وابن أبی عقیل ، دلیل علی بنائه رحمه الله علی أنّ ابن بابویه وابن أبی عقیل لم یستثنیا ، ولیس مراده أنّ العلاّمة یقول بأنّ القائل منحصر فی الشیخ ، کما أنّه ربما یوهمه ظاهر عبارته ، لفساده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العمل بها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العلاّمة لم یستدلّ علی نجاسة بول وذرق غیر المأکول من الطیور بالقیاس المزبور ، بل ولا شکّ فی أنّ استدلاله علیها إنّما هو بروایة ابن سنان الحسنة المشهورة المعمول بها عند أکثر الفقهاء ومعظمهم ، بل وعند الجمیع فی الجملة ، بل رفع عن مستنده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الخبر المعارض بحدوث وهن ومرجوحیة فی الظنّ والاعتبار ، بأنّ التعارض بینه وبین مستنده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تعارض عموم من وجه ، یصحّ أن یصیر کلّ منهما مخصّصا ، لکن الحسنة من جهة الانجبار بما ذکرنا جعلها أصلا ومعارضها معارضا ، وهذا وإن کان مرجّحا کافیا لجعل مستنده مخصّصا وصیرورته أصلا ، کما ارتکبه ، إلاّ أنّه تمسّک بأمر آخر یعضد ویرجّح ، وهو خروج الخشّاف من </w:t>
      </w:r>
      <w:bookmarkStart w:id="525" w:name="pg14966_204114"/>
    </w:p>
    <w:p>
      <w:pPr>
        <w:pStyle w:val="BookText"/>
        <w:rPr/>
      </w:pPr>
      <w:bookmarkEnd w:id="525"/>
      <w:r>
        <w:rPr>
          <w:rFonts w:ascii="IRNazanin" w:hAnsi="IRNazanin" w:eastAsia="IRNazanin"/>
          <w:color w:val="111111"/>
          <w:sz w:val="28"/>
          <w:sz w:val="28"/>
          <w:szCs w:val="28"/>
          <w:rtl w:val="true"/>
          <w:lang w:bidi="fa-IR"/>
        </w:rPr>
        <w:t>المعارض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وإن کان مرجّحا آخر مورثا وهنا آخر فی طرف المعارض ، لأنّ العامّ المخصّص لیس مثل العامّ الغیر المخصّص إلاّ أنّه أیّده وتمّم مرجّحیته بالاعتبار ، وأیضا </w:t>
      </w:r>
      <w:r>
        <w:rPr>
          <w:rStyle w:val="FootnoteAnchor"/>
          <w:rtl w:val="true"/>
        </w:rPr>
        <w:footnoteReference w:id="473"/>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 الاعتبار من المؤیّدات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یحصل منه ظنّ ما ، کما لا یخفی علی من تتّبع کلامهم ، حیث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مؤیّده الاعتبار ، فتأمّل ، إلاّ أنّه لا یجوز أن یجعله دلیلا علی الحکم ، لا أنّه لا یجوز أن یجعل من المؤیّدات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والمؤیّدات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والمرجّحات لا یجب أن تکون ممّا هو حجّة شرعیة بنفسه ، بل لیس کذلک قطعا ، إذ غالبها ممّا لا یصحّ أن یجعل بنفسه دلیلا ، ولا یجوز ذلک بالنسبة إلیه ، کما لا یجوز بالنسبة إلی القیاس ، فإذا کانوا یجعلون الاعتبار من المؤیّدات ، فکیف لا یتأتّی للعلاّمة أن یجعله من مؤیّدات المرجحّات ومتمّمات المؤیّدات؟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بالنسبة إلی راجح برجحان آخر معتدّ به عندهم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ترجیح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مرّت الإشارة إلی ما به یرجّح الأوّل ، ویؤیّده أنّ عبد الله بن سنان من أعاظم ثقات الأجلّة ، ولا غبار فیه أصلا ، بخلاف أبی بصیر ، فإنّه لا یخلو عن غبار ما ، وأنّ روایة ابن سنان متأیّدة بأخبار أخر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روی عنهم علیهم السلام فی کتاب المطاعم والمشارب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ذرق الخطّاف طاهر ، لأنّه یحلّ أکله </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ما فی الکافی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أنّهما قالا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2087811_388300464"/>
      <w:bookmarkStart w:id="527" w:name="_Toc211"/>
      <w:bookmarkEnd w:id="526"/>
      <w:r>
        <w:rPr>
          <w:rtl w:val="true"/>
        </w:rPr>
        <w:t>إشارة إلی أنّ عبد الله بن سنان ثقة</w:t>
      </w:r>
      <w:bookmarkStart w:id="528" w:name="pg14966_204115"/>
      <w:bookmarkEnd w:id="527"/>
    </w:p>
    <w:p>
      <w:pPr>
        <w:pStyle w:val="BookText"/>
        <w:rPr/>
      </w:pPr>
      <w:bookmarkEnd w:id="5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تغسل ثوبک من بول شی‌ء یؤکل لحمه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عمّار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أکل لحمه فلا بأس بما یخرج منه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القوی عن زرارة عن أحدهما علیه السلام فی أبوال الدواب تصیب الثوب ، فکرهه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لحومها حلالا؟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ولکن لیس ممّا جعله الله للأکل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فی کتاب الصلاة الموثّق کالصحیح بابن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شی‌ء حرام أکله فالصلاة فی کلّ شی‌ء منه حرام ، حتی فی بوله وروثه </w:t>
      </w:r>
      <w:r>
        <w:rPr>
          <w:rStyle w:val="FootnoteAnchor"/>
          <w:rtl w:val="true"/>
        </w:rPr>
        <w:footnoteReference w:id="480"/>
      </w:r>
      <w:r>
        <w:rPr>
          <w:rFonts w:ascii="IRNazanin" w:hAnsi="IRNazanin" w:eastAsia="IRNazanin"/>
          <w:color w:val="111111"/>
          <w:sz w:val="28"/>
          <w:sz w:val="28"/>
          <w:szCs w:val="28"/>
          <w:rtl w:val="true"/>
          <w:lang w:bidi="fa-IR"/>
        </w:rPr>
        <w:t xml:space="preserve">، ومضمونه إجماعی ، کما سیجی‌ء </w:t>
      </w:r>
      <w:r>
        <w:rPr>
          <w:rStyle w:val="FootnoteAnchor"/>
          <w:rtl w:val="true"/>
        </w:rPr>
        <w:footnoteReference w:id="481"/>
      </w:r>
      <w:r>
        <w:rPr>
          <w:rFonts w:ascii="IRNazanin" w:hAnsi="IRNazanin" w:eastAsia="IRNazanin"/>
          <w:color w:val="111111"/>
          <w:sz w:val="28"/>
          <w:sz w:val="28"/>
          <w:szCs w:val="28"/>
          <w:rtl w:val="true"/>
          <w:lang w:bidi="fa-IR"/>
        </w:rPr>
        <w:t xml:space="preserve">، فإذا کان الصلاة فی بوله وروثه حراما باطلا فکیف یقول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العمدة فی أمثال المقام هی الصلاة وجوازها فیه ، بل الأمر بالغسل وعدم المنع عن الغسل یرجعان إلی الصلاة بلا تأمّل ، کما عرفت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بملاحظة هذه الروایة الموثّقة وما وافقها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الکثیرة الصحیحة والمعتبرة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وطریقة الشیعة فی العمل ، وکونه شعارهم ، وکون العمل بما خالفها شعار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ذکره الشیخ فی بول الخشّاف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2087813_388300464"/>
      <w:bookmarkStart w:id="530" w:name="_Toc212"/>
      <w:bookmarkEnd w:id="529"/>
      <w:r>
        <w:rPr>
          <w:rtl w:val="true"/>
        </w:rPr>
        <w:t>حکم بول ما لا یؤکل لحمه</w:t>
      </w:r>
      <w:bookmarkEnd w:id="530"/>
    </w:p>
    <w:p>
      <w:pPr>
        <w:pStyle w:val="BookText"/>
        <w:rPr/>
      </w:pPr>
      <w:r>
        <w:rPr>
          <w:rFonts w:ascii="IRNazanin" w:hAnsi="IRNazanin" w:eastAsia="IRNazanin"/>
          <w:color w:val="111111"/>
          <w:sz w:val="28"/>
          <w:sz w:val="28"/>
          <w:szCs w:val="28"/>
          <w:rtl w:val="true"/>
          <w:lang w:bidi="fa-IR"/>
        </w:rPr>
        <w:t>یترجّح کون روایة أبی بصیر موافقة للتقیة ، لو کان عمومها باقیا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یرجّح أیضا أنّ روایة ابن سنان أعلی سندا ، وتکرّر الطریق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فی ذرق الدجاج الإجماع علی نجاسة ذرق الجلاّل منه ، معلّلا بأنّه غیر مأکول اللحم </w:t>
      </w:r>
      <w:r>
        <w:rPr>
          <w:rStyle w:val="FootnoteAnchor"/>
          <w:rtl w:val="true"/>
        </w:rPr>
        <w:footnoteReference w:id="483"/>
      </w:r>
      <w:r>
        <w:rPr>
          <w:rFonts w:ascii="IRNazanin" w:hAnsi="IRNazanin" w:eastAsia="IRNazanin"/>
          <w:color w:val="111111"/>
          <w:sz w:val="28"/>
          <w:sz w:val="28"/>
          <w:szCs w:val="28"/>
          <w:rtl w:val="true"/>
          <w:lang w:bidi="fa-IR"/>
        </w:rPr>
        <w:t xml:space="preserve">، والشیخ حمل روایة فارس علیه </w:t>
      </w:r>
      <w:r>
        <w:rPr>
          <w:rStyle w:val="FootnoteAnchor"/>
          <w:rtl w:val="true"/>
        </w:rPr>
        <w:footnoteReference w:id="48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والمدّعی أعمّ من 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المدّعی یتمّ بضمیمة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 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 دعوی القطع فی أمثال هذه الأحکام ، سیّما مع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وقوعه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التی هی المستند صریحة فی الوقوع ، فلا وجه للتأمّل فیه والاستناد إلیها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أوضح سندا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بالشذوذ والحمل علی التقیة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المرجّحات من قبیل العدالة والأعدلیة ، والشهرة والأشهریة ، والشذوذ ، والتقیة التی نعتبرها غالبا إنّما هی ظنیّة حاصلة لنا من أقوال الشیخ وأمثاله من المقاربین للعهد والمطّلعین الخبیرین ، فلا وجه للحکم بالإشکال</w:t>
      </w:r>
      <w:r>
        <w:rPr>
          <w:rFonts w:eastAsia="IRNazanin" w:cs="IRNazanin"/>
          <w:color w:val="111111"/>
          <w:sz w:val="28"/>
          <w:szCs w:val="28"/>
          <w:rtl w:val="true"/>
          <w:lang w:bidi="fa-IR"/>
        </w:rPr>
        <w:t xml:space="preserve">. </w:t>
      </w:r>
      <w:bookmarkStart w:id="531" w:name="pg14966_204117"/>
    </w:p>
    <w:p>
      <w:pPr>
        <w:pStyle w:val="BookText"/>
        <w:rPr/>
      </w:pPr>
      <w:bookmarkEnd w:id="531"/>
      <w:r>
        <w:rPr>
          <w:rFonts w:ascii="IRNazanin" w:hAnsi="IRNazanin" w:eastAsia="IRNazanin"/>
          <w:color w:val="111111"/>
          <w:sz w:val="28"/>
          <w:sz w:val="28"/>
          <w:szCs w:val="28"/>
          <w:rtl w:val="true"/>
          <w:lang w:bidi="fa-IR"/>
        </w:rPr>
        <w:t xml:space="preserve">مع أنّه لم یظهر مانع ومخالف لما ذکره الشیخ أصلا ، ویؤیّده ادعاء العلاّمة الإجماع </w:t>
      </w:r>
      <w:r>
        <w:rPr>
          <w:rStyle w:val="FootnoteAnchor"/>
          <w:rtl w:val="true"/>
        </w:rPr>
        <w:footnoteReference w:id="486"/>
      </w:r>
      <w:r>
        <w:rPr>
          <w:rFonts w:ascii="IRNazanin" w:hAnsi="IRNazanin" w:eastAsia="IRNazanin"/>
          <w:color w:val="111111"/>
          <w:sz w:val="28"/>
          <w:sz w:val="28"/>
          <w:szCs w:val="28"/>
          <w:rtl w:val="true"/>
          <w:lang w:bidi="fa-IR"/>
        </w:rPr>
        <w:t>، وکون الراوی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مرجّحات روایة داود أنّها وإن کانت ضعیفة إلاّ أنّها منجبرة بفتاوی الأصحاب ، لو لم نقل بحجّیة 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تحقّقه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وهذه الروایة ضعیفة لا جابر لها ، بل ومضعّفاتها کثیرة ، کما عرفت ، ومن جملة مضعّفاتها ما ذکرنا فی ترجیح روایة ابن سنان علی 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حسنة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الشارح ذکر فی صدر المسألة أنّ النجاسة إنّما استفیدت من أمر الشارع بالغسل </w:t>
      </w:r>
      <w:r>
        <w:rPr>
          <w:rStyle w:val="FootnoteAnchor"/>
          <w:rtl w:val="true"/>
        </w:rPr>
        <w:footnoteReference w:id="488"/>
      </w:r>
      <w:r>
        <w:rPr>
          <w:rFonts w:ascii="IRNazanin" w:hAnsi="IRNazanin" w:eastAsia="IRNazanin"/>
          <w:color w:val="111111"/>
          <w:sz w:val="28"/>
          <w:sz w:val="28"/>
          <w:szCs w:val="28"/>
          <w:rtl w:val="true"/>
          <w:lang w:bidi="fa-IR"/>
        </w:rPr>
        <w:t>، فکیف یستدلّ بهذه الحسنة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مقتضاها أنّه لا یغسل بل یصبّ علیه الماء ، مع أنّه فی کثیر من الموارد ورد الأمر بالرشّ والصبّ ، مثل الکلب إذا لاقی یابسا ، وغیره ، کما سیجی‌ء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رحمه الله لا یعمل بالإجماع المنقول بخبر الواحد ، سیّما مثل هذا الإجماع ، ولذا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قاله فلان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العمومات فوجود عمومات تدلّ علی نجاسة البول من غیر تحقّق غسل فیه ، واعتباره له بأن لیس الغسل مذکورا فیها محلّ تأمل واضح ، فلاحظ العمومات وتأمّل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2087815_388300464"/>
      <w:bookmarkStart w:id="533" w:name="_Toc213"/>
      <w:bookmarkEnd w:id="532"/>
      <w:r>
        <w:rPr>
          <w:rtl w:val="true"/>
        </w:rPr>
        <w:t>حکم بول الرضیع</w:t>
      </w:r>
      <w:bookmarkStart w:id="534" w:name="pg14966_204118"/>
      <w:bookmarkEnd w:id="533"/>
    </w:p>
    <w:p>
      <w:pPr>
        <w:pStyle w:val="BookText"/>
        <w:rPr/>
      </w:pPr>
      <w:bookmarkEnd w:id="534"/>
      <w:r>
        <w:rPr>
          <w:rFonts w:ascii="IRNazanin" w:hAnsi="IRNazanin" w:eastAsia="IRNazanin"/>
          <w:color w:val="111111"/>
          <w:sz w:val="28"/>
          <w:sz w:val="28"/>
          <w:szCs w:val="28"/>
          <w:rtl w:val="true"/>
          <w:lang w:bidi="fa-IR"/>
        </w:rPr>
        <w:t xml:space="preserve">وسیجی‌ء فی مسألة غسل المربیة للصبی أنّها تغسل ثوبها کلّ یوم مرّة </w:t>
      </w:r>
      <w:r>
        <w:rPr>
          <w:rStyle w:val="FootnoteAnchor"/>
          <w:rtl w:val="true"/>
        </w:rPr>
        <w:footnoteReference w:id="490"/>
      </w:r>
      <w:r>
        <w:rPr>
          <w:rFonts w:ascii="IRNazanin" w:hAnsi="IRNazanin" w:eastAsia="IRNazanin"/>
          <w:color w:val="111111"/>
          <w:sz w:val="28"/>
          <w:sz w:val="28"/>
          <w:szCs w:val="28"/>
          <w:rtl w:val="true"/>
          <w:lang w:bidi="fa-IR"/>
        </w:rPr>
        <w:t>ما یمکن أن یستدلّ به ، مضافا إلی الإجماع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کشف الغمة ، عن زینب بنت جحش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نائما فجاء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فاستیقظ الرسول صلی الله علیه و آله وهو یبول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دعی ابنی حتی یفرغ من 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دعا بماء فصبّ علیه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الصبّ علی بول الغلام ویغسل بول الجاریة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وسنذکر فی بحث غسل النجاسات واستثناء بول الرضیع ما ینبغی أن 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ما لا نفس 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کون هذا منشأ للتردّد محلّ نظر ظاهر ، بل الأظهر أنّ منشأ التردّد شمول عموم الأمر الذی ذکره ، بأنّ الحجّة وما یجب اعتباره هو أصالة حمل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الحقیقی ، وإن کان بعض أفراده من النادر بحیث لا ینصرف الذهن إلیه عند الاستعمال والإطلاق ، أو الحجّة وما هو معتبر هی الأفراد التی ینصرف الذهن إلیها وتکون متعارفة ، أو أنّه بعد اعتبار الثانی لا یدری أنّه غیر المأکول من جملة المتعارف المذکور أم لا؟</w:t>
      </w:r>
    </w:p>
    <w:p>
      <w:pPr>
        <w:pStyle w:val="BookText"/>
        <w:rPr/>
      </w:pPr>
      <w:r>
        <w:rPr>
          <w:rFonts w:ascii="IRNazanin" w:hAnsi="IRNazanin" w:eastAsia="IRNazanin"/>
          <w:color w:val="111111"/>
          <w:sz w:val="28"/>
          <w:sz w:val="28"/>
          <w:szCs w:val="28"/>
          <w:rtl w:val="true"/>
          <w:lang w:bidi="fa-IR"/>
        </w:rPr>
        <w:t>ویمکن أن یکون مراده أنّ من الاستقراء یظهر أنّ ما هو طاهر المیتة والدم یکون فضلاته طاهرة ، وهذا الظنّ یعارض ظنّ العموم والشمول ، بحیث یحصل الشکّ فی الإرادة والفهم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المختلف ، لأنّه غیر مأکول اللحم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هذا أنّ کلّ ما لا یؤکل لحمه ، بوله وروثه </w:t>
      </w:r>
      <w:r>
        <w:rPr>
          <w:rStyle w:val="FootnoteAnchor"/>
          <w:rtl w:val="true"/>
        </w:rPr>
        <w:footnoteReference w:id="492"/>
      </w:r>
      <w:r>
        <w:rPr>
          <w:rFonts w:ascii="IRNazanin" w:hAnsi="IRNazanin" w:eastAsia="IRNazanin"/>
          <w:color w:val="111111"/>
          <w:sz w:val="28"/>
          <w:sz w:val="28"/>
          <w:szCs w:val="28"/>
          <w:rtl w:val="true"/>
          <w:lang w:bidi="fa-IR"/>
        </w:rPr>
        <w:t>نجس عندهم</w:t>
      </w:r>
    </w:p>
    <w:p>
      <w:pPr>
        <w:pStyle w:val="Heading4"/>
        <w:numPr>
          <w:ilvl w:val="3"/>
          <w:numId w:val="1"/>
        </w:numPr>
        <w:rPr/>
      </w:pPr>
      <w:bookmarkStart w:id="535" w:name="__RefHeading___Toc2087817_388300464"/>
      <w:bookmarkStart w:id="536" w:name="_Toc214"/>
      <w:bookmarkEnd w:id="535"/>
      <w:r>
        <w:rPr>
          <w:rtl w:val="true"/>
        </w:rPr>
        <w:t>حکم رجیع ما لا نفس له</w:t>
      </w:r>
      <w:bookmarkEnd w:id="5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2087819_388300464"/>
      <w:bookmarkStart w:id="538" w:name="_Toc215"/>
      <w:bookmarkEnd w:id="537"/>
      <w:r>
        <w:rPr>
          <w:rtl w:val="true"/>
        </w:rPr>
        <w:t>حکم ذرق الدجاج الجلاّل</w:t>
      </w:r>
      <w:bookmarkStart w:id="539" w:name="pg14966_204119"/>
      <w:bookmarkEnd w:id="538"/>
    </w:p>
    <w:p>
      <w:pPr>
        <w:pStyle w:val="BookText"/>
        <w:rPr/>
      </w:pPr>
      <w:bookmarkEnd w:id="539"/>
      <w:r>
        <w:rPr>
          <w:rFonts w:ascii="IRNazanin" w:hAnsi="IRNazanin" w:eastAsia="IRNazanin"/>
          <w:color w:val="111111"/>
          <w:sz w:val="28"/>
          <w:sz w:val="28"/>
          <w:szCs w:val="28"/>
          <w:rtl w:val="true"/>
          <w:lang w:bidi="fa-IR"/>
        </w:rPr>
        <w:t>البتّة ، وهذا أیضا من مؤیّدات حسنة ابن سنان ومرجّحاتها علی حسنة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طاهران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 الکلام فی ذلک فی مبحث الوضوء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بالاستصباح</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الذی أورده علی العلاّمة رحمه الله وارد علیه من دون تفاوت وفرق ، فإنّ مراد العلاّمة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ما لیس بمحرّم ، التحریم الوارد فی الأخبار ، فکیف لا یکون التحریم الوارد فی الأخبار الشاملة لما ذکره من الروایات وغیرها دلیلا علی النجاسة ویکون ما ذکره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صریح ، ظاهر فی أنّها ظاهرة فی النجاسة ، والظهور یکفی للحکم ، فیثبت مراد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الشارح رحمه الله ادعی الظهور من غیر تعرض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ما لیس بمحرّم ولا فیه ضرر ظاهر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أنّه لا بدّ من اعتبار ذلک ، إذ الزیت لو کان حراما لما دلّ النهی عن أکله علی النجاسة ، وکذا لو کان فیه ضرر کالسمّ ، بأن صبّ فیه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کان فی الحدیث موضع الفأرة الحیّة أو غیرها ممّا فیه سمّ لما دلّ الحدیث علی النجاسة أصلا ، لا ظاهرا ولا نصّا ، کما أنّه لو کان موضع الزیت السمّ أو لبن الخنزیر أو غیرها من المحرّمات لما دلّ علی النجاسة أصلا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کان الظاهر من کلام العلاّمة أنّ ما ذکره مختصّ بالحیوان المأکول اللحم ونفس میتته لا أعمّ منه ومن غیر المأکول اللحم وممّا لاقاه ،</w:t>
      </w:r>
    </w:p>
    <w:p>
      <w:pPr>
        <w:pStyle w:val="Heading4"/>
        <w:numPr>
          <w:ilvl w:val="3"/>
          <w:numId w:val="1"/>
        </w:numPr>
        <w:rPr/>
      </w:pPr>
      <w:bookmarkStart w:id="540" w:name="__RefHeading___Toc2087821_388300464"/>
      <w:bookmarkStart w:id="541" w:name="_Toc216"/>
      <w:bookmarkEnd w:id="540"/>
      <w:r>
        <w:rPr>
          <w:rtl w:val="true"/>
        </w:rPr>
        <w:t>المیتة</w:t>
      </w:r>
      <w:bookmarkEnd w:id="5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2087823_388300464"/>
      <w:bookmarkStart w:id="543" w:name="_Toc217"/>
      <w:bookmarkEnd w:id="542"/>
      <w:r>
        <w:rPr>
          <w:rtl w:val="true"/>
        </w:rPr>
        <w:t>میتة غیر الآدمی</w:t>
      </w:r>
      <w:bookmarkEnd w:id="543"/>
    </w:p>
    <w:p>
      <w:pPr>
        <w:pStyle w:val="BookText"/>
        <w:rPr/>
      </w:pPr>
      <w:r>
        <w:rPr>
          <w:rFonts w:ascii="IRNazanin" w:hAnsi="IRNazanin" w:eastAsia="IRNazanin"/>
          <w:color w:val="111111"/>
          <w:sz w:val="28"/>
          <w:sz w:val="28"/>
          <w:szCs w:val="28"/>
          <w:rtl w:val="true"/>
          <w:lang w:bidi="fa-IR"/>
        </w:rPr>
        <w:t>ولعلّ بناء کلامه علی التعمیم أولی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صریح فی النجاسة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لم تکن صریحة لکنّها ظاهرة ، سیّما مع ملاحظة اختصاص المنع بالمائع دون الجامد ، وظهور الاستفصال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تدلّ الأخبار الواردة فی المنع عن استعمال الماء الذی وقعت فیه ، وخصوصا إذا أنتنت وتغیّر الماء بسببه ، وسیّما بعد ملاحظة الإجماع والأخبار الدالة علی أنّ الماء إذا تغیّر بالنجاسة أحد أوصافه الثلاثة ینجس ، مع أنّ نجاسة الأشیاء کثیرها لم یثبت إلاّ من الأمر بالغسل أو 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 کونه للنجاسة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الظاهر أنّه للنجاسة ، إذ لا یفهم من مجرّد الغسل إزالة الأجزاء العالقة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علم تعلّقها به فزوالها من مجرّد الغسل لعلّه غیر ممکن ، لأنّها لو انقلعت من الجلد بقلع الأشیاء لانقلعت متصلة بها منضمّة معها ، وإن لم تتعلق فلا علوق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منها ما لا علوق له بالجلد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طریقة الإزالة غیر منحصرة بالغسل ، بل غیرها أولی بها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المناسب علی ما ذکرت أن 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تأخذها بالقلع والنتف ، بل خذها بالجزّ ومثله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بنتف مثل الصوف لا یتحقّق العلم بالعلوق ، بل ولا الظنّ ، فإیجاب الغسل بمجرّد الاحتمال فیه ما لا یخفی ، وکذا حمل إیجابه علی صورة تحقّق العلم أو الظنّ لا مطلقا ، أو حمله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قلع مثل القرن فغیر خفی أنّ الغسل لا یزیل ما تعلّق به بسبب القلع قطعا ، مع </w:t>
      </w:r>
    </w:p>
    <w:p>
      <w:pPr>
        <w:pStyle w:val="BookText"/>
        <w:rPr/>
      </w:pPr>
      <w:r>
        <w:rPr>
          <w:rFonts w:ascii="IRNazanin" w:hAnsi="IRNazanin" w:eastAsia="IRNazanin"/>
          <w:color w:val="111111"/>
          <w:sz w:val="28"/>
          <w:sz w:val="28"/>
          <w:szCs w:val="28"/>
          <w:rtl w:val="true"/>
          <w:lang w:bidi="fa-IR"/>
        </w:rPr>
        <w:t>أنّ تقیید المفهوم بخصوص عدم جواز الصلاة ربما لا یخلو عن خروج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هذه الشهرة العظیمة بین الأصحاب فی نجاستها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أنّه إجماعیّ ، وقد ادعی الإجماع الشیخ ، والمصنّف ، والعلاّمة ، وابن زهرة ، والشهید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یرجّح حمل الروایات علی النجاسة وإرادتها ، بل الظاهر أنّ المشایخ المتقدّمین علی الشیخ ما کانوا یفهمون منها إلاّ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یرشد اتّفاق الأصحاب سوی ابن الجنید علی عدم مطهّریة الدباغ ، وقول ابن الجنید بالمطهریة </w:t>
      </w:r>
      <w:r>
        <w:rPr>
          <w:rStyle w:val="FootnoteAnchor"/>
          <w:rtl w:val="true"/>
        </w:rPr>
        <w:footnoteReference w:id="49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أن یکون لإزالة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بمجرّد احتمال العلوق لا یحکم الشرع بالغسل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إشعار فیه أصلا إن لم نقل بالاشعار علی خلافه ، کما هو الطریقة فی معرفة النجاسات بمجرّد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فیها علی نصّ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النصّ ، بل النصوص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مرسلة الصدوق دلالتها علی الطهارة من جهة صحة الاستعمالات والانتفاعات المذکورة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الأخبار الصحیحة مانعة عن الانتفاع به مطلقا ، کما اعترف ، فکیف یجوز له التمسّک بهذه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w:t>
      </w:r>
      <w:bookmarkStart w:id="544" w:name="pg14966_204122"/>
    </w:p>
    <w:p>
      <w:pPr>
        <w:pStyle w:val="BookText"/>
        <w:rPr/>
      </w:pPr>
      <w:bookmarkEnd w:id="544"/>
      <w:r>
        <w:rPr>
          <w:rFonts w:ascii="IRNazanin" w:hAnsi="IRNazanin" w:eastAsia="IRNazanin"/>
          <w:color w:val="111111"/>
          <w:sz w:val="28"/>
          <w:sz w:val="28"/>
          <w:szCs w:val="28"/>
          <w:rtl w:val="true"/>
          <w:lang w:bidi="fa-IR"/>
        </w:rPr>
        <w:t>یکون مراد الصدوق جلود ما لا نفس له ، لما ذکر ، ولما دلّ علی نجاسة ما له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أوائل کتابه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یعارضها ما دلّ علی عدم الانتفاع من المیتة بوجه من الوجوه ، وما یظهر منه نجاسة أجزاء المیتة التی تحلّ فیها الحیاة ، مثل روایة الحلبی الآتیة ، وغیرها ، وکذا الإجماعات التی أشرنا إلیها ، وغیرها ممّا ذکرنا ، فکیف تقاوم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صحّ سندها ، مع أنّها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والشارح رحمه الله لم یعتبر ما ذکره الصدوق لصحّة روایته فی مقام ، بل یشترط العدالة ، بل صرّح بأنّ الخبر الذی لیس بصحیح لا یکون حجّة وإن انجبر بعمل الأصحاب وفتاواهم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الأصحاب إن بلغ حدّ الإجماع فهو حجّة برأسه ، وإلاّ فلا فائدة فیه </w:t>
      </w:r>
      <w:r>
        <w:rPr>
          <w:rStyle w:val="FootnoteAnchor"/>
          <w:rtl w:val="true"/>
        </w:rPr>
        <w:footnoteReference w:id="498"/>
      </w:r>
      <w:r>
        <w:rPr>
          <w:rFonts w:ascii="IRNazanin" w:hAnsi="IRNazanin" w:eastAsia="IRNazanin"/>
          <w:color w:val="111111"/>
          <w:sz w:val="28"/>
          <w:sz w:val="28"/>
          <w:szCs w:val="28"/>
          <w:rtl w:val="true"/>
          <w:lang w:bidi="fa-IR"/>
        </w:rPr>
        <w:t>، فکیف یمکنه الحکم بالحجّیة بمجرّد تصحیح واحد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إلاّ واحدا من الألف ، والألف لا ینفع فکیف الواحد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قصدت إلی إیراد ما افتی به واعتقد فیه أنّه حجّة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أنّه کثیرا یروی فی الفقیه ما یعلم أنّه لیس فتواه ، أو یظنّ ، أو صرّح هو فیه ، فهو إمّا یرجع عمّا قال کما صرّح به جدّی </w:t>
      </w:r>
      <w:r>
        <w:rPr>
          <w:rStyle w:val="FootnoteAnchor"/>
          <w:rtl w:val="true"/>
        </w:rPr>
        <w:footnoteReference w:id="500"/>
      </w:r>
      <w:r>
        <w:rPr>
          <w:rFonts w:ascii="IRNazanin" w:hAnsi="IRNazanin" w:eastAsia="IRNazanin"/>
          <w:color w:val="111111"/>
          <w:sz w:val="28"/>
          <w:sz w:val="28"/>
          <w:szCs w:val="28"/>
          <w:rtl w:val="true"/>
          <w:lang w:bidi="fa-IR"/>
        </w:rPr>
        <w:t>، أو أنّه قائل بشمولها وتوجیهها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2087825_388300464"/>
      <w:bookmarkStart w:id="546" w:name="_Toc218"/>
      <w:bookmarkEnd w:id="545"/>
      <w:r>
        <w:rPr>
          <w:rtl w:val="true"/>
        </w:rPr>
        <w:t>بحث حول ما ذکره الصدوق فی مقدمة الفقیه</w:t>
      </w:r>
      <w:bookmarkEnd w:id="546"/>
    </w:p>
    <w:p>
      <w:pPr>
        <w:pStyle w:val="BookText"/>
        <w:rPr/>
      </w:pPr>
      <w:r>
        <w:rPr>
          <w:rFonts w:ascii="IRNazanin" w:hAnsi="IRNazanin" w:eastAsia="IRNazanin"/>
          <w:color w:val="111111"/>
          <w:sz w:val="28"/>
          <w:sz w:val="28"/>
          <w:szCs w:val="28"/>
          <w:rtl w:val="true"/>
          <w:lang w:bidi="fa-IR"/>
        </w:rPr>
        <w:t xml:space="preserve">کما ذکر الکلینی الأحادیث الظاهرة فی الجبر وغیره ، ممّا هو کیف </w:t>
      </w:r>
      <w:r>
        <w:rPr>
          <w:rStyle w:val="FootnoteAnchor"/>
          <w:rtl w:val="true"/>
        </w:rPr>
        <w:footnoteReference w:id="501"/>
      </w:r>
      <w:r>
        <w:rPr>
          <w:rFonts w:ascii="IRNazanin" w:hAnsi="IRNazanin" w:eastAsia="IRNazanin"/>
          <w:color w:val="111111"/>
          <w:sz w:val="28"/>
          <w:sz w:val="28"/>
          <w:szCs w:val="28"/>
          <w:rtl w:val="true"/>
          <w:lang w:bidi="fa-IR"/>
        </w:rPr>
        <w:t xml:space="preserve">والشیعة مبرّؤن عنه ، من دون إظهار توجیه وتأویل ، وأنّ الظاهر لیس معتقده ، بل وکثیرا ما یروی فی فروع الفقه وغیرها أخبارا نجزم أنّه لیس قائلا بظواهرها ، من دون تعرّض منه إلی توجیه ، وکذلک الحال بالنسبة إلی غیر الکلینی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روی فی الفقیه مقدّما علی المرسلة المذکورة مرسلة أخری ظاهرها طهارة جلد الخنزیر ، وعدم انفعال الماء القلیل ، وعدم انفعال البئر بالملاقاة </w:t>
      </w:r>
      <w:r>
        <w:rPr>
          <w:rStyle w:val="FootnoteAnchor"/>
          <w:rtl w:val="true"/>
        </w:rPr>
        <w:footnoteReference w:id="502"/>
      </w:r>
      <w:r>
        <w:rPr>
          <w:rFonts w:ascii="IRNazanin" w:hAnsi="IRNazanin" w:eastAsia="IRNazanin"/>
          <w:color w:val="111111"/>
          <w:sz w:val="28"/>
          <w:sz w:val="28"/>
          <w:szCs w:val="28"/>
          <w:rtl w:val="true"/>
          <w:lang w:bidi="fa-IR"/>
        </w:rPr>
        <w:t>، مع أنّ شیئا من ذلک لیس برأیه جزما ، فظهر أنّه کان قائلا بها بعنوان التأویل ، کما روی ما یظهر منه وجوب الأدعیة والأذکار فی التعقیب والأیّام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مراده الجلود المدبوغة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قائلا بالطهارة بالدباغة وأنّها فی مقام العمل بالتقیة ، ولا تأمّل فی ظهورها فی الجلود المدبوغة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إذ لا یجعل ظرف اللبن والسمن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علی الدوام ، علی ما یشیر إلیه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الاستمرار التجدیدی ، بل لا یبعد فی أنّ هذه تکون مضمون صحیحة الحسین بن زرارة عن الصادق علیه السلام فی جلد شاة میتة یدبغ ویصبّ فیه اللبن والماء ، فأشرب منه وأتوضّأ؟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یدبغ فینتفع به ولا یصلّی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bookmarkStart w:id="547" w:name="pg14966_204124"/>
    </w:p>
    <w:p>
      <w:pPr>
        <w:pStyle w:val="BookText"/>
        <w:rPr/>
      </w:pPr>
      <w:bookmarkEnd w:id="547"/>
      <w:r>
        <w:rPr>
          <w:rFonts w:ascii="IRNazanin" w:hAnsi="IRNazanin" w:eastAsia="IRNazanin"/>
          <w:color w:val="111111"/>
          <w:sz w:val="28"/>
          <w:sz w:val="28"/>
          <w:szCs w:val="28"/>
          <w:rtl w:val="true"/>
          <w:lang w:bidi="fa-IR"/>
        </w:rPr>
        <w:t xml:space="preserve">لیس کذلک ، إذ مقتضاهما وجوب غسل الشی‌ء الذی أصاب الثوب ، وإزالته عنه بالماء ، فتکونان ظاهرتین فی الرطوبة وما یسری إلی الثوب ویتصل به ، ویدلّ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ما فی الروایة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غسّل فلا تغسل منه ما أصاب ثوبک ، وإن کان لم یغسّل فاغسل ما أصاب ثوبک منه </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دلالتهما علی نجاسة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صدر من صاحب المفاتیح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إذ لو کان طاهرا لم یجب إزالة رطوباته وغیرها عن الثوب ، واحتمال کون المانع عن الصلاة فیه والمقتضی لوجوب الغسل هو الموت فاسد ، لأنّ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العموم اللغوی ، ومع ذلک لم یقل أحد بوجوب الغسل من جهة الموت خاصّة ، بل کلّ من أوجب الغسل حکم بالنجاسة ، لعدم القائل بالفصل وغیر خفی أنّ دلالة الأخبار بمعونة الإجماع عدّ لنا وفی بحث النجاسات </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فی شی‌ء من الأخبار علی ما ذکره ، فربما کان الظاهر النجاسة والتأثیر فی حال الرطوبة لا الیبوسة أیضا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الرطوبة للأصل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وصحیحة علی بن جعفر السابقة ، وبعض الأخبار الأخر منها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ثوبه علی کلب میّت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ینضحه ویصلّی فیه ، ولا بأس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2087827_388300464"/>
      <w:bookmarkStart w:id="549" w:name="_Toc219"/>
      <w:bookmarkEnd w:id="548"/>
      <w:r>
        <w:rPr>
          <w:rtl w:val="true"/>
        </w:rPr>
        <w:t>میتة الآدمی</w:t>
      </w:r>
      <w:bookmarkStart w:id="550" w:name="pg14966_204125"/>
      <w:bookmarkEnd w:id="549"/>
    </w:p>
    <w:p>
      <w:pPr>
        <w:pStyle w:val="BookText"/>
        <w:rPr/>
      </w:pPr>
      <w:bookmarkEnd w:id="550"/>
      <w:r>
        <w:rPr>
          <w:rFonts w:ascii="IRNazanin" w:hAnsi="IRNazanin" w:eastAsia="IRNazanin"/>
          <w:color w:val="111111"/>
          <w:sz w:val="28"/>
          <w:sz w:val="28"/>
          <w:szCs w:val="28"/>
          <w:rtl w:val="true"/>
          <w:lang w:bidi="fa-IR"/>
        </w:rPr>
        <w:t xml:space="preserve">قوله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أنّ ما لاقی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العبارة وإن أوهم ذلک ، إلاّ أنّ تعلیله کالصریح فی نجاسة الملاقی ، وأنّه إذا لاقی المائع لجسده ، نجس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یتعلّق به الحکم المذکور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الاحتجاج عن مولانا القائم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 المیت بحرارته لم یکن علیه إلاّ غسل یده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نظر العلاّمة إلی العلّة المنصوصة فی صحیحة الحلبی الآتیة ، فإنّ الظاهر منها أنّ النجاسة من جهة ذهاب الروح وتحقّق الموت ، فلا حظ وتأمّل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ما رواه الفضل بن شاذان فی علله عن الرضا علیه السلام </w:t>
      </w:r>
      <w:r>
        <w:rPr>
          <w:rStyle w:val="FootnoteAnchor"/>
          <w:rtl w:val="true"/>
        </w:rPr>
        <w:footnoteReference w:id="513"/>
      </w:r>
      <w:r>
        <w:rPr>
          <w:rFonts w:ascii="IRNazanin" w:hAnsi="IRNazanin" w:eastAsia="IRNazanin"/>
          <w:color w:val="111111"/>
          <w:sz w:val="28"/>
          <w:sz w:val="28"/>
          <w:szCs w:val="28"/>
          <w:rtl w:val="true"/>
          <w:lang w:bidi="fa-IR"/>
        </w:rPr>
        <w:t xml:space="preserve">صریح فی ذلک ، فلاحظ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أیضا ما ذکره فی المسألة السابقة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المیّت إنّما هی بعد برده ، لعدم تحقّق انتقال الروح منه بالکلّیة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 أیضا الأخبار الآتیة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الغسل علی من مسّ میّتا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ما ذکره یلزم طهارة المیت الثابت نجاسته بمجرّد تفریقه وتقطیعه ، بل وبقدّه نصفین ، بل وبانفصال جزء منه بحیث لا یصدق علی ما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2087829_388300464"/>
      <w:bookmarkStart w:id="552" w:name="_Toc220"/>
      <w:bookmarkEnd w:id="551"/>
      <w:r>
        <w:rPr>
          <w:rtl w:val="true"/>
        </w:rPr>
        <w:t>نجاسة ما قطع من المیتة</w:t>
      </w:r>
      <w:bookmarkStart w:id="553" w:name="pg14966_204126"/>
      <w:bookmarkEnd w:id="552"/>
    </w:p>
    <w:p>
      <w:pPr>
        <w:pStyle w:val="BookText"/>
        <w:rPr/>
      </w:pPr>
      <w:bookmarkEnd w:id="553"/>
      <w:r>
        <w:rPr>
          <w:rFonts w:ascii="IRNazanin" w:hAnsi="IRNazanin" w:eastAsia="IRNazanin"/>
          <w:color w:val="111111"/>
          <w:sz w:val="28"/>
          <w:sz w:val="28"/>
          <w:szCs w:val="28"/>
          <w:rtl w:val="true"/>
          <w:lang w:bidi="fa-IR"/>
        </w:rPr>
        <w:t>بقی جسد المیّت ، بل ومطلقا أیضا ، لأنّ المتبادر من جسد المیت علی الإطلاق هو التّام الکامل ، فیلزم ممّا ذکره کون التقطیع من جملة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میتة مأکول اللحم إذا صارت طاهرة بمجرّد التقطیع یمکن الحکم بحلّیة الأکل أیضا ، لأنّ الأصل فی الأشیاء الإباحة ، والمانع کان نجاسة المیتة وقد ارتفع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سیذکر فی نجاسة الکلب والخنزیر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 إذا کان نجسا یلزم أن یکون جمیع الأجزاء نجسا أیضا حتی الشعر وأمثاله </w:t>
      </w:r>
      <w:r>
        <w:rPr>
          <w:rStyle w:val="FootnoteAnchor"/>
          <w:rtl w:val="true"/>
        </w:rPr>
        <w:footnoteReference w:id="515"/>
      </w:r>
      <w:r>
        <w:rPr>
          <w:rFonts w:ascii="IRNazanin" w:hAnsi="IRNazanin" w:eastAsia="IRNazanin"/>
          <w:color w:val="111111"/>
          <w:sz w:val="28"/>
          <w:sz w:val="28"/>
          <w:szCs w:val="28"/>
          <w:rtl w:val="true"/>
          <w:lang w:bidi="fa-IR"/>
        </w:rPr>
        <w:t>، فکیف یتأمّل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الأدلّة التی استدلّ بها علی النجاسة لیس فیها کون النجاسة متعلّقة بجسد المیت من حیث هو جسد المیّت ، کما لا یخفی ، بل </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صحیحة حریز فی غایة الوضوح فی نجاسة الأجزاء التی یکون فیها روح ، وکذا ما أشرنا إلیه من الأخبار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الاستفصال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عن ظهور فی ما ذکره ، لأنّه علیه السلام استفصل فی خوف خروج الدم ، فیظهر أنّه علیه السلام فی مقام إتمام المسألة للعمل ودفع المفسدات الشرعیة ، ورطوبة الید ویبوستها فی درجة خوف الدم لو لم یکن أقرب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صحیحة حریز</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ذلک روایة فضل بن شاذان أیضا فی علله عن الرضا علیه السلام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2087831_388300464"/>
      <w:bookmarkStart w:id="555" w:name="_Toc221"/>
      <w:bookmarkEnd w:id="554"/>
      <w:r>
        <w:rPr>
          <w:rtl w:val="true"/>
        </w:rPr>
        <w:t>طهارة ما لا تحلّه الحیاة من المیتة</w:t>
      </w:r>
      <w:bookmarkStart w:id="556" w:name="pg14966_204127"/>
      <w:bookmarkEnd w:id="555"/>
    </w:p>
    <w:p>
      <w:pPr>
        <w:pStyle w:val="BookText"/>
        <w:rPr/>
      </w:pPr>
      <w:bookmarkEnd w:id="55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کذّابا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کذبه أنّه نقل للرشید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سبق إلاّ فی خفّ أو حافر أو ریش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قفاه قفا کذّاب علی رسول الله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فاشتهر بالکذب ، لکن لا یخفی أنّ الحدیث بهذا المضمون ورد فی کتبنا المعتبرة </w:t>
      </w:r>
      <w:r>
        <w:rPr>
          <w:rStyle w:val="FootnoteAnchor"/>
          <w:rtl w:val="true"/>
        </w:rPr>
        <w:footnoteReference w:id="521"/>
      </w:r>
      <w:r>
        <w:rPr>
          <w:rFonts w:ascii="IRNazanin" w:hAnsi="IRNazanin" w:eastAsia="IRNazanin"/>
          <w:color w:val="111111"/>
          <w:sz w:val="28"/>
          <w:sz w:val="28"/>
          <w:szCs w:val="28"/>
          <w:rtl w:val="true"/>
          <w:lang w:bidi="fa-IR"/>
        </w:rPr>
        <w:t xml:space="preserve">علی وجه یظهر أنّ الإلحاق المذکور لیس کذبا ، بل فی الحقیقة صحیح ، لکن لمّا لم یکن ذلک فی أحادیث العامة نسبوه إلی الکذب واشتهر به ، مع أنّه قال بعض الماهرین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والحکایة کان من غیاث بن إبراهیم </w:t>
      </w:r>
      <w:r>
        <w:rPr>
          <w:rStyle w:val="FootnoteAnchor"/>
          <w:rtl w:val="true"/>
        </w:rPr>
        <w:footnoteReference w:id="522"/>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 حفص بن غیاث </w:t>
      </w:r>
      <w:r>
        <w:rPr>
          <w:rStyle w:val="FootnoteAnchor"/>
          <w:rtl w:val="true"/>
        </w:rPr>
        <w:footnoteReference w:id="523"/>
      </w:r>
      <w:r>
        <w:rPr>
          <w:rFonts w:ascii="IRNazanin" w:hAnsi="IRNazanin" w:eastAsia="IRNazanin"/>
          <w:color w:val="111111"/>
          <w:sz w:val="28"/>
          <w:sz w:val="28"/>
          <w:szCs w:val="28"/>
          <w:rtl w:val="true"/>
          <w:lang w:bidi="fa-IR"/>
        </w:rPr>
        <w:t>، ولم یظهر بعد أنّه کان عن وهب ، وقد حقّق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الحدیث الضعیف یصیر حجّة بانجباره من جوابر ، والجابر هنا قول ابن إدریس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اللبن نجس بغیر خلاف عند المحصّلین ، لأنّه مائع فی میتة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علی الحکم جماعة من أصحابنا منهم الفاضلان </w:t>
      </w:r>
      <w:r>
        <w:rPr>
          <w:rStyle w:val="FootnoteAnchor"/>
          <w:rtl w:val="true"/>
        </w:rPr>
        <w:footnoteReference w:id="525"/>
      </w:r>
      <w:r>
        <w:rPr>
          <w:rFonts w:ascii="IRNazanin" w:hAnsi="IRNazanin" w:eastAsia="IRNazanin"/>
          <w:color w:val="111111"/>
          <w:sz w:val="28"/>
          <w:sz w:val="28"/>
          <w:szCs w:val="28"/>
          <w:rtl w:val="true"/>
          <w:lang w:bidi="fa-IR"/>
        </w:rPr>
        <w:t xml:space="preserve">، ویعضد هذا الجابر ما ورد فی الأخبار المسلّمة من أنّ الفأرة إذا ماتت فی السمن والزیت وغیره أنّه ینجس ویحرم أو یسرج به </w:t>
      </w:r>
      <w:r>
        <w:rPr>
          <w:rStyle w:val="FootnoteAnchor"/>
          <w:rtl w:val="true"/>
        </w:rPr>
        <w:footnoteReference w:id="526"/>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2087833_388300464"/>
      <w:bookmarkStart w:id="558" w:name="_Toc222"/>
      <w:bookmarkEnd w:id="557"/>
      <w:r>
        <w:rPr>
          <w:rtl w:val="true"/>
        </w:rPr>
        <w:t>توضیح ما ذکره النجاشی من أنّ وهب بن وهب کذّاب</w:t>
      </w:r>
      <w:bookmarkStart w:id="559" w:name="pg14966_204128"/>
      <w:bookmarkEnd w:id="558"/>
    </w:p>
    <w:p>
      <w:pPr>
        <w:pStyle w:val="BookText"/>
        <w:rPr/>
      </w:pPr>
      <w:bookmarkEnd w:id="559"/>
      <w:r>
        <w:rPr>
          <w:rFonts w:ascii="IRNazanin" w:hAnsi="IRNazanin" w:eastAsia="IRNazanin"/>
          <w:color w:val="111111"/>
          <w:sz w:val="28"/>
          <w:sz w:val="28"/>
          <w:szCs w:val="28"/>
          <w:rtl w:val="true"/>
          <w:lang w:bidi="fa-IR"/>
        </w:rPr>
        <w:t>واللبن فی الضرع رقّته أزید ومساورته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 أنّ کل نجس من نجاسات الشرع ینجس کل رطب ، وکل رطب من الأشیاء ینجّسه کلّ نجاسة ، حتی هذا اللبن لو لاقاه نجاسة أیّ نجاسة تکون ینجس ، حتی أنّه لو خرج عن الضرع فلاقاه جسد هذه المیتة أو وقع فیه جلد من هذه المیتة أو لحم منه ینجس ، وورد منهم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حدیث ورد إلیکم فأعرضوه علی سائر أحکامنا ، فإن کان یشبه تلک الأحکام فهو منّا ،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أمثال ما ذکر ، ولیس ببالی ، وورد أیضا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أعرضوه علی السنّة ، فإن کان یشبه سائر الأحکام فهو منّا ، وإلاّ فلا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ویعضده أیضا أنّ کل متنجّس ینجّس کل شی‌ء ، فکیف النجس 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أیضا أنّ هذه المیتة لو لاقت الماء ینجس ، إلاّ أن یکون قدر کرّ ، والماء أقوی من اللبن ، لوقوع الخلاف فی انفعال الماء القلیل ، والوفاق فی عدم انفعال بعض منه ، وعدم انفعال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نحکم حکما قطعیا </w:t>
      </w:r>
      <w:r>
        <w:rPr>
          <w:rStyle w:val="FootnoteAnchor"/>
          <w:rtl w:val="true"/>
        </w:rPr>
        <w:footnoteReference w:id="529"/>
      </w:r>
      <w:r>
        <w:rPr>
          <w:rFonts w:ascii="IRNazanin" w:hAnsi="IRNazanin" w:eastAsia="IRNazanin"/>
          <w:color w:val="111111"/>
          <w:sz w:val="28"/>
          <w:sz w:val="28"/>
          <w:szCs w:val="28"/>
          <w:rtl w:val="true"/>
          <w:lang w:bidi="fa-IR"/>
        </w:rPr>
        <w:t>بأنّ المیتة ینجّس الأشیاء الرطبة والمائعات من دون تأمّل ولا تزلزل ، ولیس فی هذا الحکم سبب وجهة سوی إجماع أو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 </w:t>
      </w:r>
      <w:r>
        <w:rPr>
          <w:rStyle w:val="FootnoteAnchor"/>
          <w:rtl w:val="true"/>
        </w:rPr>
        <w:footnoteReference w:id="530"/>
      </w:r>
      <w:r>
        <w:rPr>
          <w:rFonts w:ascii="IRNazanin" w:hAnsi="IRNazanin" w:eastAsia="IRNazanin"/>
          <w:color w:val="111111"/>
          <w:sz w:val="28"/>
          <w:sz w:val="28"/>
          <w:szCs w:val="28"/>
          <w:rtl w:val="true"/>
          <w:lang w:bidi="fa-IR"/>
        </w:rPr>
        <w:t>إنّ کل موضع موضع بخصوصه ورد فیه إجماع أو حدیث دالاّن علی انفعال ذلک الموضع بخصوصه وتنجسه من حیث</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2087835_388300464"/>
      <w:bookmarkStart w:id="561" w:name="_Toc223"/>
      <w:bookmarkEnd w:id="560"/>
      <w:r>
        <w:rPr>
          <w:rtl w:val="true"/>
        </w:rPr>
        <w:t>أدلّة القائلین بنجاسة ما لا تحله الحیاة من المیتة والجواب عنها</w:t>
      </w:r>
      <w:bookmarkEnd w:id="561"/>
    </w:p>
    <w:p>
      <w:pPr>
        <w:pStyle w:val="BookText"/>
        <w:rPr/>
      </w:pPr>
      <w:r>
        <w:rPr>
          <w:rFonts w:ascii="IRNazanin" w:hAnsi="IRNazanin" w:eastAsia="IRNazanin"/>
          <w:color w:val="111111"/>
          <w:sz w:val="28"/>
          <w:sz w:val="28"/>
          <w:szCs w:val="28"/>
          <w:rtl w:val="true"/>
          <w:lang w:bidi="fa-IR"/>
        </w:rPr>
        <w:t xml:space="preserve">الخصوص ، بحیث لا یمکن الحکم بنجاسة موضع آخر من جهة هذا الحدیث وهذا الإجماع ، لاختصاص دلالة هذا الحدیث وهذا الإجماع بهذا الموضع بخصوصه ، و </w:t>
      </w:r>
      <w:r>
        <w:rPr>
          <w:rStyle w:val="FootnoteAnchor"/>
          <w:rtl w:val="true"/>
        </w:rPr>
        <w:footnoteReference w:id="531"/>
      </w:r>
      <w:r>
        <w:rPr>
          <w:rFonts w:ascii="IRNazanin" w:hAnsi="IRNazanin" w:eastAsia="IRNazanin"/>
          <w:color w:val="111111"/>
          <w:sz w:val="28"/>
          <w:sz w:val="28"/>
          <w:szCs w:val="28"/>
          <w:rtl w:val="true"/>
          <w:lang w:bidi="fa-IR"/>
        </w:rPr>
        <w:t>یکون الحکم بنجاسة موضع آخر من حدیث آخر علی حدة وإجماع آخر علی حدة وهکذا الحال فی کلّ موضع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نر فی اللبن الخارج من ضرع المیتة إجماعا ولا حدیثا یدلّ علی نجاسته سوی الروایة الضعیفة ، نحکم بعدم ثبوت النجاسة فیه ، لأنّ الإجماع والحدیث الوارد فی موضع آخر لا یشمل هذا اللبن ، لاختصاص کل موضع بحدیث خاصّ به أو إجماع خاصّ به لا یتعدّی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جمیع المواضع بحیث لا یشذّ عنها موضع ورد فی کل منها بخصوصه حدیث مختصّ به أو إجماع کذلک لا یتعدّی إلی غیر نفسه ، حتی أنّ هذا اللبن لو خرج من ضرع المیتة فلاقاه جسد المیتة من خارج ، أو بعض لحم ، أو شی‌ء ممّا تحلّ فیه الحیاة ، یکون تنجس المیتة بإجماع مختصّ بکل واحد من الجسد أو بعض اللحم أو شی‌ء تحلّ فیه الحیاة علی حدة ، وهکذا حدیث علی حدة ، لکن لمّا لم یتحقّق إجماع بخصوصه ، ولا حدیث کذلک فی اللبن الخارج عن الضرع یحکم بالطهارة من جهة عدم دلیل النجاسة ، مضافا إلی الصحیحتین المذکورتین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غیر خفّی ، أنّ هذا فاسد قطعا ، والوجدان یکذّبه جزما ، لأنّا لا نری إجماعا إجماعا فی خصوص موضع موضع ، وکذلک حدیثا حدیثا ، بل کلّ موضع یحکم فیه بالنجاسة فإنّما هو بدلیل مشترک بینه وبین الموضع الآخر الذی یحکم فیه بالنجاسة ، من دون تفاوت أصلا ولا خصوصیة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یکون إلاّ أن یکون مقتضی الدلیل قضیة کلّیة وقاعدة عامّة شاملة لکل موضع موضع ، من دون تفاوت ولا خصوصیة ، ولا کون القضیة الثابتة مهملة ، لأنّها مرادفة للجزئیة المجملة التی لا تنفع أصلا ، ولا تجری فی موضع مطلقا ، ولا یمکن إثبات حکم موضع واحد فضلا عن جمیع المواضع ، بل القضیة الثابتة من الدلیل الذی یکون مستند 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یکون المستند أو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الکلّیة التامّة العامّة الشاملة الجاریة فی کلّ موضع ، کما قلنا ، بحیث لو لم یرد فی اللبن الخارج عن ضرع المیتة حدیث أو أمر آخر لکنّا نحکم بنجاسته أیضا ، کما کنّا نحکم بنجاسة غیره من دون تفاوت أصلا ، ولیس هذا الحکم إلاّ من دلیل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الدلیل فی الحقیقة معارض للصحیحتین الدالّتین علی الطهارة ، ومعاضد لروایة وهب المعتضدة بما ذکرنا ، ففی مقام التعارض لا بدّ من ملاحظة قوّة کلّ واحد من المتعارضین ومقاومتهما ، فلاحظ تلک القوّة الحاصلة فی ذهنک عند حکمک بنجاسة المواضع الأخر بأنّها بأیّة مرتبة تکون تلک القوّة لک؟ واطمئنانک بأیّ قدر یکون؟ ثم ضمّ إلی تلک القوّة الحاصلة الظنّ الحاصل کذلک من روایة وهب وما یعضدها ، واجعل المجموع معا معارضا للصحیحتین وما یعضدهما ، فتأمّل ، ولا تقنع ببادئ نظرک ، إذ ربما کنت فی مقام الحکم بنجاسة سائر المواضع مطمئنّا غایة الاطمئنان ، فکیف إذا انضمّ إلی هذا الاطمئنان التامّ الظنّ الحاصل لک من ملاحظة روایة وهب وما یعضدها؟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فقیه فی مقام حکمه بنجاسة سائر المواضع جازما یکون جزمه من اعتقاد حصل له بإجماع ، فکیف یمکنه العمل بمضمون </w:t>
      </w:r>
      <w:bookmarkStart w:id="562" w:name="pg14966_204131"/>
    </w:p>
    <w:p>
      <w:pPr>
        <w:pStyle w:val="BookText"/>
        <w:rPr/>
      </w:pPr>
      <w:bookmarkEnd w:id="562"/>
      <w:r>
        <w:rPr>
          <w:rFonts w:ascii="IRNazanin" w:hAnsi="IRNazanin" w:eastAsia="IRNazanin"/>
          <w:color w:val="111111"/>
          <w:sz w:val="28"/>
          <w:sz w:val="28"/>
          <w:szCs w:val="28"/>
          <w:rtl w:val="true"/>
          <w:lang w:bidi="fa-IR"/>
        </w:rPr>
        <w:t>الصحیحتین؟ لأنّ الظنّ لا یعارض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جازما بل یکون ظانا ، لکن ظنّه أقوی من الحاصل من الصحیحتین ، فیکون الظاهر عنده إجماع ظنّی بظنّ قوی ، فهو أیضا یشکل أن یعمل بالصحیحتین ویطرح ما هو أقوی منهما ، سیّما مع انضمام الأقوی بروایة ابن وهب المعتضدة ، ومرادی من الصحیحتین الصحیحتان مع دعوی الشیخ فی الخلاف الإجماع فی جمیع المراتب ، فإذا تساوی القوّتان أو ترجّح الثانیة إذن یفتی بالحلّیة ، لکن یحتاط ، سیّما فی صورة التساوی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قول الصادق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الاستدلال بصحیحة ابن مسلم الآتیة فی بحث نجاسة الکلب والخنزیر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الکلب إذا أصاب ثوب الرجل یغسل ذلک المکان الذی أصابه </w:t>
      </w:r>
      <w:r>
        <w:rPr>
          <w:rStyle w:val="FootnoteAnchor"/>
          <w:rtl w:val="true"/>
        </w:rPr>
        <w:footnoteReference w:id="532"/>
      </w:r>
      <w:r>
        <w:rPr>
          <w:rFonts w:ascii="IRNazanin" w:hAnsi="IRNazanin" w:eastAsia="IRNazanin"/>
          <w:color w:val="111111"/>
          <w:sz w:val="28"/>
          <w:sz w:val="28"/>
          <w:szCs w:val="28"/>
          <w:rtl w:val="true"/>
          <w:lang w:bidi="fa-IR"/>
        </w:rPr>
        <w:t>، بحملها علی صورة الرطوبة ، لعدم غسل الملاقی بعنوان الیبوسة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الصحیحة فلا دلالة له ، لدلالته علی رطوبة الکلب والخنزیر ،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هذه الروایة فإنّه سیعترض بمنع دلالة لفظ النجاسة علی هذا المعنی الشرعی </w:t>
      </w:r>
      <w:r>
        <w:rPr>
          <w:rStyle w:val="FootnoteAnchor"/>
          <w:rtl w:val="true"/>
        </w:rPr>
        <w:footnoteReference w:id="533"/>
      </w:r>
      <w:r>
        <w:rPr>
          <w:rFonts w:ascii="Amiri" w:hAnsi="Amiri" w:eastAsia="Amiri" w:cs="Amiri"/>
          <w:color w:val="111111"/>
          <w:sz w:val="28"/>
          <w:sz w:val="28"/>
          <w:szCs w:val="28"/>
          <w:rtl w:val="true"/>
          <w:lang w:bidi="ar-SA"/>
        </w:rPr>
        <w:t>، فالرجس لا یدل بطریق أولی ، علی تقدیر کون الشعر داخلا فی مسمّاه حقیقة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یختار هنا طهارة شعر الکافر مع أنّه قد ورد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وغیر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الکافر فلم أقف علی نصّ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2087837_388300464"/>
      <w:bookmarkStart w:id="564" w:name="_Toc224"/>
      <w:bookmarkEnd w:id="563"/>
      <w:r>
        <w:rPr>
          <w:rtl w:val="true"/>
        </w:rPr>
        <w:t>حکم ما لا تحله الحیاة من نجس العین</w:t>
      </w:r>
      <w:bookmarkStart w:id="565" w:name="pg14966_204132"/>
      <w:bookmarkEnd w:id="564"/>
    </w:p>
    <w:p>
      <w:pPr>
        <w:pStyle w:val="BookText"/>
        <w:rPr/>
      </w:pPr>
      <w:bookmarkEnd w:id="565"/>
      <w:r>
        <w:rPr>
          <w:rFonts w:ascii="IRNazanin" w:hAnsi="IRNazanin" w:eastAsia="IRNazanin"/>
          <w:color w:val="111111"/>
          <w:sz w:val="28"/>
          <w:sz w:val="28"/>
          <w:szCs w:val="28"/>
          <w:rtl w:val="true"/>
          <w:lang w:bidi="fa-IR"/>
        </w:rPr>
        <w:t xml:space="preserve">لا یخفی أنّه یصیر قولا بالفصل ، وسیجی‌ء الکلام فی ما دل علی نجاسته </w:t>
      </w:r>
      <w:r>
        <w:rPr>
          <w:rStyle w:val="FootnoteAnchor"/>
          <w:rtl w:val="true"/>
        </w:rPr>
        <w:footnoteReference w:id="535"/>
      </w:r>
      <w:r>
        <w:rPr>
          <w:rFonts w:ascii="IRNazanin" w:hAnsi="IRNazanin" w:eastAsia="IRNazanin"/>
          <w:color w:val="111111"/>
          <w:sz w:val="28"/>
          <w:sz w:val="28"/>
          <w:szCs w:val="28"/>
          <w:rtl w:val="true"/>
          <w:lang w:bidi="fa-IR"/>
        </w:rPr>
        <w:t>، فربما ورد فیه نظیر ما ورد فی الکلب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الغسل علی من مسّ میتا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کون وجوب هذا الغسل لنفسه أو لغیره فقد مرّ الکلام فیه فی أوّل الکتاب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کون المسّ حدثا وهذا الغسل طهارة له </w:t>
      </w:r>
      <w:r>
        <w:rPr>
          <w:rStyle w:val="FootnoteAnchor"/>
          <w:rtl w:val="true"/>
        </w:rPr>
        <w:footnoteReference w:id="537"/>
      </w:r>
      <w:r>
        <w:rPr>
          <w:rStyle w:val="FootnoteAnchor"/>
          <w:rtl w:val="true"/>
        </w:rPr>
        <w:footnoteReference w:id="538"/>
      </w:r>
      <w:r>
        <w:rPr>
          <w:rFonts w:ascii="IRNazanin" w:hAnsi="IRNazanin" w:eastAsia="IRNazanin"/>
          <w:color w:val="111111"/>
          <w:sz w:val="28"/>
          <w:sz w:val="28"/>
          <w:szCs w:val="28"/>
          <w:rtl w:val="true"/>
          <w:lang w:bidi="fa-IR"/>
        </w:rPr>
        <w:t xml:space="preserve">عبارة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صلّی قبل هذا الغسل علیه إعادة الصلاة بعد هذا الغسل </w:t>
      </w:r>
      <w:r>
        <w:rPr>
          <w:rStyle w:val="FootnoteAnchor"/>
          <w:rtl w:val="true"/>
        </w:rPr>
        <w:footnoteReference w:id="539"/>
      </w:r>
      <w:r>
        <w:rPr>
          <w:rFonts w:ascii="IRNazanin" w:hAnsi="IRNazanin" w:eastAsia="IRNazanin"/>
          <w:color w:val="111111"/>
          <w:sz w:val="28"/>
          <w:sz w:val="28"/>
          <w:szCs w:val="28"/>
          <w:rtl w:val="true"/>
          <w:lang w:bidi="fa-IR"/>
        </w:rPr>
        <w:t xml:space="preserve">، وفی بحث أنّ کل غسل قبله وضوء إلاّ الغسل من الجنابة التصریح أیضا بأنّ من صلّی ونسی هذا الوضوء أنّ علیه إعادة تلک الصلاة بعد ما توضّأ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الأصحاب علی الظاهر ، لأنّ منهم من صرّح </w:t>
      </w:r>
      <w:r>
        <w:rPr>
          <w:rStyle w:val="FootnoteAnchor"/>
          <w:rtl w:val="true"/>
        </w:rPr>
        <w:footnoteReference w:id="541"/>
      </w:r>
      <w:r>
        <w:rPr>
          <w:rFonts w:ascii="IRNazanin" w:hAnsi="IRNazanin" w:eastAsia="IRNazanin"/>
          <w:color w:val="111111"/>
          <w:sz w:val="28"/>
          <w:sz w:val="28"/>
          <w:szCs w:val="28"/>
          <w:rtl w:val="true"/>
          <w:lang w:bidi="fa-IR"/>
        </w:rPr>
        <w:t xml:space="preserve">، والباقی یقسّمون الغسل إلی واجب ومندوب ، ثم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من الغسل ما کان لأحد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والطواف ومسّ کتابة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یذکرون أمورا ، ثم فی ذکر الواجب من الغسل یقسّمونه إلی ستّة ویذکرون هذا الغسل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یخرج من القرینة ، أو أنّه أیضا شرط للصلاة علی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2087839_388300464"/>
      <w:bookmarkStart w:id="567" w:name="_Toc225"/>
      <w:bookmarkEnd w:id="566"/>
      <w:r>
        <w:rPr>
          <w:rtl w:val="true"/>
        </w:rPr>
        <w:t>وجوب الغسل بمس المیت</w:t>
      </w:r>
      <w:bookmarkEnd w:id="567"/>
    </w:p>
    <w:p>
      <w:pPr>
        <w:pStyle w:val="BookText"/>
        <w:rPr/>
      </w:pPr>
      <w:r>
        <w:rPr>
          <w:rFonts w:ascii="Amiri" w:hAnsi="Amiri" w:eastAsia="Amiri" w:cs="Amiri"/>
          <w:color w:val="111111"/>
          <w:sz w:val="28"/>
          <w:sz w:val="28"/>
          <w:szCs w:val="28"/>
          <w:rtl w:val="true"/>
          <w:lang w:bidi="ar-SA"/>
        </w:rPr>
        <w:t>المیت ،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یدل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فی الأحداث والأخبار یتبادر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الوجوب للغیر مثل الصلاة أو غیرها ، بلا تأمّل من أحد من الإشارة إلی وجهها ، ولیس فی جمیع ما هو مسلّم عند الشارح ومن 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المناقشة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فی المقام ما یدلّ علی کون الوجوب لأجل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فی بعضه ممّا یدل علیه لا ینفع بالنسبة إلی ما لم یرد ، علی تقدیر صحة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فی المقام الذی ورد ربما لا یستجمع شرائط الحجّیة عند مثل الشارح ، ومع ذلک لا یتوقّف فهم الوجوب علی ملاحظته ، بل یتبادر کون الوجوب لمثل الصلاة لا لنفسه ، وإن لم یدر ورود ما یدل علی ذلک ، مع أنّ ما یدل ظنّی والتبادر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أمیر المؤمنین علیه السلام اغتسل حین غسّل الرسول لجریان السنّة ، وإلاّ فالرسول طاهر مطهّر </w:t>
      </w:r>
      <w:r>
        <w:rPr>
          <w:rStyle w:val="FootnoteAnchor"/>
          <w:rtl w:val="true"/>
        </w:rPr>
        <w:footnoteReference w:id="545"/>
      </w:r>
      <w:r>
        <w:rPr>
          <w:rFonts w:ascii="IRNazanin" w:hAnsi="IRNazanin" w:eastAsia="IRNazanin"/>
          <w:color w:val="111111"/>
          <w:sz w:val="28"/>
          <w:sz w:val="28"/>
          <w:szCs w:val="28"/>
          <w:rtl w:val="true"/>
          <w:lang w:bidi="fa-IR"/>
        </w:rPr>
        <w:t>، هذا مضمون الحدیث ، ولیس متنه ببالی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غسل المیت والغسل من 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غسل المیت لأنّه جنب ، ولتلاقیه الملائکة وهو طاهر ، وکذلک الغاسل لتلاقیه المؤمنین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إذا خرج الروح عنه بقی أکثر آفته ، فلذلک یتطهّر له ویطهر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548"/>
      </w:r>
      <w:r>
        <w:rPr>
          <w:rFonts w:ascii="IRNazanin" w:hAnsi="IRNazanin" w:eastAsia="IRNazanin"/>
          <w:color w:val="111111"/>
          <w:sz w:val="28"/>
          <w:sz w:val="28"/>
          <w:szCs w:val="28"/>
          <w:rtl w:val="true"/>
          <w:lang w:bidi="fa-IR"/>
        </w:rPr>
        <w:t xml:space="preserve">مع اتفاق المتشرّعة علی کونه طهارة ، لأنّ الطهارة عندهم عن الحدث الأصغر وهو الوضوء ، أو الأکبر وهو الغسل ، ویجعلونه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الجنابة ، والحیض ، والاستحاضة ، والنفاس ، والموت ، ومسّ المیت ، من دون فرق منهم بین الأمور المذکورة فی نصوص عباراتهم وظواهرها ، ولا یطلقون لفظ الطهارة علی وضوء الحائض ، کما لا یطلق علیه فی الأخبار أیضا ، مثل ما رواه ابن مسلم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تتطهّر یوم الجمعة وتذکر الله تعالی؟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الطهر فلا ، ولکن تتوضّأ وقت کلّ صلاة ، وتستقبل القبلة وتذکر الله تعالی </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وذکر بعض الفقهاء </w:t>
      </w:r>
      <w:r>
        <w:rPr>
          <w:rStyle w:val="FootnoteAnchor"/>
          <w:rtl w:val="true"/>
        </w:rPr>
        <w:footnoteReference w:id="551"/>
      </w:r>
      <w:r>
        <w:rPr>
          <w:rFonts w:ascii="IRNazanin" w:hAnsi="IRNazanin" w:eastAsia="IRNazanin"/>
          <w:color w:val="111111"/>
          <w:sz w:val="28"/>
          <w:sz w:val="28"/>
          <w:szCs w:val="28"/>
          <w:rtl w:val="true"/>
          <w:lang w:bidi="fa-IR"/>
        </w:rPr>
        <w:t>مثله فی مبحث الطهارات استطراد وتقریب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الطهارات المستحبة قبل دخول وقت الصلاة والواجبة بعد دخوله فکلها واجبة لغیرها قطعا ، بل عند المشهور أنّ جمیع الطهارات کذلک </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الطهارات المستحبة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الإحرام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عدم وجوبها أصلا ورأسا لا یمکن أن تصیر واجبة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کل ما ورد فی الأخبار من اشتراط الصلاة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 کتابة القرآن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الطهارة أو الطهور یشمل غسل مسّ المیت أیضا ، کما یشمل غسل الجنابة والحیض والاستحاضة والنفاس أیضا ، من دون تفاوت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ورد فی الأخبار من أنّ الطهور لا یجب إلاّ بعد دخول وقت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553"/>
      </w:r>
      <w:r>
        <w:rPr>
          <w:rFonts w:ascii="IRNazanin" w:hAnsi="IRNazanin" w:eastAsia="IRNazanin"/>
          <w:color w:val="111111"/>
          <w:sz w:val="28"/>
          <w:sz w:val="28"/>
          <w:szCs w:val="28"/>
          <w:rtl w:val="true"/>
          <w:lang w:bidi="fa-IR"/>
        </w:rPr>
        <w:t>، یشمل غسل المسّ أیضا من دون تفاوت ، ولذا اتفق أفهام الفقهاء علی ذلک ، وأطبق فتاواهم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صدر عن الشارح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ما یقتضی وجوب غسل المسّ للصلاة مثلا واشتراط الصلاة به </w:t>
      </w:r>
      <w:r>
        <w:rPr>
          <w:rStyle w:val="FootnoteAnchor"/>
          <w:rtl w:val="true"/>
        </w:rPr>
        <w:footnoteReference w:id="554"/>
      </w:r>
      <w:r>
        <w:rPr>
          <w:rFonts w:ascii="IRNazanin" w:hAnsi="IRNazanin" w:eastAsia="IRNazanin"/>
          <w:color w:val="111111"/>
          <w:sz w:val="28"/>
          <w:sz w:val="28"/>
          <w:szCs w:val="28"/>
          <w:rtl w:val="true"/>
          <w:lang w:bidi="fa-IR"/>
        </w:rPr>
        <w:t>، لا وجه له بعد کون النصوص المقتضیة لاشتراط الطهور عامّة شاملة لجمیع أفراد الطهور الواجبة ، وکذا النصّ المقتضی لعدم وجوب الطهور إلاّ بعد دخول وقت الصلاة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بشمول الکل لغسل المسّ أیضا ، لما عرفت من الأخبار أنّه طهارة ، وکذا من اتفاق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إذا کان فی الحدیث قرینة صارفة عن إرادة المعنی اللغوی ، یکون المراد هو المعنی الذی عند المتشرّعة حقیقة ، کما هو مسلّم ومحقّق ، فبعد ثبوت کونه طهارة من الأخبار وغیرها ، یکون هذا الغسل أیضا داخلا فی العمومات مثل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إذ لیس فیه تخصیص بطهور دون طهور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منه أنّ اشتراط الصلاة وتوقّفها علی الطهور ، نسبته إلی جمیع أفراد الطهور علی السواء ، والترجیح تحکّم ، لعدم مرجّح فی الحدیث أصلا ، سیّما مع قبول توقّف الصلاة علی جمیع الطهارات الواجبة ، والتأمّل فی فرد واحد منها بأنّی لم أقف علی نصّ یقتضی اشتراط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نصّا وظاهرا فی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المطلقات ترجع إلی العموم ، کما هو مسلّم من الشارح وسائر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یشمل هذا الغسل ، ممّا دلّ علی اشتراط الصلاة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الصلاة الطهور </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فی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الفرض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 والطهور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طهور ، وثلث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أمثالها ، مع أنّ المفرد المحلّی باللام فی أمثال المقام یفید العموم بلا کلام ، وبناء الشارح علیه ، کسائر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ویشمله أیضا ما ورد ، من أنّ من صلّی بغیر طهور أو نسیها یقضیها فی أیّ ساعة تکون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دلّ علی بطلان الصلاة بترک الطهارة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یشمل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علی أنّ الطهور لا یجب لنفسه ، بل یجب بعد دخول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الشرعی معلّق علی الطهور الواجب ، فیدور معه ، ومسلّم أیضا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فی عدم الدلالة علی الوجوب للغیر ، قد عرفت غایة وضوح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بالنسبة إلی بعض دون بعض تحکّم لا یرضی به </w:t>
      </w:r>
      <w:bookmarkStart w:id="568" w:name="pg14966_204137"/>
    </w:p>
    <w:p>
      <w:pPr>
        <w:pStyle w:val="BookText"/>
        <w:rPr/>
      </w:pPr>
      <w:bookmarkEnd w:id="568"/>
      <w:r>
        <w:rPr>
          <w:rFonts w:ascii="IRNazanin" w:hAnsi="IRNazanin" w:eastAsia="IRNazanin"/>
          <w:color w:val="111111"/>
          <w:sz w:val="28"/>
          <w:sz w:val="28"/>
          <w:szCs w:val="28"/>
          <w:rtl w:val="true"/>
          <w:lang w:bidi="fa-IR"/>
        </w:rPr>
        <w:t>الشارح ، سیّما مع القبول فی الکلّ إلاّ نادرا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الصلاة الطهور ، وتحریمها التکبیر ، وتحلیلها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والتقریب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علیه 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الوجهین ظاهر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ما دل علی وجوب الغسل ، شموله لما نحن فیه لعلّه لا یخلو عن تأمّل ، سیّما أن یکون قد تمّ غسل جمیع أعضائه ، ولم یبق إلاّ قدر رأس إبرة ، وأمثاله ممّا لم یتمّ الغسل بغیر غسله ، وهو فی غایة الصغر ، لکونه من الأفراد التی لا ینصرف الذهن إلیها بمجرّد سماع ما دل علیه ، لعدم کونه من الفروض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ورد فی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علیه الماء فقد طهر </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مثل غسل الجنابة </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ذکره الشارح أیضا لا یخلو عن قوّة ، والاحتیاط واضح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بها قلیل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بالمقطوعة من حیث هی هی قلیل ، لکن لا یخفی أنّ الضعف منجبر بعمل الأصحاب ، ودعوی الشیخ علی تقدیر عدم الثبوت ثبوت الشهرة منها لا أقلّ منه ، فتنجبر الروایة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الإجماع المنقول حجّة عند جمع من المحققین </w:t>
      </w:r>
      <w:r>
        <w:rPr>
          <w:rStyle w:val="FootnoteAnchor"/>
          <w:rtl w:val="true"/>
        </w:rPr>
        <w:footnoteReference w:id="564"/>
      </w:r>
      <w:r>
        <w:rPr>
          <w:rFonts w:ascii="IRNazanin" w:hAnsi="IRNazanin" w:eastAsia="IRNazanin"/>
          <w:color w:val="111111"/>
          <w:sz w:val="28"/>
          <w:sz w:val="28"/>
          <w:szCs w:val="28"/>
          <w:rtl w:val="true"/>
          <w:lang w:bidi="fa-IR"/>
        </w:rPr>
        <w:t>، بناء علی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9" w:name="__RefHeading___Toc2087841_388300464"/>
      <w:bookmarkStart w:id="570" w:name="_Toc226"/>
      <w:bookmarkEnd w:id="569"/>
      <w:r>
        <w:rPr>
          <w:rtl w:val="true"/>
        </w:rPr>
        <w:t>حکم مس عضوٍ کمل غسله</w:t>
      </w:r>
      <w:bookmarkStart w:id="571" w:name="pg14966_204138"/>
      <w:bookmarkEnd w:id="570"/>
    </w:p>
    <w:p>
      <w:pPr>
        <w:pStyle w:val="BookText"/>
        <w:rPr/>
      </w:pPr>
      <w:bookmarkEnd w:id="571"/>
      <w:r>
        <w:rPr>
          <w:rFonts w:ascii="IRNazanin" w:hAnsi="IRNazanin" w:eastAsia="IRNazanin"/>
          <w:color w:val="111111"/>
          <w:sz w:val="28"/>
          <w:sz w:val="28"/>
          <w:szCs w:val="28"/>
          <w:rtl w:val="true"/>
          <w:lang w:bidi="fa-IR"/>
        </w:rPr>
        <w:t xml:space="preserve">أنّ ما دلّ علی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تامّا خالصا من إشکالات الإیرادات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للإجماع المنقول أیضا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الروایة والإجماع ما سیذکره الشهید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 أنّ کون هذه القطعة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استدلّ علی نجاسة جمیع أجزاء الکلب ولو کانت ممّا لا تحلّه الحیاة بما ورد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ولم یورد علی نفسه بمثل ما أورده فی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مفقود مع الانفصال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الاستصحاب حجّة وجار فی أمثال ما نحن فیه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الماء بالتغیّر بالنجاسة ، وقد مرّ الکلام فی مبحثها </w:t>
      </w:r>
      <w:r>
        <w:rPr>
          <w:rStyle w:val="FootnoteAnchor"/>
          <w:rtl w:val="true"/>
        </w:rPr>
        <w:footnoteReference w:id="566"/>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 اللازم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المنع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قدر حمّصة فاغسله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الظاهر أنّه قدر حمّصة وزنا أو جثّة فیمکن الحمل علی ما إذا وقع شائعا ، والشائع یجی‌ء بقدر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نسخ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أخمص الراحة ، فیکون المراد قدر الدرهم ، بناء علی أنّ هذا قدره ، فلا إشکال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الشیخ فی 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Heading4"/>
        <w:numPr>
          <w:ilvl w:val="3"/>
          <w:numId w:val="1"/>
        </w:numPr>
        <w:rPr/>
      </w:pPr>
      <w:bookmarkStart w:id="572" w:name="__RefHeading___Toc2087843_388300464"/>
      <w:bookmarkStart w:id="573" w:name="_Toc227"/>
      <w:bookmarkEnd w:id="572"/>
      <w:r>
        <w:rPr>
          <w:rtl w:val="true"/>
        </w:rPr>
        <w:t>الدم</w:t>
      </w:r>
      <w:bookmarkEnd w:id="57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4" w:name="__RefHeading___Toc2087845_388300464"/>
      <w:bookmarkStart w:id="575" w:name="_Toc228"/>
      <w:bookmarkEnd w:id="574"/>
      <w:r>
        <w:rPr>
          <w:rtl w:val="true"/>
        </w:rPr>
        <w:t>طهارة القیح والقیء</w:t>
      </w:r>
      <w:bookmarkStart w:id="576" w:name="pg14966_204139"/>
      <w:bookmarkEnd w:id="575"/>
    </w:p>
    <w:p>
      <w:pPr>
        <w:pStyle w:val="BookText"/>
        <w:rPr/>
      </w:pPr>
      <w:bookmarkEnd w:id="576"/>
      <w:r>
        <w:rPr>
          <w:rFonts w:ascii="IRNazanin" w:hAnsi="IRNazanin" w:eastAsia="IRNazanin"/>
          <w:color w:val="111111"/>
          <w:sz w:val="28"/>
          <w:sz w:val="28"/>
          <w:szCs w:val="28"/>
          <w:rtl w:val="true"/>
          <w:lang w:bidi="fa-IR"/>
        </w:rPr>
        <w:t xml:space="preserve">یمکن أن یکون استناده إلی ما رواه فی الکافی والتهذیب والاستبصار بسند قریب من الصحّة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قاء الرجل وهو علی طهر فلیتمضمض </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الدم المرئی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الظاهر من إطلاقات الأخبار کون الأصل فی الدم النجاسة وعدم العفو ، کما صرّح به بعض </w:t>
      </w:r>
      <w:r>
        <w:rPr>
          <w:rStyle w:val="FootnoteAnchor"/>
          <w:rtl w:val="true"/>
        </w:rPr>
        <w:footnoteReference w:id="570"/>
      </w:r>
      <w:r>
        <w:rPr>
          <w:rFonts w:ascii="IRNazanin" w:hAnsi="IRNazanin" w:eastAsia="IRNazanin"/>
          <w:color w:val="111111"/>
          <w:sz w:val="28"/>
          <w:sz w:val="28"/>
          <w:szCs w:val="28"/>
          <w:rtl w:val="true"/>
          <w:lang w:bidi="fa-IR"/>
        </w:rPr>
        <w:t xml:space="preserve">، وهو الظاهر من الشیخ </w:t>
      </w:r>
      <w:r>
        <w:rPr>
          <w:rStyle w:val="FootnoteAnchor"/>
          <w:rtl w:val="true"/>
        </w:rPr>
        <w:footnoteReference w:id="571"/>
      </w:r>
      <w:r>
        <w:rPr>
          <w:rFonts w:ascii="IRNazanin" w:hAnsi="IRNazanin" w:eastAsia="IRNazanin"/>
          <w:color w:val="111111"/>
          <w:sz w:val="28"/>
          <w:sz w:val="28"/>
          <w:szCs w:val="28"/>
          <w:rtl w:val="true"/>
          <w:lang w:bidi="fa-IR"/>
        </w:rPr>
        <w:t xml:space="preserve">وغیره ، حیث وجّه الموثّق الدالّ علی عدم البأس برؤیة الدم فی أثناء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الأقلّ من الدرهم ، ولم یعترض علیه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والإطلاق أعمّ من الحقیقة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حاجة إلی هذا ، لأنّ الاشتراک أیضا لا ینفع المستدل ، إلاّ أن یقول بجواز الجمع بین المعانی فیه ، وکونه عند الإطلاق ظاهرا فی الجمیع ، وهذا قول سخیف مردود ، ومسلّم عند الفقهاء والمحقّقین المشهورین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من الاشتراک الاشتراک المعنوی ، فهو خیر من المجاز ، ومراد المستدل هو الاشتراک المعنوی ، کما هو الظاهر من کلامه ، بل لا بدّ من حمل کلامه علیه لو لم یکن ظاهرا فیه ، فضلا عن أن یکون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إلی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هو الذی ذکره من أنّ اللغة لا تثبت بالاستدلال ، بل تثبت إمّا بنصّ الواضع ، أو أمارات الحقیقة ، أو الاستعمال بناء علی أنّ الأصل فیه هو الحقیقة ، کما قال بعض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2087847_388300464"/>
      <w:bookmarkStart w:id="578" w:name="_Toc229"/>
      <w:bookmarkEnd w:id="577"/>
      <w:r>
        <w:rPr>
          <w:rtl w:val="true"/>
        </w:rPr>
        <w:t>حکم ما لو اشتبه الدم بالطاهر والنجس</w:t>
      </w:r>
      <w:bookmarkEnd w:id="578"/>
    </w:p>
    <w:p>
      <w:pPr>
        <w:pStyle w:val="Heading4"/>
        <w:numPr>
          <w:ilvl w:val="3"/>
          <w:numId w:val="1"/>
        </w:numPr>
        <w:rPr/>
      </w:pPr>
      <w:bookmarkStart w:id="579" w:name="__RefHeading___Toc2087849_388300464"/>
      <w:bookmarkStart w:id="580" w:name="_Toc230"/>
      <w:bookmarkEnd w:id="579"/>
      <w:r>
        <w:rPr>
          <w:rtl w:val="true"/>
        </w:rPr>
        <w:t>المسکر</w:t>
      </w:r>
      <w:bookmarkEnd w:id="5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1" w:name="__RefHeading___Toc2087851_388300464"/>
      <w:bookmarkStart w:id="582" w:name="_Toc231"/>
      <w:bookmarkEnd w:id="581"/>
      <w:r>
        <w:rPr>
          <w:rtl w:val="true"/>
        </w:rPr>
        <w:t>حکم الخمر</w:t>
      </w:r>
      <w:bookmarkEnd w:id="582"/>
    </w:p>
    <w:p>
      <w:pPr>
        <w:pStyle w:val="BookText"/>
        <w:rPr/>
      </w:pPr>
      <w:r>
        <w:rPr>
          <w:rFonts w:ascii="IRNazanin" w:hAnsi="IRNazanin" w:eastAsia="IRNazanin"/>
          <w:color w:val="111111"/>
          <w:sz w:val="28"/>
          <w:sz w:val="28"/>
          <w:szCs w:val="28"/>
          <w:rtl w:val="true"/>
          <w:lang w:bidi="fa-IR"/>
        </w:rPr>
        <w:t>والظاهر أنّ الشارح رحمه الله أیضا جوابه عن الأوّل هو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أعمّ من الحقیقة ، جواب عن الثانی ، لکن لا یخفی أنّ المستدلّ ما أراد إثبات الحقیقة منه ، بل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فعلها فعل الخمر فحکمه حکم الخمر ، کما یظهر من الحدیث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یحرّم الخمر لاسمها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لفظ الخمر حقیقة فی الخمر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الخمر ، فحرمته لیست باعتبار کون الخمر اسمه أیضا ، بل باعتبار المشارکة فی علّة تحریم الشارع ، وهو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إلاّ أنّه مثل الخمر فی الحکم الشرعی ، ولم یعیّن الحکم الشرعی ، فیکون المراد جمیع الأحکام إلاّ ما أخرجه الدلیل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المتبادر منها هو الحرمة ، ولا ینصرف الذهن إلی غیرها ، فتأمّل ، لأنّه ربما یظهر من الأخبار دخول النجاسة أیضا ، مثل روایة أبی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مع یونس ببغداد ، وأنا أمشی معه فی السوق ، ففتح صاحب الفقّاع فقاعة فقفز </w:t>
      </w:r>
      <w:r>
        <w:rPr>
          <w:rStyle w:val="FootnoteAnchor"/>
          <w:rtl w:val="true"/>
        </w:rPr>
        <w:footnoteReference w:id="573"/>
      </w:r>
      <w:r>
        <w:rPr>
          <w:rFonts w:ascii="IRNazanin" w:hAnsi="IRNazanin" w:eastAsia="IRNazanin"/>
          <w:color w:val="111111"/>
          <w:sz w:val="28"/>
          <w:sz w:val="28"/>
          <w:szCs w:val="28"/>
          <w:rtl w:val="true"/>
          <w:lang w:bidi="fa-IR"/>
        </w:rPr>
        <w:t xml:space="preserve">فأصاب ثوب یونس فاغتمّ لذلک حتی زالت الشمس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إلا تصلّی؟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أرجع إلی البیت فأغسل هذا الخمر من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رأیته أو شی‌ء ترویه؟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هشام بن الحکم أنه سأل الصادق علیه السلام عن الفقّاع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تشربه فإنّه خمر مجهول ، فإذا أصاب ثوبک فاغسله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583" w:name="pg14966_204141"/>
    </w:p>
    <w:p>
      <w:pPr>
        <w:pStyle w:val="BookText"/>
        <w:rPr/>
      </w:pPr>
      <w:bookmarkEnd w:id="583"/>
      <w:r>
        <w:rPr>
          <w:rFonts w:ascii="IRNazanin" w:hAnsi="IRNazanin" w:eastAsia="IRNazanin"/>
          <w:color w:val="111111"/>
          <w:sz w:val="28"/>
          <w:sz w:val="28"/>
          <w:szCs w:val="28"/>
          <w:rtl w:val="true"/>
          <w:lang w:bidi="fa-IR"/>
        </w:rPr>
        <w:t>والأخبار الدالّة علی نجاسة النبیذ أیضا مستفیضة ، کما ستعرف شطرا منها ، وکلها موافقة لفتوی المشهور ، ومنجبرة أیضا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الحمل علی التقیة ، لأنّ العامة یحللونهما ، ویحکمون بطهارتهما أیضا جزما </w:t>
      </w:r>
      <w:r>
        <w:rPr>
          <w:rStyle w:val="FootnoteAnchor"/>
          <w:rtl w:val="true"/>
        </w:rPr>
        <w:footnoteReference w:id="575"/>
      </w:r>
      <w:r>
        <w:rPr>
          <w:rFonts w:ascii="IRNazanin" w:hAnsi="IRNazanin" w:eastAsia="IRNazanin"/>
          <w:color w:val="111111"/>
          <w:sz w:val="28"/>
          <w:sz w:val="28"/>
          <w:szCs w:val="28"/>
          <w:rtl w:val="true"/>
          <w:lang w:bidi="fa-IR"/>
        </w:rPr>
        <w:t>، ولا یخفی ذلک علی من تتبّع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أنّه لا یمکن حمل ما دلّ علی نجاسة الخمر علی التقیة ، کما فعله بعض علمائنا المتأخّرین </w:t>
      </w:r>
      <w:r>
        <w:rPr>
          <w:rStyle w:val="FootnoteAnchor"/>
          <w:rtl w:val="true"/>
        </w:rPr>
        <w:footnoteReference w:id="576"/>
      </w:r>
      <w:r>
        <w:rPr>
          <w:rFonts w:ascii="IRNazanin" w:hAnsi="IRNazanin" w:eastAsia="IRNazanin"/>
          <w:color w:val="111111"/>
          <w:sz w:val="28"/>
          <w:sz w:val="28"/>
          <w:szCs w:val="28"/>
          <w:rtl w:val="true"/>
          <w:lang w:bidi="fa-IR"/>
        </w:rPr>
        <w:t>، مضافا إلی ما ستعرفه فی الحواشی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نجاسة المسکرات المائعة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أنّ الأمراء والسلاطین فی زمانهم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یوازی ثلاث مائة سنة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مولعین بشرب الخمر ، وسائرهما کانوا مولعین بشرب الفقّاع والنبیذ ، بل وقاطبتهم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کانوا علیهم السلام قائلین بالطهارة لاشتهر منهم اشتهار الشمس بمقتضی العادة وتوفّر الدواعی ، مع أنّهم أظهروا الطهارة مکرّرا ، ومع ذلک الأمر وقع بالعکس ، فإنّ القدماء ادّعوا الإجماع علی النجاسة ، والمتأخّرین اتفقوا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نقله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ابن زهرة وابن إدریس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بعض أهل اللغة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یومئ إلیه روایة خیران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الرجل یسأله عن الثوب یصیبه الخمر ولحم الخنزیر ، أیصلّی فیه أم لا؟ فإنّ أصحابنا قد اختلفوا</w:t>
      </w:r>
    </w:p>
    <w:p>
      <w:pPr>
        <w:pStyle w:val="Heading4"/>
        <w:numPr>
          <w:ilvl w:val="3"/>
          <w:numId w:val="1"/>
        </w:numPr>
        <w:rPr/>
      </w:pPr>
      <w:bookmarkStart w:id="584" w:name="__RefHeading___Toc2087853_388300464"/>
      <w:bookmarkStart w:id="585" w:name="_Toc232"/>
      <w:bookmarkEnd w:id="584"/>
      <w:r>
        <w:rPr>
          <w:rtl w:val="true"/>
        </w:rPr>
        <w:t>حکم النبیذ</w:t>
      </w:r>
      <w:bookmarkEnd w:id="5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6" w:name="__RefHeading___Toc2087855_388300464"/>
      <w:bookmarkStart w:id="587" w:name="_Toc233"/>
      <w:bookmarkEnd w:id="586"/>
      <w:r>
        <w:rPr>
          <w:rtl w:val="true"/>
        </w:rPr>
        <w:t>أدلّة نجاسة الخمر</w:t>
      </w:r>
      <w:bookmarkEnd w:id="587"/>
    </w:p>
    <w:p>
      <w:pPr>
        <w:pStyle w:val="BookText"/>
        <w:rPr/>
      </w:pPr>
      <w:r>
        <w:rPr>
          <w:rFonts w:ascii="IRNazanin" w:hAnsi="IRNazanin" w:eastAsia="IRNazanin"/>
          <w:color w:val="111111"/>
          <w:sz w:val="28"/>
          <w:sz w:val="28"/>
          <w:szCs w:val="28"/>
          <w:rtl w:val="true"/>
          <w:lang w:bidi="fa-IR"/>
        </w:rPr>
        <w:t xml:space="preserve">فیه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 فإن الله إنّما حرّم شربها ، وقال بعضهم لا تصلّ فیه ،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 فإنه رجس حتی تغسله </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من أدلّة المشهور ومرجّحات أخبار المنع علی أخبار الجواز ، والضعف منجبر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مرسلة یونس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ثوبک خمر أو نبیذ مسکر فاغسله إن عرفت موضعه ، وإن لم تعرف موضعه فاغسل الثوب کله ، وإن صلّیت فیه فأعد صلاتک </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روایة زکریّا بن آدم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قطرة خمر أو نبیذ مسکر قطرت فی قدر فیه لحم کثیر ومرق کثیر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یهراق المرق ، أو یطعمه أهل الذمة ، أو الکلب ، واللحم أغسله 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فخمر أو نبیذ قطرت فی عجین أو 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أبیعه من الیهود والنصاری وأبین لهم؟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فإنهم یستحلّون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والفقّاع بتلک المنزلة إذا قطر فی شی‌ء من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أکره أن آکله إذا قطر فی شی‌ء من طعامی </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عن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الدنّ ، یکون فیه خمر ، هل یصلح أن یکون فیه الخلّ ، أو الکامخ </w:t>
      </w:r>
      <w:r>
        <w:rPr>
          <w:rStyle w:val="FootnoteAnchor"/>
          <w:rtl w:val="true"/>
        </w:rPr>
        <w:footnoteReference w:id="581"/>
      </w:r>
      <w:r>
        <w:rPr>
          <w:rFonts w:ascii="IRNazanin" w:hAnsi="IRNazanin" w:eastAsia="IRNazanin"/>
          <w:color w:val="111111"/>
          <w:sz w:val="28"/>
          <w:sz w:val="28"/>
          <w:szCs w:val="28"/>
          <w:rtl w:val="true"/>
          <w:lang w:bidi="fa-IR"/>
        </w:rPr>
        <w:t xml:space="preserve">، أو زیتون؟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 </w:t>
      </w:r>
    </w:p>
    <w:p>
      <w:p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الإبریق فیه خمر ، أیصلح أن یکون فیه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کثرتها وموافقتها لما اشتهر بین الفقهاء وانجبارها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حملها علی الاستحباب ، لنهایة قوّة الدلالة ، وکون المعارض محمولا علی التقیة ، کما عرفت وستعرف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الحدیث فیه تأکیدات مانعة عن الحمل علی الاستحباب ، ومؤیّدة بحمل المخالف علی التقیة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الإجماع عندنا لیس اتفاق الکلّ ، فلا یضرّ وجود المنازع ، بل علی تقدیر کونه اتفاق الکلّ أیضا لا یضرّ وجوده ، لأنّ اتفاق الکلّ فی عصر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أنّه یحتمل أن لا یکون إجماع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عدم العثور علی المنازع أیضا یکون الاحتمال موجودا ، فلا یصحّ الاستناد إلی المنازع فی مقام المنع ، مع أنّ العبرة بنقل الفاضل الماهر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ثبتت حجّیة الإجماع المنقول بخبر الواحد فلا وجه للتمّسک بالاحتمال ، لأنّ معنی الحجّیة لیس إلاّ أنّ الاحتمال غیر مضرّ أصلا ، ولا خلل من جهته مطلقا ، وإن لم تثبت الحجّیة فلا وجه للمنع بأنّه فی موضع النزاع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بناء الاستدلال علی حجّیة المنقول ، کما علیه الفقهاء الفحول ، واستندوا فی الحجّیة إلی أدلة ، بل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حجّیة الخبر </w:t>
      </w:r>
    </w:p>
    <w:p>
      <w:pPr>
        <w:pStyle w:val="BookText"/>
        <w:rPr/>
      </w:pPr>
      <w:r>
        <w:rPr>
          <w:rFonts w:ascii="IRNazanin" w:hAnsi="IRNazanin" w:eastAsia="IRNazanin"/>
          <w:color w:val="111111"/>
          <w:sz w:val="28"/>
          <w:sz w:val="28"/>
          <w:szCs w:val="28"/>
          <w:rtl w:val="true"/>
          <w:lang w:bidi="fa-IR"/>
        </w:rPr>
        <w:t xml:space="preserve">الواحد یشمله </w:t>
      </w:r>
      <w:r>
        <w:rPr>
          <w:rStyle w:val="FootnoteAnchor"/>
          <w:rtl w:val="true"/>
        </w:rPr>
        <w:footnoteReference w:id="583"/>
      </w:r>
      <w:r>
        <w:rPr>
          <w:rFonts w:ascii="IRNazanin" w:hAnsi="IRNazanin" w:eastAsia="IRNazanin"/>
          <w:color w:val="111111"/>
          <w:sz w:val="28"/>
          <w:sz w:val="28"/>
          <w:szCs w:val="28"/>
          <w:rtl w:val="true"/>
          <w:lang w:bidi="fa-IR"/>
        </w:rPr>
        <w:t>، والشارح أیضا فی کثیر من المواضع یذکر الإجماع المنقول بخبر الواحد علی وجه یظهر منه اعتماده علیه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الشیخ الحرّ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الأکل علی الخوان الذی أصابته إذا کان یابسا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الحسن بن أبی سارة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بالصحّة ربما لا یخلو عن خدشة ، لأنّ بعض النسخ الحسین بدل الحسن ، مع أنّ محمد بن خالد فیه کلام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الأصحاب والأحادیث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الأحادیث الدالة علی النجاسة من الکثرة بمکان لم یذکرها الشارح ، منها مذکورة فی کتاب النجاسات ، ومنها فی تطهیر الأوانی والثیاب ، ومنها فی المطاعم والمشارب وغیر ذلک مثل ظروف النبیذ ، فلا یضرّ ضعف اسناد بعضها ، سیّما مع الانجبار بالشهرة العظیمة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الإجماع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بل المظنون کون مضمونها مجمعا علیه بین الأصحاب ، کما یظهر من نقل الجلیلین الفقیهین النبیلین ، مع ابن زهرة وابن إدریس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لا تقاوم هذه الأخبار والإجماع المنقول ، الأخبار الدالة علی </w:t>
      </w:r>
    </w:p>
    <w:p>
      <w:pPr>
        <w:pStyle w:val="BookText"/>
        <w:rPr/>
      </w:pPr>
      <w:r>
        <w:rPr>
          <w:rFonts w:ascii="IRNazanin" w:hAnsi="IRNazanin" w:eastAsia="IRNazanin"/>
          <w:color w:val="111111"/>
          <w:sz w:val="28"/>
          <w:sz w:val="28"/>
          <w:szCs w:val="28"/>
          <w:rtl w:val="true"/>
          <w:lang w:bidi="fa-IR"/>
        </w:rPr>
        <w:t>الطهارة ، سیّما مع أنّه ورد فی الصحیح المذکور الأخذ بقول الصادق علیه السلام ، وإن وردت الروایة عنه وعن الباقر علیهماالسلام ، فی أنّها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الفقهاء الخبیرین الماهرین أخبروا بأنّ الدال علی الطهارة محمول علی التقیة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المدار فی أکثر المرجّحات علی أقوالهم ، مثل العدالة والأعدلیة والشهرة والشذوذ وغیرها ، لکونهم من أهل الشهود والمهارة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أکثر العامة قائلین بالنجاسة ، لا یردّ قولهم ، لأنّ المعتبر فی التقیة حال زمانهم علیهم السلام لا حال زماننا ، فلعلهم علیهم السلام فی زمانهم کانوا عن أهل زمانهم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أمراءهم وسلاطینهم کانوا مولعین بشرب الخمر ، بل النبیذ والفقاع کان حلالا عند فقهائهم ، فکان طاهرا عندهم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تضاعیف الأحادیث أنّ المدار عند أهل السنة والمتداول عندهم الحلّیة والطهارة ، ومع ذلک ورد عن أئمّتنا علیهم السلام الحکم بالنجاسة والحرمة ، بل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المیل منه ینجّس حبّا من الماء </w:t>
      </w:r>
      <w:r>
        <w:rPr>
          <w:rStyle w:val="FootnoteAnchor"/>
          <w:rtl w:val="true"/>
        </w:rPr>
        <w:footnoteReference w:id="588"/>
      </w:r>
      <w:r>
        <w:rPr>
          <w:rFonts w:ascii="IRNazanin" w:hAnsi="IRNazanin" w:eastAsia="IRNazanin"/>
          <w:color w:val="111111"/>
          <w:sz w:val="28"/>
          <w:sz w:val="28"/>
          <w:szCs w:val="28"/>
          <w:rtl w:val="true"/>
          <w:lang w:bidi="fa-IR"/>
        </w:rPr>
        <w:t>، وأشدّ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من الأخبار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 الاختلافات فی الأخبار من جهة التقیة ، وأمروا علیهم السلام بترک ما وافق العامة ، وما یکون حکّام العامة إلیه أمیل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دلّ علی نجاسة </w:t>
      </w:r>
      <w:r>
        <w:rPr>
          <w:rStyle w:val="FootnoteAnchor"/>
          <w:rtl w:val="true"/>
        </w:rPr>
        <w:footnoteReference w:id="589"/>
      </w:r>
      <w:r>
        <w:rPr>
          <w:rFonts w:ascii="IRNazanin" w:hAnsi="IRNazanin" w:eastAsia="IRNazanin"/>
          <w:color w:val="111111"/>
          <w:sz w:val="28"/>
          <w:sz w:val="28"/>
          <w:szCs w:val="28"/>
          <w:rtl w:val="true"/>
          <w:lang w:bidi="fa-IR"/>
        </w:rPr>
        <w:t>النبیذ حق جزما ، وما دل علی طهارته باطل جزما ، ولا قائل بالفصل قطعا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نجاسة النبیذ یقتضی نجاسة الخمر بطریق أولی ، سیّما بعد ملاحظة أنّ حکّامهم أمیل إلی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الأئمّة علیهم السلام لو کانوا قائلین </w:t>
      </w:r>
      <w:bookmarkStart w:id="588" w:name="pg14966_204146"/>
    </w:p>
    <w:p>
      <w:pPr>
        <w:pStyle w:val="BookText"/>
        <w:rPr/>
      </w:pPr>
      <w:bookmarkEnd w:id="588"/>
      <w:r>
        <w:rPr>
          <w:rFonts w:ascii="IRNazanin" w:hAnsi="IRNazanin" w:eastAsia="IRNazanin"/>
          <w:color w:val="111111"/>
          <w:sz w:val="28"/>
          <w:sz w:val="28"/>
          <w:szCs w:val="28"/>
          <w:rtl w:val="true"/>
          <w:lang w:bidi="fa-IR"/>
        </w:rPr>
        <w:t xml:space="preserve">بالطهارة لاشتهر منهم غایة الاشتهار بحکم العادة ، وکان العامة ینسبونهم إلیه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 حکمهم علی وفق مشتهی الحکّام ومخالفا لحکمهم </w:t>
      </w:r>
      <w:r>
        <w:rPr>
          <w:rFonts w:eastAsia="IRNazanin" w:cs="IRNazanin"/>
          <w:color w:val="111111"/>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الأمر صار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البناء فی الفقه علی الترجیحات فلا شک فی أنّ الرجحان فی طرف النجاسة ، وإلاّ قلّما یتحقّق مسألة فقهیة ، بل لا یکاد یوجد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فی بحث نجاسة الکافر ما ینبغی ان یلاحظ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لا یدل علی النجاسة إلاّ بضمیمة الإجماع ، کما مرّ </w:t>
      </w:r>
      <w:r>
        <w:rPr>
          <w:rStyle w:val="FootnoteAnchor"/>
          <w:rtl w:val="true"/>
        </w:rPr>
        <w:footnoteReference w:id="592"/>
      </w:r>
      <w:r>
        <w:rPr>
          <w:rFonts w:ascii="IRNazanin" w:hAnsi="IRNazanin" w:eastAsia="IRNazanin"/>
          <w:color w:val="111111"/>
          <w:sz w:val="28"/>
          <w:sz w:val="28"/>
          <w:szCs w:val="28"/>
          <w:rtl w:val="true"/>
          <w:lang w:bidi="fa-IR"/>
        </w:rPr>
        <w:t>، ولا إجماع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واقع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إن کان واجبا فبسبب نجاستها ، وإن لم یکن نجسة فلا یجب غسلها </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مأخذه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المأخذ ، هو الأخبار التی رواها فی الکافی فی باب أصل تحریم الخمر وبدوه </w:t>
      </w:r>
      <w:r>
        <w:rPr>
          <w:rStyle w:val="FootnoteAnchor"/>
          <w:rtl w:val="true"/>
        </w:rPr>
        <w:footnoteReference w:id="594"/>
      </w:r>
      <w:r>
        <w:rPr>
          <w:rFonts w:ascii="IRNazanin" w:hAnsi="IRNazanin" w:eastAsia="IRNazanin"/>
          <w:color w:val="111111"/>
          <w:sz w:val="28"/>
          <w:sz w:val="28"/>
          <w:szCs w:val="28"/>
          <w:rtl w:val="true"/>
          <w:lang w:bidi="fa-IR"/>
        </w:rPr>
        <w:t xml:space="preserve">، ورواه الصدوق فی العلل </w:t>
      </w:r>
      <w:r>
        <w:rPr>
          <w:rStyle w:val="FootnoteAnchor"/>
          <w:rtl w:val="true"/>
        </w:rPr>
        <w:footnoteReference w:id="595"/>
      </w:r>
      <w:r>
        <w:rPr>
          <w:rFonts w:ascii="IRNazanin" w:hAnsi="IRNazanin" w:eastAsia="IRNazanin"/>
          <w:color w:val="111111"/>
          <w:sz w:val="28"/>
          <w:sz w:val="28"/>
          <w:szCs w:val="28"/>
          <w:rtl w:val="true"/>
          <w:lang w:bidi="fa-IR"/>
        </w:rPr>
        <w:t>أیضا ، إذا یظهر من تلک الأخبار أنّ العصیر بمجرّد الغلیان یدخل فی حدّ الخمر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حدّ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أصل الخمر من الکرم ، إذا أصابته النار أو غلی من غیر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2087857_388300464"/>
      <w:bookmarkStart w:id="590" w:name="_Toc234"/>
      <w:bookmarkEnd w:id="589"/>
      <w:r>
        <w:rPr>
          <w:rtl w:val="true"/>
        </w:rPr>
        <w:t>حکم العصیر العنبی</w:t>
      </w:r>
      <w:bookmarkEnd w:id="590"/>
    </w:p>
    <w:p>
      <w:pPr>
        <w:pStyle w:val="BookText"/>
        <w:rPr/>
      </w:pPr>
      <w:r>
        <w:rPr>
          <w:rFonts w:ascii="IRNazanin" w:hAnsi="IRNazanin" w:eastAsia="IRNazanin"/>
          <w:color w:val="111111"/>
          <w:sz w:val="28"/>
          <w:sz w:val="28"/>
          <w:szCs w:val="28"/>
          <w:rtl w:val="true"/>
          <w:lang w:bidi="fa-IR"/>
        </w:rPr>
        <w:t>أن تمسّه ، فیصیر أعلاه أسفله فهو خمر ، فلا یحلّ شربه ، إلاّ أن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بعبارات أخر صریحة فی أنّ مراده الخمر المعهود الحقیقی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خمسة أسامی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الکرم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الصدوق أیضا ذلک فی الفقیه وفی العلل معا ، وهو الظاهر أیضا من الکلینی ، فلاحظ الکافی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الظاهر من البخاری من العامة فی صحیحة </w:t>
      </w:r>
      <w:r>
        <w:rPr>
          <w:rStyle w:val="FootnoteAnchor"/>
          <w:rtl w:val="true"/>
        </w:rPr>
        <w:footnoteReference w:id="597"/>
      </w:r>
      <w:r>
        <w:rPr>
          <w:rFonts w:ascii="IRNazanin" w:hAnsi="IRNazanin" w:eastAsia="IRNazanin"/>
          <w:color w:val="111111"/>
          <w:sz w:val="28"/>
          <w:sz w:val="28"/>
          <w:szCs w:val="28"/>
          <w:rtl w:val="true"/>
          <w:lang w:bidi="fa-IR"/>
        </w:rPr>
        <w:t>، فلاحظه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وسنذکر من فقهاء العامة أیضا أنّ الخمر هو العصیر من العنب إذا غلا واشتدّ </w:t>
      </w:r>
      <w:r>
        <w:rPr>
          <w:rStyle w:val="FootnoteAnchor"/>
          <w:rtl w:val="true"/>
        </w:rPr>
        <w:footnoteReference w:id="598"/>
      </w:r>
      <w:r>
        <w:rPr>
          <w:rFonts w:ascii="IRNazanin" w:hAnsi="IRNazanin" w:eastAsia="IRNazanin"/>
          <w:color w:val="111111"/>
          <w:sz w:val="28"/>
          <w:sz w:val="28"/>
          <w:szCs w:val="28"/>
          <w:rtl w:val="true"/>
          <w:lang w:bidi="fa-IR"/>
        </w:rPr>
        <w:t xml:space="preserve">، فلاحظ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یشیر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الصادق علیه السلام عن ثمن العصیر قبل أن یغلی ، فأجاب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بعته قبل أن یکون خمرا وهو حلال فلا بأس </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عنه علیه السلام ، عن بیع العصیر قبل أن یغلی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وإن غلا فلا یحل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ویؤیّده أنّ شاربه یحدّ حدّ شرب الخمر ، بل وصرّح بعض المتأخّرین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بمساواته للخمر فی جمیع الأحکام ، ولیس فی النصوص شی‌ء یشیر إلی شی‌ء من الأحکام سوی ما أشرنا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یؤیّد ، ما ورد فی النبیذ والنقیع ، وقد بسطنا الکلام فی رسالتنا العصیریة </w:t>
      </w:r>
      <w:r>
        <w:rPr>
          <w:rStyle w:val="FootnoteAnchor"/>
          <w:rtl w:val="true"/>
        </w:rPr>
        <w:footnoteReference w:id="603"/>
      </w:r>
      <w:r>
        <w:rPr>
          <w:rFonts w:ascii="IRNazanin" w:hAnsi="IRNazanin" w:eastAsia="IRNazanin"/>
          <w:color w:val="111111"/>
          <w:sz w:val="28"/>
          <w:sz w:val="28"/>
          <w:szCs w:val="28"/>
          <w:rtl w:val="true"/>
          <w:lang w:bidi="fa-IR"/>
        </w:rPr>
        <w:t>، ومن أراد البسط فلیراجع ولیتأمّل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القائل بعدم المأخذ ، بناؤه علی أنّه لیس بمسکر فکیف یکون خمرا؟ وأجبنا عن ذلک فی الرسالة ، فلیراجع ولیتأمّل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یقف علی دلیل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أشرنا إلی الدلیل والمأخذ ، ویمکن أیضا أن یکون نظرهم إلی أنّ لفظ الخمر أطلق علیه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حقیقة ثبت المطلوب أی حقیقة فی القدر المشترک ، أو أنّ استعمال المشترک فی معانیه جائز ، وظاهر أیضا إذا کان الجمع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مجازا فمعلوم أنّه لا بدّ من علاقة ، والعلاقة فی أمثال المقام لیست إلاّ المشابهة والمشارکة فی الحکم الشرعی ، فحیث لم یعیّن یحمل علی الجمیع ، علی طریقة حمل المطلق والمفرد والمحلّی باللام علی العموم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المناقشة بأنّ الإطلاق أعمّ من الحقیقة ، والمجاز خیر من الاشتراک ، والعلاقة وإن کانت المشارکة فی حکم شرعی ، لکن یمکن أن یکون هو الحرمة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والإرجاع إلی العموم فیما إذا تساوی الأحکام فی الظهور والخفاء ، وهنا لیس کذلک ، لشیوع الحکم الذی هو الحرمة ، وانسباق الأذهان إلیها عند الإطلاق ، لکن لا بدّ من التأمّل فی هذه الدعوی ، وأنّها هل تکون صحیحة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والامتحان والاختبار والمراجعة حتی یتضح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حکایة الاشتداد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الذی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ظاهر من الأصحاب ، وغیر ظاهر المأخذ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المراد بالاشتداد أن یصیر أعلاه أسفله وأسفله أعلاه ، کما أشار إلیه کلام والد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المأخذ غیر ظاهر ، إلاّ أن یدّعی تبادر هذا الغلیان من الأخبار ، ولا بدّ من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الفاضلین ذکرا الاشتداد ، وأنّ العصیر بعد الاشتداد ینجس البتّة وتأمّلا فی نجاسته قبل الاشتداد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فقه العامّة أنّ الأشربة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 وهو عصیر العنب إذا غلا واشتدّ وقذف بالزبد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إذا طبخ یذهب أقلّ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وعصیر العنب إذا طبخ وذهب ثلثاه حلّ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شهادة أنّ العصیر إذا غلا واشتدّ یکون خمرا البتّة ، بل هو الخمر ، بخلاف ما لم یشتدّ وإن کان حراما </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أنّ المصرّح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لیس کذلک ، کما لا یخفی علی من لاحظ المختلف </w:t>
      </w:r>
      <w:r>
        <w:rPr>
          <w:rStyle w:val="FootnoteAnchor"/>
          <w:rtl w:val="true"/>
        </w:rPr>
        <w:footnoteReference w:id="607"/>
      </w:r>
      <w:r>
        <w:rPr>
          <w:rFonts w:ascii="IRNazanin" w:hAnsi="IRNazanin" w:eastAsia="IRNazanin"/>
          <w:color w:val="111111"/>
          <w:sz w:val="28"/>
          <w:sz w:val="28"/>
          <w:szCs w:val="28"/>
          <w:rtl w:val="true"/>
          <w:lang w:bidi="fa-IR"/>
        </w:rPr>
        <w:t xml:space="preserve">وغیره ، ومنه قول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بالنجاسة من المشاهیر بغیر أصل </w:t>
      </w:r>
      <w:r>
        <w:rPr>
          <w:rStyle w:val="FootnoteAnchor"/>
          <w:rtl w:val="true"/>
        </w:rPr>
        <w:footnoteReference w:id="608"/>
      </w:r>
      <w:r>
        <w:rPr>
          <w:rFonts w:ascii="IRNazanin" w:hAnsi="IRNazanin" w:eastAsia="IRNazanin"/>
          <w:color w:val="111111"/>
          <w:sz w:val="28"/>
          <w:sz w:val="28"/>
          <w:szCs w:val="28"/>
          <w:rtl w:val="true"/>
          <w:lang w:bidi="fa-IR"/>
        </w:rPr>
        <w:t>، إذ مع اعتقاده بأنّه لا أصل له حکم بأنّه من المشاهیر ، فتأمّل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نقل القول بالطهارة عن ابن أبی عقیل خاصة ، وهو قائل </w:t>
      </w:r>
      <w:bookmarkStart w:id="591" w:name="pg14966_204150"/>
    </w:p>
    <w:p>
      <w:pPr>
        <w:pStyle w:val="BookText"/>
        <w:rPr/>
      </w:pPr>
      <w:bookmarkEnd w:id="591"/>
      <w:r>
        <w:rPr>
          <w:rFonts w:ascii="IRNazanin" w:hAnsi="IRNazanin" w:eastAsia="IRNazanin"/>
          <w:color w:val="111111"/>
          <w:sz w:val="28"/>
          <w:sz w:val="28"/>
          <w:szCs w:val="28"/>
          <w:rtl w:val="true"/>
          <w:lang w:bidi="fa-IR"/>
        </w:rPr>
        <w:t xml:space="preserve">بطهارة الخمر أیضا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مشهور بین المتأخرین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عجیب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ذکره الشارح عجیب ، إذ لا غرابة فی أن یطلع الفقیه علی ما لم یطلع قبل ، مع أنّ طریقة الفقهاء تغیّر الرأی ، بل ربما جعلوا عدم تغیّر الرأی قدحا فی الاجتهاد ، لأنّه یشیر إلی نوع تقلید أو مسامحة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بنجاسته مشهور بین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ادّعی الإجماع علیها ابن زهرة وکذلک العلاّمة </w:t>
      </w:r>
      <w:r>
        <w:rPr>
          <w:rStyle w:val="FootnoteAnchor"/>
          <w:rtl w:val="true"/>
        </w:rPr>
        <w:footnoteReference w:id="611"/>
      </w:r>
      <w:r>
        <w:rPr>
          <w:rFonts w:ascii="IRNazanin" w:hAnsi="IRNazanin" w:eastAsia="IRNazanin"/>
          <w:color w:val="111111"/>
          <w:sz w:val="28"/>
          <w:sz w:val="28"/>
          <w:szCs w:val="28"/>
          <w:rtl w:val="true"/>
          <w:lang w:bidi="fa-IR"/>
        </w:rPr>
        <w:t xml:space="preserve">، 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أصحابنا الفقّاع بالخمر فی التنجیس وهذا انفراد الطائفة </w:t>
      </w:r>
      <w:r>
        <w:rPr>
          <w:rStyle w:val="FootnoteAnchor"/>
          <w:rtl w:val="true"/>
        </w:rPr>
        <w:footnoteReference w:id="61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وصرّحوا بأنّ حرمة الفقاع ونجاسته یدوران مع الاسم والغلیان لا السکر ، فهو حرام نجس وإن لم یکن مسکرا ، لأنّ الرسول صلی الله علیه و آله حکم بالحرمة من دون استفصال فی أنّه مسکر أم لا </w:t>
      </w:r>
      <w:r>
        <w:rPr>
          <w:rStyle w:val="FootnoteAnchor"/>
          <w:rtl w:val="true"/>
        </w:rPr>
        <w:footnoteReference w:id="613"/>
      </w:r>
      <w:r>
        <w:rPr>
          <w:rFonts w:ascii="IRNazanin" w:hAnsi="IRNazanin" w:eastAsia="IRNazanin"/>
          <w:color w:val="111111"/>
          <w:sz w:val="28"/>
          <w:sz w:val="28"/>
          <w:szCs w:val="28"/>
          <w:rtl w:val="true"/>
          <w:lang w:bidi="fa-IR"/>
        </w:rPr>
        <w:t xml:space="preserve">، مع أنّه فی مقام حکمه بحرمة النبیذ استفصل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أفیسکر؟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أسکر فهو حرام </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ضعفها منجبر بالشهرة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وصریحة فی الدلالة ، 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یونس بن عبد الرحمن أصاب ثوبه فقّاع فترک الصلاة أوّل وقتها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أصلّی حتی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2" w:name="__RefHeading___Toc2087859_388300464"/>
      <w:bookmarkStart w:id="593" w:name="_Toc235"/>
      <w:bookmarkEnd w:id="592"/>
      <w:r>
        <w:rPr>
          <w:rtl w:val="true"/>
        </w:rPr>
        <w:t>الفقاع</w:t>
      </w:r>
      <w:bookmarkStart w:id="594" w:name="pg14966_204151"/>
      <w:bookmarkEnd w:id="593"/>
    </w:p>
    <w:p>
      <w:pPr>
        <w:pStyle w:val="BookText"/>
        <w:rPr/>
      </w:pPr>
      <w:bookmarkEnd w:id="594"/>
      <w:r>
        <w:rPr>
          <w:rFonts w:ascii="IRNazanin" w:hAnsi="IRNazanin" w:eastAsia="IRNazanin"/>
          <w:color w:val="111111"/>
          <w:sz w:val="28"/>
          <w:sz w:val="28"/>
          <w:szCs w:val="28"/>
          <w:rtl w:val="true"/>
          <w:lang w:bidi="fa-IR"/>
        </w:rPr>
        <w:t xml:space="preserve">أدخل البیت وأغسل هذه الخمرة من ثوبی ، لأنّ هشام بن الحکم سأل الصادق علیه السلام عنه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خمر مجهول فإذا أصاب ثوبک فاغسله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المصنف فی المعتبر وغیره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المرتضی والشیخ وابن زهرة ، والعلاّمة </w:t>
      </w:r>
      <w:r>
        <w:rPr>
          <w:rStyle w:val="FootnoteAnchor"/>
          <w:rtl w:val="true"/>
        </w:rPr>
        <w:footnoteReference w:id="618"/>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ثابت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بثبوت الحقیقة الشرعیة لا یمکنه هذا الاعتراض ، وأمّا المنکر فیقال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إرادة المعنی الشرعی ، إذ لا وجه لتفریعه علی المعنی اللغوی ، ولم نجد معهودا من الإسلام والمسلمین أمرا یقتضی المنع من الدخول فی المسجد إلاّ ذلک المنع الشرعی ، فضلا عن أن یکون یعبّر عنه بلفظ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 المشرک من حیث هو هو کیف یکون قذرا بالمعنی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اللغوی أمر یعرفه أهل اللغة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 کیف یناسب أن یکون الشارع مفیدا معنی لغویا یعرفه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 القذارة اللغویة من حیث هی هی لا مانع من دخولها فی المسجد ، وإلاّ لزم أن یکون کثیر من المسلمین یمنع عن دخوله المسجد ، وکذلک النخامة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معنی شرعی آخر لا قرینة علیها ، بل القرینة متحقّقة بالنسبة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5" w:name="__RefHeading___Toc2087861_388300464"/>
      <w:bookmarkStart w:id="596" w:name="_Toc236"/>
      <w:bookmarkEnd w:id="595"/>
      <w:r>
        <w:rPr>
          <w:rtl w:val="true"/>
        </w:rPr>
        <w:t>الکافر</w:t>
      </w:r>
      <w:bookmarkEnd w:id="596"/>
    </w:p>
    <w:p>
      <w:pPr>
        <w:pStyle w:val="BookText"/>
        <w:rPr/>
      </w:pPr>
      <w:r>
        <w:rPr>
          <w:rFonts w:ascii="IRNazanin" w:hAnsi="IRNazanin" w:eastAsia="IRNazanin"/>
          <w:color w:val="111111"/>
          <w:sz w:val="28"/>
          <w:sz w:val="28"/>
          <w:szCs w:val="28"/>
          <w:rtl w:val="true"/>
          <w:lang w:bidi="fa-IR"/>
        </w:rPr>
        <w:t>إلی النجس الشرعی ، لما عرفت ، ولشیوع الاستعمال فیه إلی أن وقع الخلاف فی کونه حقیقیا ، ولأنّ غیره لم یعهد من الشارع استعمال فیه أصلا ، فضلا عن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الکشّی ، فی ترجمة فارس ،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توقّوا مساورته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ما دلّ علی نجاسة الیهود وغیره ، یدلّ علی نجاسة المشرک بطریق أولی ، فتأمّل ، وحمل النجس علی المتنجّس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علیه المرتضی وابن إدریس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الظاهر أنّ الحکم بالنجاسة شعار الشیعة یعرفه علماء العامّة منهم ، بل وینسبونهم إلیه بلا تأمّل ، بل وعوامهم یعرفون أیضا أنّ هذا مذهب الشیعة ، بل وربما کان نساؤهم وصبیانهم أیضا یعرفون کذلک وینسبونهم ، بل والیهود والنصاری والمجوس والصابئون وغیرهم من الکفار أیضا یعرفون أنّ ذلک مذهب الشیعة ومسلکهم فی العمل ، بل ربما کان نساؤهم وصبیانهم أیضا یعرفون کذلک وینسبون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الشیعة فهم أیضا یعرفون أنّ مذهبهم کذلک ، ومسلکهم فی الأعصار والأمصار کان کذلک ، حتی نساؤهم وصبیانهم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 خروج مثل ابن الجنید ، سیّما وهو أنکر حرمة القیاس مع أنّها من ضروریات مذهبنا ، فلا مانع من خروج ابن أبی عقیل أیضا ، لما ذکرت ، ولما مرّ فی نجاسة الخمر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الجنید ، وابن أبی عقیل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bookmarkStart w:id="597" w:name="pg14966_204153"/>
    </w:p>
    <w:p>
      <w:pPr>
        <w:pStyle w:val="BookText"/>
        <w:rPr/>
      </w:pPr>
      <w:bookmarkEnd w:id="597"/>
      <w:r>
        <w:rPr>
          <w:rFonts w:ascii="IRNazanin" w:hAnsi="IRNazanin" w:eastAsia="IRNazanin"/>
          <w:color w:val="111111"/>
          <w:sz w:val="28"/>
          <w:sz w:val="28"/>
          <w:szCs w:val="28"/>
          <w:rtl w:val="true"/>
          <w:lang w:bidi="fa-IR"/>
        </w:rPr>
        <w:t>لا یخفی أنّه لا یقول بانفعال الماء القلیل بالملاقاة ، والمعهود من الفقهاء أنّ السؤر هو الماء القلیل الذی لاقاه فم حیوان أو جسم حیوان ، فلا یحسن جعل ابن أبی عقیل من القائلین بعدم نجاسة هؤلاء ، مع تخصیصه عدم النجاسة بأسآرهم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الجنید فإنّه أنکر حرمة القیاس التی هی ضروری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والکراهة فی کلام المفید لعلّه یرید منها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رجع عن القول بها ، فلا عبرة به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بالطهارة بوجوه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یوجد قائل بالطهارة فضلا عن أن یکونوا محتجّین بما ذکره ، إذ لم ینسب إلی أحد احتجاجه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لما باشروه وغیره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أنّه تعالی أراد بیان حکم ما باشروه برطوبة وما لم یباشروه برطوبة جمیعا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لم یباشروه برطوبة مندرج فی الطیّبات ، ولانتفاء الفائدة فی تخصیص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طَعامُکُمْ حِلٌّ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مخصوصا بأهل الکتاب فهذا القدر یکفی فائدة للتخصیص ، وإلاّ فأیّ فائدة للتخصیص فیه أیضا؟ مع أنّ المراد الطعام من حیث إنّه طعام ، والمباشرة وعدمها أجنبیان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 مغصوبا ، أو مسموما ، أو ممزوجا بهما ، أو فاسدا مضرّا ، أو متنجّسا بنجس العین ، أو غیر ذلک ، إذ لا یفهم شی‌ء منها من تلک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أنّه تعالی أراد بیان حکم ما باشروه برطوبة خاصّة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2087863_388300464"/>
      <w:bookmarkStart w:id="599" w:name="_Toc237"/>
      <w:bookmarkEnd w:id="598"/>
      <w:r>
        <w:rPr>
          <w:rtl w:val="true"/>
        </w:rPr>
        <w:t>أدلّة القائلین بطهارته والمناقشة فیها</w:t>
      </w:r>
      <w:bookmarkEnd w:id="599"/>
    </w:p>
    <w:p>
      <w:pPr>
        <w:pStyle w:val="BookText"/>
        <w:rPr/>
      </w:pPr>
      <w:r>
        <w:rPr>
          <w:rFonts w:ascii="IRNazanin" w:hAnsi="IRNazanin" w:eastAsia="IRNazanin"/>
          <w:color w:val="111111"/>
          <w:sz w:val="28"/>
          <w:sz w:val="28"/>
          <w:szCs w:val="28"/>
          <w:rtl w:val="true"/>
          <w:lang w:bidi="fa-IR"/>
        </w:rPr>
        <w:t>الدلالة لا بدّ أن تکون مطابقة أو تضمّنا أو التزاما ، وقد عرفت أنّه أجنبی بالنسبة إلی هذه العبارة ، وأین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وجه للتخصیص بالطعام ، ولا بعبارة الحلّیة ، بل اللازم التعمیم ، والمناسب عبارة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التخصیص بتلک العبارة یمنع من الدلالة علی الطهارة ، بل الشراب أولی من الطعام بذلک ، بل التخصیص بهما یکون ظاهرا فی نجاسة غیرهما ، کما یظهر من تفسیر أهل البیت علیهم السلام فی أخبار صحاح کثیرة وأخری معتبرة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وتخصیصه بالحبوب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الوارد فی غیر واحد من الأخبار أنّ المراد منه الحبوب وأشباهها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أیضا ممّا یدلّ علی 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أهل اللغة أنّ الطعام اسم للحنطة ، کما یظهر من الصحاح والمغرب وغیرهما </w:t>
      </w:r>
      <w:r>
        <w:rPr>
          <w:rStyle w:val="FootnoteAnchor"/>
          <w:rtl w:val="true"/>
        </w:rPr>
        <w:footnoteReference w:id="624"/>
      </w:r>
      <w:r>
        <w:rPr>
          <w:rFonts w:ascii="IRNazanin" w:hAnsi="IRNazanin" w:eastAsia="IRNazanin"/>
          <w:color w:val="111111"/>
          <w:sz w:val="28"/>
          <w:sz w:val="28"/>
          <w:szCs w:val="28"/>
          <w:rtl w:val="true"/>
          <w:lang w:bidi="fa-IR"/>
        </w:rPr>
        <w:t xml:space="preserve">، ویظهر من عبارة بعضهم ضمّ دقیقها أیضا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الحبوب وأشباهها کانت داخلة فی الطیّبات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أُحِلَّ لَکُمُ 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الخاصّ علی العامّ إنّما یجوز لنکتة ، والنکتة أنّ تعلیق التحلیل بالطیّبات یؤذن بأنّ طعام أهل الکتاب لیس محلّلا علی الإطلاق ، إذ المائع لا ینفکّ عن النجاسة غالبا ، مع أنّ هذا لا یناسب العموم ، لأنّ أکثر الأفراد من الطیّبات علی ما ذکرت ، بل الکل من الطیّبات بحسب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فعارض خارجی ، فحسن إفراده بالذکر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وَطَعامُکُمْ حِلٌّ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هذه النکتة ، کما لا یخفی علی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النکتة فرع نجاستهم ، إلاّ أن یکون المراد النجاسات العارضیّة مثل البول ، فعلی هذا یمکن اعتبار هذه النکتة علی تقدیر الاختصاص بالحبوب أیضا ، إذ لا یؤمن ملاقاتها مع الرطوبة المنجّسة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النکتة لیس إظهار عدم النجاسة وعدم المنع من جهة توهم النجاسة ، لإباء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النکتة لعلّها شی‌ء آخر ، علی طریقة ما یقولون فی منع حجّیة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النکتة یمکن أن تکون إظهار دخول طعامهم فی الطیّبات وإن کان یابسا ، لأنّ معنی الطیّب لیس بدیهیا ، ألا تری أنّه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 حِلٌّ لَهُمْ وَلا هُمْ یَحِلُّونَ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قال مثل ذلک فی طعامهم وطعامنا لکان یظهر أنّ حکایة الطعام حکایة المزاوجة من دون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لم یقل هذا وظهر لدینا الآن عدم الحرمة نستغرب ونتعجّب من توهّم الحرمة ، وإلاّ فحکایة الطعام وحکایة المزاوجة لا یوجد فرق بینهما إلاّ من جهة الشرع ، فلا مانع من أن یکون سبحانه أظهر أنّ الطعام لیس مثل المزاوجة ، لا أنّه أظهر طهارتهم ، إذ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التخصیص ، لأنّ أهل المدینة کانوا أهل الکتاب ، أو غیر ذلک من الوجوه التی تعتبر فی مقام منع حجّیة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یمکن أن یکون الفائدة استثناء هذا المعنی من بین الموادّة المنهی عنها علی وجه العموم ، بأنّه وإن استلزم الموادّة فی الجملة إلاّ أنّه لا مانع منه ، لاحتمال حصول الإلف والإنس المؤدّی إلی الإسلام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المراد إظهار أنّ أکلکم من طعامهم وأکلهم من </w:t>
      </w:r>
    </w:p>
    <w:p>
      <w:pPr>
        <w:pStyle w:val="BookText"/>
        <w:rPr/>
      </w:pPr>
      <w:r>
        <w:rPr>
          <w:rFonts w:ascii="IRNazanin" w:hAnsi="IRNazanin" w:eastAsia="IRNazanin"/>
          <w:color w:val="111111"/>
          <w:sz w:val="28"/>
          <w:sz w:val="28"/>
          <w:szCs w:val="28"/>
          <w:rtl w:val="true"/>
          <w:lang w:bidi="fa-IR"/>
        </w:rPr>
        <w:t xml:space="preserve">طعامکم لیس فیه من حیث هو هو موادّة ، فلا مانع منه ، إلاّ أن یتحقّق فیه موادّة فیمنع عنه </w:t>
      </w:r>
      <w:r>
        <w:rPr>
          <w:rStyle w:val="FootnoteAnchor"/>
          <w:rtl w:val="true"/>
        </w:rPr>
        <w:footnoteReference w:id="626"/>
      </w:r>
      <w:r>
        <w:rPr>
          <w:rFonts w:ascii="IRNazanin" w:hAnsi="IRNazanin" w:eastAsia="IRNazanin"/>
          <w:color w:val="111111"/>
          <w:sz w:val="28"/>
          <w:sz w:val="28"/>
          <w:szCs w:val="28"/>
          <w:rtl w:val="true"/>
          <w:lang w:bidi="fa-IR"/>
        </w:rPr>
        <w:t>، لا لأجل أکل الطعام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لاندراجها فی الطیبات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یعلم الاندراج ،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بمشروعیة التحصیل والتکسّب لأنّهم لا یتشرّعون بشرع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مباشرتهم رطبا ، سیّما علی طریقة المستدل من کون المراد من الطعام المطبوخ أو ما یشمله ، فإنّ الظنّ حاصل بالمباشرة ، وإن کان طاهرا عند الفقهاء ، لعدم الیقین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ملک الإمام ومن یجاهد معه ، ولذا سمّی الغنیمة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فیئا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مورثا للموادّة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علی تقدیر الظنّ أو العلم بالاندراج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کونه بدیهیا حتی لا یحتاج إلی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البدیهی أیضا ربما یتوقّف علی التنبیه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دلالة فیها ، لو لم نقل بالإشارة إلی خلاف مرادک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حمل هذه علی التقیّة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لا یخفی أنّ الإجماع المنقول یرجح الحمل علی التقیة ، سیّما مع کونه بالنحو الذی أشرت ، فإنّه یعیّن الحمل علیها ، سیّما بملاحظة أنّ العامّة شعارهم القول بطهارة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عنهم علیهم السلام أخبار کثیرة فی أنّ الرشد فی ما خالف العامّة ، لا الخبر الذی وافقهم ، وورد منهم الأمر بترک ما وافقهم والأخذ بما خالفهم </w:t>
      </w:r>
      <w:r>
        <w:rPr>
          <w:rStyle w:val="FootnoteAnchor"/>
          <w:rtl w:val="true"/>
        </w:rPr>
        <w:footnoteReference w:id="630"/>
      </w:r>
      <w:r>
        <w:rPr>
          <w:rFonts w:ascii="IRNazanin" w:hAnsi="IRNazanin" w:eastAsia="IRNazanin"/>
          <w:color w:val="111111"/>
          <w:sz w:val="28"/>
          <w:sz w:val="28"/>
          <w:szCs w:val="28"/>
          <w:rtl w:val="true"/>
          <w:lang w:bidi="fa-IR"/>
        </w:rPr>
        <w:t xml:space="preserve">، مع أنّه ورد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أسباب اختلاف الأخبار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وعمدتها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Style w:val="FootnoteAnchor"/>
          <w:rtl w:val="true"/>
        </w:rPr>
        <w:footnoteReference w:id="631"/>
      </w:r>
      <w:r>
        <w:rPr>
          <w:rFonts w:ascii="IRNazanin" w:hAnsi="IRNazanin" w:eastAsia="IRNazanin"/>
          <w:color w:val="111111"/>
          <w:sz w:val="28"/>
          <w:sz w:val="28"/>
          <w:szCs w:val="28"/>
          <w:rtl w:val="true"/>
          <w:lang w:bidi="fa-IR"/>
        </w:rPr>
        <w:t>، والاعتبار أیضا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دیدن الشیعة فی الأعصار والأمصار ترک ما وافق العامّة ، والأخذ بما خالفهم فی المسائل الشرعیة ، حتی أنّهم لو کانوا یرون من حدیث ما یومئ </w:t>
      </w:r>
      <w:r>
        <w:rPr>
          <w:rStyle w:val="FootnoteAnchor"/>
          <w:rtl w:val="true"/>
        </w:rPr>
        <w:footnoteReference w:id="632"/>
      </w:r>
      <w:r>
        <w:rPr>
          <w:rFonts w:ascii="IRNazanin" w:hAnsi="IRNazanin" w:eastAsia="IRNazanin"/>
          <w:color w:val="111111"/>
          <w:sz w:val="28"/>
          <w:sz w:val="28"/>
          <w:szCs w:val="28"/>
          <w:rtl w:val="true"/>
          <w:lang w:bidi="fa-IR"/>
        </w:rPr>
        <w:t xml:space="preserve">إلی التقیة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أعطاک من جراب النورة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صحیحة إسماعیل بن جابر فیها شهادة واضحة علی التقیة ، لأنه منع عن الأکل بعبارة دالة علی التحریم ، ثم سکت هنیئة ، وهو هیئة من تأمّل فی أنّه ما ذا یصنع ویقول ، ثم منع بالعبارة الدالة علیه ، ثم سکت بالهیئة المذکورة ، ثم منع بالنحو السابق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 ولکن تترکه تنزّها عنه من جهة الخمر والخنزیر فی آنیتهم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المناسب لمذهب العامّة ، وما سبق منه یشهد علی أنّ المقام مقام اضطراب ، فتأمّل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صحیحة علی بن جعفر فیها شهادة واضحة علی التقیة ، لأنّه منع عن الوضوء بعبارة تکون حقیقة فی الحرمة ، ثم استثنی صورة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والضرورات ، هی التی تبیح المحظورات ، ولو کان طاهرا لما فعل کذا قطعا ، والظاهر أنّ الاضطرار هنا من جهة التقیة</w:t>
      </w:r>
      <w:r>
        <w:rPr>
          <w:rFonts w:eastAsia="IRNazanin" w:cs="IRNazanin"/>
          <w:color w:val="111111"/>
          <w:sz w:val="28"/>
          <w:szCs w:val="28"/>
          <w:rtl w:val="true"/>
          <w:lang w:bidi="fa-IR"/>
        </w:rPr>
        <w:t xml:space="preserve">. </w:t>
      </w:r>
      <w:bookmarkStart w:id="600" w:name="pg14966_204158"/>
    </w:p>
    <w:p>
      <w:pPr>
        <w:pStyle w:val="BookText"/>
        <w:rPr/>
      </w:pPr>
      <w:bookmarkEnd w:id="600"/>
      <w:r>
        <w:rPr>
          <w:rFonts w:ascii="IRNazanin" w:hAnsi="IRNazanin" w:eastAsia="IRNazanin"/>
          <w:color w:val="111111"/>
          <w:sz w:val="28"/>
          <w:sz w:val="28"/>
          <w:szCs w:val="28"/>
          <w:rtl w:val="true"/>
          <w:lang w:bidi="fa-IR"/>
        </w:rPr>
        <w:t>وإطلاق النهی فی صحیحة علی ، لا یکون شاهدا أصلا علی الطهارة ، إذ علی تقدیر أن یکون إطلاق الحرمة غیر صحیح ، غایته أنّ النهی محمول علی طلب الترک لا خصوص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والمرجّحات للنجاسة کثیرة ، فمع ذلک کیف یتمسّک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حجّة ومرجّح فی مقام لا یکون دلیل ولا مرجّح أصلا ، إذ لو تشبّث به مطلقا فإنّا لله وإنّا إلیه راجعون علی موت الشرع واستیصال الفقه ، لأنّ الإجماع لا یرضی به ، وبناؤه علی أنّه غیر ثابت ، والآیة الشریفة لا تنفع المقامات إلاّ نادرا غایة الندرة لو کان ، والاستصحاب أیضا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الخبر ، وغیر الصحیح منه لیس بحجّة عند الشارح ، وأمّا الصحیح فلا یکاد یتحقّق بدون التعارض مع الآخر أو حجّة أخری ، ومع ذلک یکون الأصل عند الشارح عدم التکلیف ، فلا یبقی علی هذا تکلیف وحکم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ما یعمّ عرقه حال الفعل وبعده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وخصّصه بعض الفقهاء بما هو فی حالة الفعل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استدلاله بهذه تأمّل لا یخفی ، لأنّ الجنابة من الحرام من الأفراد التی لا ینساق الذهن إلیها عند الإطلاق ، مضافا إلی أنّ الأصل فی فعل المسلم الصحة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الشیخ فی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1" w:name="__RefHeading___Toc2087865_388300464"/>
      <w:bookmarkStart w:id="602" w:name="_Toc238"/>
      <w:bookmarkEnd w:id="601"/>
      <w:r>
        <w:rPr>
          <w:rtl w:val="true"/>
        </w:rPr>
        <w:t>حکم عرق الجنب من الحرام</w:t>
      </w:r>
      <w:bookmarkEnd w:id="602"/>
    </w:p>
    <w:p>
      <w:pPr>
        <w:pStyle w:val="BookText"/>
        <w:rPr/>
      </w:pPr>
      <w:r>
        <w:rPr>
          <w:rFonts w:ascii="IRNazanin" w:hAnsi="IRNazanin" w:eastAsia="IRNazanin"/>
          <w:color w:val="111111"/>
          <w:sz w:val="28"/>
          <w:sz w:val="28"/>
          <w:szCs w:val="28"/>
          <w:rtl w:val="true"/>
          <w:lang w:bidi="fa-IR"/>
        </w:rPr>
        <w:t xml:space="preserve">احتجاجه بهذه الروایة غفلة منه ، وإلاّ فقد 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آجرّة </w:t>
      </w:r>
      <w:r>
        <w:rPr>
          <w:rStyle w:val="FootnoteAnchor"/>
          <w:rtl w:val="true"/>
        </w:rPr>
        <w:footnoteReference w:id="6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فیه الجنب من حرام والزانی والناصب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تغتسل من غسالته فإنّه یغتسل فیه من الزنا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همام بإسناده إلی إدریس الکفرثوثی أنّه کان یقول بالوقف ، فدخل سرّ من رأی فی عهد أبی الحسن علیه السلام ، وأراد أن یسأله عن الثوب یعرق فیه الجنب ، أیصلّی فیه؟ فبینا هو واقف فی طاق باب لانتظاره علیه السلام إذ حرّکه أبو الحسن علیه السلام بمقرعة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من حلال فصلّ فیه ، وإن کان من حرام فلا تصلّ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مذکورة فی الکتب المعتمدة المصنّفة فی الإمامة وظهور معجزتهم علیهم السلام ، مثل کشف الغمّة وغیره </w:t>
      </w:r>
      <w:r>
        <w:rPr>
          <w:rStyle w:val="FootnoteAnchor"/>
          <w:rtl w:val="true"/>
        </w:rPr>
        <w:footnoteReference w:id="638"/>
      </w:r>
      <w:r>
        <w:rPr>
          <w:rFonts w:ascii="IRNazanin" w:hAnsi="IRNazanin" w:eastAsia="IRNazanin"/>
          <w:color w:val="111111"/>
          <w:sz w:val="28"/>
          <w:sz w:val="28"/>
          <w:szCs w:val="28"/>
          <w:rtl w:val="true"/>
          <w:lang w:bidi="fa-IR"/>
        </w:rPr>
        <w:t>، ولیس الآن ببالی ، ولها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الأولیان ربما تصلحان لتأییدها وتقویتها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وبمضمونها أفتی الصدوق رحمه الله فی الفقیه </w:t>
      </w:r>
      <w:r>
        <w:rPr>
          <w:rStyle w:val="FootnoteAnchor"/>
          <w:rtl w:val="true"/>
        </w:rPr>
        <w:footnoteReference w:id="639"/>
      </w:r>
      <w:r>
        <w:rPr>
          <w:rFonts w:ascii="IRNazanin" w:hAnsi="IRNazanin" w:eastAsia="IRNazanin"/>
          <w:color w:val="111111"/>
          <w:sz w:val="28"/>
          <w:sz w:val="28"/>
          <w:szCs w:val="28"/>
          <w:rtl w:val="true"/>
          <w:lang w:bidi="fa-IR"/>
        </w:rPr>
        <w:t xml:space="preserve">، وجعله المفید احتیاطا </w:t>
      </w:r>
      <w:r>
        <w:rPr>
          <w:rStyle w:val="FootnoteAnchor"/>
          <w:rtl w:val="true"/>
        </w:rPr>
        <w:footnoteReference w:id="640"/>
      </w:r>
      <w:r>
        <w:rPr>
          <w:rFonts w:ascii="IRNazanin" w:hAnsi="IRNazanin" w:eastAsia="IRNazanin"/>
          <w:color w:val="111111"/>
          <w:sz w:val="28"/>
          <w:sz w:val="28"/>
          <w:szCs w:val="28"/>
          <w:rtl w:val="true"/>
          <w:lang w:bidi="fa-IR"/>
        </w:rPr>
        <w:t xml:space="preserve">،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مستند الصدوق إنّما هو هذه الروایة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الشیخ رحمه الله فلعلّ مستنده أیضا هذه الروایة ، إلاّ أنّه حین تألیفه التهذیب فی هذا المقام ربما غفل عن نفس المستند ، لکثرة علمه وغزارته </w:t>
      </w:r>
    </w:p>
    <w:p>
      <w:pPr>
        <w:pStyle w:val="BookText"/>
        <w:rPr/>
      </w:pPr>
      <w:r>
        <w:rPr>
          <w:rFonts w:ascii="IRNazanin" w:hAnsi="IRNazanin" w:eastAsia="IRNazanin"/>
          <w:color w:val="111111"/>
          <w:sz w:val="28"/>
          <w:sz w:val="28"/>
          <w:szCs w:val="28"/>
          <w:rtl w:val="true"/>
          <w:lang w:bidi="fa-IR"/>
        </w:rPr>
        <w:t>ووفور اشتغاله ، فتشبّث بأمر آخر ، وقد اتفق أمثال ذلک منه ، وظهر فی موضع آخر أنّ مستنده لیس ذلک ، بل وأظهر نفس مستنده ،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فی صلاة الجمعة وکون وجوبها تخییریا ، فقد ذکر فی المصباح دلیله وذکر أنّه الدلیل </w:t>
      </w:r>
      <w:r>
        <w:rPr>
          <w:rStyle w:val="FootnoteAnchor"/>
          <w:rtl w:val="true"/>
        </w:rPr>
        <w:footnoteReference w:id="641"/>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الصلاة فیه من أین ظهر کونه للنجاسة؟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النجاسات تثبت غالبا بالأمر بالغسل ، ومعلوم أنّه لأجل الصلاة وأمثالها ، مثل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ثوبک منه وصلّ ، أو مطلقا ، وأی عاقل یفرق بین هذا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ومعلوم أنّه إذا غسله وزوال العرق بالمرّة بالماء فی طریق التطهیر الشرعی أنّه یجوز الصلاة حینئذ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عرقت فی ثوبک وأنت جنب وکانت الجنابة من حلال فیجوز الصلاة فیه ، وإن کانت حراما فلا یجوز الصلاة فیه حتی تغتسل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والصدوق فی أمالیه نسبه إلی عقائد الإمامیة </w:t>
      </w:r>
      <w:r>
        <w:rPr>
          <w:rStyle w:val="FootnoteAnchor"/>
          <w:rtl w:val="true"/>
        </w:rPr>
        <w:footnoteReference w:id="643"/>
      </w:r>
      <w:r>
        <w:rPr>
          <w:rFonts w:ascii="IRNazanin" w:hAnsi="IRNazanin" w:eastAsia="IRNazanin"/>
          <w:color w:val="111111"/>
          <w:sz w:val="28"/>
          <w:sz w:val="28"/>
          <w:szCs w:val="28"/>
          <w:rtl w:val="true"/>
          <w:lang w:bidi="fa-IR"/>
        </w:rPr>
        <w:t>، فظهر أنّه لم یکن أحد من القدماء قائلا بخلافه ، فإن ثبت الإجماع فهو ، وإلاّ کان ما دلّ علی الحکم ضعفه منجبرا ، لو کان 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الشیخ رحمه الله فی الخلاف ادعی الإجماع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هشام بن سالم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bookmarkStart w:id="603" w:name="pg14966_204161"/>
    </w:p>
    <w:p>
      <w:pPr>
        <w:pStyle w:val="BookText"/>
        <w:rPr/>
      </w:pPr>
      <w:bookmarkEnd w:id="603"/>
      <w:r>
        <w:rPr>
          <w:rFonts w:ascii="IRNazanin" w:hAnsi="IRNazanin" w:eastAsia="IRNazanin"/>
          <w:color w:val="111111"/>
          <w:sz w:val="28"/>
          <w:sz w:val="28"/>
          <w:szCs w:val="28"/>
          <w:rtl w:val="true"/>
          <w:lang w:bidi="fa-IR"/>
        </w:rPr>
        <w:t xml:space="preserve">وروی ابن بابویه فی من لا یحضره الفقیه بإسناده إلی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علیه السلام عن رکوب الجلاّلات وشرب ألبانها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أصابک شی‌ء من عرقها فاغسله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 رواه فی المطاعم والمشارب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روی حفص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روایة حفص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 ألبان الإبل الجلاّلة ، وإن أصابک من عرقها فاغسله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مستند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صحیحة هشام فربما تحمل علی کون المراد من الجلاّل هو الإبل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علیه أیضا أصالة البراءة واستصحاب الحالة السابقة ، وأصالة طهارة الأشیاء ، ولزوم العسر بل والحرج بالنسبة إلی المکارین وأمثالهم ممّن هو مبتلی بها ، وأنّها لو کانت نجسة لاقتضی ذلک شیوع الحکم بالنجاسة ، وذیوع الاحتراز عنها فی الأعصار والأمصار ، لعموم الوجود ، بل والحاجة أیضا بالنسبة إلی مثل 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کثیر من البیوت غیر خالیة من </w:t>
      </w:r>
      <w:r>
        <w:rPr>
          <w:rStyle w:val="FootnoteAnchor"/>
          <w:rtl w:val="true"/>
        </w:rPr>
        <w:footnoteReference w:id="647"/>
      </w:r>
      <w:r>
        <w:rPr>
          <w:rFonts w:ascii="IRNazanin" w:hAnsi="IRNazanin" w:eastAsia="IRNazanin"/>
          <w:color w:val="111111"/>
          <w:sz w:val="28"/>
          <w:sz w:val="28"/>
          <w:szCs w:val="28"/>
          <w:rtl w:val="true"/>
          <w:lang w:bidi="fa-IR"/>
        </w:rPr>
        <w:t xml:space="preserve">واحد منها ، بل الغالب فی الأسفار الابتلاء ، فلو کانت نجسة لکانت مثل سائر النجاسات تشیع وتذیع نجاستها فی الأعصار والأمصار والقری والدساکر </w:t>
      </w:r>
      <w:r>
        <w:rPr>
          <w:rStyle w:val="FootnoteAnchor"/>
          <w:rtl w:val="true"/>
        </w:rPr>
        <w:footnoteReference w:id="648"/>
      </w:r>
      <w:r>
        <w:rPr>
          <w:rFonts w:ascii="IRNazanin" w:hAnsi="IRNazanin" w:eastAsia="IRNazanin"/>
          <w:color w:val="111111"/>
          <w:sz w:val="28"/>
          <w:sz w:val="28"/>
          <w:szCs w:val="28"/>
          <w:rtl w:val="true"/>
          <w:lang w:bidi="fa-IR"/>
        </w:rPr>
        <w:t xml:space="preserve">والخانات ، مع أنّ الأمر بالعکس فی مقام العمل بالنسبة إلی المسلمین ، وفی مقام الفتوی بالنسبة إلی المعظم والجلّ ، بل الظاهر عدم مخالف سوی ابن الجنید </w:t>
      </w:r>
      <w:r>
        <w:rPr>
          <w:rStyle w:val="FootnoteAnchor"/>
          <w:rtl w:val="true"/>
        </w:rPr>
        <w:footnoteReference w:id="649"/>
      </w:r>
      <w:r>
        <w:rPr>
          <w:rFonts w:ascii="IRNazanin" w:hAnsi="IRNazanin" w:eastAsia="IRNazanin"/>
          <w:color w:val="111111"/>
          <w:sz w:val="28"/>
          <w:sz w:val="28"/>
          <w:szCs w:val="28"/>
          <w:rtl w:val="true"/>
          <w:lang w:bidi="fa-IR"/>
        </w:rPr>
        <w:t>الذی خالف القوم کثیرا ، وخرج عمّا هم علیه</w:t>
      </w:r>
    </w:p>
    <w:p>
      <w:pPr>
        <w:pStyle w:val="Heading4"/>
        <w:numPr>
          <w:ilvl w:val="3"/>
          <w:numId w:val="1"/>
        </w:numPr>
        <w:rPr/>
      </w:pPr>
      <w:bookmarkStart w:id="604" w:name="__RefHeading___Toc2087867_388300464"/>
      <w:bookmarkStart w:id="605" w:name="_Toc239"/>
      <w:bookmarkEnd w:id="604"/>
      <w:r>
        <w:rPr>
          <w:rtl w:val="true"/>
        </w:rPr>
        <w:t>حکم عرق الإبل الجلالة</w:t>
      </w:r>
      <w:bookmarkEnd w:id="6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6" w:name="__RefHeading___Toc2087869_388300464"/>
      <w:bookmarkStart w:id="607" w:name="_Toc240"/>
      <w:bookmarkEnd w:id="606"/>
      <w:r>
        <w:rPr>
          <w:rtl w:val="true"/>
        </w:rPr>
        <w:t>طهارة أبوال البغال والحمیر والدواب</w:t>
      </w:r>
      <w:bookmarkEnd w:id="607"/>
    </w:p>
    <w:p>
      <w:pPr>
        <w:pStyle w:val="BookText"/>
        <w:rPr/>
      </w:pPr>
      <w:r>
        <w:rPr>
          <w:rFonts w:ascii="IRNazanin" w:hAnsi="IRNazanin" w:eastAsia="IRNazanin"/>
          <w:color w:val="111111"/>
          <w:sz w:val="28"/>
          <w:sz w:val="28"/>
          <w:szCs w:val="28"/>
          <w:rtl w:val="true"/>
          <w:lang w:bidi="fa-IR"/>
        </w:rPr>
        <w:t>مکررا ، بل وفی ما هو ضروری مذهبهم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الشیخ فقد رجع عنه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یدل علیه أیضا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القوی بقاسم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أحدهما علیهماالسلام فی أبوال الدوابّ تصیب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لحومها حلالا؟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 ولکن لیس ممّا جعله الله للأکل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إذ الدلالة علی القول بثبوت الحقیقة الشرعیة فی أمثال هذه العبارات أیضا بالنسبة إلی زمان الصادقین علیهماالسلام ومن بعدهما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بعدم الثبوت فغیر خفی أنّ الظاهر منها الکراهة ، إذ النجاسة لا یعبّر عنها بهذه العبارة الرخوة التی لا دلالة فیها علی النجاسة ، فکیف یکتفی بها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للطهارة بجمیع الأخبار الدالة علی طهارة الروث ، لعدم القائل بالفصل ، فیکون الأمر بغسل البول محمولا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الإغماض عن حجّیته فلا شکّ فی کونه من جملة المؤیّدات للطهارة والمرجّحات لدلیلها والجابرات لضعف السند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هذه الروایات مخالفة لمذهب العامّة جمیعا ، بخلاف ما دل علی النجاسة ، فإنّها تحمل علی التقیة ، لموافقتها لمذهب بعض العامّة </w:t>
      </w:r>
      <w:r>
        <w:rPr>
          <w:rStyle w:val="FootnoteAnchor"/>
          <w:rtl w:val="true"/>
        </w:rPr>
        <w:footnoteReference w:id="652"/>
      </w:r>
      <w:r>
        <w:rPr>
          <w:rFonts w:ascii="IRNazanin" w:hAnsi="IRNazanin" w:eastAsia="IRNazanin"/>
          <w:color w:val="111111"/>
          <w:sz w:val="28"/>
          <w:sz w:val="28"/>
          <w:szCs w:val="28"/>
          <w:rtl w:val="true"/>
          <w:lang w:bidi="fa-IR"/>
        </w:rPr>
        <w:t xml:space="preserve">، ولعلّه المذهب الشائع فی وقت صدور الأخبار فی البلد الذی صدر عنه الخبر ، أو بلد الراوی ، فإنّ ذلک هو المعتبر فی الحمل علی </w:t>
      </w:r>
      <w:bookmarkStart w:id="608" w:name="pg14966_204163"/>
    </w:p>
    <w:p>
      <w:pPr>
        <w:pStyle w:val="BookText"/>
        <w:rPr/>
      </w:pPr>
      <w:bookmarkEnd w:id="608"/>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 الحمل علی التقیة أنّ من العامّة من یقول بحرمة لحوم هذه الحیوانات </w:t>
      </w:r>
      <w:r>
        <w:rPr>
          <w:rStyle w:val="FootnoteAnchor"/>
          <w:rtl w:val="true"/>
        </w:rPr>
        <w:footnoteReference w:id="6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یعضد هذه الأخبار عموم حسنة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الطهارة دلالة واضحة موثقة ابن بکیر الآتیة فی کتاب الصلاة فی بحث لباس المصلی </w:t>
      </w:r>
      <w:r>
        <w:rPr>
          <w:rStyle w:val="FootnoteAnchor"/>
          <w:rtl w:val="true"/>
        </w:rPr>
        <w:footnoteReference w:id="654"/>
      </w:r>
      <w:r>
        <w:rPr>
          <w:rFonts w:ascii="IRNazanin" w:hAnsi="IRNazanin" w:eastAsia="IRNazanin"/>
          <w:color w:val="111111"/>
          <w:sz w:val="28"/>
          <w:sz w:val="28"/>
          <w:szCs w:val="28"/>
          <w:rtl w:val="true"/>
          <w:lang w:bidi="fa-IR"/>
        </w:rPr>
        <w:t>، فلاحظ الموثّقة من أوّلها إلی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الروایة لم یذکرها فی المدارک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الشهرة العظیمة التی کادت أن تکون اتفاق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أشرنا إلیه فی الحاشیة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تجبر ضعفها ، بل ربما کانت أقوی من بعض التوثیقات ، بل ومن کثیر منها ، کما لا یخفی علی المطّلع علی الرجال ، فإنّ المدار فیها علی الظنون ، وترجیحاتها علی الظنون الضعیفة ، وبسطنا الکلام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الاطّلاع فلیرجع إلی تعلیقتنا علی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رحمه الله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الحکم بن مسکین قوی ، بل ربما حکموا بصحة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عمّار قد بسطنا الکلام فیه فی الرجال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2087871_388300464"/>
      <w:bookmarkStart w:id="610" w:name="_Toc241"/>
      <w:bookmarkEnd w:id="609"/>
      <w:r>
        <w:rPr>
          <w:rtl w:val="true"/>
        </w:rPr>
        <w:t>أدلّة القائلین بعدم النجاسة</w:t>
      </w:r>
      <w:bookmarkEnd w:id="6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1" w:name="__RefHeading___Toc2087873_388300464"/>
      <w:bookmarkStart w:id="612" w:name="_Toc242"/>
      <w:bookmarkEnd w:id="611"/>
      <w:r>
        <w:rPr>
          <w:rtl w:val="true"/>
        </w:rPr>
        <w:t>بحث رجالی حول الحکم بن مسکین</w:t>
      </w:r>
      <w:bookmarkStart w:id="613" w:name="pg14966_204164"/>
      <w:bookmarkEnd w:id="612"/>
    </w:p>
    <w:p>
      <w:pPr>
        <w:pStyle w:val="BookText"/>
        <w:rPr/>
      </w:pPr>
      <w:bookmarkEnd w:id="613"/>
      <w:r>
        <w:rPr>
          <w:rFonts w:ascii="IRNazanin" w:hAnsi="IRNazanin" w:eastAsia="IRNazanin"/>
          <w:color w:val="111111"/>
          <w:sz w:val="28"/>
          <w:sz w:val="28"/>
          <w:szCs w:val="28"/>
          <w:rtl w:val="true"/>
          <w:lang w:bidi="fa-IR"/>
        </w:rPr>
        <w:t xml:space="preserve">وأمّا روایة أبی الأغر ، فقد رواها الصدوق فی الفقیه </w:t>
      </w:r>
      <w:r>
        <w:rPr>
          <w:rStyle w:val="FootnoteAnchor"/>
          <w:rtl w:val="true"/>
        </w:rPr>
        <w:footnoteReference w:id="660"/>
      </w:r>
      <w:r>
        <w:rPr>
          <w:rFonts w:ascii="IRNazanin" w:hAnsi="IRNazanin" w:eastAsia="IRNazanin"/>
          <w:color w:val="111111"/>
          <w:sz w:val="28"/>
          <w:sz w:val="28"/>
          <w:szCs w:val="28"/>
          <w:rtl w:val="true"/>
          <w:lang w:bidi="fa-IR"/>
        </w:rPr>
        <w:t xml:space="preserve">، مع أنّه قال فی أوّل الفقیه ما قال ، ورواه الکلینی أیضا </w:t>
      </w:r>
      <w:r>
        <w:rPr>
          <w:rStyle w:val="FootnoteAnchor"/>
          <w:rtl w:val="true"/>
        </w:rPr>
        <w:footnoteReference w:id="661"/>
      </w:r>
      <w:r>
        <w:rPr>
          <w:rFonts w:ascii="IRNazanin" w:hAnsi="IRNazanin" w:eastAsia="IRNazanin"/>
          <w:color w:val="111111"/>
          <w:sz w:val="28"/>
          <w:sz w:val="28"/>
          <w:szCs w:val="28"/>
          <w:rtl w:val="true"/>
          <w:lang w:bidi="fa-IR"/>
        </w:rPr>
        <w:t>، مع أنّه قال فی أوّل کتابه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الأغر یروی عنه صفوان وابن أبی عمیر ، وهما ممّن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لا یرویان إلاّ عن الثقات </w:t>
      </w:r>
      <w:r>
        <w:rPr>
          <w:rStyle w:val="FootnoteAnchor"/>
          <w:rtl w:val="true"/>
        </w:rPr>
        <w:footnoteReference w:id="662"/>
      </w:r>
      <w:r>
        <w:rPr>
          <w:rFonts w:ascii="IRNazanin" w:hAnsi="IRNazanin" w:eastAsia="IRNazanin"/>
          <w:color w:val="111111"/>
          <w:sz w:val="28"/>
          <w:sz w:val="28"/>
          <w:szCs w:val="28"/>
          <w:rtl w:val="true"/>
          <w:lang w:bidi="fa-IR"/>
        </w:rPr>
        <w:t>، مع أنّهما ممّن أجمعت العصابة ، هذا ، مضافا إلی ما ذکرت فی الحاشیة السابقة ، فإنّه یعیّن العمل بهذین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یصلح معارضا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الصلاحیة إنّما یکون إذا لم یکن یوافقه أخبار خاصّة أخر ، سیّما مع انضمام تلک الأخبار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الأصل السالم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طهارة الروث ما ورد من المنع عن الاستنجاء بالروث </w:t>
      </w:r>
      <w:r>
        <w:rPr>
          <w:rStyle w:val="FootnoteAnchor"/>
          <w:rtl w:val="true"/>
        </w:rPr>
        <w:footnoteReference w:id="663"/>
      </w:r>
      <w:r>
        <w:rPr>
          <w:rFonts w:ascii="IRNazanin" w:hAnsi="IRNazanin" w:eastAsia="IRNazanin"/>
          <w:color w:val="111111"/>
          <w:sz w:val="28"/>
          <w:sz w:val="28"/>
          <w:szCs w:val="28"/>
          <w:rtl w:val="true"/>
          <w:lang w:bidi="fa-IR"/>
        </w:rPr>
        <w:t>، فإنّه کالصریح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له فی ذلک علی مستند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إطلاقات الأخبار وصریح بعضها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ذلک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وادعی ابن إدریس الإجماع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مساجدکم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Heading4"/>
        <w:numPr>
          <w:ilvl w:val="3"/>
          <w:numId w:val="1"/>
        </w:numPr>
        <w:rPr/>
      </w:pPr>
      <w:bookmarkStart w:id="614" w:name="__RefHeading___Toc2087875_388300464"/>
      <w:bookmarkStart w:id="615" w:name="_Toc243"/>
      <w:bookmarkEnd w:id="614"/>
      <w:r>
        <w:rPr>
          <w:rtl w:val="true"/>
        </w:rPr>
        <w:t>بحث رجالی فی أبی الأغر النخاس</w:t>
      </w:r>
      <w:bookmarkEnd w:id="615"/>
    </w:p>
    <w:p>
      <w:pPr>
        <w:pStyle w:val="Heading4"/>
        <w:numPr>
          <w:ilvl w:val="3"/>
          <w:numId w:val="1"/>
        </w:numPr>
        <w:rPr/>
      </w:pPr>
      <w:bookmarkStart w:id="616" w:name="__RefHeading___Toc2087877_388300464"/>
      <w:bookmarkStart w:id="617" w:name="_Toc244"/>
      <w:bookmarkEnd w:id="616"/>
      <w:r>
        <w:rPr>
          <w:rtl w:val="true"/>
        </w:rPr>
        <w:t>طهارة أرواث البغال والحمیر والدواب</w:t>
      </w:r>
      <w:bookmarkEnd w:id="617"/>
    </w:p>
    <w:p>
      <w:pPr>
        <w:pStyle w:val="Heading3"/>
        <w:numPr>
          <w:ilvl w:val="2"/>
          <w:numId w:val="1"/>
        </w:numPr>
        <w:rPr/>
      </w:pPr>
      <w:bookmarkStart w:id="618" w:name="__RefHeading___Toc2087879_388300464"/>
      <w:bookmarkStart w:id="619" w:name="_Toc245"/>
      <w:bookmarkEnd w:id="618"/>
      <w:r>
        <w:rPr>
          <w:rtl w:val="true"/>
        </w:rPr>
        <w:t>أحکام النجاسات</w:t>
      </w:r>
      <w:bookmarkEnd w:id="619"/>
    </w:p>
    <w:p>
      <w:pPr>
        <w:pStyle w:val="Heading4"/>
        <w:numPr>
          <w:ilvl w:val="3"/>
          <w:numId w:val="1"/>
        </w:numPr>
        <w:rPr/>
      </w:pPr>
      <w:bookmarkStart w:id="620" w:name="__RefHeading___Toc2087881_388300464"/>
      <w:bookmarkStart w:id="621" w:name="_Toc246"/>
      <w:bookmarkEnd w:id="620"/>
      <w:r>
        <w:rPr>
          <w:rtl w:val="true"/>
        </w:rPr>
        <w:t>وجوب إزالة النجاسة عن الثوب والبدن للصلاة ونحوها</w:t>
      </w:r>
      <w:bookmarkEnd w:id="62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2" w:name="__RefHeading___Toc2087883_388300464"/>
      <w:bookmarkStart w:id="623" w:name="_Toc247"/>
      <w:bookmarkEnd w:id="622"/>
      <w:r>
        <w:rPr>
          <w:rtl w:val="true"/>
        </w:rPr>
        <w:t>وجوب إزالة النجاسة عن المساجد</w:t>
      </w:r>
      <w:bookmarkEnd w:id="623"/>
    </w:p>
    <w:p>
      <w:pPr>
        <w:pStyle w:val="BookText"/>
        <w:rPr/>
      </w:pPr>
      <w:r>
        <w:rPr>
          <w:rFonts w:ascii="IRNazanin" w:hAnsi="IRNazanin" w:eastAsia="IRNazanin"/>
          <w:color w:val="111111"/>
          <w:sz w:val="28"/>
          <w:sz w:val="28"/>
          <w:szCs w:val="28"/>
          <w:rtl w:val="true"/>
          <w:lang w:bidi="fa-IR"/>
        </w:rPr>
        <w:t xml:space="preserve">ویؤیّده الأمر بتعاهد النعل </w:t>
      </w:r>
      <w:r>
        <w:rPr>
          <w:rStyle w:val="FootnoteAnchor"/>
          <w:rtl w:val="true"/>
        </w:rPr>
        <w:footnoteReference w:id="665"/>
      </w:r>
      <w:r>
        <w:rPr>
          <w:rFonts w:ascii="IRNazanin" w:hAnsi="IRNazanin" w:eastAsia="IRNazanin"/>
          <w:color w:val="111111"/>
          <w:sz w:val="28"/>
          <w:sz w:val="28"/>
          <w:szCs w:val="28"/>
          <w:rtl w:val="true"/>
          <w:lang w:bidi="fa-IR"/>
        </w:rPr>
        <w:t xml:space="preserve">، ومنع الکفّار عن دخوله فی الأعصار والأمصار ، والأمر بتعظیم شعائر الله ، والمنع عن تمکین الصبیان والمجانین </w:t>
      </w:r>
      <w:r>
        <w:rPr>
          <w:rStyle w:val="FootnoteAnchor"/>
          <w:rtl w:val="true"/>
        </w:rPr>
        <w:footnoteReference w:id="666"/>
      </w:r>
      <w:r>
        <w:rPr>
          <w:rFonts w:ascii="IRNazanin" w:hAnsi="IRNazanin" w:eastAsia="IRNazanin"/>
          <w:color w:val="111111"/>
          <w:sz w:val="28"/>
          <w:sz w:val="28"/>
          <w:szCs w:val="28"/>
          <w:rtl w:val="true"/>
          <w:lang w:bidi="fa-IR"/>
        </w:rPr>
        <w:t xml:space="preserve">، والنهی عن دخولها إلاّ طاهرا </w:t>
      </w:r>
      <w:r>
        <w:rPr>
          <w:rStyle w:val="FootnoteAnchor"/>
          <w:rtl w:val="true"/>
        </w:rPr>
        <w:footnoteReference w:id="667"/>
      </w:r>
      <w:r>
        <w:rPr>
          <w:rFonts w:ascii="IRNazanin" w:hAnsi="IRNazanin" w:eastAsia="IRNazanin"/>
          <w:color w:val="111111"/>
          <w:sz w:val="28"/>
          <w:sz w:val="28"/>
          <w:szCs w:val="28"/>
          <w:rtl w:val="true"/>
          <w:lang w:bidi="fa-IR"/>
        </w:rPr>
        <w:t xml:space="preserve">، وعن البصاق فیها </w:t>
      </w:r>
      <w:r>
        <w:rPr>
          <w:rStyle w:val="FootnoteAnchor"/>
          <w:rtl w:val="true"/>
        </w:rPr>
        <w:footnoteReference w:id="668"/>
      </w:r>
      <w:r>
        <w:rPr>
          <w:rFonts w:ascii="IRNazanin" w:hAnsi="IRNazanin" w:eastAsia="IRNazanin"/>
          <w:color w:val="111111"/>
          <w:sz w:val="28"/>
          <w:sz w:val="28"/>
          <w:szCs w:val="28"/>
          <w:rtl w:val="true"/>
          <w:lang w:bidi="fa-IR"/>
        </w:rPr>
        <w:t xml:space="preserve">، والأمر بجعل المطاهر علی أبوابها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حرمة تنجیسها فإجماعی ، بل ربما کان بدیهی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الدلیل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الدلیل هو عدم القول بالفصل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واقع علی منع الکفّار مطلقا ، مع الخلاف فی أنّ الحرام هو إدخال المسری أو مطلقا ، ومع هذا لا یتأتّی التمسّک بعدم القائل بالفصل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تفریع عدم قربهم للمسجد علی النجاسة دلیل علی أنّ نجاستهم من حیث هی هی مانعة ، فهذا من باب منصوص العلّة ،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یقربوا المسجد الحرام لأنّهم نجسون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الظفر بالقائل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تمّ ما ذکره هنا امتنع استناده بعدم القول بالفرق فی المواضع التی استند فیها ، وقد مرّ کثیرا ، وسیجی‌ء أیضا ، وما نحن فیه لیس بأدون من تلک </w:t>
      </w:r>
      <w:bookmarkStart w:id="624" w:name="pg14966_204166"/>
    </w:p>
    <w:p>
      <w:pPr>
        <w:pStyle w:val="BookText"/>
        <w:rPr/>
      </w:pPr>
      <w:bookmarkEnd w:id="624"/>
      <w:r>
        <w:rPr>
          <w:rFonts w:ascii="IRNazanin" w:hAnsi="IRNazanin" w:eastAsia="IRNazanin"/>
          <w:color w:val="111111"/>
          <w:sz w:val="28"/>
          <w:sz w:val="28"/>
          <w:szCs w:val="28"/>
          <w:rtl w:val="true"/>
          <w:lang w:bidi="fa-IR"/>
        </w:rPr>
        <w:t>المواضع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به الامتثال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ربما کان بعیدا ، نعم بعد ملاحظة المعارض یقرب هذا الاحتمال ، ویحتمل أن یراد من المساجد موضع الجبهة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الشیخ فی الخلاف من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ما دل علی جواز الجنب أیضا ، وعدم حرمة تمکین المجانین والصبیان ، والإجماع الذی نقله الشهید علی جواز دخول الحیّض من النساء ، وکذا الصبیان </w:t>
      </w:r>
      <w:r>
        <w:rPr>
          <w:rStyle w:val="FootnoteAnchor"/>
          <w:rtl w:val="true"/>
        </w:rPr>
        <w:footnoteReference w:id="671"/>
      </w:r>
      <w:r>
        <w:rPr>
          <w:rFonts w:ascii="IRNazanin" w:hAnsi="IRNazanin" w:eastAsia="IRNazanin"/>
          <w:color w:val="111111"/>
          <w:sz w:val="28"/>
          <w:sz w:val="28"/>
          <w:szCs w:val="28"/>
          <w:rtl w:val="true"/>
          <w:lang w:bidi="fa-IR"/>
        </w:rPr>
        <w:t xml:space="preserve">، والأخبار الدالّة علی جواز اجتیازهنّ والجنب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أیضا ، العمومات الدالّة علی الحثّ والتحریض علی الصلاة فی المساجد ، وخلف الإمام جماعة ، الشاملة لمن به القروح والجروح الدامیة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عدم استثناء هؤلاء فی من استثنی من وجوب الحضور إلی صلاة الجمعة ، مثل المریض والأعرج والمرأة وغیرهم ، مع أنّ المعهود والمتعارف وقوع صلاة الجمعة فی المساجد ، بل کان المتعین فی مکّة والمدینة والکوفة صلاة الجمعة فی مساجدها المعهودة ، وکذا الحال فی صلاة العیدین فی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إدخال مطلق النجاسة حراما لتوجه الشارع إلی حال من به القروح والجروح وأمثاله فی صلاة الجمعة والعیدین ، بل والجماعة أیضا ، بأن یصدر منه استثناء هؤلاء ، أو یأمر بأن تقع الصلاة خارج المسجد ، کی یتأتّی لأمثال هؤلاء الحضور ، ولو فعل أحد الأمرین لاشتهر فی الأعصار والأمصار ، مع أنّ المشهور بین المسلمین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2087885_388300464"/>
      <w:bookmarkStart w:id="626" w:name="_Toc248"/>
      <w:bookmarkEnd w:id="625"/>
      <w:r>
        <w:rPr>
          <w:rtl w:val="true"/>
        </w:rPr>
        <w:t>حکم إدخال النجاسة الغیر المتعدیة إلی المسجد أو فرشه</w:t>
      </w:r>
      <w:bookmarkStart w:id="627" w:name="pg14966_204167"/>
      <w:bookmarkEnd w:id="626"/>
    </w:p>
    <w:p>
      <w:pPr>
        <w:pStyle w:val="BookText"/>
        <w:rPr/>
      </w:pPr>
      <w:bookmarkEnd w:id="627"/>
      <w:r>
        <w:rPr>
          <w:rFonts w:ascii="IRNazanin" w:hAnsi="IRNazanin" w:eastAsia="IRNazanin"/>
          <w:color w:val="111111"/>
          <w:sz w:val="28"/>
          <w:sz w:val="28"/>
          <w:szCs w:val="28"/>
          <w:rtl w:val="true"/>
          <w:lang w:bidi="fa-IR"/>
        </w:rPr>
        <w:t xml:space="preserve">إلی الأخبار الحاصرة للاستثناء فی الجماعة المذکورین فیها </w:t>
      </w:r>
      <w:r>
        <w:rPr>
          <w:rStyle w:val="FootnoteAnchor"/>
          <w:rtl w:val="true"/>
        </w:rPr>
        <w:footnoteReference w:id="673"/>
      </w:r>
      <w:r>
        <w:rPr>
          <w:rFonts w:ascii="IRNazanin" w:hAnsi="IRNazanin" w:eastAsia="IRNazanin"/>
          <w:color w:val="111111"/>
          <w:sz w:val="28"/>
          <w:sz w:val="28"/>
          <w:szCs w:val="28"/>
          <w:rtl w:val="true"/>
          <w:lang w:bidi="fa-IR"/>
        </w:rPr>
        <w:t>، وکذلک فتاوی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باستثناء هؤلاء فی إدخال النجاسة ، بأنّ هؤلاء لا یحرم علیهم الدخول ، أو یقال بأنّ حرمة دخولهم المساجد کانت فی الظهور بحیث لم یتحقّق الاحتیاج إلی التعرض للاستثناء ، وإنّ استثناءهم کان بحیث لم یحتج إلی مراعاة حالهم ، بأنّ یفعل الجماعة والصلاة خارجا عن المسجد ، لکنّه بعید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توقّف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کما ذکروه ، بالنظر إلی الظاهر من الإجماع وغیره من الأدلة ، وقد أشیر إلیه ، بل التوقّف إن کان لعموم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نجد له وجها ،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والأصحاب عملوا به ، وبناؤهم علی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من أدخلها یتعین علیه الإخراج لا یمنع وجوب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امتناع فی أن یقول الشارع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التصریح والإطلاق ، إذ لعلّه عند الإطلاق یظهر من حال الآمر أنّه کاره للضد والمانع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سیذکر وإن کان یجیب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التصریح ، فإنّه لا مجال للقول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کان یظهر من کلام القائل وأدلته أنّه یدّعی استحالة عدم النهی عن الضدّ یتوجه علیه ما ذکره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بطلان رأیهم أنّه لو کان الأمر کما یقولون لزم بطلان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8" w:name="__RefHeading___Toc2087887_388300464"/>
      <w:bookmarkStart w:id="629" w:name="_Toc249"/>
      <w:bookmarkEnd w:id="628"/>
      <w:r>
        <w:rPr>
          <w:rtl w:val="true"/>
        </w:rPr>
        <w:t>تحقیق فی أنّ الأمر بالشیء هل یقتضی النهی عن ضدّه أو لا؟</w:t>
      </w:r>
      <w:bookmarkEnd w:id="629"/>
    </w:p>
    <w:p>
      <w:pPr>
        <w:pStyle w:val="BookText"/>
        <w:rPr/>
      </w:pPr>
      <w:r>
        <w:rPr>
          <w:rFonts w:ascii="IRNazanin" w:hAnsi="IRNazanin" w:eastAsia="IRNazanin"/>
          <w:color w:val="111111"/>
          <w:sz w:val="28"/>
          <w:sz w:val="28"/>
          <w:szCs w:val="28"/>
          <w:rtl w:val="true"/>
          <w:lang w:bidi="fa-IR"/>
        </w:rPr>
        <w:t>صلاة عامّة الناس ، وعدم جوازها إلاّ فی آخر الوقت بمقدار أدائها ، وکذا الحال فی أمثال الصلاة ، إذ لا یکاد یتحقّق من لا یکون علیه واجب مضیّق ، مثل معرفة أصول الدین بالدلیل ، وفروعه ممّا یتعلق بالتکالیف التی یجب علیه امتثالها بالأخذ عن المجتهد ، والتوبة بأداء حقوق الناس وإرضائهم ، وطلب العفو والحلّیة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أیضا عدم جواز القصر فی الصوم والصلاة إلاّ لأوحدیّ الناس ، وأمثال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خلاف المستفاد من الآیات والأخبار ، وطریقة المسلمین فی الأعصار والأمصار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الضدّ العام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الجزء متحقّق فی ضمن قصد الجمیع ، أو المجموع ، غایة الأمر أنّه لیس علی حدّة ، بل عدم تجویز الترک إنّما هو فصل ومقوّم لا یکون له وجود مغایر ولا امتیاز ، بل وجوده عین وجود الکل ، کما هو الحال فی الأجزاء العقلیة ، فإنّ الکل موجود واحد بسیط ، إنّما الأجزاء فی ظرف تحلیل العقل ، وإلاّ حین ما یسمع اللفظ لا یخطر فی الذهن إلاّ صورة واحدة بسیطة ، فقصد الجزء عین قصد الکل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امتناع ذلک الواجب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وجود الصارف وانتفاء الداعی إنما هما من أفعاله الاختیاریة ، وهو قادر علی إزالة الصارف وإیجاد الداعی ، ویجب علیه أن یجعل المقدّمة وسیلة إلی المطلوب ، بل کل واحد من إزالة الصارف وإیجاد الداعی أیضا من مقدّمات الواجب المطلق ومقدور المکلف ، فیجب ، ویجب التوصّل بکل واحد منهما إلی ذی المقدّمة من دون فرق بین المقدّمات ، مع أنّ القائل بوجوب المقدّمة یقول بوجوبها مطلقا من غیر قید ، فکذا دلیله یقتضی الوجوب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630" w:name="pg14966_204169"/>
    </w:p>
    <w:p>
      <w:pPr>
        <w:pStyle w:val="BookText"/>
        <w:rPr/>
      </w:pPr>
      <w:bookmarkEnd w:id="6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السبب ، فی ما ذکره رحمه الله رجوع عن القول بوجوب ما لا یتمّ الواجب إلاّ به إلی القول بوجوب خصوص السبب منها ، والمشهور من المنکرین عدم إنکار هذا ، فهو رجوع إلی قول المنکرین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اختیار الشق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 اختیار الشقّ الأوّل ، ومنع استحالة التکلیف بالضدّین إذا کان التکلیف بأحدهما موسّعا ، إذ محلّ النزاع لیس إلاّ هذا ، فکما لا یستحیل التکلیف بالضدّین إذا کان التکلیف بأحدهما موسّعا إجماعا فکذا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إعادة علیک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علیک ما لم یزد علی مقدار الدرهم ، وما کان أقلّ من ذلک فلیس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یعضد الأوّل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الأوّل فلما أشرنا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الأمر وإن کان کما یقول من أنّ الظاهر أنّ ابن مسلم لا یروی عن غیر المعصوم ، لکن الظاهر لا یقاوم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روایة ابن مسلم حسنة فلا تقاوم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 مقتضاها العموم سیّما وقدر الدرهم من أفراده النادرة غایة الندرة ، فلا یکون داخلا فیه ، فتأمّل ، والعموم لا یعارض الخصوص</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2087889_388300464"/>
      <w:bookmarkStart w:id="632" w:name="_Toc250"/>
      <w:bookmarkEnd w:id="631"/>
      <w:r>
        <w:rPr>
          <w:rtl w:val="true"/>
        </w:rPr>
        <w:t>العفو عما دون الدرهم من الدم فی الصلاة</w:t>
      </w:r>
      <w:bookmarkEnd w:id="632"/>
    </w:p>
    <w:p>
      <w:pPr>
        <w:pStyle w:val="BookText"/>
        <w:rPr/>
      </w:pPr>
      <w:r>
        <w:rPr>
          <w:rFonts w:ascii="IRNazanin" w:hAnsi="IRNazanin" w:eastAsia="IRNazanin"/>
          <w:color w:val="111111"/>
          <w:sz w:val="28"/>
          <w:sz w:val="28"/>
          <w:szCs w:val="28"/>
          <w:rtl w:val="true"/>
          <w:lang w:bidi="fa-IR"/>
        </w:rPr>
        <w:t>والمنصوص ، حیث صرّح فی صحیحة ابن أبی یعفور بالغسل وإعادة الصلاة إن کان قدر الدرهم ، وأیضا صحیحة ابن أبی یعفور معتضدة بالعمومات وبروایة جمیل التی هی أیضا صریحة ، بخلاف روایة إسماعیل فإنّه لا دلالة فیها أصلا ، فضلا عن الصراحة ، لأنّ الظاهر منها عدم تحقّق مقدار الدرهم بحسب التعارف ، وهو کذلک ، إذ وقوع الدم بحیث لا یزید عن قدر الدرهم أصلا ولا ینقص ، من الفروض النادرة جدّا ، وکذا الحال فی ضرب الدرهم وتحقّق السعة منه ، فما فی بعض الأخبار من لفظ الدرهم وقدره فإنّما هو بحسب التخمین ، وما فی البعض الآخر من التعرض لخصوص الأقل أو الأکثر فإنّما هو بالنظر إلی التحقّق بحسب الواقع ونفس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الأوقات کانت مختلفة فی تحقّق السعة فی الضرب ، کما هو المشاهد فی أمثال زماننا ، ولهذا اختلفت الأخبار ، بأن کان فی بعض الأوقات لم یتحقّق انضباط غالب ، فحکموا بالأقل والأکثر فقط ، وفی بعض الأوقات کان یتحقّق ، أما بسعة زائدة فحکموا بوجوب الغسل والإعادة ، أو بسعة ناقصة فحکموا بوجوب غسل ما زاد والإعادة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الدرهم فی ما دل علی وجوب إزالته هو الوافی ، وما دل علی عدم الإزالة هو الدرهم المتداول فی زمانهم علیهم السلام ، أعنی غیر الوافی علی ما سنشیر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الصدوق والمفید إنّما أخذاه من الفقه الرضوی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633" w:name="pg14966_204171"/>
    </w:p>
    <w:p>
      <w:pPr>
        <w:pStyle w:val="BookText"/>
        <w:rPr/>
      </w:pPr>
      <w:bookmarkEnd w:id="63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متقدّم علی زمن الصادق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العامّة أیضا رووا عن النبی صلی الله علیه و آله هذا الحکم ، وأنّه لو کان أقل فلا بأس ، وإذا کان درهما أو أکثر یجب غسله </w:t>
      </w:r>
      <w:r>
        <w:rPr>
          <w:rStyle w:val="FootnoteAnchor"/>
          <w:rtl w:val="true"/>
        </w:rPr>
        <w:footnoteReference w:id="677"/>
      </w:r>
      <w:r>
        <w:rPr>
          <w:rFonts w:ascii="IRNazanin" w:hAnsi="IRNazanin" w:eastAsia="IRNazanin"/>
          <w:color w:val="111111"/>
          <w:sz w:val="28"/>
          <w:sz w:val="28"/>
          <w:szCs w:val="28"/>
          <w:rtl w:val="true"/>
          <w:lang w:bidi="fa-IR"/>
        </w:rPr>
        <w:t>، فلعلّ هذا کان مشهورا معروفا منه ، فلذا قال الصادق علیه السلام أیضا کذلک ، مع أنّه غیر معلوم هذا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الدرهم الوافی کان له منشأ ، کما ذکرنا ، فلیحمل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دم الحیض</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أیضا 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دم الحیض فاغسل ثوبک منه ، ومن البول والمنی قلّ أو کثر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لم تبصره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یبصر ، أنّه لم یبصر من جهة القلّة ، بشهادة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قلیله وکثیره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 الجهل لا خصوصیة له بالدم ، فتأمّل ، ولأنّ أحدا من الأصحاب لم یقل بأنّ الجهل فی دم الحیض یوجب إعادة الصلاة ، وفی غیره من الدماء لا إعادة فیه ، فهذا الحدیث مع ما نقلناه من الفقه الرضوی وما سنذکره أیضا دلیل ، مضافا إلی عدم عموم لغوی فی الدم الذی عفی عن أقل الدرهم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عدّة أخبار من أنّ الحائض تصلّی فی ثیابها ما لم یصبها دمها </w:t>
      </w:r>
      <w:r>
        <w:rPr>
          <w:rStyle w:val="FootnoteAnchor"/>
          <w:rtl w:val="true"/>
        </w:rPr>
        <w:footnoteReference w:id="679"/>
      </w:r>
      <w:r>
        <w:rPr>
          <w:rFonts w:ascii="IRNazanin" w:hAnsi="IRNazanin" w:eastAsia="IRNazanin"/>
          <w:color w:val="111111"/>
          <w:sz w:val="28"/>
          <w:sz w:val="28"/>
          <w:szCs w:val="28"/>
          <w:rtl w:val="true"/>
          <w:lang w:bidi="fa-IR"/>
        </w:rPr>
        <w:t xml:space="preserve">، وما ورد فی الأخبار من الأمر بالصبغ بمشق إذا بقی أثره </w:t>
      </w:r>
      <w:r>
        <w:rPr>
          <w:rStyle w:val="FootnoteAnchor"/>
          <w:rtl w:val="true"/>
        </w:rPr>
        <w:footnoteReference w:id="680"/>
      </w:r>
      <w:r>
        <w:rPr>
          <w:rFonts w:ascii="IRNazanin" w:hAnsi="IRNazanin" w:eastAsia="IRNazanin"/>
          <w:color w:val="111111"/>
          <w:sz w:val="28"/>
          <w:sz w:val="28"/>
          <w:szCs w:val="28"/>
          <w:rtl w:val="true"/>
          <w:lang w:bidi="fa-IR"/>
        </w:rPr>
        <w:t>، ربما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2087891_388300464"/>
      <w:bookmarkStart w:id="635" w:name="_Toc251"/>
      <w:bookmarkEnd w:id="634"/>
      <w:r>
        <w:rPr>
          <w:rtl w:val="true"/>
        </w:rPr>
        <w:t>عدم العفو عن الدماء الثلاثة فی الصلاة</w:t>
      </w:r>
      <w:bookmarkEnd w:id="635"/>
    </w:p>
    <w:p>
      <w:pPr>
        <w:pStyle w:val="BookText"/>
        <w:rPr/>
      </w:pPr>
      <w:r>
        <w:rPr>
          <w:rFonts w:ascii="IRNazanin" w:hAnsi="IRNazanin" w:eastAsia="IRNazanin"/>
          <w:color w:val="111111"/>
          <w:sz w:val="28"/>
          <w:sz w:val="28"/>
          <w:szCs w:val="28"/>
          <w:rtl w:val="true"/>
          <w:lang w:bidi="fa-IR"/>
        </w:rPr>
        <w:t>یکون فیه تأیید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 ضعف سندها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الضعف منجبر بعمل الأصحاب ، وکذا الوقف ، فإنّ الظاهر أنّه ما رواه إلاّ عن المعصوم علیه السلام ، فتأمّل ، مع أنّه ورد فی بعض النسخ زیادة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وأبی عبد الله علیهماالسلام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 الشیخ رحمه الله دم الاستحاضة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الاستدلال علی إثباته بما مرّ فی مبحث الاستحاضة من دعوی الإجماع علی وجوب تغییر القطنة والخرقة إذا وصل الدم إلیها </w:t>
      </w:r>
      <w:r>
        <w:rPr>
          <w:rStyle w:val="FootnoteAnchor"/>
          <w:rtl w:val="true"/>
        </w:rPr>
        <w:footnoteReference w:id="682"/>
      </w:r>
      <w:r>
        <w:rPr>
          <w:rFonts w:ascii="IRNazanin" w:hAnsi="IRNazanin" w:eastAsia="IRNazanin"/>
          <w:color w:val="111111"/>
          <w:sz w:val="28"/>
          <w:sz w:val="28"/>
          <w:szCs w:val="28"/>
          <w:rtl w:val="true"/>
          <w:lang w:bidi="fa-IR"/>
        </w:rPr>
        <w:t xml:space="preserve">، والأخبار المستفیضة الدالة علی ذلک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یظهر وجوب غسل دم الحیض والنفاس بطریق أولی ، مع أنّه مرّ فی مبحث النفاس ما یشیر إلی اتحاد حکم النفاس مع الحیض ، بل وکونه حیضا فی المعنی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مجری النطق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تأمل ، لأنّ مع النطق لا یمکن التخصیص والبناء علی عدم الشمول ، وهو رحمه الله ربما یقول بعدم شمول العام للأفراد النادرة ، مع أنّ ملاحظة ما دل علی أنّ الدم المعفوّ إذا لاقاه نجاسة خارجة لم یکن معفوّا عنه ربما یمنعنا عن الحکم بدخول هذا الدم فی العموم المقتضی للعفو ، بل جعله مثل دم الحیض والاستحاضة والنفاس أیضا محل نظر ، لما عرفت ، </w:t>
      </w:r>
      <w:bookmarkStart w:id="636" w:name="pg14966_204173"/>
    </w:p>
    <w:p>
      <w:pPr>
        <w:pStyle w:val="BookText"/>
        <w:rPr/>
      </w:pPr>
      <w:bookmarkEnd w:id="636"/>
      <w:r>
        <w:rPr>
          <w:rFonts w:ascii="IRNazanin" w:hAnsi="IRNazanin" w:eastAsia="IRNazanin"/>
          <w:color w:val="111111"/>
          <w:sz w:val="28"/>
          <w:sz w:val="28"/>
          <w:szCs w:val="28"/>
          <w:rtl w:val="true"/>
          <w:lang w:bidi="fa-IR"/>
        </w:rPr>
        <w:t>ولعدم کونها مثل دم نجس العین فی الشذوذ والندرة وعدم انصراف الذهن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ضمیر یعود إلی نقط الدم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الحدیث هو هذا الاحتمال ، لأنّ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نقط </w:t>
      </w:r>
      <w:r>
        <w:rPr>
          <w:rStyle w:val="FootnoteAnchor"/>
          <w:rtl w:val="true"/>
        </w:rPr>
        <w:footnoteReference w:id="685"/>
      </w:r>
      <w:r>
        <w:rPr>
          <w:rFonts w:ascii="IRNazanin" w:hAnsi="IRNazanin" w:eastAsia="IRNazanin"/>
          <w:color w:val="111111"/>
          <w:sz w:val="28"/>
          <w:sz w:val="28"/>
          <w:szCs w:val="28"/>
          <w:rtl w:val="true"/>
          <w:lang w:bidi="fa-IR"/>
        </w:rPr>
        <w:t xml:space="preserve">الدم ،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حالا مقدّرة ، لأن هذا هو الظاهر ، لأنّ النقط المتفرّقة لا تکون مجتمعة إلاّ علی التقدیر ، فالحدیث حجّة علی المحقّق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روایة جمیل المتقدّمة ربما کانت ظاهرة فی ما ذکره ، فتأمّل ، لکنها لا تقاوم الصحیحة سندا ولا دلالة ، ولا بحسب المؤیّدات الخارجیة ، مثل العمومات الدالة علی وجوب طهارة الثوب ، والإطلاقات فی الدم الذی یجب إزالته ، وإطلاق قدر الدرهم ، والاستقراء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یدل علیه اللفظ</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عرفت وجه الدلالة ، وأنّ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بما قدّر فیه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یخفی أنّ السؤال لم یکن إلاّ عن حال النقط المتفرّقة ، فالجواب إنّما هو جواب عمّا سئل ، مع أنّه یظهر حال ما حقّق بطریق أولی ، فتأمّل ، ویظهر من الروایة وجوب الإعادة فی صورة النسیان ، وسیجی‌ء الکلام فیه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یتفاوت الحال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نظره فی هذا إلی الاستقراء ، فتأمّل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2087893_388300464"/>
      <w:bookmarkStart w:id="638" w:name="_Toc252"/>
      <w:bookmarkEnd w:id="637"/>
      <w:r>
        <w:rPr>
          <w:rtl w:val="true"/>
        </w:rPr>
        <w:t>حکم الدم المتفرق الذی یبلغ مجموعه الدرهم</w:t>
      </w:r>
      <w:bookmarkStart w:id="639" w:name="pg14966_204174"/>
      <w:bookmarkEnd w:id="638"/>
    </w:p>
    <w:p>
      <w:pPr>
        <w:pStyle w:val="BookText"/>
        <w:rPr/>
      </w:pPr>
      <w:bookmarkEnd w:id="63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ممّا قرّرناه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ظهر لک حال ما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الدلالة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یکفی للدلالة عدم عدّ أحد من الأمة هذا من خصائصه صلی الله علیه و آله ، مع أنّ الاشتراک لعلّه الأصل ، إلاّ أن یظهر الاختصاص ، کما یظهر من المعاملة بالنسبة إلی سائر ما کلّف به ، مع أنّ الدلیل غیر منحصر فی ما ذکر ، لأن الإطلاق والعموم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مصادرة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عرفت أنّ نظره إلی الاستقراء لا أنّه مجرّد المصادرة ، ولا یخفی أنّه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نحن فیه لیس فیه تفاوت أصلا ، حتی یکون مصادرة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الظاهرة من تضاعیف مباحث النجاسات یقتضی ذلک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أشرنا إلیه سابقا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استثناء مثل التکّة والقلنسوة والکمرة </w:t>
      </w:r>
      <w:r>
        <w:rPr>
          <w:rStyle w:val="FootnoteAnchor"/>
          <w:rtl w:val="true"/>
        </w:rPr>
        <w:footnoteReference w:id="687"/>
      </w:r>
      <w:r>
        <w:rPr>
          <w:rFonts w:ascii="IRNazanin" w:hAnsi="IRNazanin" w:eastAsia="IRNazanin"/>
          <w:color w:val="111111"/>
          <w:sz w:val="28"/>
          <w:sz w:val="28"/>
          <w:szCs w:val="28"/>
          <w:rtl w:val="true"/>
          <w:lang w:bidi="fa-IR"/>
        </w:rPr>
        <w:t xml:space="preserve">والنعل والخفّ والجورب 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یتمّ فیه الصلاة منفردا ، من حیث إنّه لا یتم الصلاة فیه منفردا کما هو المستفاد من الأخبار وکلام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عموم المنع وشموله لغیر الثوب عند الأصحاب ، موافقا لمدلولات الأخبار ، فلا یضرّ ضعف الاسناد ، للانجبار بعملهم وفاقا منهم فی العمل ، علی أنّا قد أثبتنا مشروحا فی موضعه أنّ روایة الموثق حجّة ، سیّما وأن یکون مثل علی بن أسباط ، وروایة حماد فیها صفوان أیضا ، وهما ممّن أجمعت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2087895_388300464"/>
      <w:bookmarkStart w:id="641" w:name="_Toc253"/>
      <w:bookmarkEnd w:id="640"/>
      <w:r>
        <w:rPr>
          <w:rtl w:val="true"/>
        </w:rPr>
        <w:t>جواز الصلاة فیما لا تتم الصلاة فیه مع نجاسته</w:t>
      </w:r>
      <w:bookmarkStart w:id="642" w:name="pg14966_204175"/>
      <w:bookmarkEnd w:id="641"/>
    </w:p>
    <w:p>
      <w:pPr>
        <w:pStyle w:val="BookText"/>
        <w:rPr/>
      </w:pPr>
      <w:bookmarkEnd w:id="642"/>
      <w:r>
        <w:rPr>
          <w:rFonts w:ascii="IRNazanin" w:hAnsi="IRNazanin" w:eastAsia="IRNazanin"/>
          <w:color w:val="111111"/>
          <w:sz w:val="28"/>
          <w:sz w:val="28"/>
          <w:szCs w:val="28"/>
          <w:rtl w:val="true"/>
          <w:lang w:bidi="fa-IR"/>
        </w:rPr>
        <w:t>العصابة علی تصحیح ما یصح عنهم وبیّنا حجّیة ما یصح عنهم ، مع أنّ صفوان ممّن لا یروی إلاّ عن الثقات ، وقد أشرنا إلی ذلک وإلی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أن یکون علیه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کان علی الإنسان أو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ظاهران فی التعمیم والمشول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الصدوق أیضا کالنص فی الشمول وعدم الاختصاص بالثوب ، واستثناؤه العمامة معلّلا بعدم تمامیة الصلاة فیها وحده أیضا شاهد علی ما ذکرنا ، فلعل مراده العامة الصغیرة ، إذ العمامة الکبیرة یصدق علیها عرفا أنّه یجوز الصلاة فیه وحده ویتم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المحمدین الثلاث رحمهم الله رووا فی الصحیح عن العیص بن القاسم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یصلّی فی ثوب المرأة ویعتمّ بخمارها إذا کانت مأمونة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والظاهر منها المنع لو علم بنجاسته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علیها اسم الثوب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تعمم بثوب یصدق علیه أنّه ثوب یعمّم به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جبره بعظم میّت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مراده غیر ما لا یؤکل لحمه ، للمنع من الصلاة فی شی‌ء یکون ممّا لا یؤکل لحمه وإن کان طاهرا ،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أنّه صلّی فیه ، لکن سیجی‌ء الکلام فی موضعه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القول بالمنع</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خصوص المنع عن الجبر ، لا حکایة الصلاة فیه ، لأنّ الأمر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2087897_388300464"/>
      <w:bookmarkStart w:id="644" w:name="_Toc254"/>
      <w:bookmarkEnd w:id="643"/>
      <w:r>
        <w:rPr>
          <w:rtl w:val="true"/>
        </w:rPr>
        <w:t>حکم من جبر عظمه بعظم نجس</w:t>
      </w:r>
      <w:bookmarkStart w:id="645" w:name="pg14966_204176"/>
      <w:bookmarkEnd w:id="644"/>
    </w:p>
    <w:p>
      <w:pPr>
        <w:pStyle w:val="BookText"/>
        <w:rPr/>
      </w:pPr>
      <w:bookmarkEnd w:id="645"/>
      <w:r>
        <w:rPr>
          <w:rFonts w:ascii="IRNazanin" w:hAnsi="IRNazanin" w:eastAsia="IRNazanin"/>
          <w:color w:val="111111"/>
          <w:sz w:val="28"/>
          <w:sz w:val="28"/>
          <w:szCs w:val="28"/>
          <w:rtl w:val="true"/>
          <w:lang w:bidi="fa-IR"/>
        </w:rPr>
        <w:t>بالشی‌ء لیس نهیا عن ضدّه عنده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تعیینه نظر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تأمّل فی وجوب الإخراج ، کما لا یخفی علی المتأمّل فی الأخبار والأدلة الدالة علی المنع والتحریم ، إلاّ أن یرید ذلک بالقیاس إلی صحة الصلاة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 علی أنّ الغسل مفهومه خال عن العصر ، کما هو الأظهر ، فبعد تحقّق الغسل یلزم علیه الحکم بالطهارة ، لأنّ المطهّر شرعا إنّما هو الغسل ، ومفروض الکلام أیضا ذلک ، فعدم تحقّق العصر الذی لیس داخلا فی الغسل أیّ ضرر فیه؟</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وإن لم یکن داخلا فیه إلاّ أنّه ربما یتوقّف علیه ، لأنّه لیس إلاّ إخراج النجاسة أو الشی‌ء من الثوب مثلا بالماء ، وربما لا یخرج بالماء إلاّ بمعونة العصر ، کالصابون ، فإنّ استعماله خارج قطعا ، لکن ربما یتوقّف الإخراج بالماء علیه ، بل ربما یتوقّف علی أمر آخر فی القیر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حق ، إلاّ أنّه معلوم أنّ الغسالة نجسة عند المستدلّین إذا وقع الغسل فی القلیل ، فیکون حالها حال عین النجاسة ، والنجس أعمّ من نجس العین والمتنجّس ، والظاهر أنّ المراد إذا وقع الغسل بالقلیل ، علی ما یشیر إلیه الدلیل الثانی والدلیل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الغسل بالقلیل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کلام المحقّق فی ما مضی فی صدر الکتاب من الحکم بانفعال غسالة الجنب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6" w:name="__RefHeading___Toc2087899_388300464"/>
      <w:bookmarkStart w:id="647" w:name="_Toc255"/>
      <w:bookmarkEnd w:id="646"/>
      <w:r>
        <w:rPr>
          <w:rtl w:val="true"/>
        </w:rPr>
        <w:t>وجوب عصر الثیاب من النجاسات</w:t>
      </w:r>
      <w:bookmarkEnd w:id="647"/>
    </w:p>
    <w:p>
      <w:pPr>
        <w:pStyle w:val="BookText"/>
        <w:rPr/>
      </w:pPr>
      <w:r>
        <w:rPr>
          <w:rFonts w:ascii="IRNazanin" w:hAnsi="IRNazanin" w:eastAsia="IRNazanin"/>
          <w:color w:val="111111"/>
          <w:sz w:val="28"/>
          <w:sz w:val="28"/>
          <w:szCs w:val="28"/>
          <w:rtl w:val="true"/>
          <w:lang w:bidi="fa-IR"/>
        </w:rPr>
        <w:t xml:space="preserve">مطلقا ، وکذا فی ما سیجی‌ء </w:t>
      </w:r>
      <w:r>
        <w:rPr>
          <w:rStyle w:val="FootnoteAnchor"/>
          <w:rtl w:val="true"/>
        </w:rPr>
        <w:footnoteReference w:id="690"/>
      </w:r>
      <w:r>
        <w:rPr>
          <w:rFonts w:ascii="IRNazanin" w:hAnsi="IRNazanin" w:eastAsia="IRNazanin"/>
          <w:color w:val="111111"/>
          <w:sz w:val="28"/>
          <w:sz w:val="28"/>
          <w:szCs w:val="28"/>
          <w:rtl w:val="true"/>
          <w:lang w:bidi="fa-IR"/>
        </w:rPr>
        <w:t xml:space="preserve">، فلاحظ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وضعنا الثوب المتلطّخ بالعذرة مثلا فی القلیل ، وترکناه فیه إلی أنّ انماث </w:t>
      </w:r>
      <w:r>
        <w:rPr>
          <w:rStyle w:val="FootnoteAnchor"/>
          <w:rtl w:val="true"/>
        </w:rPr>
        <w:footnoteReference w:id="692"/>
      </w:r>
      <w:r>
        <w:rPr>
          <w:rFonts w:ascii="IRNazanin" w:hAnsi="IRNazanin" w:eastAsia="IRNazanin"/>
          <w:color w:val="111111"/>
          <w:sz w:val="28"/>
          <w:sz w:val="28"/>
          <w:szCs w:val="28"/>
          <w:rtl w:val="true"/>
          <w:lang w:bidi="fa-IR"/>
        </w:rPr>
        <w:t>العذرة فیه ، فصار الماء متغیّرا بلون العذرة أو رائحته ، ولم یبق فی الثوب أجزاء العذرة أصلا ، أو یبقی أجزاء فی غایة اللطافة والرقّة ممزوجة من الماء ، فأخرجنا الثوب من الماء ونشرناه علی الشمس أو الریح ، فأزالت الشمس فقط ، أو بانضمام تصفیق الریاح جمیع الماء المتغیّر بحیث لم یبق تغیّر فی الثوب ، أو بقی لکن العبرة بإزالة العین لا اللون والرائحة ، والعین أزیلت من الثوب قطعا ، لعدم بقاء شی‌ء منها أصلا ، وهذا الفرض کثیر الوقوع ، کما لا یخفی علی المطلع ، فعلی هذا وقع الإزالة بالماء بمعونة الشمس والتصفیق ، ولا شکّ فی عدم تحقّق الغسل والطهارة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وقع العصر موضع تجفیف الشمس والتصفیق ، بأنّ عصر الثوب بالماء بحیث لم یبق فیه من العین أثر ولا من الماء المتغیّر ، واکتفی بالمرّة المزیلة للعین ، فإنّه یحکم بالغسل والطهارة ، إلاّ أن یکون الاکتفاء بالمرّة عند القائل به فی صورة عدم تغیّر الغسالة ، وفی صورة التغیّر یکون حکمها حکم عین النجاسة ، فلا بدّ من غسل الثوب مرّة ثانیة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وضعنا فی الماء القلیل فلا شکّ فی أنّه ینجس عند المستدل ، فالحکم بطهارة الثوب ونجاسة الماء الذی یکون الثوب منغمرا فیه ممّا لا یجتمع عنده ، مع أنّه لا معنی للطهارة إلاّ جواز الصلاة مثلا ، ولا یجوز </w:t>
      </w:r>
    </w:p>
    <w:p>
      <w:pPr>
        <w:pStyle w:val="BookText"/>
        <w:rPr/>
      </w:pPr>
      <w:r>
        <w:rPr>
          <w:rFonts w:ascii="IRNazanin" w:hAnsi="IRNazanin" w:eastAsia="IRNazanin"/>
          <w:color w:val="111111"/>
          <w:sz w:val="28"/>
          <w:sz w:val="28"/>
          <w:szCs w:val="28"/>
          <w:rtl w:val="true"/>
          <w:lang w:bidi="fa-IR"/>
        </w:rPr>
        <w:t>الصلاة حینئذ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وقع العصر وإخراج النجاسة به تحقّق الغسل عرفا وشرعا ، وإن لم یقع العصر واخرج الثوب من دون عصر ونشر فی الشمس أو فی الریح أو ترک حتی یجفّ ، فمقتضی ما ذکر أنّه إلی حین الجفاف کان نجسا البتّة ، والشمس وغیرها لیست بمطهرة له ، لعدم معلومیة إسناد إزالة النجاسة حینئذ إلی الغسل وإخراج الماء إیّاها عن الثوب ، لو لم نقل بظهور إسناد الإخراج إلی الشمس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الثابت أنّ الغسل هو إخراج الماء شیئا علی أن یکون المخرج لذلک الشی‌ء هو الماء ، وإن کان بمعونة شی‌ء ، لا أن یکون المخرج شی‌ء آخر بمعونة الماء ، ویکون نسبة الإخراج إلیه حقیقة ، أو لا یکون الإسناد حقیقة إلی شی‌ء منهما ، بل إلی المجموع ، أو لا یعلم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لم یعلم أنّه هل حصل طهارة الثوب مع نجاسة ما یلاقیه من الغسالة وینغمر فیها أم لا کیف یمکن إسناد الإزالة والطهارة بمجرّد الملاقاة للثوب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الأصل بقاء النجاسة إلی أن یثبت المطهّر الشرعی ، فبمجرّد النشر فی الشمس ومثلها والجفاف منهما کیف یمکن الحکم بحصول الطهارة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الثوب إلی الآن نجسا ، أو لم یعلم طهارته إلی الآن ، مع أنّه لا عموم یشمل صورة التجفیف بالشمس ، والإطلاق منصرف إلی المتعارف ، وهو حصول العصر وإخراج النجاسة به ، لا بمثل التجفیف والتصفیق وغیرهما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الفقهاء یحکمون بوجوب الصبّ فی بول الصبی </w:t>
      </w:r>
    </w:p>
    <w:p>
      <w:pPr>
        <w:pStyle w:val="BookText"/>
        <w:rPr/>
      </w:pPr>
      <w:r>
        <w:rPr>
          <w:rFonts w:ascii="IRNazanin" w:hAnsi="IRNazanin" w:eastAsia="IRNazanin"/>
          <w:color w:val="111111"/>
          <w:sz w:val="28"/>
          <w:sz w:val="28"/>
          <w:szCs w:val="28"/>
          <w:rtl w:val="true"/>
          <w:lang w:bidi="fa-IR"/>
        </w:rPr>
        <w:t>لا الغسل ، مع حکمهم بوجوب إخراج عین النجاسة عن الثوب وإن کان بول الصبی ، فإذا کان الصبّ المخرج للعین صبّا لا غسلا ولا یکون إخراج عین النجاسة فارقا بل مشترکا بینهما فلا یبقی فرق آخر إلاّ العصر المتحقّق بالغمز واللیّ والکبس ، وسیجی‌ء ما یتمّ به الکلام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فی بحث الصبّ فی بول الصبی ما یظهر منه کون ذلک مسلّما عند العامة أیضا </w:t>
      </w:r>
      <w:r>
        <w:rPr>
          <w:rStyle w:val="FootnoteAnchor"/>
          <w:rtl w:val="true"/>
        </w:rPr>
        <w:footnoteReference w:id="69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تحصل به الإزالة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بعد ، إذ الظاهر کون الإزالة بالإخراج عن الثوب حین الغسل ، لا الإبقاء حتی یخرج بمجرّد الیبوسة ، کما ذکرناه فی الحاشیة السابقة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مجرّدة عن الدلیل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الظاهر والمظنون صحة هذه الدعوی ، فیکفی کونه دلیلا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احتمال ذلک کاف ، لأنّ التکلیف بالإزالة یقینی ، فلا یکتفی فی التحقیق بمجرّد الاحتمال </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 ما ذکرت یکون المطهّر بحسب الحقیقة هو الجفاف الحاصل من الشمس أو غیرها لا الغسل ، لأنّ النجاسة معناها المنع من الاستعمال شرعا ، والمنع باق علی حاله حال الغسل وبعده قبل الجفاف ، فلا یکون الغسل مطهّرا ، وهو کما تری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أن یقال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تسلیم النجاسة بمجرّد الملاقاة فلا وجه لهذا المنع ، إذ النجاسة لیس معناها إلاّ وجوب التنزّه والإزالة وأمثال ذلک ، فکیف یبقی العموم مع </w:t>
      </w:r>
    </w:p>
    <w:p>
      <w:pPr>
        <w:pStyle w:val="BookText"/>
        <w:rPr/>
      </w:pPr>
      <w:r>
        <w:rPr>
          <w:rFonts w:ascii="IRNazanin" w:hAnsi="IRNazanin" w:eastAsia="IRNazanin"/>
          <w:color w:val="111111"/>
          <w:sz w:val="28"/>
          <w:sz w:val="28"/>
          <w:szCs w:val="28"/>
          <w:rtl w:val="true"/>
          <w:lang w:bidi="fa-IR"/>
        </w:rPr>
        <w:t>ذلک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بطهارة المتخلّف بعد العصر المتعارف إجماعی ، بل وضروری الدین ، ظاهر من الأخبار المتواترة أو المستفیضة ، بحیث لا یعارضه معارض ولا یقاومه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عندنا باطل قطعا ، سیّما مع کونه مع الفارق ، والفارق فی غایة الظهور ، ولذا العامّة القائلون بالقیاس قالوا بطهارة المتخلّف قطعا ، مع التأمّل فی نجاسة الغسالة بمجرّد الملاقاة أو الحکم بها ، علی ما هو الظاهر منهم </w:t>
      </w:r>
      <w:r>
        <w:rPr>
          <w:rStyle w:val="FootnoteAnchor"/>
          <w:rtl w:val="true"/>
        </w:rPr>
        <w:footnoteReference w:id="6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واحد عند التأمّل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تأمّل ، إذ الأحکام منوطة بالمتعارف ، مثل قطنة المستحاضة ومقدار تربّصها ، فی الفرق بین القلیلة وغیرها ، ومثل ثلاثة أشبار ونصف ، فی حدّ الکرّ ، وغیر ذلک ممّا لا یحصی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هذا الإمکان لا تکون متروکة عندهم ، مع إمکان الحمل علی العصر المتعارف لأجل الجفاف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الحمل علی ما إذا توقّف علیه زوال عین النجاسة ، علی ما یومئ إلیه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یکون مخیّرا بین الصبّ بالقلیل والعصر ، أو الصبّ المتعارف المتوسط أو الکثیر ، لأنّه یزیل العین ، فتأمّل ، وسیجی‌ء الکلام عن قریب ،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إخراج عین النجاسة واجب ، علی القول بنجاسة بول الصبی ، فلو کان الغسل یتحقّق بالصبّ المخرج للنجاسة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وقع العصر أم لا ، کما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المعصوم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البول </w:t>
      </w:r>
    </w:p>
    <w:p>
      <w:pPr>
        <w:pStyle w:val="BookText"/>
        <w:rPr/>
      </w:pPr>
      <w:r>
        <w:rPr>
          <w:rFonts w:ascii="IRNazanin" w:hAnsi="IRNazanin" w:eastAsia="IRNazanin"/>
          <w:color w:val="111111"/>
          <w:sz w:val="28"/>
          <w:sz w:val="28"/>
          <w:szCs w:val="28"/>
          <w:rtl w:val="true"/>
          <w:lang w:bidi="fa-IR"/>
        </w:rPr>
        <w:t>مرّتین ، وبول الصبی مرّة واحدة ، وهو خلاف ظاهر هذه الروایة ، وخلاف فتوی الأصحاب وفتوی الشارح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یلتزم الشارح بکفایة وصول الماء إلی البول ، وعدم لزوم إخراج عینه عن الثوب ، کما سیشیر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الاکتفاء به مطلقا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حکم غریب ، إذ بعد تصریح الشارح بنجاسة بول الصبی وکونه من الأعیان النجسة موافقا لغیره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 ذلک ابن الجنید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یتأتّی له الحکم بطهارة الثوب الذی کان نجسا یقینا بسبب النجاسة العینیة الموجودة فیه بمجرّد وصول ماء قلیل إلیه ، مع عدم إخراجه ذلک النجس أصلا ، وبقاء ذلک النجس العین فی الثوب بحاله من دون خروج أو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حکم أوّلا بوجوب الإخراج مرتین فظهر أنّه حکمه ، ثم ذکر الأخیر من باب الاحتمال ، ومع ذلک اعترف بوجوب الإخراج عند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مذهبهم ذلک بلا تأمّل ولا تزلزل ، وبناء استدلال المستدل علی هذا المذهب ، ردّا علی من لا یعتبر العصر من الأصحاب لو کان موجودا ، أو إظهارا لمناط الحکم الذی هو من المسلّمات عندهم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خفی أنّ أحدا من الأصحاب لا یجوّز طهارة الثوب مع بقاء النجس العین فیه بحال ، ولیس الاحتجاج علی مثل الشارح أو لمثله ممّن ینکر أمثال هذه الأمور الظاهرة المسلّمة عندهم التی لعلها عندهم من البدیهیات ، وإنکاره إنکار البدیهی عندهم ، ولا یخطر ببالهم أصلا أنّه </w:t>
      </w:r>
      <w:bookmarkStart w:id="648" w:name="pg14966_204182"/>
    </w:p>
    <w:p>
      <w:pPr>
        <w:pStyle w:val="BookText"/>
        <w:rPr/>
      </w:pPr>
      <w:bookmarkEnd w:id="648"/>
      <w:r>
        <w:rPr>
          <w:rFonts w:ascii="IRNazanin" w:hAnsi="IRNazanin" w:eastAsia="IRNazanin"/>
          <w:color w:val="111111"/>
          <w:sz w:val="28"/>
          <w:sz w:val="28"/>
          <w:szCs w:val="28"/>
          <w:rtl w:val="true"/>
          <w:lang w:bidi="fa-IR"/>
        </w:rPr>
        <w:t>سیجی‌ء فی زمان شخص ینکر أمثال هذه حتی یکون ذلک الشخص مدّ نظرهم فی مقام الاستدلال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الوجه فیه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المصنف فی أوّل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المستعمل فی غسل الأخباث نجس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وسیجی‌ء أیضا مثل ذلک عن قریب </w:t>
      </w:r>
      <w:r>
        <w:rPr>
          <w:rStyle w:val="FootnoteAnchor"/>
          <w:rtl w:val="true"/>
        </w:rPr>
        <w:footnoteReference w:id="699"/>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منه الغسل بالقلیل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منه هنا أیضا هو القلیل ، لما أشرنا سابقا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الاستظهار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من الاستظهار حصول الاطمئنان بزوال عین النجاسة ، ولیس الغسل إلاّ بعنوان إزالة العین ، إذ بغیره لا یتحقّق الغسل ، والاطمئنان لا بدّ منه ، نعم ربما یحصل الاطمئنان بدون الدلک ، ولعل مراده رحمه الله فیما إذا لم یحصل إلاّ به ، وأنّه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بناؤه علی أنّ شغل الذمّة بالإزالة یقینی ، فلا بدّ من البراءة الیقینیة ، فالحمل علی الاستحباب علی هذا لا وجه 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الأخبار الواردة فی الاستنجاء من البول وغسل البول من الجسد عدم الحاجة إلی الدلک فیه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یتصل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العلاّمة رحمه الله بناؤه علی أنّ الفرض هو هذا ، وأنّه لا فرق بین الخمر وما هو مثلها من النجاسات ، فإنّ البول مثلا إذا کان مستکنا لا بدّ من إزالته</w:t>
      </w:r>
    </w:p>
    <w:p>
      <w:pPr>
        <w:pStyle w:val="Heading4"/>
        <w:numPr>
          <w:ilvl w:val="3"/>
          <w:numId w:val="1"/>
        </w:numPr>
        <w:rPr/>
      </w:pPr>
      <w:bookmarkStart w:id="649" w:name="__RefHeading___Toc2087901_388300464"/>
      <w:bookmarkStart w:id="650" w:name="_Toc256"/>
      <w:bookmarkEnd w:id="649"/>
      <w:r>
        <w:rPr>
          <w:rtl w:val="true"/>
        </w:rPr>
        <w:t>وجوب دلک الصلب فی تطهیره</w:t>
      </w:r>
      <w:bookmarkEnd w:id="65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1" w:name="__RefHeading___Toc2087903_388300464"/>
      <w:bookmarkStart w:id="652" w:name="_Toc257"/>
      <w:bookmarkEnd w:id="651"/>
      <w:r>
        <w:rPr>
          <w:rtl w:val="true"/>
        </w:rPr>
        <w:t>حکم ما یعسر عصره</w:t>
      </w:r>
      <w:bookmarkEnd w:id="652"/>
    </w:p>
    <w:p>
      <w:pPr>
        <w:pStyle w:val="BookText"/>
        <w:rPr/>
      </w:pPr>
      <w:r>
        <w:rPr>
          <w:rFonts w:ascii="IRNazanin" w:hAnsi="IRNazanin" w:eastAsia="IRNazanin"/>
          <w:color w:val="111111"/>
          <w:sz w:val="28"/>
          <w:sz w:val="28"/>
          <w:szCs w:val="28"/>
          <w:rtl w:val="true"/>
          <w:lang w:bidi="fa-IR"/>
        </w:rPr>
        <w:t xml:space="preserve">لئلا یتصل بما فیه من المأکول والمشروب ، فعلی هذا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لم تزل عین النجاسة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یعلم الإزالة إلاّ بالدلک ، فهو بعینه کلام العلاّمة ، إلاّ أن یدعی الکلیة ، فالوجه منع هذه الدعوی حصول العلم بغیره أحیانا ، لا أنّ الاستظهار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تزل فی الواقع وجب ، علمنا أو لم نعلم ، ففیه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أنّها لا تزال إلاّ به وجب ، وأنّ الوجوب منحصر فیه ، ومع احتمال الزوال والشکّ فیه یکون الثوب طاهرا إلاّ أن یعلم بقاء العین ، فهذا أیضا فاسد ، لأنّه من المسلّمات عند الفقهاء وعند الشارح أیضا أنّ النجاسة ثابتة شرعا ، فلا بدّ من الحکم بزوالها شرعا ، فمجرّد احتمال الزوال کیف یکفی؟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أنّه یکفی الظنّ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ظهور ذلک من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حجّیة هذا الظنّ واعتباره ، فلا بدّ من الإتیان بالدلیل الدال علیه حتی ینظر إلیه وإلی تمامیته ، إلاّ أن یرید منه العمومات والإطلاقات الواردة فی الغسل ، لکن لا بدّ من التأمّل فی أنّها هل تکون شاملة لصورة لم یتحقّق اطمئنان فی زوال عین النجاسة ، واحتمال بقائها بعد موجود؟ سیّما بعد ملاحظة الأدلة الدالة علی وجوب التنزّه عن النجاسة والاحتراز عنه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الاستصحاب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إلاّ بیقین مثله </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653" w:name="pg14966_204184"/>
    </w:p>
    <w:p>
      <w:pPr>
        <w:pStyle w:val="BookText"/>
        <w:rPr/>
      </w:pPr>
      <w:bookmarkEnd w:id="65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أصاب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نظره فی استدلاله إلی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أصاب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وجوب غسل جمیع ما أصاب ، وغسل الجمیع لا یتأتّی إلاّ بإیصال الماء إلیه ، وإخراج عین النجاسة عنه ، ولا یتأتّی ذلک إلاّ بالدقّ والتغمیز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مضی الکلام فیه وأنّه لا إشکال ، ونقلنا الأقوال فی الغسالة وأدلتهم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هذا المجری لا یطهر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هذه فی صورة سریان النجاسة فی أعماقها ، وإلاّ فعند الأصحاب لا تسری النجاسة فی الشی‌ء الرطب بمجرّد وصولها إلیه ، فیکون صبّ الماء کافیا فی التطهیر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سریان النجاسة فی العمق فبمجرّد ملاقاة الماء مع عدم خروج النجاسة کیف یمکن الحکم بالتطهیر؟ والرطوبة الکامنة فیها لا تدع أن یدخل الماء فی العمق حتی یلاقی النجاسة ویذیبها ویغسلها ویزیلها ، إلاّ أن یکون مفروض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الأمور المذکورة یابسة وتترک فی الماء حتی یدخل الماء فی عمقها ، أو رطبة أیضا وتترک حتی یحصل العلم بالدخول فی الأجزاء تماما والسریان فیها ، وأنّه یکفی حینئذ خروج الغسالة بجفاف من الشمس ، وإن کان عین النجاسة موجودة فی الغسالة ، لأنّها یخرج مع الغسالة بمجرّد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والأصحاب لم یظهر منهم أنّهم حکموا بطهارة ما بقی بعد الدقّ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4" w:name="__RefHeading___Toc2087905_388300464"/>
      <w:bookmarkStart w:id="655" w:name="_Toc258"/>
      <w:bookmarkEnd w:id="654"/>
      <w:r>
        <w:rPr>
          <w:rtl w:val="true"/>
        </w:rPr>
        <w:t>حکم الصابون وأمثاله إذا تنجس</w:t>
      </w:r>
      <w:bookmarkEnd w:id="655"/>
    </w:p>
    <w:p>
      <w:pPr>
        <w:pStyle w:val="BookText"/>
        <w:rPr/>
      </w:pPr>
      <w:r>
        <w:rPr>
          <w:rFonts w:ascii="IRNazanin" w:hAnsi="IRNazanin" w:eastAsia="IRNazanin"/>
          <w:color w:val="111111"/>
          <w:sz w:val="28"/>
          <w:sz w:val="28"/>
          <w:szCs w:val="28"/>
          <w:rtl w:val="true"/>
          <w:lang w:bidi="fa-IR"/>
        </w:rPr>
        <w:t>والتغمیز ، وإن کان عین النجاسة موجودة فیه ، بل الذی یظهر منهم أنّ المحکوم بطهارته حینئذ هو الغسالة الخالیة عن عین النجاسة ، بأن یکون من الغسلة الثانیة أو الأولی ، بعد زوال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فی صورة عدم سریان النجاسة فی العمق أصلا وتنجّس السطح الظاهر لا یحتاج إلی إدخال الماء أصلا ، ویکفی الصبّ البتّة ، والغسالة تنفصل من دون توقّف علی عصر أصلا ، ولا حاجة إلی غمز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کلام الأصحاب فی مثله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صورة سریان النجاسة وبکونها فی الداخل إن کان رطبا ، فلا بدّ من خروج هذه الرطوبة النجسة ، لأنّها إمّا نجس العین أو متنجسة منه ، 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یطهر نجس العین بمجرّد ملاقاة الماء؟ فإنّ نجس العین لا یصیر طاهرا بنفسه إلاّ بالاستحالة أو الانتقال ، بل لو تغیّر الماء منه ینجس ، فکیف یطهّره الماء؟ سیّما بمجرّد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العین لا شبهة فی عدم قبوله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الرطوبة لا تدع الماء ینفذ فیه ، وعلی تقدیر النفوذ فلا یکفی النفوذ فی الجملة ، بل لا بدّ من الوصول إلی جمیع الأجزاء ، مع بقائه علی الإطلاق ، وعدم صیرورته ماء مضافا حال سریانه فی الأعماق ونفوذه فیها ، وهذا أیضا لا یکفی ، بل لا بدّ من العلم به أو الظنّ المعتبر شرعا ، لأنّ النجاسة ثابتة ، فلا یحکم بالطهارة بمجرّد الاحتمال ، ولا یحصل العلم إلاّ فی صورة اضمحلال جمیع الأجزاء وتفشّیها فی الماء ، وعدم الخروج عن کونه ماء مطلقا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کانت یابسة وغسلت فی القلیل بمعنی أنّها ترکت فیه إلی أن حصل العلم بوصول الماء المطلق بجمیع الأجزاء ، مع بقائه علی إطلاقه ، </w:t>
      </w:r>
      <w:bookmarkStart w:id="656" w:name="pg14966_204186"/>
    </w:p>
    <w:p>
      <w:pPr>
        <w:pStyle w:val="BookText"/>
        <w:rPr/>
      </w:pPr>
      <w:bookmarkEnd w:id="656"/>
      <w:r>
        <w:rPr>
          <w:rFonts w:ascii="IRNazanin" w:hAnsi="IRNazanin" w:eastAsia="IRNazanin"/>
          <w:color w:val="111111"/>
          <w:sz w:val="28"/>
          <w:sz w:val="28"/>
          <w:szCs w:val="28"/>
          <w:rtl w:val="true"/>
          <w:lang w:bidi="fa-IR"/>
        </w:rPr>
        <w:t xml:space="preserve">فإن قلنا بعدم انفعال الغسالة أمکن الحکم بطهارتها ، وإن قلنا بانفعالها بمجرّد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الحکم بطهارتها وطهارة الغسالة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یجتمع الحکم بنجاسة الغسالة بمجرّد الملاقاة مع الحکم بطهارة الغسالة مطلقا؟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فإنّهما متضادّان لا یجتمعان أبدا ، إلاّ أن یکون مراده رحمه الله أنّ الطهارة یحصل بعد جفافها وذهاب الغسالة بالجفاف ، وغیر خفی أنّهم متفقون علی عدم الطهارة من جهة الجفاف ، وظهر وجهه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الحرج والضرر غیر لازمین ، لأنّه علی فرض السرایة فی الأعماق والیبوسة بعدها ، وکون الساری هو المتنجّس خاصّة ، وعدم إمکان عصر وإخراج الغسالة إلاّ بالتجفیف ، وعدم التمکن من الجاری أو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تیسّرهما فی غایة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تمّ ما ذکره رحمه الله لزم الحکم بطهارة الساری الذی هو نجس العین ، وغیر ذلک من الفروض التی لا یرضی به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ذلک خرج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الحرج والضرر غیر عزیزین بعد اقتضاء الدلیل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القول بمثله فی ما نحن فیه ، لما عرفت من أنّ کلامهم مبنی علی القول بانفعال الغسالة مطلقا ، وغیر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بوصول الماء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العلم لا یکفی ، بل لا بدّ من العلم ببقاء ذلک الماء الواصل إلی کل جزء علی إطلاقه ، وعدم خروجه عن الإطلاق ، وعدم صیرورته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7" w:name="__RefHeading___Toc2087907_388300464"/>
      <w:bookmarkStart w:id="658" w:name="_Toc259"/>
      <w:bookmarkEnd w:id="657"/>
      <w:r>
        <w:rPr>
          <w:rtl w:val="true"/>
        </w:rPr>
        <w:t>عدم وجوب العصر فی بول الصبی</w:t>
      </w:r>
      <w:bookmarkEnd w:id="658"/>
    </w:p>
    <w:p>
      <w:pPr>
        <w:pStyle w:val="BookText"/>
        <w:rPr/>
      </w:pPr>
      <w:r>
        <w:rPr>
          <w:rFonts w:ascii="IRNazanin" w:hAnsi="IRNazanin" w:eastAsia="IRNazanin"/>
          <w:color w:val="111111"/>
          <w:sz w:val="28"/>
          <w:sz w:val="28"/>
          <w:szCs w:val="28"/>
          <w:rtl w:val="true"/>
          <w:lang w:bidi="fa-IR"/>
        </w:rPr>
        <w:t>فیه ما مرّ فی بحث نجاسة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بالحمل علی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حمله علی العصر المتعارف الذی یرتکبونه فی غسل الثوب ، والمراد أن ذلک یفعل بعد الصبّ من دون حاجة إلی الغسل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الکلام فیه فی بحث عصر الثیاب فی غسلها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بین الغسل والصبّ أنّ العصر معتبر فی الغسل ، إمّا فی ماهیته أو فی إخراج عین النجاسة أو الغسالة المتنجّسة ، بخلاف الصبّ ، فإنّه یکفی للتطهیر ، أمّا لو لم یکن العین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یکون البول یابسا ، والثوب جافّا ، أو أزیلت العین بمزیل غیر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 وأمّا مع بقائها وتوقّف إخراجها علی الماء فالمطهّر هو الصبّ بشرط عدم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وإخراجها کیف کان وبأی نحو یکون یکفی بعد ما تحقّق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احتمال احتمله الشارح فملاقاة الماء نجس العین یطهّر ذلک النجس العین أیضا ویصیر طاهرا ، ومرّ الکلام فیه </w:t>
      </w:r>
      <w:r>
        <w:rPr>
          <w:rStyle w:val="FootnoteAnchor"/>
          <w:rtl w:val="true"/>
        </w:rPr>
        <w:footnoteReference w:id="70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تأمّل عندهم فی البعد ، إلاّ أنّ الأصحاب لمّا عملوا بروایة السکونی المتضمّنة للأمر بغسل بول الجاریة </w:t>
      </w:r>
      <w:r>
        <w:rPr>
          <w:rStyle w:val="FootnoteAnchor"/>
          <w:rtl w:val="true"/>
        </w:rPr>
        <w:footnoteReference w:id="706"/>
      </w:r>
      <w:r>
        <w:rPr>
          <w:rFonts w:ascii="IRNazanin" w:hAnsi="IRNazanin" w:eastAsia="IRNazanin"/>
          <w:color w:val="111111"/>
          <w:sz w:val="28"/>
          <w:sz w:val="28"/>
          <w:szCs w:val="28"/>
          <w:rtl w:val="true"/>
          <w:lang w:bidi="fa-IR"/>
        </w:rPr>
        <w:t>، وغیرها من العمومات ارتکبوا هذا التوجیه فی هذا الخبر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روایة السکونی تضمّنت الأمر بغسل لبن الجاریة أیضا ، </w:t>
      </w:r>
      <w:bookmarkStart w:id="659" w:name="pg14966_204188"/>
    </w:p>
    <w:p>
      <w:pPr>
        <w:pStyle w:val="BookText"/>
        <w:rPr/>
      </w:pPr>
      <w:bookmarkEnd w:id="659"/>
      <w:r>
        <w:rPr>
          <w:rFonts w:ascii="IRNazanin" w:hAnsi="IRNazanin" w:eastAsia="IRNazanin"/>
          <w:color w:val="111111"/>
          <w:sz w:val="28"/>
          <w:sz w:val="28"/>
          <w:szCs w:val="28"/>
          <w:rtl w:val="true"/>
          <w:lang w:bidi="fa-IR"/>
        </w:rPr>
        <w:t>والمشهور لا یقولون به ، والعمومات لا تقاوم الخاص ، لکن الشأن فی مقاومة مثل هذا الخاص لها وتقدیمه علیها ، بعد وقوع الشهرة العظیمة علی خلافه ، وکون الخاص من الحسان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مستند المشهور الروایة التی رویناها عن کشف الغمة ، وذکرناها فی بحث نجاسة بول الصبی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أصابک بول فی ثوبک فاغسله بماء جار مرّة ومن ماء راکد مرّتین ، ثم أعصره ، وإن کان بول الغلام الرضیع فتصب علیه الماء صبّا ، وإن کان قد أکل الطعام فاغسله ، والغلام والجاریة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الحدیث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الجاریة وبولها یغسل منهما الثوب دون الغلام </w:t>
      </w:r>
      <w:r>
        <w:rPr>
          <w:rStyle w:val="FootnoteAnchor"/>
          <w:rtl w:val="true"/>
        </w:rPr>
        <w:footnoteReference w:id="70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تعیّن النجاسة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المستدل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الیقین بالزوال ، لا زوال الیقین ، حتی تورد علیه بما ذکرت ، فإنّ کان ما ذکره تماما فلا وجه لهذا الإیراد أصلا ، وإلاّ فلا بدّ من مطالبته بالإتمام ، لا أن تورد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مراده من الیقین الیقین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النجاسة یثبت شرعا ، فلا بدّ لزوالها والحکم بالطهارة من دلیل شرعی ، والمتحقّق إنّما هو فی صورة غسل الجمیع لا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النجاسة بمحض احتمال الزوال لا یحکم بالزوال إجماعا ، واستصحابا للحالة السابقة ، وللعموم والإطلاق الواردین فی المنع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2087909_388300464"/>
      <w:bookmarkStart w:id="661" w:name="_Toc260"/>
      <w:bookmarkEnd w:id="660"/>
      <w:r>
        <w:rPr>
          <w:rtl w:val="true"/>
        </w:rPr>
        <w:t>لزوم غسل أطراف الشبهة المحصورة</w:t>
      </w:r>
      <w:bookmarkStart w:id="662" w:name="pg14966_204189"/>
      <w:bookmarkEnd w:id="661"/>
    </w:p>
    <w:p>
      <w:pPr>
        <w:pStyle w:val="BookText"/>
        <w:rPr/>
      </w:pPr>
      <w:bookmarkEnd w:id="662"/>
      <w:r>
        <w:rPr>
          <w:rFonts w:ascii="IRNazanin" w:hAnsi="IRNazanin" w:eastAsia="IRNazanin"/>
          <w:color w:val="111111"/>
          <w:sz w:val="28"/>
          <w:sz w:val="28"/>
          <w:szCs w:val="28"/>
          <w:rtl w:val="true"/>
          <w:lang w:bidi="fa-IR"/>
        </w:rPr>
        <w:t xml:space="preserve">والحکم بالنجاسة ،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إلاّ بیقین مثله </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والظاهر أنّ الاستصحاب فی موضوع الحکم لیس محلاّ للخلاف ، ولو وقع خلاف ففی غایة الوهن والضعف ، إنّما النزاع فی نفس الحکم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باختصاص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جمیع ما ذکر کان موجودا فی الثوب أیضا سوی عدم صحة سند المتضمّن مرّتین ، لکنه حسن ، وکثیرا ما یحتجّ بالحسن فقط </w:t>
      </w:r>
      <w:r>
        <w:rPr>
          <w:rStyle w:val="FootnoteAnchor"/>
          <w:rtl w:val="true"/>
        </w:rPr>
        <w:footnoteReference w:id="711"/>
      </w:r>
      <w:r>
        <w:rPr>
          <w:rFonts w:ascii="IRNazanin" w:hAnsi="IRNazanin" w:eastAsia="IRNazanin"/>
          <w:color w:val="111111"/>
          <w:sz w:val="28"/>
          <w:sz w:val="28"/>
          <w:szCs w:val="28"/>
          <w:rtl w:val="true"/>
          <w:lang w:bidi="fa-IR"/>
        </w:rPr>
        <w:t xml:space="preserve">، ومع ذلک حسن معمول به ، ومع ذلک عدم القول بالفصل یقتضی العمل بالحسن ، وکثیرا ما یتمسّک بعدم القول بالفصل وإن لم یرد روایة أصلا </w:t>
      </w:r>
      <w:r>
        <w:rPr>
          <w:rStyle w:val="FootnoteAnchor"/>
          <w:rtl w:val="true"/>
        </w:rPr>
        <w:footnoteReference w:id="712"/>
      </w:r>
      <w:r>
        <w:rPr>
          <w:rFonts w:ascii="IRNazanin" w:hAnsi="IRNazanin" w:eastAsia="IRNazanin"/>
          <w:color w:val="111111"/>
          <w:sz w:val="28"/>
          <w:sz w:val="28"/>
          <w:szCs w:val="28"/>
          <w:rtl w:val="true"/>
          <w:lang w:bidi="fa-IR"/>
        </w:rPr>
        <w:t>، فما ظنّک بما إذا ورد حدیث حسن ، سیّما مثل ذلک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استفید نجاستها من أحد أمرین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الحصر محلّ تأمّل ، إذ ربما یثبت بأمر آخر ، مثل الحکم بإعادة الصلاة ، وصبّ الماء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التمسک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الاستصحاب حجّة ، کما بیّناه فی رسالة الاستصحاب </w:t>
      </w:r>
      <w:r>
        <w:rPr>
          <w:rStyle w:val="FootnoteAnchor"/>
          <w:rtl w:val="true"/>
        </w:rPr>
        <w:footnoteReference w:id="713"/>
      </w:r>
      <w:r>
        <w:rPr>
          <w:rFonts w:ascii="IRNazanin" w:hAnsi="IRNazanin" w:eastAsia="IRNazanin"/>
          <w:color w:val="111111"/>
          <w:sz w:val="28"/>
          <w:sz w:val="28"/>
          <w:szCs w:val="28"/>
          <w:rtl w:val="true"/>
          <w:lang w:bidi="fa-IR"/>
        </w:rPr>
        <w:t xml:space="preserve">، وأشرنا إلیه فی مسألة عدم طهارة الماء المتغیر بالنجاسة بمجرّد زوالها </w:t>
      </w:r>
      <w:r>
        <w:rPr>
          <w:rStyle w:val="FootnoteAnchor"/>
          <w:rtl w:val="true"/>
        </w:rPr>
        <w:footnoteReference w:id="714"/>
      </w:r>
      <w:r>
        <w:rPr>
          <w:rFonts w:ascii="IRNazanin" w:hAnsi="IRNazanin" w:eastAsia="IRNazanin"/>
          <w:color w:val="111111"/>
          <w:sz w:val="28"/>
          <w:sz w:val="28"/>
          <w:szCs w:val="28"/>
          <w:rtl w:val="true"/>
          <w:lang w:bidi="fa-IR"/>
        </w:rPr>
        <w:t xml:space="preserve">، ومرّ عن الشارح رحمه الله التمسّک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بالشک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2087911_388300464"/>
      <w:bookmarkStart w:id="664" w:name="_Toc261"/>
      <w:bookmarkEnd w:id="663"/>
      <w:r>
        <w:rPr>
          <w:rtl w:val="true"/>
        </w:rPr>
        <w:t>اعتبار التعدد فی غسل الثوب من البول</w:t>
      </w:r>
      <w:bookmarkStart w:id="665" w:name="pg14966_204190"/>
      <w:bookmarkEnd w:id="664"/>
    </w:p>
    <w:p>
      <w:pPr>
        <w:pStyle w:val="BookText"/>
        <w:rPr/>
      </w:pPr>
      <w:bookmarkEnd w:id="665"/>
      <w:r>
        <w:rPr>
          <w:rFonts w:ascii="IRNazanin" w:hAnsi="IRNazanin" w:eastAsia="IRNazanin"/>
          <w:color w:val="111111"/>
          <w:sz w:val="28"/>
          <w:sz w:val="28"/>
          <w:szCs w:val="28"/>
          <w:rtl w:val="true"/>
          <w:lang w:bidi="fa-IR"/>
        </w:rPr>
        <w:t xml:space="preserve">متعدّدة ، منها فی المسألة السابقة </w:t>
      </w:r>
      <w:r>
        <w:rPr>
          <w:rStyle w:val="FootnoteAnchor"/>
          <w:rtl w:val="true"/>
        </w:rPr>
        <w:footnoteReference w:id="715"/>
      </w:r>
      <w:r>
        <w:rPr>
          <w:rFonts w:ascii="IRNazanin" w:hAnsi="IRNazanin" w:eastAsia="IRNazanin"/>
          <w:color w:val="111111"/>
          <w:sz w:val="28"/>
          <w:sz w:val="28"/>
          <w:szCs w:val="28"/>
          <w:rtl w:val="true"/>
          <w:lang w:bidi="fa-IR"/>
        </w:rPr>
        <w:t xml:space="preserve">، مع أنّ النجاسة إذا تحقّقت فالحکم بأنّ زوالها وحصول الطهارة منها یحتاج إلی دلیل شرعی ، لعله لیس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فقیه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یتمشّی فی الحکم المطلق لا المقید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تحقّق الغسل کان الحکم بالنجاسة قطعیا ، أی وجوب التجنّب من حیث هو هو ، وهو 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یثبت خلافه شرعا ، وهذا یکفی فی الاستصحاب ، بل الاستصحاب قلّما یحتاج إلیه فی الحکم المطلق الذی ذکرت إلاّ علی الطریقة التی ذکرت من أنّ الاستصحاب یرجع إلی الإطلاق والعموم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غسلته بماء جار فمرّة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 هذا کونه مرّتین فی غیر الجاری ، لمفهوم الشرط ، إلاّ أن یقال بعدم العموم فی المفهوم ، أو أنّ الراکد الکثیر کان نادرا ، والإطلاق ینصرف إلی المتعارف ، ولذا حکم بأنّ الظاهر من الأخبار المتضمّنة للمرّتین کونه فی القلیل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إجماع العلماء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علیه أیضا أنّ النجس إنّما هو الدم مثلا لا لونه أو رائحته ، لعدم صدق الدم علیهما لغة وعرفا ، بل یصدق علیهما لون الدم ورائحته ، وهذان غیر نفس الدم الذی هو النجس وإن قلنا بعدم انتقال العرض فی مثل 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6" w:name="__RefHeading___Toc2087913_388300464"/>
      <w:bookmarkStart w:id="667" w:name="_Toc262"/>
      <w:bookmarkEnd w:id="666"/>
      <w:r>
        <w:rPr>
          <w:rtl w:val="true"/>
        </w:rPr>
        <w:t>عدم وجوب إزالة اللون والرائحة</w:t>
      </w:r>
      <w:bookmarkStart w:id="668" w:name="pg14966_204191"/>
      <w:bookmarkEnd w:id="667"/>
    </w:p>
    <w:p>
      <w:pPr>
        <w:pStyle w:val="BookText"/>
        <w:rPr/>
      </w:pPr>
      <w:bookmarkEnd w:id="668"/>
      <w:r>
        <w:rPr>
          <w:rFonts w:ascii="IRNazanin" w:hAnsi="IRNazanin" w:eastAsia="IRNazanin"/>
          <w:color w:val="111111"/>
          <w:sz w:val="28"/>
          <w:sz w:val="28"/>
          <w:szCs w:val="28"/>
          <w:rtl w:val="true"/>
          <w:lang w:bidi="fa-IR"/>
        </w:rPr>
        <w:t xml:space="preserve">نحن فیه أیضا وبقاء الأجزاء الجوهریة ، لعدم صدق الدم علیها </w:t>
      </w:r>
      <w:r>
        <w:rPr>
          <w:rStyle w:val="FootnoteAnchor"/>
          <w:rtl w:val="true"/>
        </w:rPr>
        <w:footnoteReference w:id="717"/>
      </w:r>
      <w:r>
        <w:rPr>
          <w:rFonts w:ascii="IRNazanin" w:hAnsi="IRNazanin" w:eastAsia="IRNazanin"/>
          <w:color w:val="111111"/>
          <w:sz w:val="28"/>
          <w:sz w:val="28"/>
          <w:szCs w:val="28"/>
          <w:rtl w:val="true"/>
          <w:lang w:bidi="fa-IR"/>
        </w:rPr>
        <w:t>، والمناط فی الشرع هو الصدق اللغوی والعرفی لا الضابطة الحکمیّة ، سیّما وأن لا تکون ثابتة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لقبح تکلیف الغافل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ستعرف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المکلف به إن کان هو الصلاة التی لا یعلم المکلف بها أنّه نجس جسده وثوبه وأنّ شرط صحتها عدم علم المکلف أنّه نجس ثوبا أو جسدا وأنّه إن علم النجاسة یکون مکلفا بالإزالة خاصّة ، فصلاة هذا المکلف صحیحة ، لأنّه لا یعلم أنّه نجس ، فصلاته صحیحة ، لأنّه صلّی صلاة مأمورا بها ، والامتثال یقتضی الإجزاء ، ولا حاجة إلی الإعادة ولا القضاء ، کما سیذکر فی الناسی وجاهل نفس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الصلاة التی شرط صحتها أن لا یکون بدنه وثوبه نجسا فی الواقع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مناف لما سیصرّح به فی الناسی والجاهل من أنّه صلّی صلاة مأمورا بها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إذا ترک الصلاة مطلقا مع علمه بأنّ الله تعالی کلفه بها وعلمه بسائر شرائطها مضافا إلی علمه بواجباتها تماما هل هو معاقب عندک أم لیس بمعاقب فی ترکه جمیع صلواته أصلا؟ فعلی الأوّل یکون مکلفا قطعا ، لأنّ العقاب فرع التکلیف ، مع أنّه عندک غیر مکلف أصلا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عند العقلاء فی أنّ مثل هذا الشخص عاص معاند ، لأنّه یجزم بأنّه واجب علیه من الله تعالی صلوات کثیرة ، وأنّها کیت وکیت ، وأنّه یمکنه إتیانها بلا مشقة ، ومع ذلک یبنی أمره علی عدم الإطاعة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9" w:name="__RefHeading___Toc2087915_388300464"/>
      <w:bookmarkStart w:id="670" w:name="_Toc263"/>
      <w:bookmarkEnd w:id="669"/>
      <w:r>
        <w:rPr>
          <w:rtl w:val="true"/>
        </w:rPr>
        <w:t>حکم من أخلّ بإزالة النجاسة عن ثوبه أو بدنه فصلّی</w:t>
      </w:r>
      <w:bookmarkEnd w:id="670"/>
    </w:p>
    <w:p>
      <w:pPr>
        <w:pStyle w:val="BookText"/>
        <w:rPr/>
      </w:pPr>
      <w:r>
        <w:rPr>
          <w:rFonts w:ascii="IRNazanin" w:hAnsi="IRNazanin" w:eastAsia="IRNazanin"/>
          <w:color w:val="111111"/>
          <w:sz w:val="28"/>
          <w:sz w:val="28"/>
          <w:szCs w:val="28"/>
          <w:rtl w:val="true"/>
          <w:lang w:bidi="fa-IR"/>
        </w:rPr>
        <w:t>أصلا ورأسا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إذا کان العلم شرطا للتکلیف عندک فمع عدم العلم لا یکون مکلفا أصلا إلی حین العلم ، فلا معنی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 الامتثال المقتضی لبقاء المکلف تحت العهدة ، إذ لا تکلیف ، فلا امتثال ، ولا عهدة ، ولا بقاء تحت العهدة أصلا ، بل فی وقت العلم یتعلق به التکلیف الآن ، کما لو بلغ الصبی وأفاق المجنون ، بل ولا قضاء أیضا ، لأنّ القضاء تدارک ما فات ، وان قلنا بأنّه فرض مستأنف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مطلقا أو فی بعض الصور ، ثبت الوجوب ، وإلاّ فلا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سیجی‌ء عن الشارح رحمه الله حکمه بالثبوت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تکلیف الجاهل بما هو جاهل به تکلیف بما لا یطاق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قادرا علی تحصیل العلم والمعرفة کیف یکون تکلیفا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غافل ، وتکلیف الغافل قبیح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غافلا؟ مع أنّه معلوم بالضرورة من الدین بعنوان الإجمال أنّ فی الدین أحکاما کثیرة بالنسبة إلی أمّة النبی صلی الله علیه و آله ، وأنّ رسول الله فی هذه الأحکام مأمور بإبلاغها ، وأنّا أمّه النبی صلی الله علیه و آله ، بل وعلمنا أنّه یجب تعلّمها والتشرّع بها کالأمم السابقة بالنسبة إلی أحکامهم وشرعهم ، ففی الحقیقة هو عالم بها إجمالا من وجوه متعدّدة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یعلم أنّه من أمة النبی صلی الله علیه و آله ، ولا یکون نبی عادة بغیر 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بالضرورة من الدین وجود تکالیف وبقاءها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بالضرورة خصوص الصلاة والصوم وأمثالهما ، وإن لم یکن تفصیلا ، ومتمکّن من التفصیل ، ومسامح فیه ، ومقصّر ، وتارک لما یعلمه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علی تقدیر التسلیم فمثل هذا التکلیف لا یکون محالا ، لأنّ المکلف هو بنفسه جعله محالا علی نفسه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علی ما ذکره ربما یکون الصرفة بالنسبة إلی المکلفین عدم إطاعة الشارع مطلقا بان لا یتعلّموا مسائل دینهم أصلا حتی لا یکون علیهم تکلیف إلاّ تکلیف واحد ، وهو تکلیف البحث إذا علم وجوبه ، إذ الغالب فی المکلفین عدم خروجهم عن عهدة التکالیف ، وبحسب العادة یأثمون کثیرا ، والناجون من الرجال قلیلون ، ومن النساء أقل وأقل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تمّ ما ذکره لزم أن لا یکون الکفار مکلفین بالفروع علی ما ذهب إلیه بعض العامة </w:t>
      </w:r>
      <w:r>
        <w:rPr>
          <w:rStyle w:val="FootnoteAnchor"/>
          <w:rtl w:val="true"/>
        </w:rPr>
        <w:footnoteReference w:id="720"/>
      </w:r>
      <w:r>
        <w:rPr>
          <w:rFonts w:ascii="IRNazanin" w:hAnsi="IRNazanin" w:eastAsia="IRNazanin"/>
          <w:color w:val="111111"/>
          <w:sz w:val="28"/>
          <w:sz w:val="28"/>
          <w:szCs w:val="28"/>
          <w:rtl w:val="true"/>
          <w:lang w:bidi="fa-IR"/>
        </w:rPr>
        <w:t>، وشنّع علیه باقی العامة وجمیع الخاصّة ، والخاصّة مطبقون علی تکلیفهم بها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لیس حال هذا المکلف إلاّ حال عبد أعطاه سیده طومارا ملفوفا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 فیه بأوامر لو ترکتها أو ترکت واحدا منها لعاقبتک ، وکذلک نهیتک عن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یفتح العبد الطومار ولا یعتنی بشأنه أصلا ، استنادا إلی أنّی جاهل بما فی الطومار ، وتکلیف الجاهل قبیح ، بل وإنّه </w:t>
      </w:r>
    </w:p>
    <w:p>
      <w:pPr>
        <w:pStyle w:val="BookText"/>
        <w:rPr/>
      </w:pPr>
      <w:r>
        <w:rPr>
          <w:rFonts w:ascii="IRNazanin" w:hAnsi="IRNazanin" w:eastAsia="IRNazanin"/>
          <w:color w:val="111111"/>
          <w:sz w:val="28"/>
          <w:sz w:val="28"/>
          <w:szCs w:val="28"/>
          <w:rtl w:val="true"/>
          <w:lang w:bidi="fa-IR"/>
        </w:rPr>
        <w:t>تکلیف بما لا یطاق ، ویقول أعصی عصیانا واحدا وأخلّص نفسی عن التکالیف الکثیرة والمتاعب الوافرة ، وجهاد النفس فی کل ساعة ودقیقة ، ومن العقوبات التی لا تعدّ ولا تحصی ، وجلّ الناس مبتلون بها ، إذ بعد ملاحظة النفس ومراقبتها ومحاسبتها بالحذاقة التامة یظهر علیه أنّه فی کل دقیقة مرتکب لموبقة إلاّ من عصمه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شک فی أنّ إرسال الرسل لتکمیل النفوس الأمّارة ، وتخلیصها عن الهلکات الردیة والشقاوة الأبدیة ، وتحصیل السعادة السرمدیة ، ورفعها عن رتبة البهیمیة والشیطانیة ، ولذا یجب وجود الحجّة من الله تعالی فی کل زمان وساعة ودقیقة ، وکان الحجج یتعبون فی الإبلاغ ویسعون غایة السعی ، حتی أنّهم کانوا یقتلون ویقتلون ویأسرون ویؤسرون ، کما فعل بالحسین علیه السلام وغیره ، وکان یحصل بذلک الفتن وخراب البلاد وهلاک العباد وغیر ذلک ، بل لا شبهة فی أنّ خلق الإنسان للعبادة والطاعة ، بل الدنیا جمیعها مخلوقة لحصول المعرفة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الحسن والقبح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عقلیان أو ذاتیان </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بترک ذلک المجهول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جاهلا بأنّ الله أوجب علیه شیئا وأنّه یطلب منه شی‌ء فکیف یتأتّی منه البحث والفحص؟ لأنّ طلب المجهول مطلقا محال ، وتکلیف الغافل بالبحث عمّا هو غافل عنه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أنّه یطلب منه شی‌ء وأوجب الله علیه أمرا وتیسّر له معرفته أو تحصیله فکیف یعدّه غافلا وتکلیفه تکلیف الغافل؟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عجیب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إدریس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والعلاّمة فی قواعده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 صحة سندها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حملها الشیخ علی الشذوذ </w:t>
      </w:r>
      <w:r>
        <w:rPr>
          <w:rStyle w:val="FootnoteAnchor"/>
          <w:rtl w:val="true"/>
        </w:rPr>
        <w:footnoteReference w:id="723"/>
      </w:r>
      <w:r>
        <w:rPr>
          <w:rFonts w:ascii="IRNazanin" w:hAnsi="IRNazanin" w:eastAsia="IRNazanin"/>
          <w:color w:val="111111"/>
          <w:sz w:val="28"/>
          <w:sz w:val="28"/>
          <w:szCs w:val="28"/>
          <w:rtl w:val="true"/>
          <w:lang w:bidi="fa-IR"/>
        </w:rPr>
        <w:t xml:space="preserve">، ولعل وجهه ما سنشیر إلیه فی الحاشیة الآتیة ، ولعله لما ذکره الشیخ ذکر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حسنة </w:t>
      </w:r>
      <w:r>
        <w:rPr>
          <w:rStyle w:val="FootnoteAnchor"/>
          <w:rtl w:val="true"/>
        </w:rPr>
        <w:footnoteReference w:id="72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تطابقها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الأصول ، بل الأصل عدم الصحة وعدم الخروج عن العهدة ، والأخبار الدالة علی وجوب الإعادة من الکثرة بمکان ، وکذا جلّها صحیحة ومعتبرة ، مع أنّ الضعیفة مطابقة لفتوی الأصحاب ، مضافا إلی الإجماع ، والإطلاقات الواردة فی وجوب غسل النجاسة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وغفران الخطأ والنسیان لیس دلیلا علی صحة الفعل ، کما أنّ من نسی عن فعل نفس الصلاة أو رکعاتها أو أرکانها أو شرائطها أو غیر ذلک فإنّ نسیانه لا مؤاخذة فیه ، لا أنّ صلاته صحیحة ، أو أنّه تعالی لا یرید منه ما أوجب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صلّی صلاة مأمورا بها فهو مصادرة ، إذ کونها مأمورا بها لا دلیل علیه سوی ما ذکره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روایات آخر دالة علی عدم وجوب الإعادة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وسنذکرها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رأی النجاسة وهو فی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حسنة المثنی الحناط ، عن عمرو بن أبی نصر ، عن الصادق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فذکرت أنّی لم أغسل ذکری بعد ما صلّیت ، أفأعید؟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عمار بن موسی عن الصادق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نسی أن یستنجی من الغائط حتی یصلّی لم یعد الصلاة </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وورد فی الضعیف بأحمد بن هلال </w:t>
      </w:r>
      <w:r>
        <w:rPr>
          <w:rStyle w:val="FootnoteAnchor"/>
          <w:rtl w:val="true"/>
        </w:rPr>
        <w:footnoteReference w:id="727"/>
      </w:r>
      <w:r>
        <w:rPr>
          <w:rFonts w:ascii="IRNazanin" w:hAnsi="IRNazanin" w:eastAsia="IRNazanin"/>
          <w:color w:val="111111"/>
          <w:sz w:val="28"/>
          <w:sz w:val="28"/>
          <w:szCs w:val="28"/>
          <w:rtl w:val="true"/>
          <w:lang w:bidi="fa-IR"/>
        </w:rPr>
        <w:t xml:space="preserve">أیضا ، إلاّ أن یقال بالفرق بین ترک الاستنجاء وغسل النجاسة ، لکن عند المشهور لیس فرق ، إلاّ أنّ الأخبار الدالة علی وجوب الإعادة أکثر ممّا ذکر بمراتب ، وحمل هذه الأخبار علی محامل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تعید الصلوات التی کنت صلّیتهن بذلک الوضوء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الباء سببیة ، والظرف 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تعید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أنّه یجب إعادة الصلاة ما کان فی وقتها وما خرج وقتها معا بسبب ذلک الوضوء بعینه ، أی من غیر مدخلیة نجاسة ثوبه الذی تنجّس من التمسّح بالدهن ، وکذا بدنه ، لأنّه حکمه حکم الثوب ، ولذا فی الغالب فی بحث النجاسات لا یذکرون سوی الثوب ، وإن کان المقام فی غایة الخصوصیة لذکر البدن ، فکأنّ الأصل فی الاعتبار هو الثوب ، والبدن حاله حال الثوب ، ومتفرّع حکمه علیه ، ویظهر ذلک من تتبّع الأخبار فی </w:t>
      </w:r>
    </w:p>
    <w:p>
      <w:pPr>
        <w:pStyle w:val="BookText"/>
        <w:rPr/>
      </w:pPr>
      <w:r>
        <w:rPr>
          <w:rFonts w:ascii="IRNazanin" w:hAnsi="IRNazanin" w:eastAsia="IRNazanin"/>
          <w:color w:val="111111"/>
          <w:sz w:val="28"/>
          <w:sz w:val="28"/>
          <w:szCs w:val="28"/>
          <w:rtl w:val="true"/>
          <w:lang w:bidi="fa-IR"/>
        </w:rPr>
        <w:t xml:space="preserve">هذا المبحث 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إشکالک من جهة الثوب النجس والوضوء ، أعنی الحدث والخبث ، فعلیک إعادة جمیع ما کان فی الوقت وما فات وقتها من جهة الحدث لا الخبث ، فلا إعادة علیک من قبل أنّ ثوبک نجس ، فإنّ الثوب النجس لا یعید الصلاة من قبله إلاّ ما کان فی وقت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فات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ما تقدم لا استیناف کلام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کلام وتفریع علی ما تقدّم ، أی فلا إعادة علیک من قبل أنّ الرجل إذا کان ثوبه نجسا لم یعد الصلاة إلاّ ما کان فی وقت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ما کان علیه إعادة الصلاة من جهة النجاسة ، لأنّ الظاهر من القرینة الحاصلة من جواب المعصوم علیه السلام أنّ التفطّن بالمفسدة کان بعد خروج وقت الصلاة ، فالإعادة علیه من جهة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المراد من جهة ذلک الوضوء بعینه ، لأنّ الظاهر من حال الراوی أنّه بعد ما تفطّن ، طهّر مواضع الطهارة وغیّر ثوبه ، وإشکاله کان من جهة الصلاة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بذلک الوضوء أی بهذا النحو من الوضوء ، فیکون الإشارة إلی نوعه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الصلوات بهذا النحو ، من الوضوء تجب إعادته ، لا بغیر هذا النحو ، مثل أن صار جنبا فاغتسل ، أو اتفق أنّه غسل أعضاءه من جهة غسل آخر أو جهة أخری ، فإنّ الوضوء الذی یکون بعد هذا صحیح لا تعاد الصلاة من جهته ، وأمّا الثوب وإن لم یتغیّر لا یحتاج إلی الإعادة إلاّ ما کان فی وقت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محذوف الإضافة ، أی من قبل أن یتحقّق ویجزم به ، فیکون هذا مرتبطا بما تقدم ، أی ما توهمت لیس بشی‌ء إلاّ أن یتحقّق ویحصل لک الیقین به ، فقبل التحقّق لا إعادة </w:t>
      </w:r>
      <w:bookmarkStart w:id="671" w:name="pg14966_204198"/>
    </w:p>
    <w:p>
      <w:pPr>
        <w:pStyle w:val="BookText"/>
        <w:rPr/>
      </w:pPr>
      <w:bookmarkEnd w:id="671"/>
      <w:r>
        <w:rPr>
          <w:rFonts w:ascii="IRNazanin" w:hAnsi="IRNazanin" w:eastAsia="IRNazanin"/>
          <w:color w:val="111111"/>
          <w:sz w:val="28"/>
          <w:sz w:val="28"/>
          <w:szCs w:val="28"/>
          <w:rtl w:val="true"/>
          <w:lang w:bidi="fa-IR"/>
        </w:rPr>
        <w:t>علیک أصلا ، وبعده تعید ما کان فی الوقت وخارجه ما کان بذلک الوضوء بعینه ، أی بنحوه بعینه ، کما ذکرنا ، أو بذلک الوضوء الذی تحقّق علی سبیل القطع بأنّ موضعه نجس ، لا الوضوء الذی توهم کون موضعه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هذا ابتداء کلام وتحقیق فی الفرق بین الثوب والجسد ، وتعلیل للحکم السابق ، وتأکید 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بذلک الوضوء بعینه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لدفع توهم الوضوء الذی توهم نجاسة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إنّ الرجل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من قبل أن تکون تحقّقت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کلام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فی مسألة جاهل العلم بحکم النجاسة ، وأنّه أیّ فرق بین هذا الجهل وذلک عند الشارح ، حیث حکم فی ذلک بما حکم وقال هنا بما قال؟</w:t>
      </w:r>
    </w:p>
    <w:p>
      <w:pPr>
        <w:pStyle w:val="BookText"/>
        <w:rPr/>
      </w:pPr>
      <w:r>
        <w:rPr>
          <w:rFonts w:ascii="IRNazanin" w:hAnsi="IRNazanin" w:eastAsia="IRNazanin"/>
          <w:color w:val="111111"/>
          <w:sz w:val="28"/>
          <w:sz w:val="28"/>
          <w:szCs w:val="28"/>
          <w:rtl w:val="true"/>
          <w:lang w:bidi="fa-IR"/>
        </w:rPr>
        <w:t xml:space="preserve">ویمکن أن یقال أیضا علی طریقة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براءة الذمّة عن التکلیف ، غایة ما یثبت من الإجماع والأخبار عدم جواز الصلاة مع العلم بالنجاسة وعدم صحتها حینئذ ، وأمّا مع الجهل فلا دلیل ، لکن هذا بناء علی کون الصلاة اسما لمجرّد الأرکان ، وأمّا علی القول بأنّها اسم للصحیحة فلا ، إذ شغل الذمّة الیقینی یستدعی البراءة الیقینیة ، إلاّ أن یقال بجریان الأصل فی العبادات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غسلته لأزلت النجاسة فلم یکن علیک إعادة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2" w:name="__RefHeading___Toc2087917_388300464"/>
      <w:bookmarkStart w:id="673" w:name="_Toc264"/>
      <w:bookmarkEnd w:id="672"/>
      <w:r>
        <w:rPr>
          <w:rtl w:val="true"/>
        </w:rPr>
        <w:t>عدم وجوب الإعادة والقضاء مع الجهل بالنجاسة حتّی فرغ من صلاته</w:t>
      </w:r>
      <w:bookmarkEnd w:id="673"/>
    </w:p>
    <w:p>
      <w:pPr>
        <w:pStyle w:val="BookText"/>
        <w:rPr/>
      </w:pPr>
      <w:r>
        <w:rPr>
          <w:rFonts w:ascii="IRNazanin" w:hAnsi="IRNazanin" w:eastAsia="IRNazanin"/>
          <w:color w:val="111111"/>
          <w:sz w:val="28"/>
          <w:sz w:val="28"/>
          <w:szCs w:val="28"/>
          <w:rtl w:val="true"/>
          <w:lang w:bidi="fa-IR"/>
        </w:rPr>
        <w:t xml:space="preserve">لعله لا یخلو عن بعد ، لکن یمکن أن تکون المسألة خارجة عمّا نحن فیه ، لأنّ المصلّی کان عالما بالنجاسة قطعا ، لکن کان ظنّه أنّها زالت ، ومقتضی الاستصحاب تحصیل الیقین بالزوال ، أو الظنّ الذی یکون حجّة شرعا ، والظاهر أنّ الجاریة سامحت فی الإزالة ، والمصلّی أیضا سامح حیث لم یلاحظ أنّها زالت بغسلها أم لا ، وصلّی مع هاتین المسامحتین ، وفی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یوجد وهو یابس ، ومثل ذلک </w:t>
      </w:r>
      <w:r>
        <w:rPr>
          <w:rStyle w:val="FootnoteAnchor"/>
          <w:rtl w:val="true"/>
        </w:rPr>
        <w:footnoteReference w:id="730"/>
      </w:r>
      <w:r>
        <w:rPr>
          <w:rFonts w:ascii="IRNazanin" w:hAnsi="IRNazanin" w:eastAsia="IRNazanin"/>
          <w:color w:val="111111"/>
          <w:sz w:val="28"/>
          <w:sz w:val="28"/>
          <w:szCs w:val="28"/>
          <w:rtl w:val="true"/>
          <w:lang w:bidi="fa-IR"/>
        </w:rPr>
        <w:t>یکون مبرءا للذمّة عند جمیع القائلین بعدم إعادة الجاهل بالنجاسة یحتاج إلی الثبوت والظهور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للشهید بما رواه الشیخ رحمه الله عن میمون الصیقل ، عن الصادق علیه السلام ، عن الرجل أصابته جنابة فی اللیل فاغتسل ، فلمّا أصبح نظر فإذا فی ثوبه 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لم یدع شیئا إلاّ وله حدّ ، إن کان حین قام نظر فلم یر شیئا فلا إعادة علیه ، وإن کان حین قام لم ینظر فعلیه الإعادة </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أنّ الأخبار الدالة علی عدم الإعادة علی الجاهل شمولها لما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تحقق أمارة موجبة لاحتمال الوقوع وتحقق مسامحة مّا ومساهلة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محلّ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لا یعید إذا لم یکن علم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یکون استفهاما إنکاریا بملاحظة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علم ، فتأمّل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بسنده عن أبی بصیر عن الصادق علیه السلام أنّه سأله عن رجل صلّی وفی ثوبه بول أو 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أو لم یعلم فعلیه إعادة الصلاة إذا علم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 لکنها لا تقاوم أصلا ما دل علی عدم الوجوب ، فالحمل فیها </w:t>
      </w:r>
      <w:bookmarkStart w:id="674" w:name="pg14966_204200"/>
    </w:p>
    <w:p>
      <w:pPr>
        <w:pStyle w:val="BookText"/>
        <w:rPr/>
      </w:pPr>
      <w:bookmarkEnd w:id="674"/>
      <w:r>
        <w:rPr>
          <w:rFonts w:ascii="IRNazanin" w:hAnsi="IRNazanin" w:eastAsia="IRNazanin"/>
          <w:color w:val="111111"/>
          <w:sz w:val="28"/>
          <w:sz w:val="28"/>
          <w:szCs w:val="28"/>
          <w:rtl w:val="true"/>
          <w:lang w:bidi="fa-IR"/>
        </w:rPr>
        <w:t>متعین إمّا علی الاستحباب ، أو علی العلم وعدم العلم حال الصلاة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قول الشیخ الثانی یستأنف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هذا أنّه لو کان ناسی النجاسة وتذکّر فی أثناء الصلاة یکون علیه الإعادة عندهم ، ویدل علیه ما رواه الشیخ فی الصحیح عن علی بن جعفر ، عن الکاظم علیه السلام ، عن رجل ذکر وهو فی صلاته أنّه لم یستنج من الخلاء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ویستنجی ویعید الصلاة ، وإن ذکر وقد فرغ من صلاته أجزأته ذلک ولا إعادة علیه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سماعة ، عن الصادق علیه السلام ، عن الرجل یری بثوبه الدم فینسی أن یغسله حتی 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صلاته کی یهتمّ بالشی‌ء إذا کان فی ثوبه عقوبة لنسیانه </w:t>
      </w:r>
      <w:r>
        <w:rPr>
          <w:rFonts w:eastAsia="IRNazanin" w:cs="IRNazanin"/>
          <w:color w:val="111111"/>
          <w:sz w:val="28"/>
          <w:szCs w:val="28"/>
          <w:rtl w:val="true"/>
          <w:lang w:bidi="fa-IR"/>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والمنصوص العلة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علیه بعض الإطلاقات فی الأمر بالإعادة الشامل لما رأی فی الصلاة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إذا کان جاهلا وعلم فی الأثناء تجب علیه الإعادة بالنصوص الصحیحة الخالیة عن المعارض ، ففی صورة النسیان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یجیئان فی صورة وقوع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بمنع الملازمة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فیه ، لأنّه نقل آنفا أنّ الشیخ فی المبسوط احتجّ علی قوله بإعادة الجاهل بأنّه لو علم بالنجاسة فی أثناء الصلاة وجب علیه الإعادة ، وکذا إذا علم فی الوقت بعد الفراغ ، فالشیخ مصرّح بالملازمة ، بل جعل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2087919_388300464"/>
      <w:bookmarkStart w:id="676" w:name="_Toc265"/>
      <w:bookmarkEnd w:id="675"/>
      <w:r>
        <w:rPr>
          <w:rtl w:val="true"/>
        </w:rPr>
        <w:t>حکم رؤیة النجاسة فی أثناء الصلاة مع العلم بسبقها</w:t>
      </w:r>
      <w:bookmarkEnd w:id="676"/>
    </w:p>
    <w:p>
      <w:pPr>
        <w:pStyle w:val="BookText"/>
        <w:rPr/>
      </w:pPr>
      <w:r>
        <w:rPr>
          <w:rFonts w:ascii="IRNazanin" w:hAnsi="IRNazanin" w:eastAsia="IRNazanin"/>
          <w:color w:val="111111"/>
          <w:sz w:val="28"/>
          <w:sz w:val="28"/>
          <w:szCs w:val="28"/>
          <w:rtl w:val="true"/>
          <w:lang w:bidi="fa-IR"/>
        </w:rPr>
        <w:t>وجوب الإعادة علی العالم فی الأثناء أصلا مسلّما مفروغا عنه ، وفرّع علیه وجوب الإعادة فی الوقت علی الجاهل العالم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الشیخ قطع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حکمه فیه بإعادة الجاهل فی الوقت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 صرّح فی المبسوط بوجوب الإعادة علی الجاهل بالنجاسة العالم بها فی أثناء الصلاة بحیث کونه مسلما مفروغا عنه لا تأمّل فیه ، وجعل ذلک علة لوجوب الإعادة علی الجاهل العالم بعد الفراغ فی الوقت ، فکیف یجتمع هذا مع ما صرّح به؟ فیجوز أن یکون مراده ممّا ذکر هنا وجوبه علی غیر الجاهل الذی علم النجاسة فی أثناء الصلاة من دون علم بسبقها ، إذ الأصل عدم السبق وعدم النجاسة إلاّ القدر الذی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هاتین الروایتین وجوب المضی فی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فی الروایتین دلالة واضحة علی ما ذکره بحیث تقاوم الروایتین الأوّلتین ، سیّما مع کون مدلولهما لم یعلم أنّ أحدا قال به ، وسیجی‌ء عن الشارح فی المسألة الثانیة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لا أعلم قائلا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وضوح الدلالة فإنّ فیها تتمّة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علیک ما لم یزد علی مقدار الدرهم ، وما کان أقلّ من ذلک فلیس بشی‌ء ، رأیته أو لم تره ، وإذا رأیته وهو أکثر من درهم فضیّعت غسله وصلّیت فیه صلاة کثیرة ، فأعد ما صلّیت فیه </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هکذا فی الکافی ، وهو أمتن وأصحّ ممّا فی التهذیب والاستبصار ، مع أنّ الذی فیهما أیضا ربما یمنع عن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الروایة </w:t>
      </w:r>
      <w:bookmarkStart w:id="677" w:name="pg14966_204202"/>
    </w:p>
    <w:p>
      <w:pPr>
        <w:pStyle w:val="BookText"/>
        <w:rPr/>
      </w:pPr>
      <w:bookmarkEnd w:id="677"/>
      <w:r>
        <w:rPr>
          <w:rFonts w:ascii="IRNazanin" w:hAnsi="IRNazanin" w:eastAsia="IRNazanin"/>
          <w:color w:val="111111"/>
          <w:sz w:val="28"/>
          <w:sz w:val="28"/>
          <w:szCs w:val="28"/>
          <w:rtl w:val="true"/>
          <w:lang w:bidi="fa-IR"/>
        </w:rPr>
        <w:t>الثانیة فلاحتمال رجوع الاستثناء إلی الحکمین والشقّین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الروایتین الأولتین فی أعلی درجة من الصحة والاعتبار ، وموافقتان لغیرهما من الأخبار ، مثل صحیحة أبی بصیر ، عن الصادق علیه السلام ، فی رجل صلّی فی ثوب فیه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 ثم علم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یبتدئ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صلّی فی ثوب فیه جنابة أو دم حتی فرغ من صلاته ثم 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مضت صلاته ولا شی‌ء علیه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ویعضدهما بعض الإطلاقات المتضمّنة للإعادة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استأنف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حکمه بوجوب الاستئناف هنا وعدم الوجوب فی المسألة السابقة لا یخلو عن غرابة ، فإنّه فی قوة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مجموع صلاته مع النجاسة فصحیحة ، وإن کان بعضها مع النجاسة فباطلة ، وأنّه یجوز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 وجوب الاستمرار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ممّا ذکرنا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 الأمر بالاستیناف المتناول لهذه الصورة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المتبادر منها هو الاستئناف فی الوقت ، لظهور لفظ الإعادة ، ولکون ما نحن فیه من الفروض النادرة ، وشمول الإطلاقات لها محلّ نظر وتأمّل ، والشارح لا یرضی بالشمول فی غیر ما نحن فیه ، کما</w:t>
      </w:r>
    </w:p>
    <w:p>
      <w:pPr>
        <w:pStyle w:val="Heading4"/>
        <w:numPr>
          <w:ilvl w:val="3"/>
          <w:numId w:val="1"/>
        </w:numPr>
        <w:rPr/>
      </w:pPr>
      <w:bookmarkStart w:id="678" w:name="__RefHeading___Toc2087921_388300464"/>
      <w:bookmarkStart w:id="679" w:name="_Toc266"/>
      <w:bookmarkEnd w:id="678"/>
      <w:r>
        <w:rPr>
          <w:rtl w:val="true"/>
        </w:rPr>
        <w:t>حکم رؤیة النجاسة فی أثناء الصلاة مع عدم العلم بسبقها</w:t>
      </w:r>
      <w:bookmarkEnd w:id="6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0" w:name="__RefHeading___Toc2087923_388300464"/>
      <w:bookmarkStart w:id="681" w:name="_Toc267"/>
      <w:bookmarkEnd w:id="680"/>
      <w:r>
        <w:rPr>
          <w:rtl w:val="true"/>
        </w:rPr>
        <w:t>حکم رؤیة النجاسة فی أثناء الصلاة مع ضیق الوقت</w:t>
      </w:r>
      <w:bookmarkStart w:id="682" w:name="pg14966_204203"/>
      <w:bookmarkEnd w:id="681"/>
    </w:p>
    <w:p>
      <w:pPr>
        <w:pStyle w:val="BookText"/>
        <w:rPr/>
      </w:pPr>
      <w:bookmarkEnd w:id="682"/>
      <w:r>
        <w:rPr>
          <w:rFonts w:ascii="IRNazanin" w:hAnsi="IRNazanin" w:eastAsia="IRNazanin"/>
          <w:color w:val="111111"/>
          <w:sz w:val="28"/>
          <w:sz w:val="28"/>
          <w:szCs w:val="28"/>
          <w:rtl w:val="true"/>
          <w:lang w:bidi="fa-IR"/>
        </w:rPr>
        <w:t>صرّح به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الشمول فمقاومته </w:t>
      </w:r>
      <w:r>
        <w:rPr>
          <w:rStyle w:val="FootnoteAnchor"/>
          <w:rtl w:val="true"/>
        </w:rPr>
        <w:footnoteReference w:id="739"/>
      </w:r>
      <w:r>
        <w:rPr>
          <w:rFonts w:ascii="IRNazanin" w:hAnsi="IRNazanin" w:eastAsia="IRNazanin"/>
          <w:color w:val="111111"/>
          <w:sz w:val="28"/>
          <w:sz w:val="28"/>
          <w:szCs w:val="28"/>
          <w:rtl w:val="true"/>
          <w:lang w:bidi="fa-IR"/>
        </w:rPr>
        <w:t xml:space="preserve">لما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وجوب الصلوات الخمس فی الأوقات المعیّنة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فیه ، سیّما بعد ورود الأخبار الدالة علی أنّ من کان ثوبه أو جسده نجسا ولا یمکنه التطهیر فی ذلک یجب علیه الصلاة قطعا ، ولا یجوز له التأخیر والقضاء </w:t>
      </w:r>
      <w:r>
        <w:rPr>
          <w:rStyle w:val="FootnoteAnchor"/>
          <w:rtl w:val="true"/>
        </w:rPr>
        <w:footnoteReference w:id="740"/>
      </w:r>
      <w:r>
        <w:rPr>
          <w:rFonts w:ascii="IRNazanin" w:hAnsi="IRNazanin" w:eastAsia="IRNazanin"/>
          <w:color w:val="111111"/>
          <w:sz w:val="28"/>
          <w:sz w:val="28"/>
          <w:szCs w:val="28"/>
          <w:rtl w:val="true"/>
          <w:lang w:bidi="fa-IR"/>
        </w:rPr>
        <w:t xml:space="preserve">، وهو مفتی به عند العلماء ، إلی غیر ذلک ممّا مرّ فی مسألة التیمم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وعدم النجاسة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أصالة الصحة فی مثل المقام لم نجد لها أصلا ، إلاّ أن یکون المستند أصالة عدم التکلیف بالإعادة ، وکون الامتثال یقتضی الإجزاء ،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کانت ضعیفة ، إلاّ أنّها منجبرة بعمل المتأخّرین الذین یشترطون العدالة فی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 ما خالف الأصل علی مورد النص</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البول خاصّة من الصبی دون الغائط من خرق العادة ، إلاّ أن یبنی علی أنّها کانت تتحرّز عن الغائط ولا تخلّیة یصل إلی ثوبها ، وما کان یمکنها التحرّز عن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بعید ، بل ربما شاع استعمال لفظ البول فی البول والغائط فی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یبول کذا ، وتعارف ، إلاّ أن یبنی علی أنّها یجب علیها غسل الغائط بخصوصه کلما وقع وإن وقع مع البول ، کما هو الغالب ، ولا یغسل ثوبها من جهة البول فی الیوم إلاّ مرّة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3" w:name="__RefHeading___Toc2087925_388300464"/>
      <w:bookmarkStart w:id="684" w:name="_Toc268"/>
      <w:bookmarkEnd w:id="683"/>
      <w:r>
        <w:rPr>
          <w:rtl w:val="true"/>
        </w:rPr>
        <w:t>المربیّة للصبی إذا لم یکن لها ثوب تغسل ثوبها مرّة بالیوم</w:t>
      </w:r>
      <w:bookmarkStart w:id="685" w:name="pg14966_204204"/>
      <w:bookmarkEnd w:id="684"/>
    </w:p>
    <w:p>
      <w:pPr>
        <w:pStyle w:val="BookText"/>
        <w:rPr/>
      </w:pPr>
      <w:bookmarkEnd w:id="685"/>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غایة البعد من ظاهر الروایة ونهایة الخروج عنه ، ولعله لهذا حکم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وغیره أیضا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 فلیلاحظ ولیتأمّل ، ومع ذلک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الصلاة واجبة وجه یقع علیه الصلاة فلا یؤثر فیه ما یتأخّر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وارد فی الصلاة عریانا أیضا ، إذ قصد الوجوب فرع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وبمجرّد عدم تأتّی العلم هنا لا یثبت العلم بالوجوب فی الصلاة عریانا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 بعد حکمه بوجوب الصلاتین من باب المقدّمة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ظاهره أنّه مبتن وفرع علی المسألة الأصولیة ، وهی أن مقدّمة الواجب واجبة شرعا ، کما هو المشهور ، مع احتمال کون المراد من الوجوب هنا مطلق اللزوم ، وأنّه کاف فی نیّة الوجوب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علی وجوبها شرعا بالاستصحاب ، بأنّ شغل الذمّة یقینی فلا بدّ من البراءة الیقینیة ، ولا تتحقّق إلاّ بفعلهما معا ، إذ بفعل أحدهما لا تتحقّق إلاّ البراءة الاحتمالیة ، بأنّه یحتمل أن یکون مبرء الذمّة ، ومقتضی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والإجماع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الاکتفاء بالبراءة الاحتمالیة ، لأنّهم علیهم السلام ما کانوا یرضون بمخالفة الاستصحاب إلاّ فیما ثبت الخلاف شرعا ، وقالوا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بالشک أبدا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إلی غیر ذلک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6" w:name="__RefHeading___Toc2087927_388300464"/>
      <w:bookmarkStart w:id="687" w:name="_Toc269"/>
      <w:bookmarkEnd w:id="686"/>
      <w:r>
        <w:rPr>
          <w:rtl w:val="true"/>
        </w:rPr>
        <w:t>حکم الصلاة فی الثوب المشتبه بالنجس</w:t>
      </w:r>
      <w:bookmarkEnd w:id="687"/>
    </w:p>
    <w:p>
      <w:pPr>
        <w:pStyle w:val="BookText"/>
        <w:rPr/>
      </w:pPr>
      <w:r>
        <w:rPr>
          <w:rFonts w:ascii="IRNazanin" w:hAnsi="IRNazanin" w:eastAsia="IRNazanin"/>
          <w:color w:val="111111"/>
          <w:sz w:val="28"/>
          <w:sz w:val="28"/>
          <w:szCs w:val="28"/>
          <w:rtl w:val="true"/>
          <w:lang w:bidi="fa-IR"/>
        </w:rPr>
        <w:t xml:space="preserve">ممّا ذکرنا فی رسالتنا فی الاستصحاب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أیضا بأنّا مأمورون بالإطاعة والامتثال یقینا ، والمرجع فیهما إلی العرف ککثیر من الألفاظ الأخر ، بل وغالبها ، ومعلوم أنّ فی العرف لا یقال لمن احتمل أن یکون أتی بما کلّف به أنّه ممتثل مع أنّه یحتمل أنّه ما أتی بما کلّف به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احتمال أنّه أتی بما طلب منه وأنّه لم یأت به لا یعدّ ممتثلا قطعا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ظهر من حسنة صفوان المذکورة فی المقام وجوب الصلاة فی کل واحد من الثوبین معا ، والأصحاب أفتوا کذلک ، إلاّ أنّ هذا الأخیر غیر متوجه علی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اشترطت القطع بعدم النجاسة فهو غیر متحقّق</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هو الطهارة الشرعیة ولیست بمتحقّقة بمجرّد عدم القطع بالنجاسة الواقعیة ، وإلاّ لکان اللازم الاکتفاء بصلاة واحدة فی الثوب الواحد ، بل ومع وجود الثوب الطاهر أیضا ، وهو رحمه الله مع وجود الطاهر لا یجوز الصلاتین فی الثوبین ، بل یوجب فعلها فی الطاهر ، کما سیذکر فی 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ینقدح الاکتفاء بصلاة واحدة فی أحد الثوبین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مسألة الإنائین المشتبهین اللذین وقع فی أحدهما نجاسة ما یظهر منه اندفاع هذا القدح</w:t>
      </w:r>
      <w:r>
        <w:rPr>
          <w:rFonts w:eastAsia="IRNazanin" w:cs="IRNazanin"/>
          <w:color w:val="111111"/>
          <w:sz w:val="28"/>
          <w:szCs w:val="28"/>
          <w:rtl w:val="true"/>
          <w:lang w:bidi="fa-IR"/>
        </w:rPr>
        <w:t xml:space="preserve">. </w:t>
      </w:r>
      <w:bookmarkStart w:id="688" w:name="pg14966_204206"/>
    </w:p>
    <w:p>
      <w:pPr>
        <w:pStyle w:val="BookText"/>
        <w:rPr/>
      </w:pPr>
      <w:bookmarkEnd w:id="68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حکمه بالوجوب بناء علی اشتراطه قصد الوجه ، ولمّا کان فی صورة عدم الثوب الطاهر یکون الصلاتان معا واجبتین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ظهر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یتأتّی قصد الوجه ، وفی هذه الصورة لا یمکن الحکم بوجوب الصلاتین ، وأیضا یظهر من الأخبار وجوب کون الصلاة فی الثوب الطاهر ، وعدم جوازها فی الثوب النجس اختیارا ومهما أمکن ، سیّما علی رأی الأکثر من الصلاة عریانا فی من لیس له إلاّ ثوب نجس وتعذّر تطهیره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التخییر للحرج</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لم یکن ظنّ أصلا ، ویحتمل القرعة فی هذه الصورة أو التعدّد بقدر لا یتحقّق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فی الآخر وعاریا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بناء علی جواز الصلاة عریانا إذا کان الثوب نجسا یقینا وتعذّر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أستبعد جوازه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یؤذن هذا بتحقّق إشکال فیه ، ولعل وجهه أنّ فعل الصلاة الأخری من باب المقدّمة تحصیلا للبراءة الیقینیة والإتیان بالمأمور به ، والظهر مقدّمة علی العصر یقینا ، فلا بدّ من إکمالها ثم الإتیان بالعصر ، والإکمال والامتثال یتوقّف علی الصلاة الأخری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الشیخ رحمه الله بما رواه عن سماعة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 بإجماع الفرقة ، وأنّ النجاسة ممنوع عن الصلاة فیها ، ثم بما رواه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من حیث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2087929_388300464"/>
      <w:bookmarkStart w:id="690" w:name="_Toc270"/>
      <w:bookmarkEnd w:id="689"/>
      <w:r>
        <w:rPr>
          <w:rtl w:val="true"/>
        </w:rPr>
        <w:t>حکم من لیس له ثوب طاهر</w:t>
      </w:r>
      <w:bookmarkEnd w:id="690"/>
    </w:p>
    <w:p>
      <w:pPr>
        <w:pStyle w:val="BookText"/>
        <w:rPr/>
      </w:pPr>
      <w:r>
        <w:rPr>
          <w:rFonts w:ascii="IRNazanin" w:hAnsi="IRNazanin" w:eastAsia="IRNazanin"/>
          <w:color w:val="111111"/>
          <w:sz w:val="28"/>
          <w:sz w:val="28"/>
          <w:szCs w:val="28"/>
          <w:rtl w:val="true"/>
          <w:lang w:bidi="fa-IR"/>
        </w:rPr>
        <w:t>لعله ینجبر بأنّه لا رادّ لهما ، وادعی الشیخ والعلاّمة الإجماع ، کما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علی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بصحته من الخلاصة ، وفیها حکم بصحة أحادیث فی طریقها محمد بن عبد الحمید ، منها طریق الصدوق إلی منصور بن حازم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 الرحمن بن أبی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طریقها أبان بن عثمان الناووسی علی المشهور </w:t>
      </w:r>
      <w:r>
        <w:rPr>
          <w:rStyle w:val="FootnoteAnchor"/>
          <w:rtl w:val="true"/>
        </w:rPr>
        <w:footnoteReference w:id="748"/>
      </w:r>
      <w:r>
        <w:rPr>
          <w:rFonts w:ascii="IRNazanin" w:hAnsi="IRNazanin" w:eastAsia="IRNazanin"/>
          <w:color w:val="111111"/>
          <w:sz w:val="28"/>
          <w:sz w:val="28"/>
          <w:szCs w:val="28"/>
          <w:rtl w:val="true"/>
          <w:lang w:bidi="fa-IR"/>
        </w:rPr>
        <w:t xml:space="preserve">، وعلی بن الحکم المشترک عندهم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ذلک من التکلف والخروج عن مقتضی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کذلک ، إلاّ أنّ إجماع الفرقة الذی ادعاه لعله دعاه إلی ذلک ، وهو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تقویة الجمع الأوسط الذی هو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ذکره من أنّه إذا لم یتمکن من 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الأوقات لا یمکن النزع بسبب البرد ، أو الحرّ ، أو الناظر المحترم ، أو المرض ، أو خوف حدوث المرض ، أو شدته ، أو بطؤ برئه ، أو عسر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فی الروایتین فإنّما هو فی الفلاة ، ومع ذلک لا شبهة فی أنّه محمول علی ما إذا لم یکن مانع من النزع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الشارح وإن کان أقرب من حیث اللفظ إلاّ أنّه ربما یأباه الإجماع الذی ادعاه الشیخ ، وذهب الأکثر إلی خلافه ، وأنّ الظاهر من کل </w:t>
      </w:r>
      <w:bookmarkStart w:id="691" w:name="pg14966_204208"/>
    </w:p>
    <w:p>
      <w:pPr>
        <w:pStyle w:val="BookText"/>
        <w:rPr/>
      </w:pPr>
      <w:bookmarkEnd w:id="691"/>
      <w:r>
        <w:rPr>
          <w:rFonts w:ascii="IRNazanin" w:hAnsi="IRNazanin" w:eastAsia="IRNazanin"/>
          <w:color w:val="111111"/>
          <w:sz w:val="28"/>
          <w:sz w:val="28"/>
          <w:szCs w:val="28"/>
          <w:rtl w:val="true"/>
          <w:lang w:bidi="fa-IR"/>
        </w:rPr>
        <w:t>أخبار الطرفین تحتّم الفعل ، والاحتیاط الصلاة فی ذلک الثوب وعریانا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 المشهور أنّ القائلین بعدم حجّیة الخبر الواحد قالوا بقولهم </w:t>
      </w:r>
      <w:r>
        <w:rPr>
          <w:rStyle w:val="FootnoteAnchor"/>
          <w:rtl w:val="true"/>
        </w:rPr>
        <w:footnoteReference w:id="750"/>
      </w:r>
      <w:r>
        <w:rPr>
          <w:rFonts w:ascii="IRNazanin" w:hAnsi="IRNazanin" w:eastAsia="IRNazanin"/>
          <w:color w:val="111111"/>
          <w:sz w:val="28"/>
          <w:sz w:val="28"/>
          <w:szCs w:val="28"/>
          <w:rtl w:val="true"/>
          <w:lang w:bidi="fa-IR"/>
        </w:rPr>
        <w:t xml:space="preserve">، والعلاّمة فی المنتهی ادعی الإجماع علی جواز الصلاة عریانا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موقوف علی تکافؤ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الروایتان الأوّلتان یجبرهما الشهرة بل الإجماع الذی ادعاه الشیخ </w:t>
      </w:r>
      <w:r>
        <w:rPr>
          <w:rStyle w:val="FootnoteAnchor"/>
          <w:rtl w:val="true"/>
        </w:rPr>
        <w:footnoteReference w:id="752"/>
      </w:r>
      <w:r>
        <w:rPr>
          <w:rFonts w:ascii="IRNazanin" w:hAnsi="IRNazanin" w:eastAsia="IRNazanin"/>
          <w:color w:val="111111"/>
          <w:sz w:val="28"/>
          <w:sz w:val="28"/>
          <w:szCs w:val="28"/>
          <w:rtl w:val="true"/>
          <w:lang w:bidi="fa-IR"/>
        </w:rPr>
        <w:t>، وغیر ذلک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عدم الإعادة ، لأنّه صلّی صلاة مأمورا بها ، والأمر 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قائل بکونها مأمورا بها ، وأنّ امتثالها یقتضی الإجزاء ، لکن یقول بوجوب صلاة أخری أیضا ، فالأولی التمسّک بأصل البراءة وإطلاقات الأخبار الصحیحة المتضمّنة للصلاة فی الثوب من غیر تعرض للإعادة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المفید رحمه الله فی المقنعة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مضمون عبارة الفقه الرضوی مع زیادة فیها ، وهی قوله علیه السلام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الثیاب فلا تطهر إلاّ بالغسل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کلام ابن الجنید إشعار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إشعار فیه ، بل ظاهر فی المشهور</w:t>
      </w:r>
      <w:r>
        <w:rPr>
          <w:rFonts w:eastAsia="IRNazanin" w:cs="IRNazanin"/>
          <w:color w:val="111111"/>
          <w:sz w:val="28"/>
          <w:szCs w:val="28"/>
          <w:rtl w:val="true"/>
          <w:lang w:bidi="fa-IR"/>
        </w:rPr>
        <w:t>.</w:t>
      </w:r>
    </w:p>
    <w:p>
      <w:pPr>
        <w:pStyle w:val="Heading2"/>
        <w:numPr>
          <w:ilvl w:val="1"/>
          <w:numId w:val="1"/>
        </w:numPr>
        <w:rPr/>
      </w:pPr>
      <w:bookmarkStart w:id="692" w:name="__RefHeading___Toc2087931_388300464"/>
      <w:bookmarkStart w:id="693" w:name="_Toc271"/>
      <w:bookmarkEnd w:id="692"/>
      <w:r>
        <w:rPr>
          <w:rtl w:val="true"/>
        </w:rPr>
        <w:t>المطهرات</w:t>
      </w:r>
      <w:bookmarkEnd w:id="69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2087933_388300464"/>
      <w:bookmarkStart w:id="695" w:name="_Toc272"/>
      <w:bookmarkEnd w:id="694"/>
      <w:r>
        <w:rPr>
          <w:rtl w:val="true"/>
        </w:rPr>
        <w:t>مطهریة الشمس وموردها</w:t>
      </w:r>
      <w:bookmarkEnd w:id="695"/>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الشیخ فی الخلاف بإجماع الفرقة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مقتضی الملة السمحة مطهّریة الشمس ، إذ لو لم تطهّر لزم الحرج والعسر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یتقدران بقدرهما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یتردّد فی المقامات کونه حرجا أم لا ، وینجر هذا إلی الحرج ، ومع ذلک أیضا فی الغالب ینجرّ النجاسة وحال الحرج إلی وجوب الاحتراز حال عدم الحرج أیضا ، فیلزم منه الحرج أیضا ، وکذا الحال فی نجاسة شخص یکون الاحتراز حرجا علیه یجرّ الاحتراز إلی غیره أیضا ، للاحتیاج إلی المساورة فی المعاشرة ، فقلّما یتحقّق عدم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یتحقّق الضرر أیضا بالاجتناب عن مساورة المساجد ونحوها ، ومع ذلک لم یقل أحد بهذا الفعل ، لأنّ القائل بالنجاسة یکون المقام عنده مثل سائر النجاسات یوجب الإضرار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جفّت من غیر أن تغسل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وإن کان مطلقا إلاّ أنّه مقید بکون الجفاف من الشمس أو الریح ، لما دل علی ذلک ، کما هو الطریقة فی حمل المطلق علی المقید ، مع أنّ الغالب کون جفاف الباریة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بما رواه أبو بکر الحضرمی عن أبی جعفر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یستدل أیضا بما رواه الکلینی بسنده عن الکاظم علیه السلام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علی الله تعالی أن لا یعصی فی دار إلاّ أضحاها بالشمس لتطهّرها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فإنّ فیها شهادة واضحة علی کون الشمس من المطهّرات واشتهارها فیها ، إذ لو لم تکن مطهّرة لکان مثل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یطهّرها نجم الجدی ، أو نظر الإنسان وأمثال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بروایة زرارة وحدید بن حکیم </w:t>
      </w:r>
      <w:r>
        <w:rPr>
          <w:rStyle w:val="FootnoteAnchor"/>
          <w:rtl w:val="true"/>
        </w:rPr>
        <w:footnoteReference w:id="758"/>
      </w:r>
      <w:r>
        <w:rPr>
          <w:rFonts w:ascii="IRNazanin" w:hAnsi="IRNazanin" w:eastAsia="IRNazanin"/>
          <w:color w:val="111111"/>
          <w:sz w:val="28"/>
          <w:sz w:val="28"/>
          <w:szCs w:val="28"/>
          <w:rtl w:val="true"/>
          <w:lang w:bidi="fa-IR"/>
        </w:rPr>
        <w:t>التی سنذکرها لمذهب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أیضا بصحیحة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الباریة یبلّ قصبها بماء قذر ، هل یجوز الصلاة 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یبست فلا بأس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الباریة یبلّ قصبها بماء قذر ، هل یجوز الصلاة 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جفّت فلا بأس بالصلاة علیها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والتقریب فی هذین الخبرین هو ما ذکر فی صحیحة علی بن جعفر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الموثق حجّة ، سیّما مع الانجبار بعمل الأصحاب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ذلک المحلّ مع الیبوسة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إن أردت مع الیبوسة من حیث هی هی من غیر مدخلیة الشمس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الروایة وغیرها أنّ جواز الصلاة مشروط بکون الجفاف من الشمس ، سیّما صدر هذه الروایة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علیه السلام عن الموضع القذر یکون فی البیت أو غیره فلا تصیبه الشمس ، ولکنه قد یبس الموضع القذر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علیه وأعلم الموضع حتی 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علی عدم مطهّریة الریح أیضا ، لأنّه علیه السلام لم یستفصل فی سؤاله وحکم بالمنع مطلقا ، وقوله علیه السلام فی آخر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غیر الشمس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یدل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الصور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الجفاف من غیر إصابة شی‌ء بل بنفسها وطول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بإصابة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بإصابة غیر الشمس ، وظهر حکم الکل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الشمس هل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 السؤال کان عن التطهیر فالظاهر المطابقة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المستفاد من هذه الروایة وغیرها أنّ الجفاف إذا لم یکن من الشمس لا یجوز الصلاة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أردت أنّ الجواز واللاجواز حینئذ لیسا دلیلین علی الطهارة والنجاسة لجواز کونهما من جهة أخری ، ففساده ظاهر ، لمخالفته الإجماع ، لو لم نقل ضروری الدین ، وکذا مخالفته للطریقة المسلّمة المعهودة فی إثبات نجاسة الأشیاء وعدم نجاستها ، کما لا یخفی علی المطلع علی مواضعه ، وکذا مخالفته للمستفاد من هذه الروایة وغیرها من الروایات ، إذ غیر خفی أنّ عدم الجواز من جهة النجاسة الباقیة التی لم تزل من جفاف غیر الشمس ، فیستفاد أنّ موضع السجود لا بدّ أن یکون خالیا من تلک النجاسة ، فیستفاد اعتبار طهارته ، ویستفاد من جواز الصلاة ارتفاع ذلک المانع ، فالظاهر منه الطهارة ،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ینبّه أنّ الظاهر أنّ السائل سأل عن حکم الموضع القذر الیابس من غیر الشمس مطلقا ، فأجیب بالمنع عن الصلاة ولزوم غسله ، ثم سأل عن حکمه ما إذا أشرقت علیه الشمس ، وأنّه هل یکون ذلک سببا لطهارته أم لا؟ فأجیب بأنّ الإشراق إذا صار بحیث جفّ به الموضع جاز الصلاة علیه ولا حاجة إلی غسله ، کما هو الظاهر من سکوته عنه فی هذه الصورة ، إذ لو کان باقیا علی النجاسة کان الغسل أولی بالذکر فیها منه فی الصورة الأولی ، لأنّ توهم الطهارة فی هذه الصورة فی غایة الشدّة ، بل لا یفهم الراوی فیها إلاّ الطهارة ، من حیث إنّ جواز الصلاة فیها بإزاء عدم جوازها فی الصورة الاولی ، ولا خفاء فی أنّه فهم منه بقاء النجاسة ، کما أنّه فهم منه فی الصورتین الأخیرتین أیضا کذلک ، لسکوته عن الغسل فیها بإزاء إیجابه فی الصورة الأولی ، وسکوته فی الصورتین من جهة أنّه علم أنّ البقاء علی النجاسة یقتضی الغسل لو أرید الطهارة ، مضافا إلی عدم خفائه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علی ما ذکرت لو لم یکن الإشعار ببقاء النجاسة فی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ذکرت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الاشعار لا بدّ من عدم اعتباره ، لما ذکرنا ، ولمخالفته الإجماع الذی نقله جمع من الأصحاب فی اشتراط طهارة المسجد </w:t>
      </w:r>
      <w:r>
        <w:rPr>
          <w:rStyle w:val="FootnoteAnchor"/>
          <w:rtl w:val="true"/>
        </w:rPr>
        <w:footnoteReference w:id="7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ذلک من غیر واحد من الأخبار </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ولم یظهر من الراوندی وشریکه المخالفة ، بل الظاهر منهم اعتبار طهارته ، إلاّ أنّهم یقولون بأنّ الأرض والباریة والحصیر حسب إذا جفّفت بالشمس لا غیرها </w:t>
      </w:r>
    </w:p>
    <w:p>
      <w:pPr>
        <w:pStyle w:val="BookText"/>
        <w:rPr/>
      </w:pPr>
      <w:r>
        <w:rPr>
          <w:rFonts w:ascii="IRNazanin" w:hAnsi="IRNazanin" w:eastAsia="IRNazanin"/>
          <w:color w:val="111111"/>
          <w:sz w:val="28"/>
          <w:sz w:val="28"/>
          <w:szCs w:val="28"/>
          <w:rtl w:val="true"/>
          <w:lang w:bidi="fa-IR"/>
        </w:rPr>
        <w:t>یکون حکمها حکم الطاهر فی جواز السجود ، مع أنّ مخالفتهم غیر مضرّة ، کما هو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أنّها اجتهاد منهم ، لفهمهم ذلک من روایة عمّار ، وأنّهم مخطئون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المحقّق اختار فی النافع وفی هذا الکتاب خلاف ذلک </w:t>
      </w:r>
      <w:r>
        <w:rPr>
          <w:rStyle w:val="FootnoteAnchor"/>
          <w:rtl w:val="true"/>
        </w:rPr>
        <w:footnoteReference w:id="764"/>
      </w:r>
      <w:r>
        <w:rPr>
          <w:rFonts w:ascii="IRNazanin" w:hAnsi="IRNazanin" w:eastAsia="IRNazanin"/>
          <w:color w:val="111111"/>
          <w:sz w:val="28"/>
          <w:sz w:val="28"/>
          <w:szCs w:val="28"/>
          <w:rtl w:val="true"/>
          <w:lang w:bidi="fa-IR"/>
        </w:rPr>
        <w:t xml:space="preserve">، وفی المعتبر وإن رجّح مختار الراوندی وشریکه </w:t>
      </w:r>
      <w:r>
        <w:rPr>
          <w:rStyle w:val="FootnoteAnchor"/>
          <w:rtl w:val="true"/>
        </w:rPr>
        <w:footnoteReference w:id="765"/>
      </w:r>
      <w:r>
        <w:rPr>
          <w:rFonts w:ascii="IRNazanin" w:hAnsi="IRNazanin" w:eastAsia="IRNazanin"/>
          <w:color w:val="111111"/>
          <w:sz w:val="28"/>
          <w:sz w:val="28"/>
          <w:szCs w:val="28"/>
          <w:rtl w:val="true"/>
          <w:lang w:bidi="fa-IR"/>
        </w:rPr>
        <w:t xml:space="preserve">، إلاّ أنّه ادعی الإجماع علی اشتراط طهارة المسجد </w:t>
      </w:r>
      <w:r>
        <w:rPr>
          <w:rStyle w:val="FootnoteAnchor"/>
          <w:rtl w:val="true"/>
        </w:rPr>
        <w:footnoteReference w:id="766"/>
      </w:r>
      <w:r>
        <w:rPr>
          <w:rFonts w:ascii="IRNazanin" w:hAnsi="IRNazanin" w:eastAsia="IRNazanin"/>
          <w:color w:val="111111"/>
          <w:sz w:val="28"/>
          <w:sz w:val="28"/>
          <w:szCs w:val="28"/>
          <w:rtl w:val="true"/>
          <w:lang w:bidi="fa-IR"/>
        </w:rPr>
        <w:t>، بل وصرّح فی هذا الموضع باشتراط طهارة المسجد ، فتأمّل ، وهو ناظر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صاحب الوسیلة فربما نقل منه المنع من السجود ، إلاّ أنّه یجوز الصلاة </w:t>
      </w:r>
      <w:r>
        <w:rPr>
          <w:rStyle w:val="FootnoteAnchor"/>
          <w:rtl w:val="true"/>
        </w:rPr>
        <w:footnoteReference w:id="767"/>
      </w:r>
      <w:r>
        <w:rPr>
          <w:rFonts w:ascii="IRNazanin" w:hAnsi="IRNazanin" w:eastAsia="IRNazanin"/>
          <w:color w:val="111111"/>
          <w:sz w:val="28"/>
          <w:sz w:val="28"/>
          <w:szCs w:val="28"/>
          <w:rtl w:val="true"/>
          <w:lang w:bidi="fa-IR"/>
        </w:rPr>
        <w:t>، فلعله یعتبر طهارة مکان المصلّی ، وهو أحد الأقوال ، لکنه یکتفی فی غیر المسجد بتجفیف خصوص الشمس خصوص الثلاثة ، فتأمّل کلامه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لا بدّ من عدم اعتبار الإشعار ، للإجماع الذی نقله الشیخ ، مضافا إلی ظهور ذلک من روایة زرارة وأبی بکر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البقاء علی النجاسة وتأثیر الطهارة فی خصوص الصلاة علیه من خصوص الشمس فی خصوص المحلّ مخالف للاعتبار وما یظهر من تضاعیف أحکام الطهارة والنجاسة ، بل هو أمر غریب بالنسبة إلیها ، ولذا لو یعرض جواز الصلاة علیه علی عرف أمّة النبی صلی الله علیه و آله لا یفهم إلاّ الطهارة ، ولا یذهب </w:t>
      </w:r>
    </w:p>
    <w:p>
      <w:pPr>
        <w:pStyle w:val="BookText"/>
        <w:rPr/>
      </w:pPr>
      <w:r>
        <w:rPr>
          <w:rFonts w:ascii="IRNazanin" w:hAnsi="IRNazanin" w:eastAsia="IRNazanin"/>
          <w:color w:val="111111"/>
          <w:sz w:val="28"/>
          <w:sz w:val="28"/>
          <w:szCs w:val="28"/>
          <w:rtl w:val="true"/>
          <w:lang w:bidi="fa-IR"/>
        </w:rPr>
        <w:t>ذهنه إلی ما ذکرت ، اللهم إلاّ بعد أن یسمع ذلک الاحتمال منکم ، وأیضا هذا مخالف لظاهر صحیحة ابن بزیع ، کما 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الإشعار ، وفی ادعائه تأمّل ظاهر ، لمکان الاختلالات فی آخر الخبر وتعدّد الاحتمالات ، سیّما وبعضها ظاهر فی طهارة المحلّ ، مثل أن 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غیر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والراء ، کما وجدناه فی أکثر نسخ التهذیب ، موافقا للاستبصار ، ویکون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وصیلة فی الموضعین ، ولا یخفی رجحانه علی الشرطیة بعد إمعان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شرطیة 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کانت رجلک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مرتبطا بالیبس بغیر الشمس بعد إصابة الشمس ، بأنّ یکون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أصابته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 الیبس بالشمس ، فیکون علیه السلام حکم بالطهارة به ، وبجواز الصلاة مع بقاء المحلّ علی النجاسة بالأوّل ، وعدم الجواز مطلقا مع عدم إصابتها مطلقا والجفاف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أظهر بحسب العبارة ، لخلوّها عن التکرار والتأکید الذی 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ظهور القائل به غیر مضرّ بعد القول بالتوقّف فی اشتراط طهارة محل السجود ، من جهة عدم ثبوتها من الخبر ، إذ لو سلّمنا عدم ثبوت الإجماع لکن لا شک فی عدم ظهور قائل بعدم الاشتراط ، فتدبّر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والنون ، یحتمل أن یکون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المراد الیبس بالشمس علی قیاس ما مرّ ، وما یقتضیه سیاق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ومقرّب </w:t>
      </w:r>
    </w:p>
    <w:p>
      <w:pPr>
        <w:pStyle w:val="BookText"/>
        <w:rPr/>
      </w:pPr>
      <w:r>
        <w:rPr>
          <w:rFonts w:ascii="IRNazanin" w:hAnsi="IRNazanin" w:eastAsia="IRNazanin"/>
          <w:color w:val="111111"/>
          <w:sz w:val="28"/>
          <w:sz w:val="28"/>
          <w:szCs w:val="28"/>
          <w:rtl w:val="true"/>
          <w:lang w:bidi="fa-IR"/>
        </w:rPr>
        <w:t xml:space="preserve">هذا الاحتمال أنّ الشیخ فی باب الزیادات ذکر هذه الروایة خالیة عن 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عین الشمس أصابته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ولا شک أنّه حینئذ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والجمع مهما أمکن لازم ، وهذا أیضا من مرجّحات 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مطلقا ، ویقرّبه أنّ الوصل مزیة فی الکلام لا حاجة إلی ذکرها فی إفادة أصل المطلوب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w:t>
      </w:r>
      <w:r>
        <w:rPr>
          <w:rStyle w:val="FootnoteAnchor"/>
          <w:rtl w:val="true"/>
        </w:rPr>
        <w:footnoteReference w:id="770"/>
      </w:r>
      <w:r>
        <w:rPr>
          <w:rFonts w:ascii="IRNazanin" w:hAnsi="IRNazanin" w:eastAsia="IRNazanin"/>
          <w:color w:val="111111"/>
          <w:sz w:val="28"/>
          <w:sz w:val="28"/>
          <w:szCs w:val="28"/>
          <w:rtl w:val="true"/>
          <w:lang w:bidi="fa-IR"/>
        </w:rPr>
        <w:t>احتمالات ثلاثة ظاهرة فی طهارة المحلّ متأیّدة بالمؤیّدات والمقرّبات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أیضا خلوّ الخبر عن مخالفة ظاهر آخره لظاهر أوّله ، وغیر ذلک ، علی 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علیه السلام فی مقام جواب السؤال صرّح بالمنع فی النجس الرطب ، وکذا مع رطوبة ملاقیه وفصّل وطوّل ، فکیف یکتفی فی ما هو الأصل فی الجواب والعمدة فی البیان بمجرّد 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غرابة نفس الحکم ومخالفتها لکل من أحکام الطهارة والنجاسة والمعهود بین المسلمین والمتعارف بینهم فیهما ، علی حسب ما أشرنا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متن الروایة إنّما هو من عمّار کسائر متون روایاته ، فإشعاره لا اعتداد به کما لا یخفی علی الممارس ، فتأمّل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یلائم الاحتمال الذی فیه الإشعار أنّه کان المناسب حینئذ ذکر الجبهة خاصّة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کانت رجلک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ضمّ الرجل وغیره إلیه ، بعد ما أطلق اشتراط جواز الصلاة فی الموضع بکون التجفیف من الشمس ، وربط هذا القول به ، إذ یشعر حینئذ باشتراط طهارة سائر </w:t>
      </w:r>
    </w:p>
    <w:p>
      <w:pPr>
        <w:pStyle w:val="BookText"/>
        <w:rPr/>
      </w:pPr>
      <w:r>
        <w:rPr>
          <w:rFonts w:ascii="IRNazanin" w:hAnsi="IRNazanin" w:eastAsia="IRNazanin"/>
          <w:color w:val="111111"/>
          <w:sz w:val="28"/>
          <w:sz w:val="28"/>
          <w:szCs w:val="28"/>
          <w:rtl w:val="true"/>
          <w:lang w:bidi="fa-IR"/>
        </w:rPr>
        <w:t>المواضع أیضا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الإشعار فلعله من غرائب روایات عمّار ، وقد مرّ ما یشیر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الموثقة واضحة الدلالة علی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جفاف غیر الشمس لا یطهّر ولا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طهارة المسجد حیث صرّح بأنّه لا یصلّی علیه إذا یبس لغیر الشمس ، وشرط فی الصلاة علیه کون الیبس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جفاف الشمس لیس مثل جفاف غیر الشمس قطعا ، لأنّ الراوی بعد ما سأل عن حال جفاف غیر الشمس وسمع الجواب عن حکمه سأل عن الشمس هل تطهّر؟ فأجیب بجواب آخر قطعا </w:t>
      </w:r>
      <w:r>
        <w:rPr>
          <w:rStyle w:val="FootnoteAnchor"/>
          <w:rtl w:val="true"/>
        </w:rPr>
        <w:footnoteReference w:id="772"/>
      </w:r>
      <w:r>
        <w:rPr>
          <w:rFonts w:ascii="IRNazanin" w:hAnsi="IRNazanin" w:eastAsia="IRNazanin"/>
          <w:color w:val="111111"/>
          <w:sz w:val="28"/>
          <w:sz w:val="28"/>
          <w:szCs w:val="28"/>
          <w:rtl w:val="true"/>
          <w:lang w:bidi="fa-IR"/>
        </w:rPr>
        <w:t>، وصرّح بأنّ حکمه لیس حکم جفاف غیر الشمس ، فلو کان حکمهما واحدا لاجیب بأنّ حکمهما واحد ، وأنّه مثل الأوّل من دون حاجة إلی تغییر وتبدیل وتفصیل فی الآخر وتطویل ، ولکان جمیع ما ذکره فی جوابه لغوا بحتا ، وتطویلا بلا طائل مضرّا بالمقصود ، لأنّه صریح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تجفیف الشمس مطهّر ، لما ذکر من القرائن الواضحة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أیضا أنّه علیه السلام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تجفیف الشمس مطهّر ، 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الموضع قذرا من البول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ما یشبه البول فی أنّه لا جرم له حتی یمکن تطهیره بالشمس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تطهیرها کون القذارة من مثل البول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یؤیّد أیضا أنّه لم یقل فی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مطهّر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یتوهم من الطهارة معنی آخر ، کما أنّ فی الصورة الأولی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علی اتحاد المراد من الصلاة علیه وعدم الصلاة علیه ، وأنّ فی الصورتین لیس المراد إلاّ أمرا واحدا ، وهو الطهارة الشرعیة وعدمها ،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من عدم الصلاة هو إظهار النجاسة وبقاؤها ، فکذا فی الصورة الثانیة المراد عدم النجاسة وعدم بقائها ، ونبّه أیضا علی أنّ مفهوم النجاسة الشرعیة هو عدم جواز الصلاة مثلا ، کما أنّ مفهوم الطهارة الشرعیة هو جواز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الراوی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تصیبه الشمس ، وفی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هل تطهّر؟ فیه شهادة واضحة علی اشتهار </w:t>
      </w:r>
      <w:r>
        <w:rPr>
          <w:rStyle w:val="FootnoteAnchor"/>
          <w:rtl w:val="true"/>
        </w:rPr>
        <w:footnoteReference w:id="773"/>
      </w:r>
      <w:r>
        <w:rPr>
          <w:rFonts w:ascii="IRNazanin" w:hAnsi="IRNazanin" w:eastAsia="IRNazanin"/>
          <w:color w:val="111111"/>
          <w:sz w:val="28"/>
          <w:sz w:val="28"/>
          <w:szCs w:val="28"/>
          <w:rtl w:val="true"/>
          <w:lang w:bidi="fa-IR"/>
        </w:rPr>
        <w:t>مطهّریة الأرض مثلا بالشمس وکونها مطهّرة لها ، کما یظهر ذلک من الأخبار الأخر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ظهور ذلک من الخارج من فتاوی الشیعة وأهل السنّة ، وفیه أیضا شهادة واضحة علی أنّ المراد من مطهّریة الشمس وحصول الطهارة بها هو المعنی المعروف المعهود بین المسلمین فی هذه الموثقة وغیرها من الأخبار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الإشعار یتوقّف علی ظهور کون النسخة بالعین المهملة أو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والأوّل قد عرفت حاله ، وأمّا الثانی فبعید أیضا ، لبعد کون ذلک إشارة إلی ما ذکر فی صدر الحدیث من جواز الصلاة فی خصوص صورة الیبوسة ، مضافا إلی أنّه قد صرّح فی الصدر بالمنع ، فیکون هذا تکرارا ، مع أنّه علی هذا لا یناسب ذکر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الضمیر فی الجواب ، لمرجوحیة کون الضمیر راجعا إلی الشأن المقدر ، لأصالة عدم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وأیضا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جواب الشرط ، کما لا یخفی علی المتأمّل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الإذن فی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الإذن وعدم اشتراط جفاف الثوب والبدن ممّا یلاقیه ظاهر فی الطهارة ، فالإطلاق والعموم وإن کان یشمل ما إذا جفّت بغیر الشمس ، لکن خرج ما خرج بالوفاق والدلیل ، وبقی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السجود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ظاهر کون الصلاة علیها السجود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نقف له علی مستند سوی الإجماع المنقول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نقله المصنف فی المعتبر ، والعلاّمة فی التذکرة والمنتهی والمختلف ، وابن زهرة ، والشهید فی الذکری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هذا الفرد من النجس ممّا یجوز السجود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تسلیم الاشتراط لا یبقی لما ذکره وجه ، إذ لا دلیل علی استثناء هذا الفرد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الأدلة یصیر هو الطهارة البتّة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الأدلة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لم نجد دلیلا علی بقاء النجاسة </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حتی یثبت خلاف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أخیه علیه السلام جواز الصلاة علی المحل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کذلک ، بل ورد الصلاة فی البیت والدار ، والصلاة فی البیت غیر الصلاة علی الباریة ، کما هو ظاهر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أبی بکر فضعیفة السند جدّا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الضعف منجبر بشهرة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الراوی عنه أحمد بن محمد بن عیسی ، بقرینة علی بن الحکم ، وأحمد هو الذی أخرج البرقی عن قم بسبب روایته عن المجاهیل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هو غیر المنقول بالنص والإجماع ، خرج ما خرج بهما وبقی الباقی ،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المعهود عند الشیعة طهارة هذا القسم خاصّة لیس إلاّ ، لو کان واقعا طاهرا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 المستأنس من الأخبار وکلام الفقهاء من الشیعة وأهل السنّة ، أنّ السؤال والجواب فی مطهّریة الشمس ومثلها ، وکذا الحکم بها ، إنّما هی فی غیر المنقول ، وأمّا المنقول مثل الثوب والظرف فلا ، بل الأمر بالنسبة إلیه التطهیر بالماء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طهارة النعل والقدم بالمشی ، والکفر بالإسلام ، فتدبّر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کما هو الوارد فی النصوص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مدخلیة الشمس فی المنقول من ضروریات الدین فکان ظاهرا </w:t>
      </w:r>
    </w:p>
    <w:p>
      <w:pPr>
        <w:pStyle w:val="BookText"/>
        <w:rPr/>
      </w:pPr>
      <w:r>
        <w:rPr>
          <w:rFonts w:ascii="IRNazanin" w:hAnsi="IRNazanin" w:eastAsia="IRNazanin"/>
          <w:color w:val="111111"/>
          <w:sz w:val="28"/>
          <w:sz w:val="28"/>
          <w:szCs w:val="28"/>
          <w:rtl w:val="true"/>
          <w:lang w:bidi="fa-IR"/>
        </w:rPr>
        <w:t>عند الراوی ، ولم یحتج إلی التقیید والتخصیص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فهی متروکة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وقع إجماع أو دل دلیل علی متروکیة الظاهر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فکیف یحکم بکونها متروکة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تناقض ظاهر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وتخصیصها بغیر المنقول لا دلیل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یعهد أن یقال للثوب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أشرقت علیه الشمس ، ولا للظرف کذلک ، بل المعهود المأنوس عند الإطلاق من دون قرینة ، أنّ ما أشرقت علیه الشمس شی‌ء من شأنه الموضوعیة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علیه الشمس ، وکذا للأرض وأمثالهما ، ولا یقال لمثل الخاتم ، والدرهم والدینار وأمثال ذلک ، فنمنع تبادر مثل الثوب والظرف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 الروایة من حیث المتن بجواز حمل الطاهر علی المعنی اللغوی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النظافة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تعرفها النساء ، فضلا عن الرجال ، فضلا عن مثل زرارة ، فضلا عن أن یسأل عن حصولها عن مثل الباقر علیه السلام من أهل الحکم الشرعی ، وخصوصا فی هذا المقام ، إذ لا ربط للسؤال عن حصول النظافة اللغویة </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بالنسبة إلی النجس بالنجاسة الشرعیة ، ولا ربط لحکایة الصلاة وکونها فی مکانها ، وکذا لا ربط لاشتراط التجفیف بالشمس ، ولا لکون الجزاء جواز الصلاة علیه ، ولا للتعلیل بکونه نظیفا لغویا ، وبالجملة ما احتمله أمر عجیب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الحمل علی المجاز اللغوی وإن کان معنی شرعیا لکنه غیر معلوم کونه المعنی المصطلح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جمیع مواضع الفقه أنّه بعد وجود القرینة الصارفة عن المعنی اللغوی یحمل علی المصطلح علیه البتة ، ولعل وجهة أنّ الشارع استعمل فیه قطعا وکثر استعماله إلی أن وقع النزاع بین الفحول فی صیرورته حقیقة شرعیة وقال به الأعاظم ، بل ویظهر ذلک من تتبّع الأحادیث ، ولا شک فی صیرورته حقیقة فی قرب من الزمان بعد الشارع ، فعلی تقدیر عدم الثبوت لم یکن هذا المعنی مثل سائر المعانی المجازیة التی لم یظهر بعد استعمال الشارع ، فضلا عن کثرة الاستعمال ، بل وغیر مأنوس ولا معهود عند العلماء ، بل ولا معروف أنّه ما 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المحققین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علی أن زمان الباقر والصادق علیهماالسلام حاله حال زمان المتشرّعة لا الشارع ، وإنّه لیس ذلک محلاّ للنزاع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وهذا النزاع کان فی زمانهما علیهماالسلام أو من أهل ذلک العصر أو ما قاربه ، فکیف یتصور کونه محلا للنزاع؟ </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وبالجملة لتحقیق المرام مقام آخر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حمل سؤال زرارة علی کونه من خصوص الکراهة واستحباب التجنب فی غایة البعد ، بل یمکن القطع بفساده ، إذ ظاهر أنّ سؤاله عن حکایة النجاسة وجواز الصلاة وعدمه من جهتها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رواها بسنده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نص فی کون الطهارة بالمعنی المصطلح ، ویؤیّده أیضا اشتهار هذا </w:t>
      </w:r>
    </w:p>
    <w:p>
      <w:pPr>
        <w:pStyle w:val="BookText"/>
        <w:rPr/>
      </w:pPr>
      <w:r>
        <w:rPr>
          <w:rFonts w:ascii="IRNazanin" w:hAnsi="IRNazanin" w:eastAsia="IRNazanin"/>
          <w:color w:val="111111"/>
          <w:sz w:val="28"/>
          <w:sz w:val="28"/>
          <w:szCs w:val="28"/>
          <w:rtl w:val="true"/>
          <w:lang w:bidi="fa-IR"/>
        </w:rPr>
        <w:t>المعنی بین الشیعة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علی بن جعفر عن أخیه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البیت والدار لا یصیبهما الشمس ویصیبهما البول ویغتسل فیهما من الجنابة ، یصلی فیهما إذا جفّا؟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شهادة واضحة علی اشتهار کون الشمس من المطهرات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یظهر منها أنّ علی بن جعفر الجلیل کان یعتقد مطهّریة الشمس ، وأنّه لما لم تصبهما وقع إشکال علیه ، والمعصوم علیه السلام قرّره علی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الصلاة فی المکان لا یشترط فیه طهارة المکان إذا کان جافّا ، والصلاة فی المکان غیر الصلاة علی الأرض مثلا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Style w:val="FootnoteAnchor"/>
          <w:rtl w:val="true"/>
        </w:rPr>
        <w:footnoteReference w:id="7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وقعت علیه الشمس من الأماکن التی أصابها شی‌ء من النجاسة مثل البول وغیره طهّرتها ، وأمّا الثیاب فلا تطهر إلاّ بالغسل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المناقشة إنّما یکون إذا کان الاستدلال بخصوص لفظ الطهارة لا بمفهوم الشرط الذی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عن الشارح الاعتراف بأنّ النجاسة إنّما تستفاد غالبا من أمر الشارع بالغسل </w:t>
      </w:r>
      <w:r>
        <w:rPr>
          <w:rStyle w:val="FootnoteAnchor"/>
          <w:rtl w:val="true"/>
        </w:rPr>
        <w:footnoteReference w:id="792"/>
      </w:r>
      <w:r>
        <w:rPr>
          <w:rFonts w:ascii="IRNazanin" w:hAnsi="IRNazanin" w:eastAsia="IRNazanin"/>
          <w:color w:val="111111"/>
          <w:sz w:val="28"/>
          <w:sz w:val="28"/>
          <w:szCs w:val="28"/>
          <w:rtl w:val="true"/>
          <w:lang w:bidi="fa-IR"/>
        </w:rPr>
        <w:t xml:space="preserve">، وغیر خفی أنّه لیس مراده خصوص الغسل ، بل هو وأمثاله ، لأنّ بعض النجاسات إنّما یستفاد من منع </w:t>
      </w:r>
    </w:p>
    <w:p>
      <w:pPr>
        <w:pStyle w:val="BookText"/>
        <w:rPr/>
      </w:pPr>
      <w:r>
        <w:rPr>
          <w:rFonts w:ascii="IRNazanin" w:hAnsi="IRNazanin" w:eastAsia="IRNazanin"/>
          <w:color w:val="111111"/>
          <w:sz w:val="28"/>
          <w:sz w:val="28"/>
          <w:szCs w:val="28"/>
          <w:rtl w:val="true"/>
          <w:lang w:bidi="fa-IR"/>
        </w:rPr>
        <w:t xml:space="preserve">الصلاة ، فیظهر من المقایسة والمقابلة إرادة الطهارة التی هی بإزاء النجاسة وفی مقابلها ، سیّما مع ضمّ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الاحتجاج بمثل هذه الروایة من جهة أخری ، وهو الإذن فی الصلاة علیها علی الإطلاق ، والرخصة ، من دون شرط یبوسة الثوب والبدن وموضع ملاقاتهما ، سیّما وحکم بعده بالطهارة علی الإطلاق ، وإن قلنا إنّها بالمعنی اللغوی ، لأنّ الحکم بالنظافة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تنبیه ببقاء کثافة وقذارة ولزوم تنزّه واحتراز عنها فی حال من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الطهارة الشرعیة ، بل هو عینها ، إذ لا نعنی بها إلاّ ذلک ، ففی الخبر وجوه متعدّدة من الدلالة یؤکّد بعضها بعضا ویعاضد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تطهّره الشمس من غیر ماء؟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شهادة علی أنّ الطهارة الاصطلاحیة کانت معهودة فی السؤال عنها من جهة إشراق الشمس ، وأنّها کانت محل إشکالهم ، ومشهورة ومعهودة بین المسلمین ، لا المعنی الغریب الأجنبی غیر المعهود وغیر المأنوس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الشیخ عنها فی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 هذه الروایة علی التقیة ، لموافقتها جماعة من العامة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به إذا لم یجفّفه الشمس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وهو یفید الاستمرار التجدّدی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یصیبه إصابة بعد إصابة علی الدوام والاستمرار ، فیکون من قبیل </w:t>
      </w:r>
    </w:p>
    <w:p>
      <w:pPr>
        <w:pStyle w:val="BookText"/>
        <w:rPr/>
      </w:pPr>
      <w:r>
        <w:rPr>
          <w:rFonts w:ascii="IRNazanin" w:hAnsi="IRNazanin" w:eastAsia="IRNazanin"/>
          <w:color w:val="111111"/>
          <w:sz w:val="28"/>
          <w:sz w:val="28"/>
          <w:szCs w:val="28"/>
          <w:rtl w:val="true"/>
          <w:lang w:bidi="fa-IR"/>
        </w:rPr>
        <w:t xml:space="preserve">الموضع الذی یتخذ مبالا ، وسیجی‌ء فی روایة زرارة وحدید بن حکیم استثناء المتخذ للمبال </w:t>
      </w:r>
      <w:r>
        <w:rPr>
          <w:rStyle w:val="FootnoteAnchor"/>
          <w:rtl w:val="true"/>
        </w:rPr>
        <w:footnoteReference w:id="795"/>
      </w:r>
      <w:r>
        <w:rPr>
          <w:rFonts w:ascii="IRNazanin" w:hAnsi="IRNazanin" w:eastAsia="IRNazanin"/>
          <w:color w:val="111111"/>
          <w:sz w:val="28"/>
          <w:sz w:val="28"/>
          <w:szCs w:val="28"/>
          <w:rtl w:val="true"/>
          <w:lang w:bidi="fa-IR"/>
        </w:rPr>
        <w:t>، فلاحظ ، وغیر خفی أنّه قلّما یتفق فی مثل هذه الصورة الجفاف التام من الشمس بالنسبة إلی کل إصابة إصابة ، ومعلوم أنّ مثل هذا لا تطهّره الشمس ، کما هو مضمون روایة زرارة وحدید ، ومجمع علیه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السائل سأل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تطهّره الشمس من غیر ماء؟ ولم یقل هل تطهّره الشمس؟ وظاهر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ماء ، قید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تطهّره الشمس ، والنفی والإثبات إنّما یرجعان إلی القید ، کما هو المحقّق ، فالمعنی أنّه هل تطهّره جافّا من غیر رطوبة ولا صبّ ماء أم یحتاج تطهیرها إلی التجفیف ونشف الرطوبة؟ فلا بدّ من صبّ الماء لو لم یکن رطوبة ، ویشیر إلی ذلک أیضا تنکیر لفظ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العبارة علی أنّ المراد هل تطهره الشمس أم لا تطهره بل المطهّر هو الماء خاصّة ، بعید وخروج عن مقتضی العبارة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ذکره رحمه الله لیس حملا بل هو الظاهر المستفاد من مقتضی العبارة ، ولو سلّم عدم الظهور فلا نسلم المرجوحیة ، ولو سلّمت فهو حمل فی غایة القرب ، وأین هو من المحامل البعیدة المسلمة عند الشارح فی مواضع لا تحصی؟ کما لا یخفی ، بل لا شک أنّه أقرب من حمل الطاهر علی المعنی اللغوی ، کما ارتکبه فی الحدیث ، وبیّنا فساده بما لا مزید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الحمل علی أنّه إذا تراکم الأبوال أو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w:t>
      </w:r>
    </w:p>
    <w:p>
      <w:pPr>
        <w:pStyle w:val="BookText"/>
        <w:rPr/>
      </w:pPr>
      <w:r>
        <w:rPr>
          <w:rFonts w:ascii="IRNazanin" w:hAnsi="IRNazanin" w:eastAsia="IRNazanin"/>
          <w:color w:val="111111"/>
          <w:sz w:val="28"/>
          <w:sz w:val="28"/>
          <w:szCs w:val="28"/>
          <w:rtl w:val="true"/>
          <w:lang w:bidi="fa-IR"/>
        </w:rPr>
        <w:t xml:space="preserve">اقتضاه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یذهب عین النجاسة بالشمس ، فلا بدّ من إذهابها بالماء حتی یطهّره الشمس ، یعنی ذهاب الأثر الذی هو النجاسة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یحمل علی أنّه فی هذه لا یطهر بالشمس بل یطهر بالماء ، أو یکون سؤاله عن طهارة نفس الأرض والسطح لا ظاهرهما ، ولهذا قیّد بالماء الذی هو المسری فی الأعماق ، وأرجع الضمیر إلی نفس السطح والأرض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یطهر المجموع من کل واحد منهما من غیر ماء؟ أو یحمل علی الاتّقاء ، لأنّ الراوی وزیر الخلیفة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حکایة الإضمار فلأنّ الظاهر أنّ المسؤول هو الإمام علیه السلام ، لکن الظاهر لا یعارض النص ، کما هو ظاهر ، وظاهر أنّ هذا الطعن منهم إنّما هو فی مقام الترجیح لا مطلقا عند من یعمل بالظاهر مطلقا ، فتدبّر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المرجوحیة 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السند ، والدلالة ، ومخالفة الإجماع أو الشهرة إن لم نقل بتحقّق الإجماع ، وکذا حجّیة الإجماع المنقول بخبر الواحد ، والأوفقیة بمذهب العامة أو التقیة ، فتأمّل ، والشذوذ والندرة بحسب العدد أیضا ، من حیث إنّه معارضه مستفیض ، والأبعدیة عن الملّة السمحة السهلة ، بل واقتضاؤه الحرج ، کما هو غیر خفی ، والمخالفة لما هو الظاهر من العادة المستمرة فی الأعصار والأمصار من عدم غسلهم الحبوب والخضروات والثمرات والبقولات ، وإن عرض لها النجاسة سابقا ، بل منها ما یربّی بالعذرة والنجاسات فی جمیع الأمصار ، ومنها ما یربّی فی أکثر الأمصار ، ومنها ما یربّی فی مصر دون مصر ، وکذا الحال فی عدم الاحتراز عن </w:t>
      </w:r>
      <w:bookmarkStart w:id="696" w:name="pg14966_204226"/>
    </w:p>
    <w:p>
      <w:pPr>
        <w:pStyle w:val="BookText"/>
        <w:rPr/>
      </w:pPr>
      <w:bookmarkEnd w:id="696"/>
      <w:r>
        <w:rPr>
          <w:rFonts w:ascii="IRNazanin" w:hAnsi="IRNazanin" w:eastAsia="IRNazanin"/>
          <w:color w:val="111111"/>
          <w:sz w:val="28"/>
          <w:sz w:val="28"/>
          <w:szCs w:val="28"/>
          <w:rtl w:val="true"/>
          <w:lang w:bidi="fa-IR"/>
        </w:rPr>
        <w:t>الأبنیة ، فإنّها فی غالب البلدان لا تتحقّق إلاّ متنجّسة بالنجاسات المشاهدة المحسوسة ، إمّا فی مائها ، أو مختلطة مع ترابها ، أو جصّها ، أو صاروجها ، أو اللّبن ، والظاهر أنّ الحال کان کذلک أیضا فی الأعصار السابقة ، کما لا یخفی علی المتأمّل المنصف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توقّف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مضی عنه وسیجی‌ء فی بحث مطهریّة الأرض وغیره أنّ الأصل عدم التکلیف بغسل النجاسة عن هذه الأشیاء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جواز الصلاة فی المحلّ لا یستلزم الطهارة ، کما بیّنّاه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أنّ الصلاة فیهما لا یستلزم وضع الجبهة علی أرضهما ، والجواب عن أحدهما لا یستلزم الجواب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الاستلزام لعله محمول علی التقیة ،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حال عدم الطهارة بمجرّد الجفاف وحال طهارة موضع السجدة واحدة بالقیاس إلی الإجماع ، فلا وجه للتشبّث به فی إثبات عدم اشتراط الطهارة من الروایة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أنّها تطهر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نظر الشیخ فی حکمه فی الموضع الآخر إلی ما رواه هو والکافی بسندهما الصحیح إلی زرارة وحدید بن الحکیم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السطح یصیبه البول ، أیصلّی فی ذلک الموضع؟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یصیبه الشمس والریح وکان جافّا فلا بأس به ، إلاّ أن یتخذ مبالا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2087935_388300464"/>
      <w:bookmarkStart w:id="698" w:name="_Toc273"/>
      <w:bookmarkEnd w:id="697"/>
      <w:r>
        <w:rPr>
          <w:rtl w:val="true"/>
        </w:rPr>
        <w:t>حکم الجفاف بغیر الشمس من ریح أو غیرها</w:t>
      </w:r>
      <w:bookmarkEnd w:id="698"/>
    </w:p>
    <w:p>
      <w:pPr>
        <w:pStyle w:val="BookText"/>
        <w:rPr/>
      </w:pPr>
      <w:r>
        <w:rPr>
          <w:rFonts w:ascii="IRNazanin" w:hAnsi="IRNazanin" w:eastAsia="IRNazanin"/>
          <w:color w:val="111111"/>
          <w:sz w:val="28"/>
          <w:sz w:val="28"/>
          <w:szCs w:val="28"/>
          <w:rtl w:val="true"/>
          <w:lang w:bidi="fa-IR"/>
        </w:rPr>
        <w:t xml:space="preserve">وکلمة الواو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اشتراط التطهیر بهما معا مخالف للإجماع والأخبار المستفیضة ، إذ المستفاد من کل منهما أنّ الشمس إمّا مطهّرة مطلقا أو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الظاهر منهما أنّها مطهّرة مطلقا ، وهذا الحدیث أیضا حجّة بمقتضی الدلیل والظاهر ، ویظهر منه أنّ الریح حاله حال الشمس ، ویظهر منه أیضا اشتراط جواز الصلاة بإصابة الشمس والریح ، فیظهر منه کونهما مطهّرین ، وکون حالهما واحدا فی التأثیر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الجمعیة معنی مجازی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المعیة ، بل معناه الحقیقی مشارکة المعطوف للمعطوف علیه فی ما حکم علیه ، وأیضا العطف فی قوة تکریر العامل ، فیصیر الحدیث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تصیبه الشمس وإن کان تصیبه الریح فلا بأس ، فظاهر هذا هو ما أفتی به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هذا الحدیث الصحیح من الشیخین فی الکتابین أیضا دلیل من الأدلة الدالة علی تطهیر الشمس ، وحمل علی إعانة الریح فی الجفاف </w:t>
      </w:r>
      <w:r>
        <w:rPr>
          <w:rStyle w:val="FootnoteAnchor"/>
          <w:rtl w:val="true"/>
        </w:rPr>
        <w:footnoteReference w:id="799"/>
      </w:r>
      <w:r>
        <w:rPr>
          <w:rFonts w:ascii="IRNazanin" w:hAnsi="IRNazanin" w:eastAsia="IRNazanin"/>
          <w:color w:val="111111"/>
          <w:sz w:val="28"/>
          <w:sz w:val="28"/>
          <w:szCs w:val="28"/>
          <w:rtl w:val="true"/>
          <w:lang w:bidi="fa-IR"/>
        </w:rPr>
        <w:t>، وهو لا ینافی مطهّریة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الکلینی رحمه الله ظاهره موافقة الشیخ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والتنافی فی کلامی الشیخ باق ، واختلاف الرأی منه ومن غیره من المجتهدین غیر عزیز ، بل العزیز عدم الاختلاف ، بل ربما جعل عدمه مانعا لتحقّق الاجتهاد وحصول الرتبة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لهما بروایتی علی بن جعفر المتقدّمتین ، وموثقة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الباریة یبلّ قصبها بماء قذر ، هل یجوز الصلاة </w:t>
      </w:r>
      <w:bookmarkStart w:id="699" w:name="pg14966_204228"/>
    </w:p>
    <w:p>
      <w:pPr>
        <w:pStyle w:val="BookText"/>
        <w:rPr/>
      </w:pPr>
      <w:bookmarkEnd w:id="699"/>
      <w:r>
        <w:rPr>
          <w:rFonts w:ascii="IRNazanin" w:hAnsi="IRNazanin" w:eastAsia="IRNazanin"/>
          <w:color w:val="111111"/>
          <w:sz w:val="28"/>
          <w:sz w:val="28"/>
          <w:szCs w:val="28"/>
          <w:rtl w:val="true"/>
          <w:lang w:bidi="fa-IR"/>
        </w:rPr>
        <w:t xml:space="preserve">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جفّت فلا بأس بالصلاة علیها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IRNazanin" w:hAnsi="IRNazanin" w:eastAsia="IRNazanin"/>
          <w:color w:val="111111"/>
          <w:sz w:val="28"/>
          <w:sz w:val="28"/>
          <w:szCs w:val="28"/>
          <w:rtl w:val="true"/>
          <w:lang w:bidi="fa-IR"/>
        </w:rPr>
        <w:t>بحمل الأخبار علی هبوب الریح ، بناء علی عدم الانفکاک غالبا عادة ، لکن ما ذکر عن المنتهی فی الفرع الأوّل ربما یمنع عن الاعتماد والوثوق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مثل ما ذکره حجّة فلا وجه للتأمّل فی مطهّریة الشمس ، وإلاّ فلا وجه للتأمّل فی ما أفتی به الشیخ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الطهارة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لعل الأولی أن یجعل الدلیلان دلیلا واحدا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طهارة الأشیاء ، ولا دلیل علی نجاسته سوی کونه عذرة مثلا ، والآن لیس بعذرة قطعا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الأصل فی الأشیاء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الاستشهاد بالإطلاقات الواردة فی إسراج الدهن النجس </w:t>
      </w:r>
      <w:r>
        <w:rPr>
          <w:rStyle w:val="FootnoteAnchor"/>
          <w:rtl w:val="true"/>
        </w:rPr>
        <w:footnoteReference w:id="80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الحکم بالنجاسة معلّق علی الاسم فیزول بزواله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من زوال الاسم زوال الحقیقة والماهیة ، وإلاّ یشکل الأمر فی کثیر من المواضع ، مثل صیرورة الطین آجرا ، والعجین خبزا وغیر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2087937_388300464"/>
      <w:bookmarkStart w:id="701" w:name="_Toc274"/>
      <w:bookmarkEnd w:id="700"/>
      <w:r>
        <w:rPr>
          <w:rtl w:val="true"/>
        </w:rPr>
        <w:t>مطهریة الاستحالة بالنار وغیرها</w:t>
      </w:r>
      <w:bookmarkStart w:id="702" w:name="pg14966_204229"/>
      <w:bookmarkEnd w:id="701"/>
    </w:p>
    <w:p>
      <w:pPr>
        <w:pStyle w:val="BookText"/>
        <w:rPr/>
      </w:pPr>
      <w:bookmarkEnd w:id="702"/>
      <w:r>
        <w:rPr>
          <w:rFonts w:ascii="Amiri" w:hAnsi="Amiri" w:eastAsia="Amiri" w:cs="Amiri"/>
          <w:color w:val="111111"/>
          <w:sz w:val="28"/>
          <w:sz w:val="28"/>
          <w:szCs w:val="28"/>
          <w:rtl w:val="true"/>
          <w:lang w:bidi="ar-SA"/>
        </w:rPr>
        <w:t>ذلک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یتوقّف علیه ابتداؤه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بیّنا فی رسالتنا فی الاستصحاب أنّه لا یجری فی الموضع الذی تتغیر ماهیته وتتحقّق استحالته </w:t>
      </w:r>
      <w:r>
        <w:rPr>
          <w:rStyle w:val="FootnoteAnchor"/>
          <w:rtl w:val="true"/>
        </w:rPr>
        <w:footnoteReference w:id="805"/>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إسناد التطهیر إلی النار حقیقة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فالضمیر یرجع إلی الجصّ الممزوج بالعذرة المحترقة عادة ، وأمّا استناد التطهیر إلی الماء فلعله لاحتمال أن یکون الجصّ ینجس بالدسومة الخارجة عن عظام الموتی بالاحتراق ، 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 الماء وصبّه علی الموضع الذی شک فی نجاسته </w:t>
      </w:r>
      <w:r>
        <w:rPr>
          <w:rStyle w:val="FootnoteAnchor"/>
          <w:rtl w:val="true"/>
        </w:rPr>
        <w:footnoteReference w:id="807"/>
      </w:r>
      <w:r>
        <w:rPr>
          <w:rFonts w:ascii="IRNazanin" w:hAnsi="IRNazanin" w:eastAsia="IRNazanin"/>
          <w:color w:val="111111"/>
          <w:sz w:val="28"/>
          <w:sz w:val="28"/>
          <w:szCs w:val="28"/>
          <w:rtl w:val="true"/>
          <w:lang w:bidi="fa-IR"/>
        </w:rPr>
        <w:t>، فهذا الصبّ أیضا نوع تطهیر ورفع قذارة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الطهارة الشرعیة مستفادة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علی هذا لا یظهر أنّ المطهّر ما ذا؟ والمطهّرات محصورة معروفة لم یوجد شی‌ء فی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الحسن بن محبوب المقدم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الاستدلال به أنّ المعصوم علیه السلام لم یفصّل بأنّ العظام کانت رطبة أو یابسة ، وکذا الجصّ ، مع أنّه فی الغالب بمجرّد الاحتراق یخرج منها دسومة وتصل الجصّ ، وفی الغالب تکون العظام المذکورة نجسة ، فتأمّل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2087939_388300464"/>
      <w:bookmarkStart w:id="704" w:name="_Toc275"/>
      <w:bookmarkEnd w:id="703"/>
      <w:r>
        <w:rPr>
          <w:rtl w:val="true"/>
        </w:rPr>
        <w:t>حکم اللبن المضروب من طین نجس</w:t>
      </w:r>
      <w:bookmarkStart w:id="705" w:name="pg14966_204230"/>
      <w:bookmarkEnd w:id="704"/>
    </w:p>
    <w:p>
      <w:pPr>
        <w:pStyle w:val="BookText"/>
        <w:rPr/>
      </w:pPr>
      <w:bookmarkEnd w:id="70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التراب طهورا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المناقشة بأنّ المفرد المحلّی باللام ینصرف إلی الأفراد المتعارفة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الثانیة فبالإرسال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طعن فیها ، لما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نجاسة العجین صریحا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الظهور کاف ، والظاهر منها النجاسة ، نعم بعد ما ثبت من الأدلة من أنّ البئر لا ینفعل بالملاقاة ترتفع الدلالة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تکون طاهرة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بعید ، نعم لا یظهر منها تحقّق العلم بالنجاسة حال الاستعمال ، والأصل الطهارة حتی یستیقن النجاسة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جواز بیعه من المسلم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المانع من البیع عندهم لیس منحصرا فی عدم جواز الانتفاع ، بل الأعیان المتنجّسة التی لا تقبل الطهارة لا یجوز عندهم بیعها ، کما یعلم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کون ذلک مأثما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الکفّار عندنا مکلّفون فی الفروع ، فتتحقّق الإعانة فی الإثم ، نعم یتوجه هذا علی العلاّمة رحمه الله أیضا من جهة حکمه بجواز البیع من الحربی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الحنطة والسمسم إذا انتقعا فی الماء النجس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مرّ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ویعصر الثیاب من النجاسات ، عند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2087941_388300464"/>
      <w:bookmarkStart w:id="707" w:name="_Toc276"/>
      <w:bookmarkEnd w:id="706"/>
      <w:r>
        <w:rPr>
          <w:rtl w:val="true"/>
        </w:rPr>
        <w:t>حکم العجین النجس</w:t>
      </w:r>
      <w:bookmarkStart w:id="708" w:name="pg14966_204231"/>
      <w:bookmarkEnd w:id="707"/>
    </w:p>
    <w:p>
      <w:pPr>
        <w:pStyle w:val="BookText"/>
        <w:rPr/>
      </w:pPr>
      <w:bookmarkEnd w:id="708"/>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لا ینفصل الغسالة عنه یطهر بالکثیر أو الجاری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دلالته ضعف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کلام الشیخ فی 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الظهور تأمّل ، بل الظاهر أنّ استدلاله فیه غفلة منه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خمس عشرة ذراعا أو نحو ذلک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التخصیص بخمسة عشر بناء علی أنّ الغالب عدم التطهیر بأقل من ذلک من النجاسات المتعارفة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انتفاء الأمر به علی الخصوص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مبنی علی منعه حجّیة الاستصحاب ، لکنه مخالف لطریقته فی کثیر من المواضع ،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نجاسته شرعا ، فلا بدّ من ثبوت طهارته شرعا ، وأیضا حال الأرض حال الشمس ، وقد مرّ منه فی الشمس ما مرّ ، وسیجی‌ء فی عدم طهارة أسفل العصا والرمح أیضا ما یخالف المقام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جرم له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القیاس بطریق الأولویة هنا نظر ظاهر ، فالعمدة إطلاق النص والفتوی</w:t>
      </w:r>
      <w:r>
        <w:rPr>
          <w:rFonts w:eastAsia="IRNazanin" w:cs="IRNazanin"/>
          <w:color w:val="111111"/>
          <w:sz w:val="28"/>
          <w:szCs w:val="28"/>
          <w:rtl w:val="true"/>
          <w:lang w:bidi="fa-IR"/>
        </w:rPr>
        <w:t>.</w:t>
      </w:r>
    </w:p>
    <w:p>
      <w:pPr>
        <w:pStyle w:val="Heading3"/>
        <w:numPr>
          <w:ilvl w:val="2"/>
          <w:numId w:val="1"/>
        </w:numPr>
        <w:rPr/>
      </w:pPr>
      <w:bookmarkStart w:id="709" w:name="__RefHeading___Toc2087943_388300464"/>
      <w:bookmarkStart w:id="710" w:name="_Toc277"/>
      <w:bookmarkEnd w:id="709"/>
      <w:r>
        <w:rPr>
          <w:rtl w:val="true"/>
        </w:rPr>
        <w:t>مطهریة الأرض</w:t>
      </w:r>
      <w:bookmarkEnd w:id="7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1" w:name="__RefHeading___Toc2087945_388300464"/>
      <w:bookmarkStart w:id="712" w:name="_Toc278"/>
      <w:bookmarkEnd w:id="711"/>
      <w:r>
        <w:rPr>
          <w:rtl w:val="true"/>
        </w:rPr>
        <w:t>تطهر الأرض باطن الخف والقدم</w:t>
      </w:r>
      <w:bookmarkStart w:id="713" w:name="pg14966_204232"/>
      <w:bookmarkEnd w:id="712"/>
    </w:p>
    <w:p>
      <w:pPr>
        <w:pStyle w:val="BookText"/>
        <w:rPr/>
      </w:pPr>
      <w:bookmarkEnd w:id="71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ویبوستها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وجه لاعتبار الیبوسة ، بل اشتراط الطهارة مع یبوستها أیضا محلّ مناقشة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جمیل بن درّاج ، عن المعلّی بن خنیس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الخنزیر یخرج من الماء فیمرّ علی الطریق فیسیل منه الماء ، وأمّر علیه حافیا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وراءه شی‌ء 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 إنّ الأرض یطهّر بعضها بعضا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وربما کان فیها وفی روایة الأحول إیماء إلی طهارة الأرض المطهّر ، فتأمّل ، ولعله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أصابه من الماء أکثر منه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وبما یظهر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أصابه من الماء أکثر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هذا الحکم بماء المطر ، بل کون ذلک حکم الماء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 ،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فیقطر ، وربما کان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 من السقف ، بعنوان غور الماء فیه وخروجه من طرف داخل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روی الشیخ بإسناده الصحیح ، عن جعفر بن بشیر ، عن عمر بن الولید ، عن أبی بصیر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الکنیف یکون خارجا فتمطر السماء ، فتقطر علیّ القطرة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ویعضد الروایة عمل الأصحاب والشهرة فی الفتوی ، ومرسلة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البأس فی أخذ ذلک الماء للوضوء مع عدم الجریان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المتبادر من البأس فی مثل المقام هو النجاسة ، ومفهوم الشرط حجّة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2087947_388300464"/>
      <w:bookmarkStart w:id="715" w:name="_Toc279"/>
      <w:bookmarkEnd w:id="714"/>
      <w:r>
        <w:rPr>
          <w:rtl w:val="true"/>
        </w:rPr>
        <w:t>حکم ماء الغیث الواقع علی النجاسة</w:t>
      </w:r>
      <w:bookmarkStart w:id="716" w:name="pg14966_204233"/>
      <w:bookmarkEnd w:id="715"/>
    </w:p>
    <w:p>
      <w:pPr>
        <w:pStyle w:val="BookText"/>
        <w:rPr/>
      </w:pPr>
      <w:bookmarkEnd w:id="716"/>
      <w:r>
        <w:rPr>
          <w:rFonts w:ascii="IRNazanin" w:hAnsi="IRNazanin" w:eastAsia="IRNazanin"/>
          <w:color w:val="111111"/>
          <w:sz w:val="28"/>
          <w:sz w:val="28"/>
          <w:szCs w:val="28"/>
          <w:rtl w:val="true"/>
          <w:lang w:bidi="fa-IR"/>
        </w:rPr>
        <w:t>ویمکن حمل المطلق علی المقید ، سیّما إذا کان المقید أغلب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استصحاب النجاسة حتی یثبت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نقل عدم الخلاف فی أنّ ماء المطر لا ینفعل بالملاقاة </w:t>
      </w:r>
      <w:r>
        <w:rPr>
          <w:rStyle w:val="FootnoteAnchor"/>
          <w:rtl w:val="true"/>
        </w:rPr>
        <w:footnoteReference w:id="812"/>
      </w:r>
      <w:r>
        <w:rPr>
          <w:rFonts w:ascii="IRNazanin" w:hAnsi="IRNazanin" w:eastAsia="IRNazanin"/>
          <w:color w:val="111111"/>
          <w:sz w:val="28"/>
          <w:sz w:val="28"/>
          <w:szCs w:val="28"/>
          <w:rtl w:val="true"/>
          <w:lang w:bidi="fa-IR"/>
        </w:rPr>
        <w:t>، فتأمّل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ماء المطر لا ینفعل بالملاقاة ، إلاّ أن تطهیره لا یبعد أن یعتبر فیه الجریان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یتعین کونه جاریا من میزاب ونحوه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مراد الشیخ مجرّد الجریان ، ویکون مثل المیزاب علی سبیل المثال ، وأنّه المعروف </w:t>
      </w:r>
      <w:r>
        <w:rPr>
          <w:rStyle w:val="FootnoteAnchor"/>
          <w:rtl w:val="true"/>
        </w:rPr>
        <w:footnoteReference w:id="813"/>
      </w:r>
      <w:r>
        <w:rPr>
          <w:rFonts w:ascii="Amiri" w:hAnsi="Amiri" w:eastAsia="Amiri" w:cs="Amiri"/>
          <w:color w:val="111111"/>
          <w:sz w:val="28"/>
          <w:sz w:val="28"/>
          <w:szCs w:val="28"/>
          <w:rtl w:val="true"/>
          <w:lang w:bidi="ar-SA"/>
        </w:rPr>
        <w:t>لتحقّق الجریان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هریرة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وردت بمتن آخر أیضا ، وهو أنّه صلی الله علیه و آله أمر بنقل التراب النجس ، ثم أمر بذنوب من الماء فأهریق علیه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یعمل بها بهذا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تقدم الکلام منا فی ذلک فی بحث انفعال الماء القلیل بالملاقاة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بعض أصحابنا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شهادة علی أنّ المراد من الآنیة أعم ممّا هو المتبادر منه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سرفا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Heading2"/>
        <w:numPr>
          <w:ilvl w:val="1"/>
          <w:numId w:val="1"/>
        </w:numPr>
        <w:rPr/>
      </w:pPr>
      <w:bookmarkStart w:id="717" w:name="__RefHeading___Toc2087949_388300464"/>
      <w:bookmarkStart w:id="718" w:name="_Toc280"/>
      <w:bookmarkEnd w:id="717"/>
      <w:r>
        <w:rPr>
          <w:rtl w:val="true"/>
        </w:rPr>
        <w:t>الأوانی والجلود</w:t>
      </w:r>
      <w:bookmarkEnd w:id="7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2087951_388300464"/>
      <w:bookmarkStart w:id="720" w:name="_Toc281"/>
      <w:bookmarkEnd w:id="719"/>
      <w:r>
        <w:rPr>
          <w:rtl w:val="true"/>
        </w:rPr>
        <w:t>حرمة الأکل والشرب فی آنیة الذهب والفضة</w:t>
      </w:r>
      <w:bookmarkStart w:id="721" w:name="pg14966_204234"/>
      <w:bookmarkEnd w:id="720"/>
    </w:p>
    <w:p>
      <w:pPr>
        <w:pStyle w:val="BookText"/>
        <w:rPr/>
      </w:pPr>
      <w:bookmarkEnd w:id="721"/>
      <w:r>
        <w:rPr>
          <w:rFonts w:ascii="IRNazanin" w:hAnsi="IRNazanin" w:eastAsia="IRNazanin"/>
          <w:color w:val="111111"/>
          <w:sz w:val="28"/>
          <w:sz w:val="28"/>
          <w:szCs w:val="28"/>
          <w:rtl w:val="true"/>
          <w:lang w:bidi="fa-IR"/>
        </w:rPr>
        <w:t>فیه أیضا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الرئاسة المهلکة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فإنّ طلب الرئاسة </w:t>
      </w:r>
      <w:r>
        <w:rPr>
          <w:rStyle w:val="FootnoteAnchor"/>
          <w:rtl w:val="true"/>
        </w:rPr>
        <w:footnoteReference w:id="817"/>
      </w:r>
      <w:r>
        <w:rPr>
          <w:rFonts w:ascii="IRNazanin" w:hAnsi="IRNazanin" w:eastAsia="IRNazanin"/>
          <w:color w:val="111111"/>
          <w:sz w:val="28"/>
          <w:sz w:val="28"/>
          <w:szCs w:val="28"/>
          <w:rtl w:val="true"/>
          <w:lang w:bidi="fa-IR"/>
        </w:rPr>
        <w:t xml:space="preserve">لا ینحصر فی خصوص الظرف ، ولا فی الذهب والفضّة ، سیّما الفضّة ، إذ الجواهر لا مناسبة بینها وبین الفضّة فی علوّ الثمن </w:t>
      </w:r>
      <w:r>
        <w:rPr>
          <w:rStyle w:val="FootnoteAnchor"/>
          <w:rtl w:val="true"/>
        </w:rPr>
        <w:footnoteReference w:id="818"/>
      </w:r>
      <w:r>
        <w:rPr>
          <w:rFonts w:ascii="Amiri" w:hAnsi="Amiri" w:eastAsia="Amiri" w:cs="Amiri"/>
          <w:color w:val="111111"/>
          <w:sz w:val="28"/>
          <w:sz w:val="28"/>
          <w:szCs w:val="28"/>
          <w:rtl w:val="true"/>
          <w:lang w:bidi="ar-SA"/>
        </w:rPr>
        <w:t>وحصول الرفعة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 منشؤه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تردّد فی کونهما آنیة حقیقة ، نعم یمکن دعوی عدم کونهما من الأفراد المتبادرة ، مع تأمّل فی ذلک ، مع أنّک عرفت أنّ صحیحة ابن بزیع یشهد علی المنع کیف کان ، وکذا ما سیذکره من تلک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 عن برید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الشرب فی الفضّة ، وفی القدح المفضّض ، وکذلک التدهّن من مدهن مفضّض ، والمشط کذلک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والتهذیب ، فی الصحیح عن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السرج واللجام فیه الفضّة ، أیرکب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مموها لا یقدر علی نزعه فلا بأس ، وإلاّ فلا یرکب به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 والمموه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طلی بفضّة أو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 بسنده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السریر فیه الذهب ، أیصلح إمساکه فی البیت؟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ذهبا فلا ، وإن کان ماء الذهب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2" w:name="__RefHeading___Toc2087953_388300464"/>
      <w:bookmarkStart w:id="723" w:name="_Toc282"/>
      <w:bookmarkEnd w:id="722"/>
      <w:r>
        <w:rPr>
          <w:rtl w:val="true"/>
        </w:rPr>
        <w:t>کراهة استعمال الإناء المفضّض</w:t>
      </w:r>
      <w:bookmarkStart w:id="724" w:name="pg14966_204235"/>
      <w:bookmarkEnd w:id="723"/>
    </w:p>
    <w:p>
      <w:pPr>
        <w:pStyle w:val="BookText"/>
        <w:rPr/>
      </w:pPr>
      <w:bookmarkEnd w:id="724"/>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ورد فی الأخبار عدم البأس فی تحلیة السیف بالذهب والفضّة ، وأنّ نعل سیف رسول الله صلی الله علیه و آله وقائمته فضّة ، وفیه أیضا حلق من فضّة ، وکذا فی درعه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ضبّة فضّة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الکافی ، بسنده إلی عمرو بن أبی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الصادق علیه السلام قد اتی بقدح من ماء فیه ضبّة من فضّة نزعها بأسنانه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الماء أسرع نفوذا من غیره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یبقی فی مسامات الظروف المذکورة الأجزاء الخمریة الیابسة المنجمدة العالقة ، فإن علم زوالها فلا کلام فی حصول الطهارة ، وإلاّ فبمجرّد الاستدلال بکون الماء أسرع نفوذا لا یحصل العلم بالزوال ، بل ولا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الأوّل أوّلا بالمنع عن ما ذکره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المنع لا یکفی فی ثبوت المطهّر الشرعی بعد الحکم بالنجاسة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فیتصل بما یحصل فیه من المأکول والمشروب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ینجس المأکول والمشروب حینئذ ، والکلام إنّما هو علی تقدیر نجاسة الخمر ، کما هو المشهور والأقوی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5" w:name="__RefHeading___Toc2087955_388300464"/>
      <w:bookmarkStart w:id="726" w:name="_Toc283"/>
      <w:bookmarkEnd w:id="725"/>
      <w:r>
        <w:rPr>
          <w:rtl w:val="true"/>
        </w:rPr>
        <w:t>کراهة استعمال الأوانی الخشبیّة ونحوها</w:t>
      </w:r>
      <w:bookmarkStart w:id="727" w:name="pg14966_204236"/>
      <w:bookmarkEnd w:id="726"/>
    </w:p>
    <w:p>
      <w:pPr>
        <w:pStyle w:val="BookText"/>
        <w:rPr/>
      </w:pPr>
      <w:bookmarkEnd w:id="727"/>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أجزاء الخمر إن کانت تزول بالغسل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للنهی ، وإن کان من الجهة التی ذکرها ، مع أنّها بعینها کلام المستدل ومطلوبه ، وإلاّ فلا وجه لما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الماء أسرع نفوذا ، ولا شی‌ء من جوابیه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الإناء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وقع فی الإناء وزغ أهریق ذلک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وقع کلب أو شرب منه أهریق الماء وغسل الإناء ثلاث مرّات ، مرّة بالتراب ، ومرّتین بالماء ، ثم یجفّف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المصنف فی المعتبر نقله بزیادة لفظ مرّتین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الغوالی أیضا نقل الحدیث بلفظ مرّتین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تکون الزیادة وقعت سهوا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إذ کیف یتحقق إجماع من الأصحاب ، واتفاق قدمائهم ومتأخّریهم علی الفتوی بتکرار الغسل ، وأفتی المصنّف أیضا فی کتبه کذلک ، ویأتی بدلیل لذلک ویرید إثباته من الحدیث </w:t>
      </w:r>
      <w:r>
        <w:rPr>
          <w:rStyle w:val="FootnoteAnchor"/>
          <w:rtl w:val="true"/>
        </w:rPr>
        <w:footnoteReference w:id="827"/>
      </w:r>
      <w:r>
        <w:rPr>
          <w:rFonts w:ascii="IRNazanin" w:hAnsi="IRNazanin" w:eastAsia="IRNazanin"/>
          <w:color w:val="111111"/>
          <w:sz w:val="28"/>
          <w:sz w:val="28"/>
          <w:szCs w:val="28"/>
          <w:rtl w:val="true"/>
          <w:lang w:bidi="fa-IR"/>
        </w:rPr>
        <w:t xml:space="preserve">، فکیف یجوز کون ذلک محض سهو من قلم الناسخ ، والباقون قلّدوه؟ إذ لعلهم اطلعوا علی کون الحدیث کذلک فی کتاب مدینة العلم أو غیره من الأصول ، ویشیر إلی ذلک وجود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الرضوی ، واتفاق القدماء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2087957_388300464"/>
      <w:bookmarkStart w:id="729" w:name="_Toc284"/>
      <w:bookmarkEnd w:id="728"/>
      <w:r>
        <w:rPr>
          <w:rtl w:val="true"/>
        </w:rPr>
        <w:t>حکم الإناء الذی ولغ فیه الکلب</w:t>
      </w:r>
      <w:bookmarkEnd w:id="729"/>
    </w:p>
    <w:p>
      <w:pPr>
        <w:pStyle w:val="BookText"/>
        <w:rPr/>
      </w:pPr>
      <w:r>
        <w:rPr>
          <w:rFonts w:ascii="IRNazanin" w:hAnsi="IRNazanin" w:eastAsia="IRNazanin"/>
          <w:color w:val="111111"/>
          <w:sz w:val="28"/>
          <w:sz w:val="28"/>
          <w:szCs w:val="28"/>
          <w:rtl w:val="true"/>
          <w:lang w:bidi="fa-IR"/>
        </w:rPr>
        <w:t xml:space="preserve">والمتأخّرین ، ونقل الإجماع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لا تأمّل فی الفتوی ، للإجماع المنقول ، والفقه الرضوی المنجبر بعمل الأصحاب ، سیّما فی المقام ، لاتفاقهم علی عدم الاکتفاء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ویعضده أیضا ما سیجی‌ء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ذلک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کیف یوجب الغسل مرّتین فی نجاسة غیر الولوغ ، ویکتفی فیها بالمرّة؟ فیمکن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أوّل مرّة بالتراب ثم بالماء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الطریقة المعهودة فی الغسل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التجفیف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فی الفقه الرضوی </w:t>
      </w:r>
      <w:r>
        <w:rPr>
          <w:rStyle w:val="FootnoteAnchor"/>
          <w:rtl w:val="true"/>
        </w:rPr>
        <w:footnoteReference w:id="829"/>
      </w:r>
      <w:r>
        <w:rPr>
          <w:rFonts w:ascii="IRNazanin" w:hAnsi="IRNazanin" w:eastAsia="IRNazanin"/>
          <w:color w:val="111111"/>
          <w:sz w:val="28"/>
          <w:sz w:val="28"/>
          <w:szCs w:val="28"/>
          <w:rtl w:val="true"/>
          <w:lang w:bidi="fa-IR"/>
        </w:rPr>
        <w:t>وطریقته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تعذّر الحقیقة یصار إلی أقرب المجازات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یوجب کون التراب مستعملا فی معناه المجازی ، والأصل فی استعماله الحقیقة ، وهو أولی من أقربیة المجاز ، فعلی تقدیر المزج یتحقّق مجازان ، وعلی المشهور یتحقّق مجاز واحد ، فهو أولی جزما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فعلهما معا ، تحصیلا للطهارة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مأخذه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مستنده ، وأنّه الفقه الرضوی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الثوب أو الجسد أو الإناء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bookmarkStart w:id="730" w:name="pg14966_204238"/>
    </w:p>
    <w:p>
      <w:pPr>
        <w:pStyle w:val="BookText"/>
        <w:rPr/>
      </w:pPr>
      <w:bookmarkEnd w:id="730"/>
      <w:r>
        <w:rPr>
          <w:rFonts w:ascii="IRNazanin" w:hAnsi="IRNazanin" w:eastAsia="IRNazanin"/>
          <w:color w:val="111111"/>
          <w:sz w:val="28"/>
          <w:sz w:val="28"/>
          <w:szCs w:val="28"/>
          <w:rtl w:val="true"/>
          <w:lang w:bidi="fa-IR"/>
        </w:rPr>
        <w:t xml:space="preserve">لا یبعد الحکم بوجوب التعفیر وغسل الظرف بالماء مرّتین بانصباب ماء الولوغ فیه ، سیّما إذا انصبّ جمیع الماء فیه ، إذ مدخلیة کونه فی الإناء الأوّل فی الحکم المذکور لعلّه فی غایة البعد ، فیضعف شمول العمومات الدالة علی تطهیر النجاسات بمجرّد الغسل لهذه الصورة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والنجاسة ثابتة مستصحبة حتی یثبت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بمثل ذلک إذا انصبّ جمیع الغسالة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استقرب العلاّمة فی النهایة إلحاق هذا الماء بالولوغ ، وعلّله بوجود الرطوبة اللعابیة </w:t>
      </w:r>
      <w:r>
        <w:rPr>
          <w:rStyle w:val="FootnoteAnchor"/>
          <w:rtl w:val="true"/>
        </w:rPr>
        <w:footnoteReference w:id="83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من الإزالة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الطهارة تحتاج إلی دلیل شرعی ، لأنّه محکوم بالنجاسة شرعا ، فلا بدّ من ثبوت رافع لها ، إلاّ أن یکون الغرض الاستناد إلی الإطلاقات والعمومات لو کانت ، والموثق حجّة ، والشیخ ادّعی إجماع الشیعة علی العمل بروایات عمّار ومن ماثله </w:t>
      </w:r>
      <w:r>
        <w:rPr>
          <w:rStyle w:val="FootnoteAnchor"/>
          <w:rtl w:val="true"/>
        </w:rPr>
        <w:footnoteReference w:id="83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عن عمّار الساباطی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مراده منها ما رواه عن الصادق علیه السلام أنّه سأله عن الدنّ یکون فیه الخمر ، هل یصلح أن یکون فیه خلّ أو ماء أو کامخ أو زیتون؟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 فلا بأس وعن الإبریق وغیره یکون فیه خمر ، أیصلح أن یکون فیه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بعد هذا بلا فصل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قدح أو إناء یشرب فیه الخمر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أیجزیه أن یصبّ فیه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حتی یدلکه بیده ویغسله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أیجزیه أن یصبّ فیه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یجزیه حتی یدلکه بیده ویغسله</w:t>
      </w:r>
    </w:p>
    <w:p>
      <w:pPr>
        <w:pStyle w:val="Heading3"/>
        <w:numPr>
          <w:ilvl w:val="2"/>
          <w:numId w:val="1"/>
        </w:numPr>
        <w:rPr/>
      </w:pPr>
      <w:bookmarkStart w:id="731" w:name="__RefHeading___Toc2087959_388300464"/>
      <w:bookmarkStart w:id="732" w:name="_Toc285"/>
      <w:bookmarkEnd w:id="731"/>
      <w:r>
        <w:rPr>
          <w:rtl w:val="true"/>
        </w:rPr>
        <w:t>وجوب غسل الإناء من الخمر ثلاث مرّات</w:t>
      </w:r>
      <w:bookmarkEnd w:id="73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3" w:name="__RefHeading___Toc2087961_388300464"/>
      <w:bookmarkStart w:id="734" w:name="_Toc286"/>
      <w:bookmarkEnd w:id="733"/>
      <w:r>
        <w:rPr>
          <w:rtl w:val="true"/>
        </w:rPr>
        <w:t>حکم التعدد فی غسل الإناء من سائر النجاسات</w:t>
      </w:r>
      <w:bookmarkEnd w:id="734"/>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والموثق حجّة ، سیّما مع دعوی الشیخ اتفاق العصابة علی العمل بروایات عمّار ومن ماثله ، وخصوصا بعد ثبوت النجاسة وتحقّقها شرعا ، وکون الإزالة تحتاج إلی دلیل شرعی من إجماع أو عموم ، فتأمّل</w:t>
      </w:r>
      <w:r>
        <w:rPr>
          <w:rFonts w:eastAsia="IRNazanin" w:cs="IRNazanin"/>
          <w:color w:val="111111"/>
          <w:sz w:val="28"/>
          <w:szCs w:val="28"/>
          <w:rtl w:val="true"/>
          <w:lang w:bidi="fa-IR"/>
        </w:rPr>
        <w:t xml:space="preserve">. </w:t>
      </w:r>
      <w:bookmarkStart w:id="735" w:name="pg14966_204240"/>
    </w:p>
    <w:p>
      <w:pPr>
        <w:pStyle w:val="BookText"/>
        <w:rPr/>
      </w:pPr>
      <w:bookmarkEnd w:id="735"/>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المعنی لیس بحقیقة لغة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یکون لفظ الصلاة ، والزکاة ، والحجّ ، والصوم ، والغسل وما یرادف هذه الألفاظ فی لغة غیر العرب صارت حقیقة فی العبادة المخصوصة فی الشرع المتقدّم علی شرع الرسول صلی الله علیه و آله ، فإنّ کفّار العرب کانوا قبل الرسول یحجّون وکانوا یسمّون ذلک حجّا ، وکذا الیهود والنصاری کانوا یصلّون بحسب شرعهم ، وکان العرب یسمّی صلاة ، وغیر العرب ما یرادف ذلک اللفظ ، وکذا کانوا یصومون ویزکّون ویغتسلون من الجنابة ، فلا یبعد صیرورة تلک الألفاظ حقائق فی عباداتهم قبل زمان الرسول صلی الله علیه و آله ، والرسول غیّر بعض أجزاء عباداتهم أو أکثرها ، ولا یقتضی ذلک تغیّر الاستعمال بحسب الحقیقة ، کما هو الحال فی المعاملات ، فتأمّل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یفهم عند الإطلاق من لفظ الصلاة عند أهل العرف إلاّ ذات الرکوع أو السجود أو ما قام مقامهما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Heading2"/>
        <w:numPr>
          <w:ilvl w:val="1"/>
          <w:numId w:val="1"/>
        </w:numPr>
        <w:rPr/>
      </w:pPr>
      <w:bookmarkStart w:id="736" w:name="__RefHeading___Toc2087963_388300464"/>
      <w:bookmarkStart w:id="737" w:name="_Toc287"/>
      <w:bookmarkEnd w:id="736"/>
      <w:r>
        <w:rPr>
          <w:rtl w:val="true"/>
        </w:rPr>
        <w:t>کتاب الصلاة</w:t>
      </w:r>
      <w:bookmarkEnd w:id="7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2087965_388300464"/>
      <w:bookmarkStart w:id="739" w:name="_Toc288"/>
      <w:bookmarkEnd w:id="738"/>
      <w:r>
        <w:rPr>
          <w:rtl w:val="true"/>
        </w:rPr>
        <w:t>فی معنی الصلاة لغةً</w:t>
      </w:r>
      <w:bookmarkStart w:id="740" w:name="pg14966_204241"/>
      <w:bookmarkEnd w:id="739"/>
    </w:p>
    <w:p>
      <w:pPr>
        <w:pStyle w:val="BookText"/>
        <w:rPr/>
      </w:pPr>
      <w:bookmarkEnd w:id="740"/>
      <w:r>
        <w:rPr>
          <w:rFonts w:ascii="IRNazanin" w:hAnsi="IRNazanin" w:eastAsia="IRNazanin"/>
          <w:color w:val="111111"/>
          <w:sz w:val="28"/>
          <w:sz w:val="28"/>
          <w:szCs w:val="28"/>
          <w:rtl w:val="true"/>
          <w:lang w:bidi="fa-IR"/>
        </w:rPr>
        <w:t>سیذکر رحمه الله أنّ المتبادر من لفظ الصلاة هو الفریضة الیومیة ، وهو کذلک ، إلاّ أنّ عدم صحة السلب دلیل الحقیقة ، ولعلّه موجود فی صلاة المیّت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الشیخ فیه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یظهر من کلامه فی التهذیب وقوع الخلاف فی النوافل النهاریة دون اللیلیة ، وأنّه فهم الخلاف من الأخبار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دلالة فی ما تضمّن الأقل علی نفی استحباب الزائد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جملة الحدیث المعروف الذی رواه عبد الله بن زرارة عن الصادق علیه السلام فی اعتذاره إلی زرارة من جهة ذمّة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مذکور فی الکشّی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یضیقنّ صدرک من الذی أمرک أبی وآمرک وأتاک أبو بصیر بخلاف الذی أمرناک ، فلا والله ما أمرناک ولا أمرناه إلاّ بأمر وسعنا ووسعکم الأخذ به ، ولکل ذلک عندنا تصاریف ومعان یوافق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بالصلاة الستة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أتاک به أبو بصیر من صلاة إحدی وخمسین والإهلال بالتمتّع بالعمرة إلی الحجّ فلذلک عندنا معان وتصاریف یسعنا ویسعکم ، ولا یخالف شی‌ء من ذلک الحقّ ولا یضادّه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فلاحظ الحدیث وتأمّل مجموعه ، فإنّ فیه فوائد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ونافلة العصر ثمان رکعات قبلها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الإمامیة الإقرار بأنّ نافلة العصر ثمان رکعات قبلها ، والمغرب أربع رکعات بعدها ، والعشاء رکعتان من جلوس</w:t>
      </w:r>
    </w:p>
    <w:p>
      <w:pPr>
        <w:pStyle w:val="Heading2"/>
        <w:numPr>
          <w:ilvl w:val="1"/>
          <w:numId w:val="1"/>
        </w:numPr>
        <w:rPr/>
      </w:pPr>
      <w:bookmarkStart w:id="741" w:name="__RefHeading___Toc2087967_388300464"/>
      <w:bookmarkStart w:id="742" w:name="_Toc289"/>
      <w:bookmarkEnd w:id="741"/>
      <w:r>
        <w:rPr>
          <w:rtl w:val="true"/>
        </w:rPr>
        <w:t>أعداد الصلاة</w:t>
      </w:r>
      <w:bookmarkEnd w:id="742"/>
    </w:p>
    <w:p>
      <w:pPr>
        <w:pStyle w:val="Heading3"/>
        <w:numPr>
          <w:ilvl w:val="2"/>
          <w:numId w:val="1"/>
        </w:numPr>
        <w:rPr/>
      </w:pPr>
      <w:bookmarkStart w:id="743" w:name="__RefHeading___Toc2087969_388300464"/>
      <w:bookmarkStart w:id="744" w:name="_Toc290"/>
      <w:bookmarkEnd w:id="743"/>
      <w:r>
        <w:rPr>
          <w:rtl w:val="true"/>
        </w:rPr>
        <w:t>نوافل الصلوات</w:t>
      </w:r>
      <w:bookmarkEnd w:id="74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2087971_388300464"/>
      <w:bookmarkStart w:id="746" w:name="_Toc291"/>
      <w:bookmarkEnd w:id="745"/>
      <w:r>
        <w:rPr>
          <w:rtl w:val="true"/>
        </w:rPr>
        <w:t>نوافل الظهر والعصر</w:t>
      </w:r>
      <w:bookmarkStart w:id="747" w:name="pg14966_204242"/>
      <w:bookmarkEnd w:id="746"/>
    </w:p>
    <w:p>
      <w:pPr>
        <w:pStyle w:val="BookText"/>
        <w:rPr/>
      </w:pPr>
      <w:bookmarkEnd w:id="747"/>
      <w:r>
        <w:rPr>
          <w:rFonts w:ascii="IRNazanin" w:hAnsi="IRNazanin" w:eastAsia="IRNazanin"/>
          <w:color w:val="111111"/>
          <w:sz w:val="28"/>
          <w:sz w:val="28"/>
          <w:szCs w:val="28"/>
          <w:rtl w:val="true"/>
          <w:lang w:bidi="fa-IR"/>
        </w:rPr>
        <w:t xml:space="preserve">تحسبان برکعة ، وهی وتر لمن لم یلحق الوتر فی آخر اللیل </w:t>
      </w:r>
      <w:r>
        <w:rPr>
          <w:rStyle w:val="FootnoteAnchor"/>
          <w:rtl w:val="true"/>
        </w:rPr>
        <w:footnoteReference w:id="8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عیون أخبار الرضا علیه السلام فی ما کتب للمأمون من محض الإسلام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وتر</w:t>
      </w:r>
      <w:r>
        <w:rPr>
          <w:rFonts w:eastAsia="IRNazanin" w:cs="IRNazanin"/>
          <w:color w:val="111111"/>
          <w:sz w:val="28"/>
          <w:szCs w:val="28"/>
          <w:rtl w:val="true"/>
          <w:lang w:bidi="fa-IR"/>
        </w:rPr>
        <w:t xml:space="preserve">. »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المبادرة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کشف الغمّة أنّ الجواد علیه السلام صلّی المغرب ، فقرأ فی الأولی الحمد وإذا جاء نصر الله ، وفی الثانیة الحمد وقل هو الله أحد ، وصلّی الثالثة وتشهّد وسلّم ، ثم جلس هنیئة یذکر الله تعالی ، وقام من غیر أن یعقّب ، فصلّی النوافل أربع رکعات ، وعقّب بعدها ، وسجد سجدتی الشکر ، الحدیث </w:t>
      </w:r>
      <w:r>
        <w:rPr>
          <w:rStyle w:val="FootnoteAnchor"/>
          <w:rtl w:val="true"/>
        </w:rPr>
        <w:footnoteReference w:id="838"/>
      </w:r>
      <w:r>
        <w:rPr>
          <w:rFonts w:ascii="IRNazanin" w:hAnsi="IRNazanin" w:eastAsia="IRNazanin"/>
          <w:color w:val="111111"/>
          <w:sz w:val="28"/>
          <w:sz w:val="28"/>
          <w:szCs w:val="28"/>
          <w:rtl w:val="true"/>
          <w:lang w:bidi="fa-IR"/>
        </w:rPr>
        <w:t xml:space="preserve">، لکن فی روایة رجاء بن أبی ضحّاک فی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علیه السلام کان إذا صلّی المغرب وسلّم جلس فی مصلاّه یسبّح الله ویحمده ویهلّله ما شاء الله ، ثم یسجد سجدة الشکر ، ثم یرفع رأسه ولم یتکلم حتی یقوم ویصلّی أربع رکعات بتسلیمتین ، الحدیث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سجدة الشکر والکل حسن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ذکرنا ذلک عن الرضا علیه السلام ، وذکرنا عن الجواد علیه السلام أنّه سجد بعد السابعة ، فالکل حسن ، 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اختیار السابقة أولی ، لاحتمال کون ما نقل بعد الثلاث غیر سجدتی الشکر </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2087973_388300464"/>
      <w:bookmarkStart w:id="749" w:name="_Toc292"/>
      <w:bookmarkEnd w:id="748"/>
      <w:r>
        <w:rPr>
          <w:rtl w:val="true"/>
        </w:rPr>
        <w:t>کراهة الکلام بین المغرب ونافلتها</w:t>
      </w:r>
      <w:bookmarkStart w:id="750" w:name="pg14966_204243"/>
      <w:bookmarkEnd w:id="749"/>
    </w:p>
    <w:p>
      <w:pPr>
        <w:pStyle w:val="BookText"/>
        <w:rPr/>
      </w:pPr>
      <w:bookmarkEnd w:id="75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النصّ علی الجلوس فیهما فی الروایات الکثیرة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الأخبار أنّ وضع هذه الصلاة من جلوس تکمیلا للخمسین </w:t>
      </w:r>
      <w:r>
        <w:rPr>
          <w:rStyle w:val="FootnoteAnchor"/>
          <w:rtl w:val="true"/>
        </w:rPr>
        <w:footnoteReference w:id="841"/>
      </w:r>
      <w:r>
        <w:rPr>
          <w:rFonts w:ascii="IRNazanin" w:hAnsi="IRNazanin" w:eastAsia="IRNazanin"/>
          <w:color w:val="111111"/>
          <w:sz w:val="28"/>
          <w:sz w:val="28"/>
          <w:szCs w:val="28"/>
          <w:rtl w:val="true"/>
          <w:lang w:bidi="fa-IR"/>
        </w:rPr>
        <w:t>، وإن صلّیت قائما فهو أفضل من الجلوس ، من حیث إنّه أحمز ، ومن روایة سلیمان والحارث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هنا أمر زائد علی نفس الصلاة بحسب الوضع ، کما أنّه یذکر فی الرکوع ألف تسبیح أو خمسمائة ، فإنّه ثواب زائد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الروایات الصحیحة المستفیضة أنّ الوتر اسم للرکعات الثلاث</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المستفاد هو الإطلاق ، وهو أعمّ من الحقیقة ، وأطلق فی الأخبار علی الرکعة الواحدة أیضا مکرّرا ، منها ما سنذکره فی الفائدة السابعة عن العیون </w:t>
      </w:r>
      <w:r>
        <w:rPr>
          <w:rStyle w:val="FootnoteAnchor"/>
          <w:rtl w:val="true"/>
        </w:rPr>
        <w:footnoteReference w:id="842"/>
      </w:r>
      <w:r>
        <w:rPr>
          <w:rFonts w:ascii="IRNazanin" w:hAnsi="IRNazanin" w:eastAsia="IRNazanin"/>
          <w:color w:val="111111"/>
          <w:sz w:val="28"/>
          <w:sz w:val="28"/>
          <w:szCs w:val="28"/>
          <w:rtl w:val="true"/>
          <w:lang w:bidi="fa-IR"/>
        </w:rPr>
        <w:t>، ولعلّه فی اصطلاحنا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بأنّ المراد من التسلیم ما یستباح به من الکلام وغیره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فی غایة الغرابة بعد ورود النص علی کون الوتر ثلاث رکعات مفصولة ، وأنّ الفصل بینها متفق علیه بین الأصحاب ، فیتعیّن أن یکون هو الحجّة ، وهو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من الأخبار المعارضة فعلی القول باستحباب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الشیخ رحمه الله ومن 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معارضة أصلا ، فإنّ القول بأنّ صلاة الظهر للإنسان أن یسلّم فیها وأن لا یسلّم ، لا یقتضی أن یجوز الفصل</w:t>
      </w:r>
    </w:p>
    <w:p>
      <w:pPr>
        <w:pStyle w:val="Heading3"/>
        <w:numPr>
          <w:ilvl w:val="2"/>
          <w:numId w:val="1"/>
        </w:numPr>
        <w:rPr/>
      </w:pPr>
      <w:bookmarkStart w:id="751" w:name="__RefHeading___Toc2087975_388300464"/>
      <w:bookmarkStart w:id="752" w:name="_Toc293"/>
      <w:bookmarkEnd w:id="751"/>
      <w:r>
        <w:rPr>
          <w:rtl w:val="true"/>
        </w:rPr>
        <w:t>إنّ الجلوس فی الرکعتین اللتین بعد الشعاء أفضل من القیام</w:t>
      </w:r>
      <w:bookmarkEnd w:id="75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2087977_388300464"/>
      <w:bookmarkStart w:id="754" w:name="_Toc294"/>
      <w:bookmarkEnd w:id="753"/>
      <w:r>
        <w:rPr>
          <w:rtl w:val="true"/>
        </w:rPr>
        <w:t>المستفاد من الروایات أنّ الوتر اسم للرکعات الثلاثة</w:t>
      </w:r>
      <w:bookmarkEnd w:id="754"/>
    </w:p>
    <w:p>
      <w:pPr>
        <w:pStyle w:val="BookText"/>
        <w:rPr/>
      </w:pPr>
      <w:r>
        <w:rPr>
          <w:rFonts w:ascii="IRNazanin" w:hAnsi="IRNazanin" w:eastAsia="IRNazanin"/>
          <w:color w:val="111111"/>
          <w:sz w:val="28"/>
          <w:sz w:val="28"/>
          <w:szCs w:val="28"/>
          <w:rtl w:val="true"/>
          <w:lang w:bidi="fa-IR"/>
        </w:rPr>
        <w:t>والوصل بین الظهر والعصر ، بأن یکون المکلّف مخیّرا بین الثمان الرکعات متصلات أو أربع وأربع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بالوجوب فیمکن أن یقال بالاستحباب فی الصلاة المستحبّة ، کقراءة السورة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بالوجوب الشرطی فیها أیضا فیمکن استثناء الوتر ، بأن یقال بالاستحباب فیها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إجماع مرکّب لا یمکن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جهته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القول بالفصل فیتعیّن الحمل علی التقیّة أو علی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الأخبار یجد أنّ السّلام المطلق منصرف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بعد أصلا بعد ظهور ذلک من أخبار متعدّدة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الخبر إذا کان شاذّا لا بدّ من طرحه وعدم العمل به ، فعلی فرض دلالتها علی ما ذکر یکون اللازم عدم جواز العمل به ، وإذا احتمل التقیّة تعیّن الحمل ، إذ الراجح حینئذ الحمل علیها ، وکذا لو احتمل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أعرف بمذاهب العامّة والخاصّة والضرورة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أمرونا بالأخذ بما خالف العامّة وترک ما وافقهم ، وأنّ الرشد فی خلافهم </w:t>
      </w:r>
      <w:r>
        <w:rPr>
          <w:rStyle w:val="FootnoteAnchor"/>
          <w:rtl w:val="true"/>
        </w:rPr>
        <w:footnoteReference w:id="844"/>
      </w:r>
      <w:r>
        <w:rPr>
          <w:rFonts w:ascii="IRNazanin" w:hAnsi="IRNazanin" w:eastAsia="IRNazanin"/>
          <w:color w:val="111111"/>
          <w:sz w:val="28"/>
          <w:sz w:val="28"/>
          <w:szCs w:val="28"/>
          <w:rtl w:val="true"/>
          <w:lang w:bidi="fa-IR"/>
        </w:rPr>
        <w:t xml:space="preserve">، وأمثال ذلک فی أخبار لا تحصی ، کما أمرونا بالأخذ بما اشتهر بین أصحابنا وما یشبه أحکامهم </w:t>
      </w:r>
      <w:r>
        <w:rPr>
          <w:rStyle w:val="FootnoteAnchor"/>
          <w:rtl w:val="true"/>
        </w:rPr>
        <w:footnoteReference w:id="845"/>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خروج عن الظاهر من غیر ضرورة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المعارض علی الاستحباب أیضا خروج عن الظاهر ، بل بعض </w:t>
      </w:r>
      <w:bookmarkStart w:id="755" w:name="pg14966_204245"/>
    </w:p>
    <w:p>
      <w:pPr>
        <w:pStyle w:val="BookText"/>
        <w:rPr/>
      </w:pPr>
      <w:bookmarkEnd w:id="755"/>
      <w:r>
        <w:rPr>
          <w:rFonts w:ascii="IRNazanin" w:hAnsi="IRNazanin" w:eastAsia="IRNazanin"/>
          <w:color w:val="111111"/>
          <w:sz w:val="28"/>
          <w:sz w:val="28"/>
          <w:szCs w:val="28"/>
          <w:rtl w:val="true"/>
          <w:lang w:bidi="fa-IR"/>
        </w:rPr>
        <w:t>منها فی غایة البعد ، والشارح رحمه الله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الحمل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خروج عن الظاهر بعد ملاحظة الأخبار ، وظهور تعارف إطلاق التسلیم علی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الحمل علی التقیّة بعد ملاحظة ما ذکرنا ، بل ویتعیّن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رفع التعارض إن کان ضرورة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ضرورة؟ وإلاّ فکیف یحمل علی الاستحباب الأخبار الکثیرة فی غایة الکثرة ، المتضمّنة لکون الثلاثة مفصولة شرعا ، والأمر بالفصل وغیر ذلک؟ مع کون ذلک مذهب الأصحاب موافقا لسائر الأخبار المتواترة ، والمعارض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العیون فی روایة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کان یقرأ فی کلّ من رکعتی الشفع الحمد لله وقل هو الله أحد ثلاث مرّات ، وفی الوتر یتوجّه فیها ویقرأ بعد الحمد قل هو الله ثلاث مرّات ، وقل أعوذ بربّ الفلق مرّة ، وقل أعوذ بربّ الناس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یقرأ فی الرکعتین الأوّلتین من صلاة اللیل ستّین مرّة قل هو الله فی کلّ رکعة ثلاثین مرّة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ذلک عن الصادق علیه السلام ، رواه الصدوق فی أمالیه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من فعل ذلک انفتل ولیس بینه وبین الله عزّ وجل ذنب </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القنوت فی الرکعة الثالثة من الوتر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العیون عن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علیه السلام کان یقنت فی الشفع أیضا بعد القراءة وقبل الرکوع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2087979_388300464"/>
      <w:bookmarkStart w:id="757" w:name="_Toc295"/>
      <w:bookmarkEnd w:id="756"/>
      <w:r>
        <w:rPr>
          <w:rtl w:val="true"/>
        </w:rPr>
        <w:t>آداب صلاة اللیل</w:t>
      </w:r>
      <w:bookmarkEnd w:id="757"/>
    </w:p>
    <w:p>
      <w:p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الرکعة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قنوتین ، أحدهما قبل الرکوع والآخر بعده </w:t>
      </w:r>
      <w:r>
        <w:rPr>
          <w:rStyle w:val="FootnoteAnchor"/>
          <w:rtl w:val="true"/>
        </w:rPr>
        <w:footnoteReference w:id="849"/>
      </w:r>
      <w:r>
        <w:rPr>
          <w:rFonts w:ascii="IRNazanin" w:hAnsi="IRNazanin" w:eastAsia="IRNazanin"/>
          <w:color w:val="111111"/>
          <w:sz w:val="28"/>
          <w:sz w:val="28"/>
          <w:szCs w:val="28"/>
          <w:rtl w:val="true"/>
          <w:lang w:bidi="fa-IR"/>
        </w:rPr>
        <w:t>، فلیس بشی‌ء بل الذی یقرأ بعد الرکوع هو دعاء ، وهو الذی یذکره الشارح رحمه الله ولیس کلّ دعاء قنوتا ، وإلاّ ففی الصلاة یتحقّق قنوتات کثیرة ، والقنوت مستحبّ فیه التکبیر ورفع الید فیه وفی تکبیره بالنحو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سبعین مرّة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بأیّ کیفیة یکون ، لیس له کیفیة خاصّة ، وإن کان العمل بصحیحة عمر بن یزید أولی ، لأنّه مستحبّ علی حدة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وأتوب إلیه ، لعلّه أکمل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الحسن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المستفاد من الروایة أنّ هذا مجرّد دعاء یقرأ بعنوان الدعاء ، لا أنّه قنوت یقرأ بعنوانه ، فلا حاجة إلی رفع الید وبسط الکفّ والتکبیر للرفع ، ولا نیّة القنوت ، ولا یستحبّ شی‌ء من ذلک له ، فما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الوتر قنوتین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قبل الرکوع والآخر بعده ، لم نجد مستنده ، وما قیل </w:t>
      </w:r>
      <w:r>
        <w:rPr>
          <w:rFonts w:eastAsia="IRNazanin" w:cs="IRNazanin"/>
          <w:color w:val="111111"/>
          <w:sz w:val="28"/>
          <w:szCs w:val="28"/>
          <w:rtl w:val="true"/>
          <w:lang w:bidi="fa-IR"/>
        </w:rPr>
        <w:t xml:space="preserve">: ) </w:t>
      </w:r>
      <w:r>
        <w:rPr>
          <w:rStyle w:val="FootnoteAnchor"/>
          <w:rtl w:val="true"/>
        </w:rPr>
        <w:footnoteReference w:id="850"/>
      </w:r>
      <w:r>
        <w:rPr>
          <w:rFonts w:ascii="IRNazanin" w:hAnsi="IRNazanin" w:eastAsia="IRNazanin"/>
          <w:color w:val="111111"/>
          <w:sz w:val="28"/>
          <w:sz w:val="28"/>
          <w:szCs w:val="28"/>
          <w:rtl w:val="true"/>
          <w:lang w:bidi="fa-IR"/>
        </w:rPr>
        <w:t xml:space="preserve">إنّ القنوت هو الدعاء </w:t>
      </w:r>
      <w:r>
        <w:rPr>
          <w:rStyle w:val="FootnoteAnchor"/>
          <w:rtl w:val="true"/>
        </w:rPr>
        <w:footnoteReference w:id="851"/>
      </w:r>
      <w:r>
        <w:rPr>
          <w:rFonts w:ascii="IRNazanin" w:hAnsi="IRNazanin" w:eastAsia="IRNazanin"/>
          <w:color w:val="111111"/>
          <w:sz w:val="28"/>
          <w:sz w:val="28"/>
          <w:szCs w:val="28"/>
          <w:rtl w:val="true"/>
          <w:lang w:bidi="fa-IR"/>
        </w:rPr>
        <w:t>، فیه ما فیه ، لما عرفت من أنّ الدعاء لا یستحبّ فیه شی‌ء مما ذکر ، ولا یفعل بنیّة القنوت ، مع أنّه لو کان کذلک ففیه قنوتات متعددة ، بل فی غیره أیضا من الصلوات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بین العشاءین رکعتین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الرکعتین من جملة الأربع رکعات التی هی نافلة </w:t>
      </w:r>
      <w:bookmarkStart w:id="758" w:name="pg14966_204247"/>
    </w:p>
    <w:p>
      <w:pPr>
        <w:pStyle w:val="BookText"/>
        <w:rPr/>
      </w:pPr>
      <w:bookmarkEnd w:id="758"/>
      <w:r>
        <w:rPr>
          <w:rFonts w:ascii="IRNazanin" w:hAnsi="IRNazanin" w:eastAsia="IRNazanin"/>
          <w:color w:val="111111"/>
          <w:sz w:val="28"/>
          <w:sz w:val="28"/>
          <w:szCs w:val="28"/>
          <w:rtl w:val="true"/>
          <w:lang w:bidi="fa-IR"/>
        </w:rPr>
        <w:t xml:space="preserve">المغرب </w:t>
      </w:r>
      <w:r>
        <w:rPr>
          <w:rStyle w:val="FootnoteAnchor"/>
          <w:rtl w:val="true"/>
        </w:rPr>
        <w:footnoteReference w:id="852"/>
      </w:r>
      <w:r>
        <w:rPr>
          <w:rFonts w:ascii="IRNazanin" w:hAnsi="IRNazanin" w:eastAsia="IRNazanin"/>
          <w:color w:val="111111"/>
          <w:sz w:val="28"/>
          <w:sz w:val="28"/>
          <w:szCs w:val="28"/>
          <w:rtl w:val="true"/>
          <w:lang w:bidi="fa-IR"/>
        </w:rPr>
        <w:t>، ولم نعرف مأخذه ، بل هذا خلاف ظاهر الخبر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اهتمّ ترک النافلة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مضمونهما ربما لا یخلو عن إشکال ، لأنّ همّ المعصوم علیه السلام لو کان من أمر دنیوی فهم علیهم السلام أمروا بالاستعانة بالصبر والصلاة ، وإلاّ کان اللازم الاهتمام بفعل الصلاة ، مع أنّه تعالی کان عندهم أحبّ کلّ شی‌ء ، وهمّهم کان مقصورا فیه ، وکانوا مستغرقین فی محبته تعالی لا یعتنون بشی‌ء بعده تعالی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الحسن بن زیاد الصیقل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الروایتان الأوّلتان وإن لم تکونا صحیحتین ، إلاّ أنّهما منجبرتان بالشهرة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حمّاد فالظاهر منها أیضا صحة النافلة جلوسا ، إلاّ أنّ مقتضاها نقص مثل هذه عن صلاة القائم ، وهو موافق 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الأعمال أحمزها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 لکن ورد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النافلة جلوسا تامّة کاملة للشیعة أو للمؤمنین </w:t>
      </w:r>
      <w:r>
        <w:rPr>
          <w:rStyle w:val="FootnoteAnchor"/>
          <w:rtl w:val="true"/>
        </w:rPr>
        <w:footnoteReference w:id="854"/>
      </w:r>
      <w:r>
        <w:rPr>
          <w:rFonts w:ascii="IRNazanin" w:hAnsi="IRNazanin" w:eastAsia="IRNazanin"/>
          <w:color w:val="111111"/>
          <w:sz w:val="28"/>
          <w:sz w:val="28"/>
          <w:szCs w:val="28"/>
          <w:rtl w:val="true"/>
          <w:lang w:bidi="fa-IR"/>
        </w:rPr>
        <w:t>، فلاحظ وتأمّل ، ومع ذلک ظاهر أنّ القیام لهم أشقّ وأحمز ، فیکون هذا فضیلة زائدة عن نفس صلاتهم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ابن بابویه عن الفضل بن شاذان عن الرضا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العیون فی روایة رجاء المعتمد علیها أنّ الرضا علیه السلام کان یصلّی</w:t>
      </w:r>
    </w:p>
    <w:p>
      <w:pPr>
        <w:pStyle w:val="Heading3"/>
        <w:numPr>
          <w:ilvl w:val="2"/>
          <w:numId w:val="1"/>
        </w:numPr>
        <w:rPr/>
      </w:pPr>
      <w:bookmarkStart w:id="759" w:name="__RefHeading___Toc2087981_388300464"/>
      <w:bookmarkStart w:id="760" w:name="_Toc296"/>
      <w:bookmarkEnd w:id="759"/>
      <w:r>
        <w:rPr>
          <w:rtl w:val="true"/>
        </w:rPr>
        <w:t>جواز الجلوس فی النافلة مع الاختیار</w:t>
      </w:r>
      <w:bookmarkEnd w:id="76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1" w:name="__RefHeading___Toc2087983_388300464"/>
      <w:bookmarkStart w:id="762" w:name="_Toc297"/>
      <w:bookmarkEnd w:id="761"/>
      <w:r>
        <w:rPr>
          <w:rtl w:val="true"/>
        </w:rPr>
        <w:t>الکلام فی سقوط الوتیرة فی السفر</w:t>
      </w:r>
      <w:bookmarkStart w:id="763" w:name="pg14966_204248"/>
      <w:bookmarkEnd w:id="762"/>
    </w:p>
    <w:p>
      <w:pPr>
        <w:pStyle w:val="BookText"/>
        <w:rPr/>
      </w:pPr>
      <w:bookmarkEnd w:id="763"/>
      <w:r>
        <w:rPr>
          <w:rFonts w:ascii="IRNazanin" w:hAnsi="IRNazanin" w:eastAsia="IRNazanin"/>
          <w:color w:val="111111"/>
          <w:sz w:val="28"/>
          <w:sz w:val="28"/>
          <w:szCs w:val="28"/>
          <w:rtl w:val="true"/>
          <w:lang w:bidi="fa-IR"/>
        </w:rPr>
        <w:t xml:space="preserve">الوتیرة فی السفر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بعض الأخبار من تقیید الصلاة التی تصیر فی السفر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قبلهما ولا بعدهما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بالنهاریة </w:t>
      </w:r>
      <w:r>
        <w:rPr>
          <w:rStyle w:val="FootnoteAnchor"/>
          <w:rtl w:val="true"/>
        </w:rPr>
        <w:footnoteReference w:id="85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بعض الأخبار أنّ الوتیرة وتر تقدّم من جهة أنّها ربما تفوت من الإنسان ، ومن کان یؤمن بالله ورسوله لا یبیتنّ إلاّ بوتر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السنن یسامح فی أدلّتها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تصریح بعدم سقوط الوتیرة فیه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رحمه 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لا یصلّی فی السفر من نوافل النهار شی‌ء ، ولا یترک فیه من نوافل اللیل شی‌ء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توثیقهما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لکنّهما من مشایخ الإجازة ، وربما یحکم الشارح بصحّة حدیث أمثالهما ، بل وصحّة حدیثهما </w:t>
      </w:r>
      <w:r>
        <w:rPr>
          <w:rStyle w:val="FootnoteAnchor"/>
          <w:rtl w:val="true"/>
        </w:rPr>
        <w:footnoteReference w:id="860"/>
      </w:r>
      <w:r>
        <w:rPr>
          <w:rFonts w:ascii="Amiri" w:hAnsi="Amiri" w:eastAsia="Amiri" w:cs="Amiri"/>
          <w:color w:val="111111"/>
          <w:sz w:val="28"/>
          <w:sz w:val="28"/>
          <w:szCs w:val="28"/>
          <w:rtl w:val="true"/>
          <w:lang w:bidi="ar-SA"/>
        </w:rPr>
        <w:t>، علی ما أظنّ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بتعیّن الإتمام أو جوازه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وتعیّن القصر أیضا ، کما یظهر من بعض الأخبار </w:t>
      </w:r>
      <w:r>
        <w:rPr>
          <w:rStyle w:val="FootnoteAnchor"/>
          <w:rtl w:val="true"/>
        </w:rPr>
        <w:footnoteReference w:id="862"/>
      </w:r>
      <w:r>
        <w:rPr>
          <w:rFonts w:ascii="IRNazanin" w:hAnsi="IRNazanin" w:eastAsia="IRNazanin"/>
          <w:color w:val="111111"/>
          <w:sz w:val="28"/>
          <w:sz w:val="28"/>
          <w:szCs w:val="28"/>
          <w:rtl w:val="true"/>
          <w:lang w:bidi="fa-IR"/>
        </w:rPr>
        <w:t>، فلاحظ</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2087985_388300464"/>
      <w:bookmarkStart w:id="765" w:name="_Toc298"/>
      <w:bookmarkEnd w:id="764"/>
      <w:r>
        <w:rPr>
          <w:rtl w:val="true"/>
        </w:rPr>
        <w:t>إشارة إلی أن عبد الواحد بن عبدوس وعلی بن محمّد القتیبی من مشایخ الإجازة</w:t>
      </w:r>
      <w:bookmarkStart w:id="766" w:name="pg14966_204249"/>
      <w:bookmarkEnd w:id="765"/>
    </w:p>
    <w:p>
      <w:pPr>
        <w:pStyle w:val="BookText"/>
        <w:rPr/>
      </w:pPr>
      <w:bookmarkEnd w:id="766"/>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ممّا یخالف الحدیث الأوّل أنّ لها وقتا واحدا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 ما ذکر أنّ بعد سقوط الشفق لا وقت للمغرب أصلا ، کما سننقله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طریقة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یتمشّی هذا التوجیه ، لأنّ للمغرب وقتا بعد سقوط الشفق قطعا ، سواء قلنا بأنّه وقت الإجزاء أو وقت الاضطرار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سائر الصلوات لها ثلاثة 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الفضیلة ووقت الإجزاء ووقت الاضطرار ، بخلاف المغرب فإنّ لها 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الفضیلة والإجزاء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الاضطرار ، والمراد فی هذه الأخبار وقت الفضیلة والإجزاء ، کأنّ وقت الاضطرار لیس بوقت حقیقة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غیر علّة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 بین صدر الروایة وآخرها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التوفیق غیر منحصر فی ما ذکره ، إذ یجوز أن یرفع الید عن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الوقت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أولی وأقرب ، لأنّ وقت الاختیار أفضل ، بخلاف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فإنّ ظهوره أشدّ ،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جهة استثناء العذر والعلّة ، والحصر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معتضد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لا یعارض الدلیل ، والأظهریة والأقربیة دلیل للمجتهد ، فالأولی التمسّک فی توجیهه بالأخبار</w:t>
      </w:r>
    </w:p>
    <w:p>
      <w:pPr>
        <w:pStyle w:val="Heading2"/>
        <w:numPr>
          <w:ilvl w:val="1"/>
          <w:numId w:val="1"/>
        </w:numPr>
        <w:rPr/>
      </w:pPr>
      <w:bookmarkStart w:id="767" w:name="__RefHeading___Toc2087987_388300464"/>
      <w:bookmarkStart w:id="768" w:name="_Toc299"/>
      <w:bookmarkEnd w:id="767"/>
      <w:r>
        <w:rPr>
          <w:rtl w:val="true"/>
        </w:rPr>
        <w:t>مواقیت الصلاة</w:t>
      </w:r>
      <w:bookmarkEnd w:id="76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9" w:name="__RefHeading___Toc2087989_388300464"/>
      <w:bookmarkStart w:id="770" w:name="_Toc300"/>
      <w:bookmarkEnd w:id="769"/>
      <w:r>
        <w:rPr>
          <w:rtl w:val="true"/>
        </w:rPr>
        <w:t>وقت المغرب</w:t>
      </w:r>
      <w:bookmarkStart w:id="771" w:name="pg14966_204250"/>
      <w:bookmarkEnd w:id="770"/>
    </w:p>
    <w:p>
      <w:pPr>
        <w:pStyle w:val="BookText"/>
        <w:rPr/>
      </w:pPr>
      <w:bookmarkEnd w:id="771"/>
      <w:r>
        <w:rPr>
          <w:rFonts w:ascii="IRNazanin" w:hAnsi="IRNazanin" w:eastAsia="IRNazanin"/>
          <w:color w:val="111111"/>
          <w:sz w:val="28"/>
          <w:sz w:val="28"/>
          <w:szCs w:val="28"/>
          <w:rtl w:val="true"/>
          <w:lang w:bidi="fa-IR"/>
        </w:rPr>
        <w:t>الدالة علی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امتنع التأخیر اختیارا لتقیّد بالضرورة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العذر والعلّة فی أمثال المقام ما یکون فیه ضرورة ما ، وهذا القدر یکفی ، فالأولی الجواب بالنحو الذی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ما یدلّ علی الصحة مع المخالفة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الثابت من قول الشارع وفعله کون الصلاة الواقعة فی الوقت المشترک صحیحة إذا کان الوقوع نسیانا أو بعد فعل الأولی ، وأمّا إذا فعلت فی أوّل الوقت فلم یظهر من دلیل کونها صحیحة وموافقة لمطلوب الشارع ، والعبادات توقیفیة ، فیجب الاقتصار علی القدر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یتوجّه علیه منع کون الوقت المعلوم شرطا لصحتها ، وبناء هذا علی کون الصلاة اسما لمجرّد الأرکان من غیر اعتبار کونها صحیحة شرعا فمتی تحقّق الأرکان یحکم بتحقّق مطلوب الشارع ، إلاّ أن یثبت منه شرط للصحة ولم یتحقّق ذلک الشرط ، ولم یثبت کون الوقت المعلوم شرطا ، وعلی هذه الطریقة ربما یمشی الشارح متمسّکا بأصالة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یتوجّه علیه أنّه لم یثبت کون الصلاة اسما للأعمّ ، ولم یثبت جریان الأصل فی العبادات أیضا ، 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الصلاة من الواجبات الموقّتة ، یعنی أنّ الشارع جعل لها وقتا معیّنا وجعله شرطا لصحتها ، والوقت الذی ثبت من الشرع لها هو الوقت الذی بعد الوقت الأوّل ، ففعلها فی الوقت الأوّل الذی هو أوّل الوقت فعل وإتیان للمأمور به علی غیر الوجه الذی ثبت من الشرع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2087991_388300464"/>
      <w:bookmarkStart w:id="773" w:name="_Toc301"/>
      <w:bookmarkEnd w:id="772"/>
      <w:r>
        <w:rPr>
          <w:rtl w:val="true"/>
        </w:rPr>
        <w:t>اختصاص الظهر بأوّل الوقت</w:t>
      </w:r>
      <w:bookmarkEnd w:id="773"/>
    </w:p>
    <w:p>
      <w:pPr>
        <w:pStyle w:val="BookText"/>
        <w:rPr/>
      </w:pPr>
      <w:r>
        <w:rPr>
          <w:rFonts w:ascii="IRNazanin" w:hAnsi="IRNazanin" w:eastAsia="IRNazanin"/>
          <w:color w:val="111111"/>
          <w:sz w:val="28"/>
          <w:sz w:val="28"/>
          <w:szCs w:val="28"/>
          <w:rtl w:val="true"/>
          <w:lang w:bidi="fa-IR"/>
        </w:rPr>
        <w:t xml:space="preserve">الإطلاق ، وحکم ببطلان الظهر قبل الوقت قطعا ، والباطلة فی حکم المعدومة ، مع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وقتهما 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العصر بالنسبة إلی الظهر مثل حال الرکعة الثانیة للظهر بالنسبة إلی الرکعة الأولی ، والثالثة بالنسبة إلی الثانیة ، والرابعة بالنسبة إلی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وقت التشهّد والتسلیم لم یدخل حین دخول وقت تکبیرة الإحرام والقراءة ، فبمجرّد الزوال وإن کان دخل وقت الظهر إلاّ أنّه بعنوان التوزیع ، لا أنّه بمجرّد الزوال دخل وقت الرکعة الثانیة والثالثة والرابعة والتشهّد والتسلیم أیضا ، بحیث لو فعلت فی أوّل الزوال یکفی ، إلاّ فی صورة الخطأ فی الاجتهاد ، کما سیجی‌ء ، مع أنّه لو لم یثبت صحّة هذه الصورة من الخارج لکنّا نحکم ببطلانها أیضا ، هذا علی تقدیر الثبوت ، وسیجی‌ء الکلام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ورد فی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الوقتان ، وإذا غربت دخل الوقتان </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حقیقة فی وقتین متعدّدین ، ومحال دخول وقتین کذلک بمجرّد الزوال والغروب وبابتدائهما وحینهما إلاّ علی سبیل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روایة داود بن فرقد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وجه لجعلها مؤیّدة ، لوضوح الدلالة ، وانجبار السند بالشهرة العظیمة لو لم نقل باتفاق الفقهاء ، وکذا انجبارها بالأصول والقواعد وأخبار أخر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وإلی وجه الدلالة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الصحیحة والحسنة الدالّة علی أنّ الحائض إذا طهرت فی وقت العصر تصلّی العصر لا الظهر </w:t>
      </w:r>
      <w:r>
        <w:rPr>
          <w:rStyle w:val="FootnoteAnchor"/>
          <w:rtl w:val="true"/>
        </w:rPr>
        <w:footnoteReference w:id="866"/>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سنان وروایة الحلبی الآتیتین ، فتأمل</w:t>
      </w:r>
      <w:r>
        <w:rPr>
          <w:rFonts w:eastAsia="IRNazanin" w:cs="IRNazanin"/>
          <w:color w:val="111111"/>
          <w:sz w:val="28"/>
          <w:szCs w:val="28"/>
          <w:rtl w:val="true"/>
          <w:lang w:bidi="fa-IR"/>
        </w:rPr>
        <w:t xml:space="preserve">. </w:t>
      </w:r>
      <w:bookmarkStart w:id="774" w:name="pg14966_204252"/>
    </w:p>
    <w:p>
      <w:pPr>
        <w:pStyle w:val="BookText"/>
        <w:rPr/>
      </w:pPr>
      <w:bookmarkEnd w:id="77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بالاشتراک ما بعد الاختصاص</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یحتاج إلی هذا التوجیه والتقیید ، بل المراد دخول الثمانیة بعنوان التوزیع ، کدخول أربع رکعات الظهر علی حسب ما ذکرنا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ظاهر قوله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یدل علیه الاستصحاب أیضا ، لأنّ الوقت الیقینی مستصحب شرعا حتی یثبت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لِدُلُوکِ الشَّمْسِ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الدلالة خفیّة ، بل الآیة مجملة بالنسبة إلی ما ذکره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وبیّنهنّ ووقّتهنّ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 ظاهر هذا أنّه جعل لهنّ وقتا معیّنا أزید من کونها بین الزوال إلی الغسق ، بل إشارة إلی أوقات معیّنة لکلّ واحدة واحدة علی حدة ، علی حسب ما عرفت من الخارج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أنّه أبو مالک الثقة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أنّ ابن أبی نصر ممّن أجمعت العصابة علی تصحیح ما یصحّ عنهم ، وأنّه ممّن لا یروی إلاّ عن ثقة ، علی مصرّح به فی العدّة </w:t>
      </w:r>
      <w:r>
        <w:rPr>
          <w:rStyle w:val="FootnoteAnchor"/>
          <w:rtl w:val="true"/>
        </w:rPr>
        <w:footnoteReference w:id="868"/>
      </w:r>
      <w:r>
        <w:rPr>
          <w:rFonts w:ascii="IRNazanin" w:hAnsi="IRNazanin" w:eastAsia="IRNazanin"/>
          <w:color w:val="111111"/>
          <w:sz w:val="28"/>
          <w:sz w:val="28"/>
          <w:szCs w:val="28"/>
          <w:rtl w:val="true"/>
          <w:lang w:bidi="fa-IR"/>
        </w:rPr>
        <w:t xml:space="preserve">، مع أنّه یروی عنه ابن أبی عمیر أیضا ، وهو مثل ابن أبی نصر ، ویؤیّده أیضا أنّ العلاّمة وغیره حکموا بصحّتها </w:t>
      </w:r>
      <w:r>
        <w:rPr>
          <w:rStyle w:val="FootnoteAnchor"/>
          <w:rtl w:val="true"/>
        </w:rPr>
        <w:footnoteReference w:id="869"/>
      </w:r>
      <w:r>
        <w:rPr>
          <w:rFonts w:ascii="IRNazanin" w:hAnsi="IRNazanin" w:eastAsia="IRNazanin"/>
          <w:color w:val="111111"/>
          <w:sz w:val="28"/>
          <w:sz w:val="28"/>
          <w:szCs w:val="28"/>
          <w:rtl w:val="true"/>
          <w:lang w:bidi="fa-IR"/>
        </w:rPr>
        <w:t>، مع أنّ موافقة الشهرة أیضا جابرة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النجاشی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أبو مالک الحضرمی ، وحکم بکونه ثقة فی</w:t>
      </w:r>
    </w:p>
    <w:p>
      <w:pPr>
        <w:pStyle w:val="Heading3"/>
        <w:numPr>
          <w:ilvl w:val="2"/>
          <w:numId w:val="1"/>
        </w:numPr>
        <w:rPr/>
      </w:pPr>
      <w:bookmarkStart w:id="775" w:name="__RefHeading___Toc2087993_388300464"/>
      <w:bookmarkStart w:id="776" w:name="_Toc302"/>
      <w:bookmarkEnd w:id="775"/>
      <w:r>
        <w:rPr>
          <w:rtl w:val="true"/>
        </w:rPr>
        <w:t>اختصاص العصر من آخر الوقت بمقدار أدائها</w:t>
      </w:r>
      <w:bookmarkEnd w:id="776"/>
    </w:p>
    <w:p>
      <w:pPr>
        <w:pStyle w:val="Heading3"/>
        <w:numPr>
          <w:ilvl w:val="2"/>
          <w:numId w:val="1"/>
        </w:numPr>
        <w:rPr/>
      </w:pPr>
      <w:bookmarkStart w:id="777" w:name="__RefHeading___Toc2087995_388300464"/>
      <w:bookmarkStart w:id="778" w:name="_Toc303"/>
      <w:bookmarkEnd w:id="777"/>
      <w:r>
        <w:rPr>
          <w:rtl w:val="true"/>
        </w:rPr>
        <w:t>آخر وقت الظهر</w:t>
      </w:r>
      <w:bookmarkEnd w:id="7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2087997_388300464"/>
      <w:bookmarkStart w:id="780" w:name="_Toc304"/>
      <w:bookmarkEnd w:id="779"/>
      <w:r>
        <w:rPr>
          <w:rtl w:val="true"/>
        </w:rPr>
        <w:t>الضحّاک بن زید هو أبو مالک الحضرمی الثقة</w:t>
      </w:r>
      <w:bookmarkStart w:id="781" w:name="pg14966_204253"/>
      <w:bookmarkEnd w:id="780"/>
    </w:p>
    <w:p>
      <w:pPr>
        <w:pStyle w:val="BookText"/>
        <w:rPr/>
      </w:pPr>
      <w:bookmarkEnd w:id="781"/>
      <w:r>
        <w:rPr>
          <w:rFonts w:ascii="IRNazanin" w:hAnsi="IRNazanin" w:eastAsia="IRNazanin"/>
          <w:color w:val="111111"/>
          <w:sz w:val="28"/>
          <w:sz w:val="28"/>
          <w:szCs w:val="28"/>
          <w:rtl w:val="true"/>
          <w:lang w:bidi="fa-IR"/>
        </w:rPr>
        <w:t xml:space="preserve">الحدیث ، والشیخ رحمه الله أیضا صرّح بأنّ الضحّاک أبو مالک الحضرمی </w:t>
      </w:r>
      <w:r>
        <w:rPr>
          <w:rStyle w:val="FootnoteAnchor"/>
          <w:rtl w:val="true"/>
        </w:rPr>
        <w:footnoteReference w:id="870"/>
      </w:r>
      <w:r>
        <w:rPr>
          <w:rFonts w:ascii="IRNazanin" w:hAnsi="IRNazanin" w:eastAsia="IRNazanin"/>
          <w:color w:val="111111"/>
          <w:sz w:val="28"/>
          <w:sz w:val="28"/>
          <w:szCs w:val="28"/>
          <w:rtl w:val="true"/>
          <w:lang w:bidi="fa-IR"/>
        </w:rPr>
        <w:t>، بل الظاهر أنّه لا یبقی التأمّل فی کونه أبا مالک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 داود بن فرقد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أنّها حجّة باعتبار الانجبار هناک وهنا أیضا انجبار آخر منضمّ إلی الانجبار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فی طریقها من یتوقّف فیه سوی موسی بن بکر ، روی کتابه ابن أبی عمیر وصفوان بن یحیی ، وهما ممّن لا یروی إلاّ عن الثقة ، علی ما صرّح به فی العدّة </w:t>
      </w:r>
      <w:r>
        <w:rPr>
          <w:rStyle w:val="FootnoteAnchor"/>
          <w:rtl w:val="true"/>
        </w:rPr>
        <w:footnoteReference w:id="871"/>
      </w:r>
      <w:r>
        <w:rPr>
          <w:rFonts w:ascii="IRNazanin" w:hAnsi="IRNazanin" w:eastAsia="IRNazanin"/>
          <w:color w:val="111111"/>
          <w:sz w:val="28"/>
          <w:sz w:val="28"/>
          <w:szCs w:val="28"/>
          <w:rtl w:val="true"/>
          <w:lang w:bidi="fa-IR"/>
        </w:rPr>
        <w:t xml:space="preserve">، وأشرنا فی الرجال إلی أمور کثیرة تشهد علی الاعتماد علیه أو علی کتابه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عبید بن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فی طریقها من یتوقّف فیه سوی القاسم بن عروة وهو ممّن یروی عنه ابن أبی عمیر وابن أبی نصر ، وفی کلّ واحد منهما شهادة علی وثاقته ، لما عرفت ، والعلاّمة رحمه الله ربما حکم بصحة حدیثه </w:t>
      </w:r>
      <w:r>
        <w:rPr>
          <w:rStyle w:val="FootnoteAnchor"/>
          <w:rtl w:val="true"/>
        </w:rPr>
        <w:footnoteReference w:id="873"/>
      </w:r>
      <w:r>
        <w:rPr>
          <w:rFonts w:ascii="IRNazanin" w:hAnsi="IRNazanin" w:eastAsia="IRNazanin"/>
          <w:color w:val="111111"/>
          <w:sz w:val="28"/>
          <w:sz w:val="28"/>
          <w:szCs w:val="28"/>
          <w:rtl w:val="true"/>
          <w:lang w:bidi="fa-IR"/>
        </w:rPr>
        <w:t xml:space="preserve">، وابن داود نقل عن الکشی حسنه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فی ترجمة الفضل بن شاذان یظهر کونه من أصحابنا المعروفین ، ویظهر نباهة شأنه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عنه کثیرا غایة الکثرة الحسین بن سعید ، والعباس بن معروف ، ویروی عنه ابن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2" w:name="__RefHeading___Toc2087999_388300464"/>
      <w:bookmarkStart w:id="783" w:name="_Toc305"/>
      <w:bookmarkEnd w:id="782"/>
      <w:r>
        <w:rPr>
          <w:rtl w:val="true"/>
        </w:rPr>
        <w:t>بحث فی وثاقة قاسم بن عروة وموسی بن بکر</w:t>
      </w:r>
      <w:bookmarkStart w:id="784" w:name="pg14966_204254"/>
      <w:bookmarkEnd w:id="783"/>
    </w:p>
    <w:p>
      <w:pPr>
        <w:pStyle w:val="BookText"/>
        <w:rPr/>
      </w:pPr>
      <w:bookmarkEnd w:id="784"/>
      <w:r>
        <w:rPr>
          <w:rFonts w:ascii="Amiri" w:hAnsi="Amiri" w:eastAsia="Amiri" w:cs="Amiri"/>
          <w:color w:val="111111"/>
          <w:sz w:val="28"/>
          <w:sz w:val="28"/>
          <w:szCs w:val="28"/>
          <w:rtl w:val="true"/>
          <w:lang w:bidi="ar-SA"/>
        </w:rPr>
        <w:t>فضّال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أیضا 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شهادتها تأمّل ، بملاحظة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فربما عجّل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أحمد بن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حملها </w:t>
      </w:r>
      <w:r>
        <w:rPr>
          <w:rStyle w:val="FootnoteAnchor"/>
          <w:rtl w:val="true"/>
        </w:rPr>
        <w:footnoteReference w:id="876"/>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التفریق یتحقّق بتعقیب الظهر وفعل نافلة العصر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بعید ، بالنسبة إلی النصوص والمصنّفات ، بل بعض منها لا یقبل ذلک ، والبحث وارد علی المحقّق أیضا ، فتأمّل بعد التتبّع والملاحظة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إذا کانت المبادرة مستحبّة علی ما ذکرت فلا وجه لاختیار النبی صلی الله علیه و آله فی بعض الأوقات التفریق ، مع أنّه مشقّة ظاهرة منضمّة إلی ترک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التفریق المرجوح یتأتّی بالقول ، فلا حاجة إلیها ، کیف؟ وغالب الأوقات کان صلی الله علیه و آله یفرّق ، وما کان یجمع إلاّ نادرا ، کما یظهر من الأخبار ، ویعضدها الاعتبار الحاصل من الآثار ، والمستفاد من بعض أنّه صلی الله علیه و آله حین الجمع والإتیان بالنوافل ما أذّنوا له بل أقاموا فقط </w:t>
      </w:r>
      <w:r>
        <w:rPr>
          <w:rStyle w:val="FootnoteAnchor"/>
          <w:rtl w:val="true"/>
        </w:rPr>
        <w:footnoteReference w:id="87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عنه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جواب المحقق لا یتمّ إلاّ بهذا ، إذ اعتراضه أنّه إذا کان الرسول صلی الله علیه و آله کان یجمع فلا وجه للأذان الثانی ولا حاجة إلیه ، ومعلوم أنّه کان متحقّقا والحاجة إلیه موجودة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جوابه أنّ المستحبّ ترک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5" w:name="__RefHeading___Toc2088001_388300464"/>
      <w:bookmarkStart w:id="786" w:name="_Toc306"/>
      <w:bookmarkEnd w:id="785"/>
      <w:r>
        <w:rPr>
          <w:rtl w:val="true"/>
        </w:rPr>
        <w:t>أوّل وقت العصر وآخره</w:t>
      </w:r>
      <w:bookmarkStart w:id="787" w:name="pg14966_204255"/>
      <w:bookmarkEnd w:id="786"/>
    </w:p>
    <w:p>
      <w:pPr>
        <w:pStyle w:val="BookText"/>
        <w:rPr/>
      </w:pPr>
      <w:bookmarkEnd w:id="787"/>
      <w:r>
        <w:rPr>
          <w:rFonts w:ascii="IRNazanin" w:hAnsi="IRNazanin" w:eastAsia="IRNazanin"/>
          <w:color w:val="111111"/>
          <w:sz w:val="28"/>
          <w:sz w:val="28"/>
          <w:szCs w:val="28"/>
          <w:rtl w:val="true"/>
          <w:lang w:bidi="fa-IR"/>
        </w:rPr>
        <w:t xml:space="preserve">الأذان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لاستحباب الجمع وأنّ استحبابه إنّما هو فی خلاف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فیه ما 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الشیخ فی المبسوط والاستبصار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فإنّ عبارته صریحة فی موافقة المشهور ، کما لا یخفی علی 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باستتار القرص وغیبته عن العین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اعلم أنّ الغیبة عن العین تتفاوت بتفاوت المواضع ، وبعض المواضع لا یتحقّق الغروب بمجرّد الغیبة عن العین قطعا ، فإنّا إذا کنّا فی ساحة البیت ربما یغیب القرص عن أعیننا مع کون شعاع الشمس علی الجدران والسطوح ، ولو صعدنا السطح نری القرص ونراه ما غاب عن افقنا ولا شکّ فی عدم المغرب بذلک ، ولا یقال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المغرب جزما ، فإذا کنّا فی البریّة وغاب القرص عن نظرنا ولم یکن سطح ولا جدار ، ولکن نعلم یقینا أنّه لو کان سطح أو جدار لکان الشعاع باقیا فیهما ، ولو صعدناهما لکنّا نری القرص جزما علی حسب ما قلناه فی العمران وساحة البیت وسطحه وجداره ، فهل یحکم الآن بأنّه وقت المغرب جزما من جهة عدم جدار ولا سطح ولا شجر ولا منار ولا جبل ولا تلّ؟ وإنّه لو کان واحد منها موجودا فی ذلک الموضع لکنّا نحکم بعنوان الجزم بأنّ الآن لیس وقت المغرب من جهة الشعاع ورؤیة القرص بالصعود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ربما کان الجدران والسطوح وأمثالهما متفاوتة بحسب الارتفاع ، فربما کان فی جدارنا وسطح بیتنا لا یکون شعاع ولا یری القرص</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2088003_388300464"/>
      <w:bookmarkStart w:id="789" w:name="_Toc307"/>
      <w:bookmarkEnd w:id="788"/>
      <w:r>
        <w:rPr>
          <w:rtl w:val="true"/>
        </w:rPr>
        <w:t>أوّل وقت المغرب وما یتحقق به الغروب</w:t>
      </w:r>
      <w:bookmarkEnd w:id="789"/>
    </w:p>
    <w:p>
      <w:pPr>
        <w:pStyle w:val="BookText"/>
        <w:rPr/>
      </w:pPr>
      <w:r>
        <w:rPr>
          <w:rFonts w:ascii="IRNazanin" w:hAnsi="IRNazanin" w:eastAsia="IRNazanin"/>
          <w:color w:val="111111"/>
          <w:sz w:val="28"/>
          <w:sz w:val="28"/>
          <w:szCs w:val="28"/>
          <w:rtl w:val="true"/>
          <w:lang w:bidi="fa-IR"/>
        </w:rPr>
        <w:t xml:space="preserve">بصعودهما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سطح الجار وجداره یکون فیهما الشعاع ، ویری القرص بصعودهما ، وهکذا ، لأنّ الارتفاع مقول بالتشکیک ، وننقل الکلام بعد السطح والجدار إلی المنار ، وبعده إلی التلال ، وبعدها إلی الجبال ، والجبال أیضا فی غایة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والأئمّة علیهم السلام ربما لا حظوا ما ذکرناه وحکموا بالتأخیر ، وأشاروا فی بعض الأخبار إلی ما ذکرنا حیث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مسّوا بالمغرب قلیلا ، فإنّ الشمس تغیب عندکم قبل أن تغیب عندنا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وذلک لأنّ أرض الکوفة لیس فیها تلال ولا جبال ، مثل ما کان فی الحجاز ، سیّما مکّة والمدینة ، ولعلّ الرسول صلی الله علیه و آله ما کان یفطر ویصلّی إلاّ بعد ذهاب الشعاع عن التلال والمواضع المرتفعة ، بل والجبال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غالب الأراضی لیست مستویة السطح حتی یعلم أوّل وقت غیبوبة القرص عن أفق المصلّی ، بل فیها تلال وجبال یمنع عن العلم ، فلعله لذینک الأمرین أمروا علیهم السلام بالتأخیر إلی ذهاب الحمرة المشرقیة ، وأقل منه أیضا ،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حتما </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والظاهر من الأخبار الأوّل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فبأنّ من جملة رجالها القاسم بن عروة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بأنّ ضعف الروایات منجبرة بالشهرة ، مضافا إلی اعتبار سند بعضها ، وهی کثیرة ، إلاّ أنّ الظاهر أنّ الأمر بالتأخیر فیها </w:t>
      </w:r>
    </w:p>
    <w:p>
      <w:pPr>
        <w:pStyle w:val="BookText"/>
        <w:rPr/>
      </w:pPr>
      <w:r>
        <w:rPr>
          <w:rFonts w:ascii="IRNazanin" w:hAnsi="IRNazanin" w:eastAsia="IRNazanin"/>
          <w:color w:val="111111"/>
          <w:sz w:val="28"/>
          <w:sz w:val="28"/>
          <w:szCs w:val="28"/>
          <w:rtl w:val="true"/>
          <w:lang w:bidi="fa-IR"/>
        </w:rPr>
        <w:t>للاحتیاط من الأمرین اللذین أشرنا إلیهما فی الحاشیة السابقة ، وأنّ ذلک لیس علی سبیل تعیین الوقت ، کما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علی ذلک اختلاف مقدار التأخیر وظاهر بعض تلک الأخبار ، منه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مسّوا بالمغرب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المذکورة فی الشرح وفی غیرها ، فظاهر أنّ الإمساء قلیلا لیس بحدّ معیّن مضبوط ، بل فیه مسامحة وتوسعة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ما ذکرنا ما فی الخبر الآخر من التعلیل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الشمس تغیب عندکم قبل أن تغیب عندنا </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مقدار القبلیة غیر ظاهر أصلا ، مع أنّ التعلیل أیضا یومئ إلی عدم الإیجاب والإلزام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روایة عبد الله بن وضّاح عن الکاظم علیه السلام أنّه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القرص ویقبل اللیل ویزید اللیل ارتفاعا ، ویستر عنّا الشمس ، ویرتفع فوق الجبل حمرة ، أصلّی وأفطر ، أو أنتظر حتّی تذهب الحمرة التی فوق الجبل؟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لک أن تنظر حتّی تذهب الحمرة ، وتأخذ الحائطة لدینک </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 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الاحتیاط لدینه ، مضافا إلی الاکتفاء بذهاب الحمرة التی فوق الجبل ، وفیه إشارة أیضا إلی ما ذکرناه فی الحاشیة السابقة من أنّ الأمر بالتأخیر لتحقّق الغیبوبة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روایة جارود وصحیحة بکر بن محمّد اللتان سیذکرهما الشارح رحمه الله وظهر لک أیضا اختلاف مقدار التأخیر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ما اکتفوا بذهاب الحمرة المشرقیة أیضا ، بل اعتبر </w:t>
      </w:r>
    </w:p>
    <w:p>
      <w:pPr>
        <w:pStyle w:val="BookText"/>
        <w:rPr/>
      </w:pPr>
      <w:r>
        <w:rPr>
          <w:rFonts w:ascii="IRNazanin" w:hAnsi="IRNazanin" w:eastAsia="IRNazanin"/>
          <w:color w:val="111111"/>
          <w:sz w:val="28"/>
          <w:sz w:val="28"/>
          <w:szCs w:val="28"/>
          <w:rtl w:val="true"/>
          <w:lang w:bidi="fa-IR"/>
        </w:rPr>
        <w:t xml:space="preserve">جواز الحمرة قمّة الرأس إلی طرف المغرب </w:t>
      </w:r>
      <w:r>
        <w:rPr>
          <w:rStyle w:val="FootnoteAnchor"/>
          <w:rtl w:val="true"/>
        </w:rPr>
        <w:footnoteReference w:id="884"/>
      </w:r>
      <w:r>
        <w:rPr>
          <w:rFonts w:ascii="IRNazanin" w:hAnsi="IRNazanin" w:eastAsia="IRNazanin"/>
          <w:color w:val="111111"/>
          <w:sz w:val="28"/>
          <w:sz w:val="28"/>
          <w:szCs w:val="28"/>
          <w:rtl w:val="true"/>
          <w:lang w:bidi="fa-IR"/>
        </w:rPr>
        <w:t>، والخبر أیضا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الضعیفة أنّ الصادق علیه السلام فی طریق مکّة صلّی أوّل غیبوبة الشمس </w:t>
      </w:r>
      <w:r>
        <w:rPr>
          <w:rStyle w:val="FootnoteAnchor"/>
          <w:rtl w:val="true"/>
        </w:rPr>
        <w:footnoteReference w:id="885"/>
      </w:r>
      <w:r>
        <w:rPr>
          <w:rFonts w:ascii="IRNazanin" w:hAnsi="IRNazanin" w:eastAsia="IRNazanin"/>
          <w:color w:val="111111"/>
          <w:sz w:val="28"/>
          <w:sz w:val="28"/>
          <w:szCs w:val="28"/>
          <w:rtl w:val="true"/>
          <w:lang w:bidi="fa-IR"/>
        </w:rPr>
        <w:t xml:space="preserve">، وظاهر ذلک عدم داع إلی ذلک من جهة التقیة ، والأخبار الدالة علی أنّ وقت المغرب مجرّد غیبوبة القرص من الکثرة بمکان </w:t>
      </w:r>
      <w:r>
        <w:rPr>
          <w:rStyle w:val="FootnoteAnchor"/>
          <w:rtl w:val="true"/>
        </w:rPr>
        <w:footnoteReference w:id="886"/>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أنّه لا فرق بحسب الاعتبار بین طلوع الشمس وغروبها ، فلو کان وجود الحمرة المشرقیة دلیلا علی عدم غروب الشمس وبقائها فوق الأرض بالنسبة إلینا ، لکان وجود الحمرة المغربیة دلیلا علی طلوع الشمس ووجودها فوق الأرض بالنسبة إلینا من دون تفاوت ، لأنّ استصحاب بقاء النهار إلی أن یثبت خلافه فی الأوّل ، واستصحاب عدم النهار إلی أن یثبت خلافه فی الثانی ، وإن کان فارقا بینهما ، إلاّ أنّه لا تفاوت فی الثبوت والدلالة ،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بذهاب الحمرة المشرقیة یحصل الیقین بالغروب وان لم یکن بقاؤها دلیلا علی عدمه ، وهذا هو السرّ فی اعتباره وجوبا أو استحبابا فی الغروب وعدم اعتبار الحمرة المغربیة فی الطلوع ، فتأمّل جدّا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والاحتیاط واضح </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غیبوبة الشفق وأطلق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ذلک من کلام الکلینی رحمه الله حسب ما ذکره الشارح فی أوّل </w:t>
      </w:r>
      <w:bookmarkStart w:id="790" w:name="pg14966_204259"/>
    </w:p>
    <w:p>
      <w:pPr>
        <w:pStyle w:val="BookText"/>
        <w:rPr/>
      </w:pPr>
      <w:bookmarkEnd w:id="790"/>
      <w:r>
        <w:rPr>
          <w:rFonts w:ascii="IRNazanin" w:hAnsi="IRNazanin" w:eastAsia="IRNazanin"/>
          <w:color w:val="111111"/>
          <w:sz w:val="28"/>
          <w:sz w:val="28"/>
          <w:szCs w:val="28"/>
          <w:rtl w:val="true"/>
          <w:lang w:bidi="fa-IR"/>
        </w:rPr>
        <w:t xml:space="preserve">مبحث الوقت </w:t>
      </w:r>
      <w:r>
        <w:rPr>
          <w:rStyle w:val="FootnoteAnchor"/>
          <w:rtl w:val="true"/>
        </w:rPr>
        <w:footnoteReference w:id="88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 قیل باختصاص هذا الوقت بالنائم والناسی کما هو مورد الخبر کان وجها قویا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مقتضاه تقدیم الحاضرة علی الفائتة ، وهو مخالف للمشهور عند القدماء والأخبار الکثیرة الصحیحة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صحیحة ابن سنان روی أبو بصیر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خاف أن تطلع الشمس وتفوته إحدی الصلاتین فلیصلّ المغرب ویدع العشاء حتی تطلع الشمس ویذهب شعاعها ثم لیصلّها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وربما یظهر من الروایتین بقاء الوقت بعد طلوع الفجر أیضا فی الجملة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یمکن الحمل علی التقیة ، کما یومئ إلیه الروایة الثانیة ، بل 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وللأصحاب أن یحملوا الروایات الدالّة علی امتداد الوقت إلی الفجر علی التقیة ، لإطباق الفقهاء الأربعة علیه ، وإن اختلفوا فی کونه آخر وقت الاختیار أو الاضطرار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الجواب عن روایة عبید بن زرارة عن الصادق علیه السلام أیضا ، لأنّه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یفوّت الصلاة من أراد الصلاة ، لا تفوت صلاة النهار حتّی تغیب الشمس ، ولا صلاة اللیل حتّی یطلع الفجر </w:t>
      </w:r>
      <w:r>
        <w:rPr>
          <w:rFonts w:eastAsia="IRNazanin" w:cs="IRNazanin"/>
          <w:color w:val="111111"/>
          <w:sz w:val="28"/>
          <w:szCs w:val="28"/>
          <w:rtl w:val="true"/>
          <w:lang w:bidi="fa-IR"/>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1" w:name="__RefHeading___Toc2088005_388300464"/>
      <w:bookmarkStart w:id="792" w:name="_Toc308"/>
      <w:bookmarkEnd w:id="791"/>
      <w:r>
        <w:rPr>
          <w:rtl w:val="true"/>
        </w:rPr>
        <w:t>آخر وقت المغرب</w:t>
      </w:r>
      <w:bookmarkStart w:id="793" w:name="pg14966_204260"/>
      <w:bookmarkEnd w:id="792"/>
    </w:p>
    <w:p>
      <w:pPr>
        <w:pStyle w:val="BookText"/>
        <w:rPr/>
      </w:pPr>
      <w:bookmarkEnd w:id="793"/>
      <w:r>
        <w:rPr>
          <w:rFonts w:ascii="IRNazanin" w:hAnsi="IRNazanin" w:eastAsia="IRNazanin"/>
          <w:color w:val="111111"/>
          <w:sz w:val="28"/>
          <w:sz w:val="28"/>
          <w:szCs w:val="28"/>
          <w:rtl w:val="true"/>
          <w:lang w:bidi="fa-IR"/>
        </w:rPr>
        <w:t xml:space="preserve">یدلّ علی بطلان ما ذهب إلیه الشیخان ومن وافقهما وإتمام مذهب المشهور بضمیمة عدم القول بالفصل ، لکن الشیخ رحمه الله فی النهایة والتهذیب قائل بالفصل ، قائل بجواز التقدیم لعذر أو لضرورة إن لم یقدّم تفوت الصلاة </w:t>
      </w:r>
      <w:r>
        <w:rPr>
          <w:rStyle w:val="FootnoteAnchor"/>
          <w:rtl w:val="true"/>
        </w:rPr>
        <w:footnoteReference w:id="893"/>
      </w:r>
      <w:r>
        <w:rPr>
          <w:rFonts w:ascii="IRNazanin" w:hAnsi="IRNazanin" w:eastAsia="IRNazanin"/>
          <w:color w:val="111111"/>
          <w:sz w:val="28"/>
          <w:sz w:val="28"/>
          <w:szCs w:val="28"/>
          <w:rtl w:val="true"/>
          <w:lang w:bidi="fa-IR"/>
        </w:rPr>
        <w:t xml:space="preserve">، ولعلّ مثل السفر من الأعذار عنده ، بل الظاهر أنّه کذلک ، فالحجّة علیه أیضا الأخبار المطلقة ، وهی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فرقد المنجبرة بعمل الأصحاب ومرّت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عن زرارة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صلّی المغرب والعشاء فی الحضر قبل أن یغیب الشفق من غیر علّة لیتّسع الوقت ، وکذلک فعل فی الظهرین ، لکن فی کتاب العلل ذکر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یغیب الشفق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یغیب الشفق </w:t>
      </w:r>
      <w:r>
        <w:rPr>
          <w:rStyle w:val="FootnoteAnchor"/>
          <w:rtl w:val="true"/>
        </w:rPr>
        <w:footnoteReference w:id="894"/>
      </w:r>
      <w:r>
        <w:rPr>
          <w:rFonts w:ascii="IRNazanin" w:hAnsi="IRNazanin" w:eastAsia="IRNazanin"/>
          <w:color w:val="111111"/>
          <w:sz w:val="28"/>
          <w:sz w:val="28"/>
          <w:szCs w:val="28"/>
          <w:rtl w:val="true"/>
          <w:lang w:bidi="fa-IR"/>
        </w:rPr>
        <w:t xml:space="preserve">، وبمضمونها روی إسحاق بن عمار عن الصادق علیه السلام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إسماعیل بن مهران عن الرضا علیه السلام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بالحمل علی وقت الفضیلة جمعا بین الأدلّة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الحمل علی التقیّة أو الاتقاء أقرب ، لکن الأولی والأفضل بل الأحوط أیضا أن لا یصلّی قبل غیبوبة الشفق ، خروجا عن الخلاف والریبة الحاصل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4" w:name="__RefHeading___Toc2088007_388300464"/>
      <w:bookmarkStart w:id="795" w:name="_Toc309"/>
      <w:bookmarkEnd w:id="794"/>
      <w:r>
        <w:rPr>
          <w:rtl w:val="true"/>
        </w:rPr>
        <w:t>أوّل وقت العشاء وآخره وقت صلاة الفجر</w:t>
      </w:r>
      <w:bookmarkStart w:id="796" w:name="pg14966_204261"/>
      <w:bookmarkEnd w:id="795"/>
    </w:p>
    <w:p>
      <w:pPr>
        <w:pStyle w:val="BookText"/>
        <w:rPr/>
      </w:pPr>
      <w:bookmarkEnd w:id="796"/>
      <w:r>
        <w:rPr>
          <w:rFonts w:ascii="IRNazanin" w:hAnsi="IRNazanin" w:eastAsia="IRNazanin"/>
          <w:color w:val="111111"/>
          <w:sz w:val="28"/>
          <w:sz w:val="28"/>
          <w:szCs w:val="28"/>
          <w:rtl w:val="true"/>
          <w:lang w:bidi="fa-IR"/>
        </w:rPr>
        <w:t>من اختلاف الأخبار ، وإن کان الظاهر جواز الفعل قبل غیبوبة الشفق ، لما ذکرناه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لأخّرت العتمة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العلل ، فی الموثق کالصحیح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نوم الصبی وعلّة الضعیف لأخّرت العتمة إلی ثلث اللیل </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ثلث اللیل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رجاء بن أبی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علیه السلام کان یصلّی العشاء قریب ما یمضی من اللیل الثلث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ابن سنان لا دلالة لها علی الاستحباب ، لأنّ فعله علیه السلام فی لیلة من اللیالی مخالفا لطریقته المستمرّة لا یکون ظاهرا فی رجحانه فی نفسه ، بل ربما کان مشیرا إلی خلافه ، وأنّه کان فی تلک اللیلة علّة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الصحیحة فلا یکون حجّة عند الشارح ، بل هو معارض للأخبار الکثیرة الدالّة علی رجحان المسارعة وأفضلیة أوّل الوقت ، ومرّ بعضها فی بحث أوّل وقت العصر </w:t>
      </w:r>
      <w:r>
        <w:rPr>
          <w:rStyle w:val="FootnoteAnchor"/>
          <w:rtl w:val="true"/>
        </w:rPr>
        <w:footnoteReference w:id="900"/>
      </w:r>
      <w:r>
        <w:rPr>
          <w:rFonts w:ascii="IRNazanin" w:hAnsi="IRNazanin" w:eastAsia="IRNazanin"/>
          <w:color w:val="111111"/>
          <w:sz w:val="28"/>
          <w:sz w:val="28"/>
          <w:szCs w:val="28"/>
          <w:rtl w:val="true"/>
          <w:lang w:bidi="fa-IR"/>
        </w:rPr>
        <w:t>، فلا 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مقتضی هذا الإجماع والأخبار الموافقة له تعیّن کونه ابتداء الفجر ، فما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رسول الله صلی الله علیه و آله کان یصلّی إذا أضاء حسنا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7" w:name="__RefHeading___Toc2088009_388300464"/>
      <w:bookmarkStart w:id="798" w:name="_Toc310"/>
      <w:bookmarkEnd w:id="797"/>
      <w:r>
        <w:rPr>
          <w:rtl w:val="true"/>
        </w:rPr>
        <w:t>وقت نوافل الظهر والعصر</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لا یدلّ علی کون ذلک أوّل وقت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یقاوم ما ذکرنا ، فلعلّه محمول علی الأفضلیة أو الاحتیاط التامّ فی تحقّق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القبطیة البیضاء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نشرت فی أفق المصلّی فی سواد اللیل فلعلّه لا یظهر منه أزید من الفجر المعترض المتحقّق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وأضاء حسنا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دلالتها علی ما ذکره تأمّل ، فالعمدة هو الإجماع والأخبار المنجبرة به ، وسیجی‌ء فی صحیحة ابن سنان وحسنة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وقت الفجر حین ینشقّ الفجر إلی أن یتجلّل الصبح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الصحیح ، عن یزید بن خلیفة ،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الفجر حین یبدو حتی یضی‌ء </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 فی الموثّق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هذه الموثقة شی‌ء ذکر سابقا </w:t>
      </w:r>
      <w:r>
        <w:rPr>
          <w:rStyle w:val="FootnoteAnchor"/>
          <w:rtl w:val="true"/>
        </w:rPr>
        <w:footnoteReference w:id="902"/>
      </w:r>
      <w:r>
        <w:rPr>
          <w:rFonts w:ascii="IRNazanin" w:hAnsi="IRNazanin" w:eastAsia="IRNazanin"/>
          <w:color w:val="111111"/>
          <w:sz w:val="28"/>
          <w:sz w:val="28"/>
          <w:szCs w:val="28"/>
          <w:rtl w:val="true"/>
          <w:lang w:bidi="fa-IR"/>
        </w:rPr>
        <w:t>مع أنّ الشارح رحمه الله لا یقول بحجیة الموثق ، فالعمدة الأخبار المنجبرة بالشهرة وصحیحة ابن یقطین بعد ثبوت الإجماع المرکّب ، لکن فی دلالتها علی کون ما بعد الإسفار وقت الاختیار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لفظ لا ینبغی ظاهر فی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الانبغاء أعمّ من الکراهة والحرمة ، لکن قوله قبل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الفجر حین ینشقّ الفجر إلی أن یتجلّل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أنّ بعد التجلّل لا یکون وقت الفجر بدلالة مفهوم الغایة ، وهو من أقوی </w:t>
      </w:r>
      <w:bookmarkStart w:id="799" w:name="pg14966_204263"/>
    </w:p>
    <w:p>
      <w:pPr>
        <w:pStyle w:val="BookText"/>
        <w:rPr/>
      </w:pPr>
      <w:bookmarkEnd w:id="799"/>
      <w:r>
        <w:rPr>
          <w:rFonts w:ascii="IRNazanin" w:hAnsi="IRNazanin" w:eastAsia="IRNazanin"/>
          <w:color w:val="111111"/>
          <w:sz w:val="28"/>
          <w:sz w:val="28"/>
          <w:szCs w:val="28"/>
          <w:rtl w:val="true"/>
          <w:lang w:bidi="fa-IR"/>
        </w:rPr>
        <w:t xml:space="preserve">المفاهیم ، وکذا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ولکنّه 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فی کونه وقتا لهؤلاء الجماعة خاصّة ، فتعیّن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والشغل وإن کان أعمّ ، إلاّ أنّه ربما یکون الظاهر المتبادر فی أمثال المقام الضروری ، مع أنّه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له شغل ، 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عن الصلاة وترکها من جهة شغله ، ومعلوم أنّه یصلّی حینئذ البتّة ، لا أنّه یترک الصلاة من جهة أنّه شغل عنها ، فلا مانع من أن یکون وقتا ، أمّا بالنسبة إلی الضروری فوقت الأداء ، وأمّا غیر الضروری فوقت القضاء ، وعلی أیّ تقدیر وقت لمن شغل عنها أو نسی أو نام ، لا أنّه وقت مطلقا ، لکنه لا یقاوم أدلة المشهور ، ومع ذلک الاحتیاط واضح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مختار الشیخ ومن وافقه صحیحة أبی بصیر أنّه سأل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یحرم الطعام علی الصائم وتحلّ صلاة الفجر؟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اعترض الفجر فکان کالقبطیة البیضاء ، فثم یحرم الطعام وتحلّ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لسنا فی وقت إلی أن یطلع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 أین تذهب؟ تلک صلاة الصبیان </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المطلوب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دلالتها علی خلاف المطلوب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النهایة 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الظهر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2088011_388300464"/>
      <w:bookmarkStart w:id="801" w:name="_Toc311"/>
      <w:bookmarkEnd w:id="800"/>
      <w:r>
        <w:rPr>
          <w:rtl w:val="true"/>
        </w:rPr>
        <w:t>وقت نافلة المغرب</w:t>
      </w:r>
      <w:bookmarkEnd w:id="801"/>
    </w:p>
    <w:p>
      <w:pPr>
        <w:pStyle w:val="BookText"/>
        <w:rPr/>
      </w:pPr>
      <w:r>
        <w:rPr>
          <w:rFonts w:ascii="IRNazanin" w:hAnsi="IRNazanin" w:eastAsia="IRNazanin"/>
          <w:color w:val="111111"/>
          <w:sz w:val="28"/>
          <w:sz w:val="28"/>
          <w:szCs w:val="28"/>
          <w:rtl w:val="true"/>
          <w:lang w:bidi="fa-IR"/>
        </w:rPr>
        <w:t xml:space="preserve">لا یخفی أنّ المصنّف نقل القول بابتداء النافلة ما دام وقت الاختیار باقیا ، وکذلک نقل الشهید فی الدروس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الشیخ فی المبسوط استثناء قدر الفریضتین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بوقت الاختیار والاضطرار کیف یجوّز فعل النافلة مقدّما علی الفریضة إلی آخر وقت الاختیار؟ إذ یلزم منه تأخیر الفریضة عنه من غیر اضطرار ، فلعله أیضا یقول مثل الشیخ ، ویحتمل أن یکون هذا القائل هو الشیخ ، کما یظهر من الشارح ویکون الشهید توهّم من ظاهر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مستند الشیخ ، إذ مرّ الأخبار الدالة علی انتهاء وقت الاختیار بصیرورة ظلّ کلّ شی‌ء مثله ، وسیجی‌ء أنّ حائط مسجد رسول الله صلی الله علیه و آله کان ذراعا ، فیکون ظاهر صحیحة زرارة الآتیة ابتداء وقت النافلة إلی أن یصیر ظلّ کلّ شی‌ء مثله ، لکن مقتضی ما دل علی انتهاء وقت الاختیار إلی ذلک أیضا استثناء مقدار الفریضة البتّة ، لعدم جواز تأخیر الفریضة عن المثل ، بل فی قویة سماعة المرویة فی الکافی والتهذیب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بمحظور علیه أن یصلّی النوافل من أوّل الوقت إلی قریب من آخر الوقت </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والطعن فی سند الروایات المتضمّنة لذلک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یحصل للمجتهد من أمثال هذه الأخبار ظنّ بل وقویّ منه ، لأنّ الخبر فی نفسه یفید الظنّ ، سیّما والمشایخ العظام ضبطوها واعتنوا </w:t>
      </w:r>
    </w:p>
    <w:p>
      <w:pPr>
        <w:pStyle w:val="BookText"/>
        <w:rPr/>
      </w:pPr>
      <w:r>
        <w:rPr>
          <w:rFonts w:ascii="IRNazanin" w:hAnsi="IRNazanin" w:eastAsia="IRNazanin"/>
          <w:color w:val="111111"/>
          <w:sz w:val="28"/>
          <w:sz w:val="28"/>
          <w:szCs w:val="28"/>
          <w:rtl w:val="true"/>
          <w:lang w:bidi="fa-IR"/>
        </w:rPr>
        <w:t xml:space="preserve">بشأنها ، بل وحکموا بصحتها إلی غیر ذلک من الأمارات ، وقد أشرت إلی کثیر منها فی تعلیقتنا علی الرجال الکبیر من المیرزا رحمه الله ، والمدار فی الفقه علی الظنون ، ولم نجد لکلّ ظنّ اعتبروا دلیلا قطعیا یدل علی اعتباره بالخصوص ، کما هو غیر خفی ، ولیس من جانب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 </w:t>
      </w:r>
      <w:r>
        <w:rPr>
          <w:rStyle w:val="FootnoteAnchor"/>
          <w:rtl w:val="true"/>
        </w:rPr>
        <w:footnoteReference w:id="907"/>
      </w:r>
      <w:r>
        <w:rPr>
          <w:rFonts w:ascii="IRNazanin" w:hAnsi="IRNazanin" w:eastAsia="IRNazanin"/>
          <w:color w:val="111111"/>
          <w:sz w:val="28"/>
          <w:sz w:val="28"/>
          <w:szCs w:val="28"/>
          <w:rtl w:val="true"/>
          <w:lang w:bidi="fa-IR"/>
        </w:rPr>
        <w:t xml:space="preserve">مانع ، کما بینته مبسوطا فی التعلیقة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 لکن لا یخفی أنّ المناط فی الألفاظ وموضوعات الأحکام هو الظنون ، ولیس هذه بأنقص من مثل قول صاحب القاموس ، وغیر خفی أنّه لو 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فی أمثال ذلک الزمان أنّه متی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القامة ، أرادوا به الذراع فی أمثال المقام ، کنتم تعتمدون علیه فی فهم الحدیث ، وفی المقام ورد أخبار متعدّدة متضمّنة لهذا المعنی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صالح بن سعید </w:t>
      </w:r>
      <w:r>
        <w:rPr>
          <w:rStyle w:val="FootnoteAnchor"/>
          <w:rtl w:val="true"/>
        </w:rPr>
        <w:footnoteReference w:id="909"/>
      </w:r>
      <w:r>
        <w:rPr>
          <w:rFonts w:ascii="IRNazanin" w:hAnsi="IRNazanin" w:eastAsia="IRNazanin"/>
          <w:color w:val="111111"/>
          <w:sz w:val="28"/>
          <w:sz w:val="28"/>
          <w:szCs w:val="28"/>
          <w:rtl w:val="true"/>
          <w:lang w:bidi="fa-IR"/>
        </w:rPr>
        <w:t>وغیرها من الأخبار ، فلا وجه لعدم الاعتماد بعد ما ظهر من اشتراک العلّة وعدم ضرر المانع ، وغیر خفی أنّ العلّة هی ما أشرنا من الاکتفاء بالظنّ فی موضوع الحکم الشرعی ، ولا یقدح فسق الناقل ولا کفره ، کما هو المحقّق فی موضعه ، نعم وقع الخلاف فی إثبات اللغة بالقیاس أو الدلیل ، والمشهور العدم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اعتبار قامة الإنسان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لیس بصریح بعد ما علم من أنّه یکفی فی الإضافة أدنی ملابسة ، غایة الأمر الظهور ، لکن بعد ما ثبت من أنّ لفظ القامة اصطلاح فی </w:t>
      </w:r>
    </w:p>
    <w:p>
      <w:pPr>
        <w:pStyle w:val="BookText"/>
        <w:rPr/>
      </w:pPr>
      <w:r>
        <w:rPr>
          <w:rFonts w:ascii="IRNazanin" w:hAnsi="IRNazanin" w:eastAsia="IRNazanin"/>
          <w:color w:val="111111"/>
          <w:sz w:val="28"/>
          <w:sz w:val="28"/>
          <w:szCs w:val="28"/>
          <w:rtl w:val="true"/>
          <w:lang w:bidi="fa-IR"/>
        </w:rPr>
        <w:t xml:space="preserve">الذراع أو سلّم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کان الظاهر بل المعنی الحقیقی الذی هو المنصوص من لفظ القامة هو الذراع ، لعلّه لا یبقی ظهور ، سیّما بعد ملاحظة الأخبار الواردة فی المثل والمثلین ، والقامة والقامتین ، والذراع والذراعین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للقول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الاستدلال بما ذکر نظر ظاهر ، لأنّ الروایتین تدلان دلالة واضحة علی أنّ النافلة صحیحة فی جمیع الأوقات ، لیس لصحتها شرط من طرف الوقت ، کما أنّ الهدیة لیس لها شرط من طرفه ، بل صرّح فی الأخیرة بأنکّ إن شئت فی أوّل النهار وإن شئت فی الوسط والآخر من دون تفاوت ، والقائل لا یجوّز ذلک جزما ، بل یجعلها من الموقّتة وقتها دائرا مع وقت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کوقت الفریضة </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الدالّة علی عدم اشتراط الوقت لها کثیرة ، بل بعضها صریح فی أنّ فعلها فی أوقاتها المعهودة أفضل ، وإلاّ ففی أیّ وقت فعلت تکون صحیحة ، مثل روایة القاسم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النهار کم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 أیّ ساعات النهار شئت أن تصلّیها صلّیتها ، إلاّ أنّک إذا صلّیتها فی مواقیتها أفضل </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عبد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الصادق علیه السلام عن نافلة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رکعة متی ما نشطت ، إنّ علی بن الحسین علیه السلام کان له ساعات من النهار یصلّی فیها ، فإذا شغله ضیعة أو سلطان قضاها ، إنّ النافلة </w:t>
      </w:r>
    </w:p>
    <w:p>
      <w:pPr>
        <w:pStyle w:val="BookText"/>
        <w:rPr/>
      </w:pPr>
      <w:r>
        <w:rPr>
          <w:rFonts w:ascii="IRNazanin" w:hAnsi="IRNazanin" w:eastAsia="IRNazanin"/>
          <w:color w:val="111111"/>
          <w:sz w:val="28"/>
          <w:sz w:val="28"/>
          <w:szCs w:val="28"/>
          <w:rtl w:val="true"/>
          <w:lang w:bidi="fa-IR"/>
        </w:rPr>
        <w:t xml:space="preserve">بمنزلة الهدیة متی أتی بها قبلت </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بملاحظة صدر هذه الروایة وذیلها أنّ القضاء هنا بمعنی الفعل خارج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صریحة فی أنّ النافلة فی جمیع الأوقات صحیحة ومجزئة ، إلاّ أنّ أوقاتها المعهودة لیست أوقات الصحة والإجزاء ، بل هی أوقات الفضیلة ، کما صرّح به فی بعضها ، ویقتضیه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فی الجواب فاسد أیضا ، لما عرفت ، ولأنّ المطلق والمقید لا دخل لهما فی ما نحن فیه ، فإنّ المقید نص ، والمطلق فیه ظهور ضعیف بالنسبة إلی عدم القید ، ولذا یرفع الید عن الضعیف بسبب القوی والنص ، وما نحن فیه لیس کذلک جزما ، کما عرفت ، وسیجی‌ء عن الشارح رحمه الله الاعتراف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بما رواه فی الصحیح عن إسماعیل بن جابر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علیه أیضا ما رواه هو والکلینی عن حمّاد بن عیسی فی الصحیح ، عن یزید بن ضمرة اللیثی ، عن محمد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یشتغل عند الزوال أیعجل من أوّل النهار؟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علم أنّه یشتغل فیعجّلها فی صدر النهار کلّها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والظاهر أنّ هذا الشرط لأجل تدارک الفضیلة ، وإلاّ فظاهر الأخبار الجواز مطلقا ، کما یشیر إلیه الشارح رحمه الله بل بالنسبة إلی جمیع النوافل أیضا من غیر خصوصیة بنافلة الزوال</w:t>
      </w:r>
      <w:r>
        <w:rPr>
          <w:rFonts w:eastAsia="IRNazanin" w:cs="IRNazanin"/>
          <w:color w:val="111111"/>
          <w:sz w:val="28"/>
          <w:szCs w:val="28"/>
          <w:rtl w:val="true"/>
          <w:lang w:bidi="fa-IR"/>
        </w:rPr>
        <w:t xml:space="preserve">. </w:t>
      </w:r>
      <w:bookmarkStart w:id="802" w:name="pg14966_204268"/>
    </w:p>
    <w:p>
      <w:pPr>
        <w:pStyle w:val="BookText"/>
        <w:rPr/>
      </w:pPr>
      <w:bookmarkEnd w:id="80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حسنة محمد بن عذافر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الکافی روی بسنده عن محمد بن عذافر ، عن عمر بن یزید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النافلة بمنزلة الهدیة متی ما أتی بها قبلت </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التطوع فی وقت الفریضة إنّما یتوجّه إلی غیر الرواتب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المستفاد من الأخبار شمول التطوّع للراتبة أیضا ، منها صحیحة زرارة المتقدّمة ، بل فی صحیحته الأخری التی سنذکرها فی مبحث قضاء الفوائت علی الضیق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صلاة مکتوبة فلا صلاة نافلة حتی تبدأ بالمکتوبة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بل تتمّة هذه الصحیحة دالة علی شمولها للراتبة التی تزاحم فریضتها أیضا ، فالظاهر أنّ المراد من الوقت لیس وقت الجواز بل المقرّر الموظّف شرعا أن یصلّی فیه لأجل النافلة ، أو الأولویة ، وإن جاز التقدیم علیه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له صحیحة أبان بن تغلب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وروایة رجاء بن أبی ضحّاک أنّ الرضا علیه السلام کان إذا صلّی المغرب وسلّم جلس فی مصلاّه یسبّح الله ویحمده ویکبّره ویهلّله ما شاء الله ثم یسجد سجدتی الشکر ، ثم یرفع رأسه ولم یتکلّم حتی یقوم فیصلّی أربع رکعات بتسلیمتین </w:t>
      </w:r>
      <w:r>
        <w:rPr>
          <w:rStyle w:val="FootnoteAnchor"/>
          <w:rtl w:val="true"/>
        </w:rPr>
        <w:footnoteReference w:id="91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یشهد للمشهور ما ورد فی أخبار متعدّدة أنّ المفیض من عرفة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3" w:name="__RefHeading___Toc2088013_388300464"/>
      <w:bookmarkStart w:id="804" w:name="_Toc312"/>
      <w:bookmarkEnd w:id="803"/>
      <w:r>
        <w:rPr>
          <w:rtl w:val="true"/>
        </w:rPr>
        <w:t>وقت صلاة اللیل</w:t>
      </w:r>
      <w:bookmarkStart w:id="805" w:name="pg14966_204269"/>
      <w:bookmarkEnd w:id="804"/>
    </w:p>
    <w:p>
      <w:pPr>
        <w:pStyle w:val="BookText"/>
        <w:rPr/>
      </w:pPr>
      <w:bookmarkEnd w:id="805"/>
      <w:r>
        <w:rPr>
          <w:rFonts w:ascii="IRNazanin" w:hAnsi="IRNazanin" w:eastAsia="IRNazanin"/>
          <w:color w:val="111111"/>
          <w:sz w:val="28"/>
          <w:sz w:val="28"/>
          <w:szCs w:val="28"/>
          <w:rtl w:val="true"/>
          <w:lang w:bidi="fa-IR"/>
        </w:rPr>
        <w:t xml:space="preserve">إذا صلّی المغرب فی المزدلفة یؤخّر النافلة إلی ما بعد العشاء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الأولی بل الأحوط متابعة المشهور فی العمل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الباقی </w:t>
      </w:r>
      <w:r>
        <w:rPr>
          <w:rStyle w:val="FootnoteAnchor"/>
          <w:rtl w:val="true"/>
        </w:rPr>
        <w:footnoteReference w:id="920"/>
      </w:r>
      <w:r>
        <w:rPr>
          <w:rFonts w:ascii="IRNazanin" w:hAnsi="IRNazanin" w:eastAsia="IRNazanin"/>
          <w:color w:val="111111"/>
          <w:sz w:val="28"/>
          <w:sz w:val="28"/>
          <w:szCs w:val="28"/>
          <w:rtl w:val="true"/>
          <w:lang w:bidi="fa-IR"/>
        </w:rPr>
        <w:t xml:space="preserve">، وهو الموافق لفتوی الأصحاب ، وفی کتاب العلل روی بطریق صحیح علی الظاهر ،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الآیة ، نزلت فی أمیر المؤمنین علیه السلام وأتباعه من شیعتنا ، ینامون فی أوّل اللیل ، فإذا ذهب ثلثا اللیل أو ما شاء الله فزعوا إلی ربّهم </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الحدیث ، وفی 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التی سأل عنها أبو ذر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اللیل أفضل؟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جوف اللیل الغابر </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أی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مشترک بین جماعة منهم الضعیف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الضعف منجبر بالفتاوی ، مع أنّ الظاهر هارون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علیه بروایة محمد بن مسلم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المستفاد من الأخبار المنع عن مطلق النافلة الراتبة وغیرها ، بل بعضها صریح فی الراتبة ، وأنّ المراد من وقت الفریضة لیس وقت الإجزاء بل الوقت المقرّر للفریضة بأن لا یصادم بالنافلة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6" w:name="__RefHeading___Toc2088015_388300464"/>
      <w:bookmarkStart w:id="807" w:name="_Toc313"/>
      <w:bookmarkEnd w:id="806"/>
      <w:r>
        <w:rPr>
          <w:rtl w:val="true"/>
        </w:rPr>
        <w:t>وقت النوافل الغیر الراتبة</w:t>
      </w:r>
      <w:bookmarkStart w:id="808" w:name="pg14966_204270"/>
      <w:bookmarkEnd w:id="807"/>
    </w:p>
    <w:p>
      <w:pPr>
        <w:pStyle w:val="BookText"/>
        <w:rPr/>
      </w:pPr>
      <w:bookmarkEnd w:id="808"/>
      <w:r>
        <w:rPr>
          <w:rFonts w:ascii="IRNazanin" w:hAnsi="IRNazanin" w:eastAsia="IRNazanin"/>
          <w:color w:val="111111"/>
          <w:sz w:val="28"/>
          <w:sz w:val="28"/>
          <w:szCs w:val="28"/>
          <w:rtl w:val="true"/>
          <w:lang w:bidi="fa-IR"/>
        </w:rPr>
        <w:t>الموثّق حجّة ، کما قرّرنا فی محلّه ، مع أنّها منجبرة بعمل الأصحاب والشهرة العظیمة لو لم یثبت بالإجماع ، فتأمّل ، ومع ذلک منجبر بالصحیح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هذه الروایات علی الأفضلیة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بعد التکافؤ ، والحسنة لیست متکافئة للصحیحة ، سیّما مع معاضدتها بالأخبار الکثیرة المنجبرة ، وقوّة الدلالة ، لعدم جواز الصوم النافلة ممّن علیه فریضة ، وجواز إرادة الفضل فی الأمر الواجب ، وإن کان الظاهر منه الاستحباب ، إلاّ أن یتمسک بصحیحة عمر بن یزید ویقوّی الحسنة بها ، لأنّ الظاهر منها عدم المنع فی غیر الوقت الذی شرع المقیم فیه بالإقامة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إمام المصلّی ، وهذا یخالف مقتضی صحیحة زرارة وغیرها ، ولم یقل أحد بهذا التفصیل ، مع أنّه یضرّ القائلین بالمنع علی أیّ حال ، فیجب حمل تلک الأخبار علی الاستحباب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الواردة فی من فاته شی‌ء من الصلوات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الکلام فی المقام فی کتاب قضاء الصلاة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فیما سبق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بیّنا فیما سبق </w:t>
      </w:r>
      <w:r>
        <w:rPr>
          <w:rStyle w:val="FootnoteAnchor"/>
          <w:rtl w:val="true"/>
        </w:rPr>
        <w:footnoteReference w:id="926"/>
      </w:r>
      <w:r>
        <w:rPr>
          <w:rFonts w:ascii="IRNazanin" w:hAnsi="IRNazanin" w:eastAsia="IRNazanin"/>
          <w:color w:val="111111"/>
          <w:sz w:val="28"/>
          <w:sz w:val="28"/>
          <w:szCs w:val="28"/>
          <w:rtl w:val="true"/>
          <w:lang w:bidi="fa-IR"/>
        </w:rPr>
        <w:t xml:space="preserve">أنّ الحقّ مع العلاّمة رحمه الله وإن کان القضاء بفرض جدید ، کما صرّح به العلاّمة واختاره صریحا </w:t>
      </w:r>
      <w:r>
        <w:rPr>
          <w:rStyle w:val="FootnoteAnchor"/>
          <w:rtl w:val="true"/>
        </w:rPr>
        <w:footnoteReference w:id="927"/>
      </w:r>
      <w:r>
        <w:rPr>
          <w:rFonts w:ascii="IRNazanin" w:hAnsi="IRNazanin" w:eastAsia="IRNazanin"/>
          <w:color w:val="111111"/>
          <w:sz w:val="28"/>
          <w:sz w:val="28"/>
          <w:szCs w:val="28"/>
          <w:rtl w:val="true"/>
          <w:lang w:bidi="fa-IR"/>
        </w:rPr>
        <w:t>، وذلک لأنّ القضاء</w:t>
      </w:r>
    </w:p>
    <w:p>
      <w:pPr>
        <w:pStyle w:val="Heading3"/>
        <w:numPr>
          <w:ilvl w:val="2"/>
          <w:numId w:val="1"/>
        </w:numPr>
        <w:rPr/>
      </w:pPr>
      <w:bookmarkStart w:id="809" w:name="__RefHeading___Toc2088017_388300464"/>
      <w:bookmarkStart w:id="810" w:name="_Toc314"/>
      <w:bookmarkEnd w:id="809"/>
      <w:r>
        <w:rPr>
          <w:rtl w:val="true"/>
        </w:rPr>
        <w:t>أحکام المواقیت</w:t>
      </w:r>
      <w:bookmarkEnd w:id="81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1" w:name="__RefHeading___Toc2088019_388300464"/>
      <w:bookmarkStart w:id="812" w:name="_Toc315"/>
      <w:bookmarkEnd w:id="811"/>
      <w:r>
        <w:rPr>
          <w:rtl w:val="true"/>
        </w:rPr>
        <w:t>حکم من حصل له مانع من الصلاة کالجنون قبل دخول الوقت</w:t>
      </w:r>
      <w:bookmarkStart w:id="813" w:name="pg14966_204271"/>
      <w:bookmarkEnd w:id="812"/>
    </w:p>
    <w:p>
      <w:pPr>
        <w:pStyle w:val="BookText"/>
        <w:rPr/>
      </w:pPr>
      <w:bookmarkEnd w:id="813"/>
      <w:r>
        <w:rPr>
          <w:rFonts w:ascii="IRNazanin" w:hAnsi="IRNazanin" w:eastAsia="IRNazanin"/>
          <w:color w:val="111111"/>
          <w:sz w:val="28"/>
          <w:sz w:val="28"/>
          <w:szCs w:val="28"/>
          <w:rtl w:val="true"/>
          <w:lang w:bidi="fa-IR"/>
        </w:rPr>
        <w:t xml:space="preserve">تدارک ما فات ، ولیس له معنی سوی ذلک ، والأدلة الدالة علی وجوب القضاء أیضا تقتضی ذلک ، لأنّهم حکموا بفعل الصلاة التی فاتت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فیما لم یکن له وقت الصلاة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الصلاة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بعد ولم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فی وقت الضحی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الصلاة ، أی صلاة الظهر الآتیة ، وهذا من البدیهیّات ، فکما أن وقت الضحی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 فکذلک أوّل الزوال أیضا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 لأنّها لم تجب بعد ، نعم فی الظنّ إدراک الصلاة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المظنّة تعلّق الخطاب ، لکن إذا ظهر یقینا أنّه ما تعلّق به الخطاب من جهة عدم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والوقت شرط للتکلیف 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یصدق الفوت والقضاء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وإن 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العمل بها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حقّ ، کما بیّنا سابقا ، لأنّ الله تعالی أمر فی خبر الفاسق بالتبیّن لا الردّ ، والتبیّن حاصل بعمل الطائفة ، وإن لم یصل إلی حدّ الإجماع ، لأنّ الله تعالی شرط للعمل بالخبر أحد 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أو التبیین ، فکما یکتفون فی الأوّل بالظنّ کذا یکتفون فی الآخر ، لأنّ الدلیل واحد ، ولا یمکن إثبات العدالة فی جمیع سلسلة سند الحدیث بشهادة العدلین ، بل لا یمکن الشهادة أصلا ، کما حقّق فی محلّه ، وإنّ المدار علی الترجیحات الاجتهادیة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خلاف ما صرّح به الشارح مرارا من أنّ عمل الأصحاب لا ینفع ضعف السند ، لأنّه إن بلغ حدّ الإجماع فهو حجّة لا فائدة فی الخبر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4" w:name="__RefHeading___Toc2088021_388300464"/>
      <w:bookmarkStart w:id="815" w:name="_Toc316"/>
      <w:bookmarkEnd w:id="814"/>
      <w:r>
        <w:rPr>
          <w:rtl w:val="true"/>
        </w:rPr>
        <w:t>حکم ما لو زال المانع والوقت باقٍ</w:t>
      </w:r>
      <w:bookmarkStart w:id="816" w:name="pg14966_204272"/>
      <w:bookmarkEnd w:id="815"/>
    </w:p>
    <w:p>
      <w:pPr>
        <w:pStyle w:val="BookText"/>
        <w:rPr/>
      </w:pPr>
      <w:bookmarkEnd w:id="816"/>
      <w:r>
        <w:rPr>
          <w:rFonts w:ascii="IRNazanin" w:hAnsi="IRNazanin" w:eastAsia="IRNazanin"/>
          <w:color w:val="111111"/>
          <w:sz w:val="28"/>
          <w:sz w:val="28"/>
          <w:szCs w:val="28"/>
          <w:rtl w:val="true"/>
          <w:lang w:bidi="fa-IR"/>
        </w:rPr>
        <w:t>ولیس هو حجّة ، وإلاّ فأیّ فائدة فی 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بعضه وقتا للعصر لولا إدراک الرکعة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 الاستصحاب کونه وقتا للظهر ، وأیضا لا شکّ فی أنّ الآن لا یصح غیر الظهر فیه ، فکیف یکون وقتا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من الوقت ما یصح الفعل فیه فی الجملة ، فیکون بهذا المعنی وقتا للظهر والعصر معا ، ولا مشاحّة فی الاصطلاح ، إلاّ أنّه فی الواقع إلی الآن وقت الظهر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رحمه الله أنّ المولی إذا طلب من عبده أمرا فالامتثال موقوف علی الإتیان بذلک الأمر علی سبیل الیقین ، لأنّ الإطاعة والامتثال هو الإتیان بنفس ما طلب منه ، لا بما ظنّ أنّه الذی طلب ، إلاّ مع صورة تعذّر العلم به ، فهو قرینة علی أنّ المطلوب منه هو مظنونه ، فحیث یتأتّی الإتیان بنفس المطلوب لو أتی بما هو ظنّة یذمّه العقلاء ، ویعدّونه غیر المطیع ، ولا تأمّل فی ذمّ العقلاء حینئذ ، سیّما بعد ملاحظة الآیات والأخبار فی منع العمل بغیر العلم ، وأنّه لا یجوز التعویل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ما یدل علی ثبوت التکلیف مع الظنّ للمتمکّن من العلم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العبارة لا یخفی ما فیها ، إذ لم یفهم منها معنی محصّل ، فالأولی الاستدلال بما ذکرناه ، أو تبدیل هذه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التعویل علی الظنّ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علیه صحیحة ذریح المحاربی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دلالة فی الروایتین علی ما ذکره ، سیّما الثانیة ، بل تدل علی خلاف ما ذکره ، فالأظهر أنّ المراد فیهما التعویل علی الأذان المفید للظنّ أیضا إذا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7" w:name="__RefHeading___Toc2088023_388300464"/>
      <w:bookmarkStart w:id="818" w:name="_Toc317"/>
      <w:bookmarkEnd w:id="817"/>
      <w:r>
        <w:rPr>
          <w:rtl w:val="true"/>
        </w:rPr>
        <w:t>وجوب تحصیل العلم بالوقت مع التمکن</w:t>
      </w:r>
      <w:bookmarkStart w:id="819" w:name="pg14966_204273"/>
      <w:bookmarkEnd w:id="818"/>
    </w:p>
    <w:p>
      <w:pPr>
        <w:pStyle w:val="BookText"/>
        <w:rPr/>
      </w:pPr>
      <w:bookmarkEnd w:id="819"/>
      <w:r>
        <w:rPr>
          <w:rFonts w:ascii="IRNazanin" w:hAnsi="IRNazanin" w:eastAsia="IRNazanin"/>
          <w:color w:val="111111"/>
          <w:sz w:val="28"/>
          <w:sz w:val="28"/>
          <w:szCs w:val="28"/>
          <w:rtl w:val="true"/>
          <w:lang w:bidi="fa-IR"/>
        </w:rPr>
        <w:t>کان وثوق بالمؤذّن ، والروایة الأولی تدل علی عدم التعویل علی الظنّ مطلقا ، لا أذان الموثوق به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فالأجود فی الجمع أنّ مع تیسّر العلم لا یجوز التعویل علی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الفجر یتیسّر العلم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یتیسّر العلم کما فی الظهر یجوز التعویل علی أذان الثقة أعمّ من أن یکون عادلا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تیسّر العلم غالبا فی الظهر ظاهر ، إذ تیسّر العلم فیه إنّما هو بالتأخیر لا أوّل الوقت ، والشارع یرضی بأذان الثقة ، بل بکلّ ظنّ إذا لم یتیسّر العلم ، کما سیجی‌ء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یشمل الاجتهاد فی الوقت والقبلة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العموم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الروایتین الأوّلتین بضعف السند ، وفی الثالثة بقصور الدلالة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الضعف منجبر بالشهرة العظیمة والإجماع المدعی ، والدلالة فی الثالثة لا قصور فیها ، إذ لا خفاء فی أنّ الظاهر من مضیّ الصوم صحته وقبوله ، ویؤیّده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وتکفّ عن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الصوم مطلق ، ویؤیّده أیضا عدم الأمر بالقضاء والکفّارة ، مع أنّ النهار مستصحب حتی یثبت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الفرق بین الصوم والصلاة ففاسد ، لعدم القول بالفصل ، وابن الجنید لم یفرّق قطعا ،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لا یخلو من قوّة؟ مع أنّ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رأیته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یره لا یکون علیه إعادة ، ومجرّد عدم الرؤیة لا یجعل ظنّه قطعا وعلما ،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فی غایة الظهور فی أنّ الحکم فی الصلاة أیضا کذلک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0" w:name="__RefHeading___Toc2088025_388300464"/>
      <w:bookmarkStart w:id="821" w:name="_Toc318"/>
      <w:bookmarkEnd w:id="820"/>
      <w:r>
        <w:rPr>
          <w:rtl w:val="true"/>
        </w:rPr>
        <w:t>جواز التعویل علی الظن مع عدم التمکن من العلم</w:t>
      </w:r>
      <w:bookmarkEnd w:id="821"/>
    </w:p>
    <w:p>
      <w:pPr>
        <w:pStyle w:val="BookText"/>
        <w:rPr/>
      </w:pPr>
      <w:r>
        <w:rPr>
          <w:rFonts w:ascii="IRNazanin" w:hAnsi="IRNazanin" w:eastAsia="IRNazanin"/>
          <w:color w:val="111111"/>
          <w:sz w:val="28"/>
          <w:sz w:val="28"/>
          <w:szCs w:val="28"/>
          <w:rtl w:val="true"/>
          <w:lang w:bidi="fa-IR"/>
        </w:rPr>
        <w:t xml:space="preserve">وحمل الروایة علی خصوص حصول الجزم </w:t>
      </w:r>
      <w:r>
        <w:rPr>
          <w:rStyle w:val="FootnoteAnchor"/>
          <w:rtl w:val="true"/>
        </w:rPr>
        <w:footnoteReference w:id="929"/>
      </w:r>
      <w:r>
        <w:rPr>
          <w:rFonts w:ascii="IRNazanin" w:hAnsi="IRNazanin" w:eastAsia="IRNazanin"/>
          <w:color w:val="111111"/>
          <w:sz w:val="28"/>
          <w:sz w:val="28"/>
          <w:szCs w:val="28"/>
          <w:rtl w:val="true"/>
          <w:lang w:bidi="fa-IR"/>
        </w:rPr>
        <w:t>، إلاّ أنّه تکلّف بعید ، کما لا یخفی علی المتأمّل ، مع أنّه أیضا خلاف رأی ابن الجنید والشارح ، فإنّ الجهل المرکب غیر العلم ، ولم یقل أحد بالفرق بینه وبین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الدالة علی جواز التعویل علی الظنّ کثیرة ،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ابن بکیر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صلّیت الظهر فی یوم غیم فانجلت ، فوجدتنی صلّیت حین زوال النهار؟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ولا تعد </w:t>
      </w:r>
      <w:r>
        <w:rPr>
          <w:rFonts w:eastAsia="IRNazanin" w:cs="IRNazanin"/>
          <w:color w:val="111111"/>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ریاح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جواز التعویل علی المؤذّنین </w:t>
      </w:r>
      <w:r>
        <w:rPr>
          <w:rStyle w:val="FootnoteAnchor"/>
          <w:rtl w:val="true"/>
        </w:rPr>
        <w:footnoteReference w:id="931"/>
      </w:r>
      <w:r>
        <w:rPr>
          <w:rFonts w:ascii="IRNazanin" w:hAnsi="IRNazanin" w:eastAsia="IRNazanin"/>
          <w:color w:val="111111"/>
          <w:sz w:val="28"/>
          <w:sz w:val="28"/>
          <w:szCs w:val="28"/>
          <w:rtl w:val="true"/>
          <w:lang w:bidi="fa-IR"/>
        </w:rPr>
        <w:t xml:space="preserve">، وعلی دیوک العراق </w:t>
      </w:r>
      <w:r>
        <w:rPr>
          <w:rStyle w:val="FootnoteAnchor"/>
          <w:rtl w:val="true"/>
        </w:rPr>
        <w:footnoteReference w:id="932"/>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سندها یمنع من التمسّک بها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بعضها قویّ غایة القوّة ، بل کالصحیحة مع أنّه إذا حصل الظنّ فلا مانع من العمل به ، کما عرفت من جواز التعویل علی الظنّ ، فتأمّل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قاصرة من حیث السند بجهالة الراوی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رواها الکلینی رحمه الله فی الصحیح عن ابن أبی عمیر عن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عمیر ممّن أجمعت العصابة ، کما فی الرجال </w:t>
      </w:r>
      <w:r>
        <w:rPr>
          <w:rStyle w:val="FootnoteAnchor"/>
          <w:rtl w:val="true"/>
        </w:rPr>
        <w:footnoteReference w:id="934"/>
      </w:r>
      <w:r>
        <w:rPr>
          <w:rFonts w:ascii="IRNazanin" w:hAnsi="IRNazanin" w:eastAsia="IRNazanin"/>
          <w:color w:val="111111"/>
          <w:sz w:val="28"/>
          <w:sz w:val="28"/>
          <w:szCs w:val="28"/>
          <w:rtl w:val="true"/>
          <w:lang w:bidi="fa-IR"/>
        </w:rPr>
        <w:t xml:space="preserve">، وممّن لا یروی إلاّ عن الثقة ، کما فی العدّة </w:t>
      </w:r>
      <w:r>
        <w:rPr>
          <w:rStyle w:val="FootnoteAnchor"/>
          <w:rtl w:val="true"/>
        </w:rPr>
        <w:footnoteReference w:id="935"/>
      </w:r>
      <w:r>
        <w:rPr>
          <w:rFonts w:ascii="IRNazanin" w:hAnsi="IRNazanin" w:eastAsia="IRNazanin"/>
          <w:color w:val="111111"/>
          <w:sz w:val="28"/>
          <w:sz w:val="28"/>
          <w:szCs w:val="28"/>
          <w:rtl w:val="true"/>
          <w:lang w:bidi="fa-IR"/>
        </w:rPr>
        <w:t xml:space="preserve">، مع أنّ الکلینی قال فی أوّل کتابه </w:t>
      </w:r>
      <w:r>
        <w:rPr>
          <w:rFonts w:eastAsia="IRNazanin" w:cs="IRNazanin"/>
          <w:color w:val="111111"/>
          <w:sz w:val="28"/>
          <w:szCs w:val="28"/>
          <w:rtl w:val="true"/>
          <w:lang w:bidi="fa-IR"/>
        </w:rPr>
        <w:t xml:space="preserve">: </w:t>
      </w:r>
      <w:bookmarkStart w:id="822" w:name="pg14966_204275"/>
    </w:p>
    <w:p>
      <w:pPr>
        <w:pStyle w:val="BookText"/>
        <w:rPr/>
      </w:pPr>
      <w:bookmarkEnd w:id="822"/>
      <w:r>
        <w:rPr>
          <w:rFonts w:ascii="IRNazanin" w:hAnsi="IRNazanin" w:eastAsia="IRNazanin"/>
          <w:color w:val="111111"/>
          <w:sz w:val="28"/>
          <w:sz w:val="28"/>
          <w:szCs w:val="28"/>
          <w:rtl w:val="true"/>
          <w:lang w:bidi="fa-IR"/>
        </w:rPr>
        <w:t xml:space="preserve">جمیع ما فیه من الآثار الیقینیة عن الصادقین علیهم السلام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رحمه الله أیضا رواها بطریق آخر صحیح إلی ابن أبی عمیر ، وهو عن إسماعیل </w:t>
      </w:r>
      <w:r>
        <w:rPr>
          <w:rStyle w:val="FootnoteAnchor"/>
          <w:rtl w:val="true"/>
        </w:rPr>
        <w:footnoteReference w:id="937"/>
      </w:r>
      <w:r>
        <w:rPr>
          <w:rFonts w:ascii="IRNazanin" w:hAnsi="IRNazanin" w:eastAsia="IRNazanin"/>
          <w:color w:val="111111"/>
          <w:sz w:val="28"/>
          <w:sz w:val="28"/>
          <w:szCs w:val="28"/>
          <w:rtl w:val="true"/>
          <w:lang w:bidi="fa-IR"/>
        </w:rPr>
        <w:t>، والصدوق أیضا رواها عن إسماعیل ، مع أنّه قال فی أوّل کتابه ما قال ، وطریقه إلی إسماعیل صحیح ، فالخبر قویّ غایة القوة من الوجوه المذکورة ، إلاّ أنّ الأحوط الإعادة وعدم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وقد مرّ الکلام فیه ، وحقّقنا تمام التحقیق فی الفوائد الحائریة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علیّ بن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بهذه الروایة لیس بشی‌ء ، فإنّ المکلّف له طریق إلی العلم غالبا فی صلاة الفجر ، ولذا استدل للمشهور بهذه الروایة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الروایة یشمل من لم یتمکن من العلم وإن کان نادرا ، لکن ربما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منصرف إلی الأفراد الشائعة ، ومع ذلک مقتضاها عدم الإجزاء ، فالحمل علی الاستحباب لیس بأولی من حمل العموم علی الأفراد الشائعة ، مع أنّه رحمه الله مال إلی مذهب ابن الجنید ، وقوّاه ، وبنی علی عدم دلیل یدل علی جواز التعویل علی الظنّ ، وحینئذ فالأولی التعلیل بالخروج عن خلاف ابن الجنید ، واحتمال کون الحق معه ، وإن کان خلاف الظاهر ، کما بیّناه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هشام بن الحکم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منها وإن کان بطلان الصلاة ، إلاّ أنّ الإجماع واقع علی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3" w:name="__RefHeading___Toc2088027_388300464"/>
      <w:bookmarkStart w:id="824" w:name="_Toc319"/>
      <w:bookmarkEnd w:id="823"/>
      <w:r>
        <w:rPr>
          <w:rtl w:val="true"/>
        </w:rPr>
        <w:t>أفضلیّة الصلاة فی أوّل الوقت إلاّ ما استثنی</w:t>
      </w:r>
      <w:bookmarkEnd w:id="824"/>
    </w:p>
    <w:p>
      <w:pPr>
        <w:pStyle w:val="BookText"/>
        <w:rPr/>
      </w:pPr>
      <w:r>
        <w:rPr>
          <w:rFonts w:ascii="IRNazanin" w:hAnsi="IRNazanin" w:eastAsia="IRNazanin"/>
          <w:color w:val="111111"/>
          <w:sz w:val="28"/>
          <w:sz w:val="28"/>
          <w:szCs w:val="28"/>
          <w:rtl w:val="true"/>
          <w:lang w:bidi="fa-IR"/>
        </w:rPr>
        <w:t xml:space="preserve">الصحة ، وربما یظهر ذلک من روایة صحیحة أنّهم علیهم السلام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یخف إعجالا عن الصلاة فلا بأس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هذا مضمون الصحیحة علی ما هو ببالی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صورتیه المشهورتین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الغوالی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 عشاء أحدکم وأقیمت الصلاة فابدؤوا بالعشاء ولا یعجل حتی یفرغ </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أنّ الخباب بن الأرتّ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شکونا إلی رسول الله صلی الله علیه و آله الرمضاء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أبردوا بالصلاة فإنّ شدّة الحرّ من فوح جهنّم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الخبر المجمل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إجمال فیها ، لأنّ ظاهرها التأخیر لتحصیل البرد ، وقد ذکرنا عن الغوالی ما یؤیّد وروی الصدوق رحمه الله فی العلل بسنده إلی أبی هریرة أنّ الرسول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اشتدّ الحرّ فأبردوا بالصلاة فإنّ الحرّ من فیح جهنّم </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والحدیثان معلّلان بعلّة واضحة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یظهر من الأخبار الکثیرة أولویة تحصیل حضور القلب ورفع ما یشوّش الخاطر ، وشدّة الحرّ تشویش بمقتضی طبع الإنسان ، وغایة ما یتیسّر المجاهدة للنفس ، وهذه أیضا تشوّش الخاطر وتمنع حضور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أمکن تحصیله من أوّل الصلاة إلی آخرها من دون تشویش من طرف المجاهدة یکون الأمر علی ما ذکره ، إلاّ أنّه ممّا لا یکاد یتیسّر عادة ، وغالب الناس </w:t>
      </w:r>
      <w:bookmarkStart w:id="825" w:name="pg14966_204277"/>
    </w:p>
    <w:p>
      <w:pPr>
        <w:pStyle w:val="BookText"/>
        <w:rPr/>
      </w:pPr>
      <w:bookmarkEnd w:id="825"/>
      <w:r>
        <w:rPr>
          <w:rFonts w:ascii="IRNazanin" w:hAnsi="IRNazanin" w:eastAsia="IRNazanin"/>
          <w:color w:val="111111"/>
          <w:sz w:val="28"/>
          <w:sz w:val="28"/>
          <w:szCs w:val="28"/>
          <w:rtl w:val="true"/>
          <w:lang w:bidi="fa-IR"/>
        </w:rPr>
        <w:t>لا یمکنهم ذلک ، وحمل الحدیث علی الفروض النادرة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التأخیر مشتملا علی صفة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التمکّن من استیفاء الأفعال علی الوجه الأکمل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التأخیر لذلک </w:t>
      </w:r>
      <w:r>
        <w:rPr>
          <w:rStyle w:val="FootnoteAnchor"/>
          <w:rtl w:val="true"/>
        </w:rPr>
        <w:footnoteReference w:id="94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المختص بالأولی أو المشترک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الوقوع فی الوقت المختص مع ظنّ الإتیان بالأولی من الفروض البعیدة ، والأخبار واردة فی الفروض الشائعة المتعارفة ، وقد مرّ الکلام فی ذلک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فهو الحجّة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تأمّل فی تمامیته ، وأنّ المسلمین فی الأعصار السابقة إلی الآن ما کانوا یصلّون فی المسجد الحرام إلاّ إلی الکعبة ، بل معلوم أنّ الرسول صلی الله علیه و آله والأئمّة علیهم السلام أیضا کانوا کذلک ، وربما یظهر من غیر واحد من الأخبار أنّ الله تعالی جعل الکعبة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فی المباحث الآتیة ، مثل کون القبلة جهة الکعبة لا البنیّة </w:t>
      </w:r>
      <w:r>
        <w:rPr>
          <w:rStyle w:val="FootnoteAnchor"/>
          <w:rtl w:val="true"/>
        </w:rPr>
        <w:footnoteReference w:id="943"/>
      </w:r>
      <w:r>
        <w:rPr>
          <w:rFonts w:ascii="IRNazanin" w:hAnsi="IRNazanin" w:eastAsia="IRNazanin"/>
          <w:color w:val="111111"/>
          <w:sz w:val="28"/>
          <w:sz w:val="28"/>
          <w:szCs w:val="28"/>
          <w:rtl w:val="true"/>
          <w:lang w:bidi="fa-IR"/>
        </w:rPr>
        <w:t>، ومثل الصلاة فوق الکعبة أو فی الکعبة ، وغیر ذلک ، وکذا الإجماعات الآتیة ،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والشهرة تجبر ضعف سند الروایة فضلا عن اتفاق کلّ المسلمین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الروایات الدالة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معاویة بن عمّار ، عن الصادق علیه السلام أنّه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صرف رسول الله صلی الله علیه و آله إلی الکعبة؟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w:t>
      </w:r>
    </w:p>
    <w:p>
      <w:pPr>
        <w:pStyle w:val="Heading2"/>
        <w:numPr>
          <w:ilvl w:val="1"/>
          <w:numId w:val="1"/>
        </w:numPr>
        <w:rPr/>
      </w:pPr>
      <w:bookmarkStart w:id="826" w:name="__RefHeading___Toc2088029_388300464"/>
      <w:bookmarkStart w:id="827" w:name="_Toc320"/>
      <w:bookmarkEnd w:id="826"/>
      <w:r>
        <w:rPr>
          <w:rtl w:val="true"/>
        </w:rPr>
        <w:t>القبلة</w:t>
      </w:r>
      <w:bookmarkEnd w:id="8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8" w:name="__RefHeading___Toc2088031_388300464"/>
      <w:bookmarkStart w:id="829" w:name="_Toc321"/>
      <w:bookmarkEnd w:id="828"/>
      <w:r>
        <w:rPr>
          <w:rtl w:val="true"/>
        </w:rPr>
        <w:t>حقیقة القبلة</w:t>
      </w:r>
      <w:bookmarkEnd w:id="829"/>
    </w:p>
    <w:p>
      <w:pPr>
        <w:pStyle w:val="BookText"/>
        <w:rPr/>
      </w:pPr>
      <w:r>
        <w:rPr>
          <w:rFonts w:ascii="IRNazanin" w:hAnsi="IRNazanin" w:eastAsia="IRNazanin"/>
          <w:color w:val="111111"/>
          <w:sz w:val="28"/>
          <w:sz w:val="28"/>
          <w:szCs w:val="28"/>
          <w:rtl w:val="true"/>
          <w:lang w:bidi="fa-IR"/>
        </w:rPr>
        <w:t xml:space="preserve">رجوعه من بدر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وتوثیقها من الطاطری ، وهو ممّن ادعی الشیخ إجماع الشیعة علی العمل بروایته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کالصحیح ، عن الحلبی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الرسول صلی الله علیه و آله فی المدینة کان یجعل الکعبة خلف ظهره فی الصلاة حتی حوّل إلی الکعبة </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تسمیة مسجد بنی عبد الأشهل بذی القبلتین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صرف إلی الکعبة بعد أن صلّوا الرکعتین الأولتین إلی البیت المقدّس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علیّ بن إبراهیم بسنده عن الصادق علیه السلام ، فی شأن نزول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w:t>
      </w:r>
      <w:r>
        <w:rPr>
          <w:rFonts w:eastAsia="Amiri" w:cs="Amiri" w:ascii="Amiri" w:hAnsi="Amiri"/>
          <w:color w:val="111111"/>
          <w:sz w:val="28"/>
          <w:szCs w:val="28"/>
          <w:rtl w:val="true"/>
          <w:lang w:bidi="ar-SA"/>
        </w:rPr>
        <w:t xml:space="preserve">) . </w:t>
      </w:r>
      <w:r>
        <w:rPr>
          <w:rStyle w:val="FootnoteAnchor"/>
          <w:rtl w:val="true"/>
        </w:rPr>
        <w:footnoteReference w:id="9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جبرئیل أخذ بعضد النبی صلی الله علیه و آله وحوّله إلی الکعبة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بحسب الظاهر متواترة فی کون الکعبة قبلة ، بل والمسجد الحرم کونهما قبلة من جهة الکعبة ، فلیلاحظ ولیتأمّل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الإجماع فلا شبهة فیه بل الظاهر أنّه ضروریّ الدین والمذهب ، حتی أنّه یلقّن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بأنّ الکعبة قبلتهم ، کالإقرار بأنّ الله ربّهم ، ومحمّدا نبیّهم ، والإسلام دینهم ، والقرآن کتابهم ، والأئمّة الاثنی عشر إمامهم</w:t>
      </w:r>
      <w:r>
        <w:rPr>
          <w:rFonts w:eastAsia="IRNazanin" w:cs="IRNazanin"/>
          <w:color w:val="111111"/>
          <w:sz w:val="28"/>
          <w:szCs w:val="28"/>
          <w:rtl w:val="true"/>
          <w:lang w:bidi="fa-IR"/>
        </w:rPr>
        <w:t xml:space="preserve">. </w:t>
      </w:r>
      <w:bookmarkStart w:id="830" w:name="pg14966_204279"/>
    </w:p>
    <w:p>
      <w:pPr>
        <w:pStyle w:val="BookText"/>
        <w:rPr/>
      </w:pPr>
      <w:bookmarkEnd w:id="8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زرارة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استدلاله بهذه الروایة فیه ما فیه ، لأنّ الشطر والجهة لیس ما بین المشرق والمغرب ، وسیجی‌ء أحکام کثیرة مبنیّة علی ذلک والشارح رحمه الله قائل بها ، فلعلّ مراده الجهة فی صورة النسیان والخطأ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التکلیف بإصابة الحرم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الظاهر من کلام المصنّف رحمه الله ولعلّ من شارکه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الحرم لیس قبلة للبعید بل جهتها ، کما سیجی‌ء فی الأحکام ، بل لعلّه لا 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رواه عن عبد الله بن محمّد الحجّال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علیه أیضا الروایتان اللتان تدلان علی استحباب التیاسر لأهل العراق </w:t>
      </w:r>
      <w:r>
        <w:rPr>
          <w:rStyle w:val="FootnoteAnchor"/>
          <w:rtl w:val="true"/>
        </w:rPr>
        <w:footnoteReference w:id="950"/>
      </w:r>
      <w:r>
        <w:rPr>
          <w:rFonts w:ascii="IRNazanin" w:hAnsi="IRNazanin" w:eastAsia="IRNazanin"/>
          <w:color w:val="111111"/>
          <w:sz w:val="28"/>
          <w:sz w:val="28"/>
          <w:szCs w:val="28"/>
          <w:rtl w:val="true"/>
          <w:lang w:bidi="fa-IR"/>
        </w:rPr>
        <w:t xml:space="preserve">، کما سیجی‌ء ، وما رواه الصدوق فی العلل فی علّة تحریف أهل العراق قبلتهم ذات الیسار </w:t>
      </w:r>
      <w:r>
        <w:rPr>
          <w:rStyle w:val="FootnoteAnchor"/>
          <w:rtl w:val="true"/>
        </w:rPr>
        <w:footnoteReference w:id="951"/>
      </w:r>
      <w:r>
        <w:rPr>
          <w:rFonts w:ascii="IRNazanin" w:hAnsi="IRNazanin" w:eastAsia="IRNazanin"/>
          <w:color w:val="111111"/>
          <w:sz w:val="28"/>
          <w:sz w:val="28"/>
          <w:szCs w:val="28"/>
          <w:rtl w:val="true"/>
          <w:lang w:bidi="fa-IR"/>
        </w:rPr>
        <w:t xml:space="preserve">، بل روی فیه أیضا بسنده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تعالی جعل البیت قبلة لأهل المسجد ، والمسجد قبلة لأهل مکّة ، ومکّة قبلة لأهل الحرم ، والحرم قبلة لأهل الدنیا </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وحملهما الشهید فی الذکری علی أنّ المراد بالمسجد والحرم جهتهما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شبهة فی صحة الحمل وتعیّنه ، لأنّ الجمیع اتفقوا علی أنّ علامة قبلة البعید کذا وکذا من دون تفاوت أصلا بین الفریقین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1" w:name="__RefHeading___Toc2088033_388300464"/>
      <w:bookmarkStart w:id="832" w:name="_Toc322"/>
      <w:bookmarkEnd w:id="831"/>
      <w:r>
        <w:rPr>
          <w:rtl w:val="true"/>
        </w:rPr>
        <w:t>کفایة استقبال جهة الکعبة</w:t>
      </w:r>
      <w:bookmarkStart w:id="833" w:name="pg14966_204280"/>
      <w:bookmarkEnd w:id="832"/>
    </w:p>
    <w:p>
      <w:pPr>
        <w:pStyle w:val="BookText"/>
        <w:rPr/>
      </w:pPr>
      <w:bookmarkEnd w:id="83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یعلم إسلامهم ، فضلا عن عدالتهم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الموضوعات الشرعیة لیست بتوقیفیة ، بأن یکون موقوفة علی بیان الشرع سوی العبادات ، أی الکیفیة التی لا تصح إلاّ بالنیّة ، ولذا یرجعون إلی الظنون ، مثل قول اللغوی والنحوی والصرفی ، وأصالة العدم ، وأصالة البقاء ، والقرائن الظنیّة ، وقول أهل الخبرة فی الأرش وأمثاله ، وقول الطبیب ، وغیر ذلک من الظنون ، ومنها المرجّحات ، والتفصیل فی رسالتنا فی الاجتهاد والأخبار </w:t>
      </w:r>
      <w:r>
        <w:rPr>
          <w:rStyle w:val="FootnoteAnchor"/>
          <w:rtl w:val="true"/>
        </w:rPr>
        <w:footnoteReference w:id="953"/>
      </w:r>
      <w:r>
        <w:rPr>
          <w:rFonts w:ascii="IRNazanin" w:hAnsi="IRNazanin" w:eastAsia="IRNazanin"/>
          <w:color w:val="111111"/>
          <w:sz w:val="28"/>
          <w:sz w:val="28"/>
          <w:szCs w:val="28"/>
          <w:rtl w:val="true"/>
          <w:lang w:bidi="fa-IR"/>
        </w:rPr>
        <w:t xml:space="preserve">، ومع ذلک ورد هنا الأمر بالتحرّی ، وهو الأخذ بما هو أحری وأقرب فی النظر إذا لم یتحقّق العلم ، ومن الهیئة ربما یحصل العلم بالجهة ، ولا شکّ فی حصول الظنّ الأقوی والأحری منها ، وتقلید أهله ممکن ومشروع ، بل واجب إذا انحصر الأحری فیه ولم یکن أحری منه ، علی أنّه رحمه الله سیصرّح بجواز التعویل علی قول الکافر الواحد محتجّا بأنّه نوع من التحرّی </w:t>
      </w:r>
      <w:r>
        <w:rPr>
          <w:rStyle w:val="FootnoteAnchor"/>
          <w:rtl w:val="true"/>
        </w:rPr>
        <w:footnoteReference w:id="954"/>
      </w:r>
      <w:r>
        <w:rPr>
          <w:rFonts w:ascii="IRNazanin" w:hAnsi="IRNazanin" w:eastAsia="IRNazanin"/>
          <w:color w:val="111111"/>
          <w:sz w:val="28"/>
          <w:sz w:val="28"/>
          <w:szCs w:val="28"/>
          <w:rtl w:val="true"/>
          <w:lang w:bidi="fa-IR"/>
        </w:rPr>
        <w:t xml:space="preserve">، فتدبّر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فرق بین ما إذا تیسّر الرجل الکافر وما إذا تیسّر القواعد المقرّبة للیقین بالجهة والظنّ بالیقین </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ظاهر الآیة الشریفة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دلالة فیها ، بل الشارح یمنع کون الکعبة قبلة من جهة دلالة الآیة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 عن عبد الله بن سنان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الروایة موثّقة بالطاطری ، وهو ممّن ادعی الشیخ الإجماع علی العمل بروایته </w:t>
      </w:r>
      <w:r>
        <w:rPr>
          <w:rStyle w:val="FootnoteAnchor"/>
          <w:rtl w:val="true"/>
        </w:rPr>
        <w:footnoteReference w:id="956"/>
      </w:r>
      <w:r>
        <w:rPr>
          <w:rFonts w:ascii="IRNazanin" w:hAnsi="IRNazanin" w:eastAsia="IRNazanin"/>
          <w:color w:val="111111"/>
          <w:sz w:val="28"/>
          <w:sz w:val="28"/>
          <w:szCs w:val="28"/>
          <w:rtl w:val="true"/>
          <w:lang w:bidi="fa-IR"/>
        </w:rPr>
        <w:t>، وروایة أبی إسماعیل صحیحة إلی ابن مسکان ، وهو ممّن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4" w:name="__RefHeading___Toc2088035_388300464"/>
      <w:bookmarkStart w:id="835" w:name="_Toc323"/>
      <w:bookmarkEnd w:id="834"/>
      <w:r>
        <w:rPr>
          <w:rtl w:val="true"/>
        </w:rPr>
        <w:t>إشارة إلی أنّ روایة الطاطری ، موثقة ، وأنّ ابن مسکان من أصحاب الإجماع</w:t>
      </w:r>
      <w:bookmarkStart w:id="836" w:name="pg14966_204281"/>
      <w:bookmarkEnd w:id="835"/>
    </w:p>
    <w:p>
      <w:pPr>
        <w:pStyle w:val="BookText"/>
        <w:rPr/>
      </w:pPr>
      <w:bookmarkEnd w:id="836"/>
      <w:r>
        <w:rPr>
          <w:rFonts w:ascii="IRNazanin" w:hAnsi="IRNazanin" w:eastAsia="IRNazanin"/>
          <w:color w:val="111111"/>
          <w:sz w:val="28"/>
          <w:sz w:val="28"/>
          <w:szCs w:val="28"/>
          <w:rtl w:val="true"/>
          <w:lang w:bidi="fa-IR"/>
        </w:rPr>
        <w:t>أجمعت العصابة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تسلیم کون القبلة هی الجملة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من الجملة القطر والقدر الذی یحاذی المصلّی من قطر الکعبة ومجموعها ، والمصلّی داخلها لا یحصل له هذا ، والقدر الثابت من الأدلة کون الجملة قبلة ، وأمّا کون أیّ بعض منها قبلة فلم یثبت لو لم نقل بثبوت العدم ، بل الظاهر العدم ، لصحة ما دل علی المنع وتعدّده ، وظاهر الأخبار الکثیرة ، لو لم نقل متواترة فی أنّ الکعبة قبلة ، فإنّ المتبادر منها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أیّ جزء من الکعبة قبلة لکان یلزم استدبار الکعبة وعدم استقبالها أیضا فی حال استقبال أیّ جزء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کون القبلة هی الجملة ما سیجی‌ء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 کما لا یخفی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الظهور محلّ نظر ، نعم ربما لا یکون ظاهرا فی الحرمة ، وإن کان ذلک أیضا ربما لا یخلو عن مناقشة ، لأنّ الصلاح فی مقابل الفساد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النهی فی الروایة الأولی صریح فی الحرمة أو ظاهر فیها ، والموثّق لیس بحجّة عند الشارح ، مع أنّه فی مقام التعارض لا یقاوم الصحیح البتّة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والنهی حقیقة فی الکراهة </w:t>
      </w:r>
      <w:r>
        <w:rPr>
          <w:rStyle w:val="FootnoteAnchor"/>
          <w:rtl w:val="true"/>
        </w:rPr>
        <w:footnoteReference w:id="957"/>
      </w:r>
      <w:r>
        <w:rPr>
          <w:rFonts w:ascii="IRNazanin" w:hAnsi="IRNazanin" w:eastAsia="IRNazanin"/>
          <w:color w:val="111111"/>
          <w:sz w:val="28"/>
          <w:sz w:val="28"/>
          <w:szCs w:val="28"/>
          <w:rtl w:val="true"/>
          <w:lang w:bidi="fa-IR"/>
        </w:rPr>
        <w:t>، والأصل الحقیقة حتی یثبت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إلی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هو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روی فی الصحیح ، عن محمد بن مسلم ، عن أحدهما علیهماالسلام ، قال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7" w:name="__RefHeading___Toc2088037_388300464"/>
      <w:bookmarkStart w:id="838" w:name="_Toc324"/>
      <w:bookmarkEnd w:id="837"/>
      <w:r>
        <w:rPr>
          <w:rtl w:val="true"/>
        </w:rPr>
        <w:t>حکم المصلّی فی جوف الکعبة أو علی سطحها</w:t>
      </w:r>
      <w:bookmarkEnd w:id="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المکتوبة فی جوف الکعبة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 فظهر أنّ إحدی الروایتین نقل بالمعنی المراد من الأخری ، فلم یثبت ما یخالف صحیحة ابن عمّار ، لو لم نقل بظهور المؤکّد لها ، بل الظاهر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 لأنّه قابل لإرادة النهی منه علی أی تقدیر ، بخلاف النهی الخالی عن القرینة ، فإنّه غیر قابل للکراهة ، کما لا یخفی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کونهما روایتین عن ابن مسلم بعید ، بملاحظة سند الاستبصار والراوی والمرویّ عنه ، وأنّه کیف ما روی روایته الأخری للراوی ، واقتصر بإحداهما لإحداهما وبالأخری للأخری؟ اللهمّ إلاّ أن یکون فهم اتحاد المراد ، وهو المطلوب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آخر صحیحة معاویة بعد ما نقله الشارح رحمه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النبی صلی الله علیه و آله لم یدخل الکعبة فی حجّة ولا عمرة ، ولکن دخلها فی فتح مکّة ، وصلّی رکعتین بین العمودین ومعه أسامة بن زید </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 المتأمّل فیه أنّ الظاهر منه کون جواز الفریضة فیها من بدع العامّة ، وأنّهم یحتجّون فی ذلک بفعل النبی صلی الله علیه و آله ، وأنّ الصادق علیه السلام کذّبهم وخطأهم فی ذلک ، فربما یکون الموثّقة واردة علی التقیة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العبادات توقیفیة ، وشغل الذمّة الیقینی یستدعی البراءة الیقینیة أو العرفیة ، فعلی تقدیر الاشتباه أیضا یشکل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حملها علی حالة الاضطرار أیضا ، بناء علی وقوع الازدحام الشدید بعد ما دخل فیها ودخل الوقت ، فتأمّل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والاستقبال والرکوع والسجود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bookmarkStart w:id="839" w:name="pg14966_204283"/>
    </w:p>
    <w:p>
      <w:pPr>
        <w:pStyle w:val="BookText"/>
        <w:rPr/>
      </w:pPr>
      <w:bookmarkEnd w:id="839"/>
      <w:r>
        <w:rPr>
          <w:rFonts w:ascii="IRNazanin" w:hAnsi="IRNazanin" w:eastAsia="IRNazanin"/>
          <w:color w:val="111111"/>
          <w:sz w:val="28"/>
          <w:sz w:val="28"/>
          <w:szCs w:val="28"/>
          <w:rtl w:val="true"/>
          <w:lang w:bidi="fa-IR"/>
        </w:rPr>
        <w:t xml:space="preserve">إلاّ أنّ الأمر فی الاستقبال ربما کان مشکلا ، لما مرّ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أولی من استقبال البیت المعمور بالنظر إلی الأدلة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ضعیفتا السند جدّا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بیّنا فی تعلیقتنا علی رجال المیرزا رحمه الله حجّیة أمثال هذه الروایات </w:t>
      </w:r>
      <w:r>
        <w:rPr>
          <w:rStyle w:val="FootnoteAnchor"/>
          <w:rtl w:val="true"/>
        </w:rPr>
        <w:footnoteReference w:id="960"/>
      </w:r>
      <w:r>
        <w:rPr>
          <w:rFonts w:ascii="IRNazanin" w:hAnsi="IRNazanin" w:eastAsia="IRNazanin"/>
          <w:color w:val="111111"/>
          <w:sz w:val="28"/>
          <w:sz w:val="28"/>
          <w:szCs w:val="28"/>
          <w:rtl w:val="true"/>
          <w:lang w:bidi="fa-IR"/>
        </w:rPr>
        <w:t>، مع أنّ الضعف منجبر بعمل الأصحاب مع أنّ المقام مقام الاستحباب ، فلا یضرّ الضعف ، لما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بهما لا یؤمن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القبلة هی الجهة وفیها من السعة ما لا یخفی ، وإن قلنا بأنّ الحرم قبلة ،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أقوی الظنّین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والتقلید حینئذ نوع من الاجتهاد ، والمدار فی جمیع الأمارات الاجتهادیة علی ذلک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وأسنده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العلاّمة فی المنتهی </w:t>
      </w:r>
      <w:r>
        <w:rPr>
          <w:rStyle w:val="FootnoteAnchor"/>
          <w:rtl w:val="true"/>
        </w:rPr>
        <w:footnoteReference w:id="962"/>
      </w:r>
      <w:r>
        <w:rPr>
          <w:rFonts w:ascii="IRNazanin" w:hAnsi="IRNazanin" w:eastAsia="IRNazanin"/>
          <w:color w:val="111111"/>
          <w:sz w:val="28"/>
          <w:sz w:val="28"/>
          <w:szCs w:val="28"/>
          <w:rtl w:val="true"/>
          <w:lang w:bidi="fa-IR"/>
        </w:rPr>
        <w:t xml:space="preserve">، ونسبه المحقّق الثانی أیضا فی شرح القواعد إلی ظاهر الأصحاب </w:t>
      </w:r>
      <w:r>
        <w:rPr>
          <w:rStyle w:val="FootnoteAnchor"/>
          <w:rtl w:val="true"/>
        </w:rPr>
        <w:footnoteReference w:id="963"/>
      </w:r>
      <w:r>
        <w:rPr>
          <w:rFonts w:ascii="IRNazanin" w:hAnsi="IRNazanin" w:eastAsia="IRNazanin"/>
          <w:color w:val="111111"/>
          <w:sz w:val="28"/>
          <w:sz w:val="28"/>
          <w:szCs w:val="28"/>
          <w:rtl w:val="true"/>
          <w:lang w:bidi="fa-IR"/>
        </w:rPr>
        <w:t xml:space="preserve">، مؤذنا بدعوی الإجماع علیه أیضا ، وحکی التصریح به عن الغنیة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أصالة البراءة ممّا لم یقم دلیل علی وجوبه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 لا یعارض العمومات الدالة علی وجوب الاستقبال ، إلاّ أن</w:t>
      </w:r>
    </w:p>
    <w:p>
      <w:pPr>
        <w:pStyle w:val="Heading3"/>
        <w:numPr>
          <w:ilvl w:val="2"/>
          <w:numId w:val="1"/>
        </w:numPr>
        <w:rPr/>
      </w:pPr>
      <w:bookmarkStart w:id="840" w:name="__RefHeading___Toc2088039_388300464"/>
      <w:bookmarkStart w:id="841" w:name="_Toc325"/>
      <w:bookmarkEnd w:id="840"/>
      <w:r>
        <w:rPr>
          <w:rtl w:val="true"/>
        </w:rPr>
        <w:t>استحباب التیاسر لأهل العرق</w:t>
      </w:r>
      <w:bookmarkEnd w:id="84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2" w:name="__RefHeading___Toc2088041_388300464"/>
      <w:bookmarkStart w:id="843" w:name="_Toc326"/>
      <w:bookmarkEnd w:id="842"/>
      <w:r>
        <w:rPr>
          <w:rtl w:val="true"/>
        </w:rPr>
        <w:t>حکم فاقد الظن بالقبلة</w:t>
      </w:r>
      <w:bookmarkEnd w:id="843"/>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مخصّصة بما سیذکر من الأخبار ، فیبقی الأصل سالما ، لکن لا یلائم هذا جعل الأصل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والخصوصیات دلیلا </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هذه الآیة فی قبلة المتحیّر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أنّه من کلام الصدوق ، لعدم المناسبة بینه وبین الصدر بحیث یصیر تتمّة ، فلاحظ وتأمّل ، فإنّ الصدر یتضمّن أنّ قبلة من سأل عن حاله ما بین المشرق والمغرب ، لا أنّه لا قبلة له أصلا ، ولأنّ الشیخ روی هذه الصحیحة ولم یکن فیها ما ذکره </w:t>
      </w:r>
      <w:r>
        <w:rPr>
          <w:rStyle w:val="FootnoteAnchor"/>
          <w:rtl w:val="true"/>
        </w:rPr>
        <w:footnoteReference w:id="967"/>
      </w:r>
      <w:r>
        <w:rPr>
          <w:rFonts w:ascii="IRNazanin" w:hAnsi="IRNazanin" w:eastAsia="IRNazanin"/>
          <w:color w:val="111111"/>
          <w:sz w:val="28"/>
          <w:sz w:val="28"/>
          <w:szCs w:val="28"/>
          <w:rtl w:val="true"/>
          <w:lang w:bidi="fa-IR"/>
        </w:rPr>
        <w:t xml:space="preserve">، ولأنّ الوارد عن الأئمّة علیهم السلام أنّ الآیة المذکورة نزلت فی النافلة ، کما فی التبیان ، وتفسیر علی بن إبراهیم ، وتفسیر العیاشی </w:t>
      </w:r>
      <w:r>
        <w:rPr>
          <w:rStyle w:val="FootnoteAnchor"/>
          <w:rtl w:val="true"/>
        </w:rPr>
        <w:footnoteReference w:id="968"/>
      </w:r>
      <w:r>
        <w:rPr>
          <w:rFonts w:ascii="IRNazanin" w:hAnsi="IRNazanin" w:eastAsia="IRNazanin"/>
          <w:color w:val="111111"/>
          <w:sz w:val="28"/>
          <w:sz w:val="28"/>
          <w:szCs w:val="28"/>
          <w:rtl w:val="true"/>
          <w:lang w:bidi="fa-IR"/>
        </w:rPr>
        <w:t xml:space="preserve">، بل لم یعهد فی تفسیر ورود نص عن الأئمة ع أنها نزلت فی المتحیّر ، بل هذا شی‌ء ذکره بعض المفسرین </w:t>
      </w:r>
      <w:r>
        <w:rPr>
          <w:rStyle w:val="FootnoteAnchor"/>
          <w:rtl w:val="true"/>
        </w:rPr>
        <w:footnoteReference w:id="969"/>
      </w:r>
      <w:r>
        <w:rPr>
          <w:rFonts w:ascii="IRNazanin" w:hAnsi="IRNazanin" w:eastAsia="IRNazanin"/>
          <w:color w:val="111111"/>
          <w:sz w:val="28"/>
          <w:sz w:val="28"/>
          <w:szCs w:val="28"/>
          <w:rtl w:val="true"/>
          <w:lang w:bidi="fa-IR"/>
        </w:rPr>
        <w:t>، علی أنّ احتمال کونه من الصدوق ممّا لا تأمّل فیه أصلا ، فکیف یمکن الاستدلال به؟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تعویل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منجبر بعمل الأصحاب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وأنتم سواء فی الاجتهاد ، أی فی مسألة الاجتهاد وحکمه ، وهو أنّه إذا تأتّی الظنّ عمل به وإلاّ سقط اعتبار القبلة ، لأنّ أدنی ما یتحقّق به اعتبارها هو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الأخبار والآثار أنّ الاجتهاد کان اصطلاحا فی العمل بالرأی من دون استناد إلی النص بل بمجرّد الرأی والاستحسان ، ولذا صرّح بحرمته من صرّح من قدمائنا مثل السید المرتضی رحمه الله </w:t>
      </w:r>
      <w:r>
        <w:rPr>
          <w:rStyle w:val="FootnoteAnchor"/>
          <w:rtl w:val="true"/>
        </w:rPr>
        <w:footnoteReference w:id="971"/>
      </w:r>
      <w:r>
        <w:rPr>
          <w:rFonts w:ascii="IRNazanin" w:hAnsi="IRNazanin" w:eastAsia="IRNazanin"/>
          <w:color w:val="111111"/>
          <w:sz w:val="28"/>
          <w:sz w:val="28"/>
          <w:szCs w:val="28"/>
          <w:rtl w:val="true"/>
          <w:lang w:bidi="fa-IR"/>
        </w:rPr>
        <w:t>فلاحظ کلامهم حتی یظهر ما ذکرناه لک ، فحرمة ذلک کان من شعار الشیعة وضروریات مذهبهم ، کما یظهر من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اعتراضه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تحرّمون وتنکرون علینا ، وفی هذه الصورة توافقوننا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تحصیل العلم وعدم الاکتفاء بالاجتهاد ، وبالصلاة إلی أربع وجوه یحصل العلم ، إلاّ أن یرد نص من الشارع بعدم لزوم تحصیل العلم والاکتفاء بالتحرّی ، فإذا أطبقت السماء یجب الصلاة لأربع وجوه مطلقا إلاّ أن ینص الشارع بعدم الوجوب ، فإذا نص فلیس حینئذ باجتهاد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قاعدتنا الصلاة لأربع وجوه ولا تنخرم تلک القاعدة لو فرض صدور نص من الشارع بالتحرّی فی صورة خاصّة ، فتأمّل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الوارد فی الأخبار أنّ التحرّی یجزی ، لا أنه یجب بحیث إنّه لو صلّی لأربع وجوه وحصل العلم فعل حراما ، ففی الصورة الخاصّة أیضا مجرّد الإجزاء ، والاجتهاد عندهم حجّة مثل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بالإجزاء لمّا کان منهم فلعلّه علیه السلام ما رأی المناسب والمصلحة التصریح بهذا ، لأنّه فی صدد الجواب عن اعتراض العامّة ، فتأمّل جدّا ، فإنّ وجه عدم المصلحة أنّهم علیهم السلام ما کان یعجبهم الإظهار عند أمثال هؤلاء من العامّة أنّهم بأنفسهم شرع وأنّ </w:t>
      </w:r>
    </w:p>
    <w:p>
      <w:pPr>
        <w:pStyle w:val="BookText"/>
        <w:rPr/>
      </w:pPr>
      <w:r>
        <w:rPr>
          <w:rFonts w:ascii="IRNazanin" w:hAnsi="IRNazanin" w:eastAsia="IRNazanin"/>
          <w:color w:val="111111"/>
          <w:sz w:val="28"/>
          <w:sz w:val="28"/>
          <w:szCs w:val="28"/>
          <w:rtl w:val="true"/>
          <w:lang w:bidi="fa-IR"/>
        </w:rPr>
        <w:t>نصهم نص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علیه السلام لو کان یظهر لکانوا یعترضون بأنّ الاجتهاد لو کان قبیحا فلم جوّزتم؟ وإلاّ فلم شنعتم؟ والراوی ما کان یتحمّل جواب هذا الاعتراض ، لقصور الفهم وعدم القابلیّة ، أو لا ینفع المعترضین بل یصیر منشأ لتشنیعهم علی الشیعة وطول لسانهم ، إمّا لعدم قابلیتهم أو لعنادهم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حینئذ خرجت عن الحجّیة ، لأنّ المأمور به فیها لا قائل به ، ومحلّ النزاع لم یؤمر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إطباق السماء أعمّ من التمکّن من الاجتهاد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الاجتهاد ، یعنی لو تمکّنّا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الإطباق ، لا بشرط الاجتهاد ، إذ یصیر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حزازة ، لأنّ المعنی أنّه تجب الصلاة إلی جهة بشرط الظنّ بعدم کونها قبلة لو لم یظنّ بکونها قبلة ، أو بشرط التمکّن من الظنّ بعدم کونها قبلة ، وفیه ما فیه ، لأنّ مع الظنّ بالعدم لو کان واجبا فمع الاحتمال بطریق أولی ، فکیف وأن لا یکون مساویا؟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وجوب الاستقبال مع الجهل بالقبلة ، والسند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 العمومات تقتضی الوجوب ، والسند عند المحقق یعارضه السند المعمول 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الجمع بینهما بحمل الأوّل علی الإجزاء ، کما هو صریح لفظه ، والثانی علی الأفضلیة ، وأنّ غرض المعصوم علیه السلام منع ما ادعاه المعترض من التسویة فی الاجتهاد ، فإنّ الاجتهاد عندهم نازل منزلة الیقین ، کما أشرنا ، فإذا کان فی صورة حصول الاجتهاد ، الأفضل یکون کذا ففی </w:t>
      </w:r>
      <w:bookmarkStart w:id="844" w:name="pg14966_204287"/>
    </w:p>
    <w:p>
      <w:pPr>
        <w:pStyle w:val="BookText"/>
        <w:rPr/>
      </w:pPr>
      <w:bookmarkEnd w:id="844"/>
      <w:r>
        <w:rPr>
          <w:rFonts w:ascii="IRNazanin" w:hAnsi="IRNazanin" w:eastAsia="IRNazanin"/>
          <w:color w:val="111111"/>
          <w:sz w:val="28"/>
          <w:sz w:val="28"/>
          <w:szCs w:val="28"/>
          <w:rtl w:val="true"/>
          <w:lang w:bidi="fa-IR"/>
        </w:rPr>
        <w:t>غیره بطریق أولی ، مع أنّ جوابه علیه السلام عام ، کما أشرنا فی الحاشیة السابقة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أنّ مقتضی الأصل والقاعدة عندنا الصلاة لأربع وجوه ، إلاّ أن یرد رخصة من الشارع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الأوّل محمولا علی التقیّة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المصلحة فی الثانی الأمر بالصلاة لأربع وجوه ، لأنّه فی مقام ردّ شبهتهم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ما رواه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ما دل علی وجوب القیام ووجوب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وتجزیه فاتحة الکتاب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من هذه الصحیحة وجوب السورة علی غیر المعذور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توثیقه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أنّه لم یستثن من رجال نوادر الحکمة ، مع أنّه یروی عنه ، وفیه شهادة علی وثاقته ، والعلاّمة صحّح روایاته فی المنتهی والمختلف </w:t>
      </w:r>
      <w:r>
        <w:rPr>
          <w:rStyle w:val="FootnoteAnchor"/>
          <w:rtl w:val="true"/>
        </w:rPr>
        <w:footnoteReference w:id="972"/>
      </w:r>
      <w:r>
        <w:rPr>
          <w:rFonts w:ascii="IRNazanin" w:hAnsi="IRNazanin" w:eastAsia="IRNazanin"/>
          <w:color w:val="111111"/>
          <w:sz w:val="28"/>
          <w:sz w:val="28"/>
          <w:szCs w:val="28"/>
          <w:rtl w:val="true"/>
          <w:lang w:bidi="fa-IR"/>
        </w:rPr>
        <w:t xml:space="preserve">ویظهر من ترجمة العمرکی أنّه من شیوخ أصحابنا </w:t>
      </w:r>
      <w:r>
        <w:rPr>
          <w:rStyle w:val="FootnoteAnchor"/>
          <w:rtl w:val="true"/>
        </w:rPr>
        <w:footnoteReference w:id="973"/>
      </w:r>
      <w:r>
        <w:rPr>
          <w:rFonts w:ascii="IRNazanin" w:hAnsi="IRNazanin" w:eastAsia="IRNazanin"/>
          <w:color w:val="111111"/>
          <w:sz w:val="28"/>
          <w:sz w:val="28"/>
          <w:szCs w:val="28"/>
          <w:rtl w:val="true"/>
          <w:lang w:bidi="fa-IR"/>
        </w:rPr>
        <w:t>، مع أنّه یروی عنه الأجلّة ، مع أنّ هذه الروایة مطابقة لمقتضی الأصل والقاعدة المقرّرة الثابتة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الروایة عدم وجوب الاستقبال إلاّ بتکبیرة الإحرام خاصّة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المستفاد منها عدم الوجوب علی خائف اللصوص ، مثل عدم وجوب</w:t>
      </w:r>
    </w:p>
    <w:p>
      <w:pPr>
        <w:pStyle w:val="Heading3"/>
        <w:numPr>
          <w:ilvl w:val="2"/>
          <w:numId w:val="1"/>
        </w:numPr>
        <w:rPr/>
      </w:pPr>
      <w:bookmarkStart w:id="845" w:name="__RefHeading___Toc2088043_388300464"/>
      <w:bookmarkStart w:id="846" w:name="_Toc327"/>
      <w:bookmarkEnd w:id="845"/>
      <w:r>
        <w:rPr>
          <w:rtl w:val="true"/>
        </w:rPr>
        <w:t>إشارة إلی أن محمّد بن أحمد العلوی من شیوخ أصحابنا</w:t>
      </w:r>
      <w:bookmarkEnd w:id="84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7" w:name="__RefHeading___Toc2088045_388300464"/>
      <w:bookmarkStart w:id="848" w:name="_Toc328"/>
      <w:bookmarkEnd w:id="847"/>
      <w:r>
        <w:rPr>
          <w:rtl w:val="true"/>
        </w:rPr>
        <w:t>عدم جواز الصلاة علی الراحلة إلاّ عند الضرورة</w:t>
      </w:r>
      <w:bookmarkStart w:id="849" w:name="pg14966_204288"/>
      <w:bookmarkEnd w:id="848"/>
    </w:p>
    <w:p>
      <w:pPr>
        <w:pStyle w:val="BookText"/>
        <w:rPr/>
      </w:pPr>
      <w:bookmarkEnd w:id="849"/>
      <w:r>
        <w:rPr>
          <w:rFonts w:ascii="IRNazanin" w:hAnsi="IRNazanin" w:eastAsia="IRNazanin"/>
          <w:color w:val="111111"/>
          <w:sz w:val="28"/>
          <w:sz w:val="28"/>
          <w:szCs w:val="28"/>
          <w:rtl w:val="true"/>
          <w:lang w:bidi="fa-IR"/>
        </w:rPr>
        <w:t>القیام والاستقرار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المصنّف اعتبر الضیق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کان مستنده عبارة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راکبا وحضرت الصلاة ، وتخاف أن تنزل من سبع أو لصّ أو غیر ذلک ، فلیکن صلاتک علی ظهر دابّتک ، وتستقبل القبلة وتومئ إیماء إن أمکنک الوقوف ، وإلاّ استقبلت القبلة بالافتتاح ، ثم امض فی طریقک التی ترید ، حیث توجّهت به راحلتک مشرقا ومغربا ، وتنحنی للرکوع والسجود ، ویکون السجود أخفض من الرکوع ، ولیس لک أن تفعل ذلک إلاّ فی آخر الوقت </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علیه أن لا یخرج</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علیه فی الصورة المسؤول عنها ،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عن مثل هذه المسألة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وجه للاستدلال بهذه الروایة لمختاره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واستدلاله بصحیحة معاویة وحسنة حماد أشکل ، إذ لیس فیهما سوی بیان کیفیة الصلاة فی السفینة ، أمّا أنّها فی أیّ حالة تفعل فلم یتعرّض فیهما البتّة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الروایتین أنّ الحکم بالخروج من حیث لا یکون المصلّی متمکّنا من القیام ، بأن یکون فی معرض عدم التمکّن ، ولذا 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جالسا إن لم یمکنه القیام ، ولا شکّ فی أنّ القیام من الواجبات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0" w:name="__RefHeading___Toc2088047_388300464"/>
      <w:bookmarkStart w:id="851" w:name="_Toc329"/>
      <w:bookmarkEnd w:id="850"/>
      <w:r>
        <w:rPr>
          <w:rtl w:val="true"/>
        </w:rPr>
        <w:t>حکم الصلاة فی السفینة</w:t>
      </w:r>
      <w:bookmarkStart w:id="852" w:name="pg14966_204289"/>
      <w:bookmarkEnd w:id="851"/>
    </w:p>
    <w:p>
      <w:pPr>
        <w:pStyle w:val="BookText"/>
        <w:rPr/>
      </w:pPr>
      <w:bookmarkEnd w:id="852"/>
      <w:r>
        <w:rPr>
          <w:rFonts w:ascii="IRNazanin" w:hAnsi="IRNazanin" w:eastAsia="IRNazanin"/>
          <w:color w:val="111111"/>
          <w:sz w:val="28"/>
          <w:sz w:val="28"/>
          <w:szCs w:val="28"/>
          <w:rtl w:val="true"/>
          <w:lang w:bidi="fa-IR"/>
        </w:rPr>
        <w:t>الیقینیة للصلاة ، بل هو رکن جزما ، فکیف یمکن رفع الید عن الأمر الیقینی بإطلاق خبر الواحد؟</w:t>
      </w:r>
    </w:p>
    <w:p>
      <w:pPr>
        <w:pStyle w:val="BookText"/>
        <w:rPr/>
      </w:pPr>
      <w:r>
        <w:rPr>
          <w:rFonts w:ascii="IRNazanin" w:hAnsi="IRNazanin" w:eastAsia="IRNazanin"/>
          <w:color w:val="111111"/>
          <w:sz w:val="28"/>
          <w:sz w:val="28"/>
          <w:szCs w:val="28"/>
          <w:rtl w:val="true"/>
          <w:lang w:bidi="fa-IR"/>
        </w:rPr>
        <w:t>بل ربما کان الظاهر منه أنّ السؤال والجواب فیه إنّما وقعا بالنسبة إلی کون الصلاة فی السفینة من حیث کونها فی السفینة لا فی الأرض ، لا من حیث عدم التمکّن من القیام وغیره من الواجبات ، کما هو الحال فی بعض أحوال أهل السفینة ، فلو جعل هذا الإطلاق عموما لزم رفع الید عن کثیر من الواجبات الیقینیة مع التمکّن من فعلها وعدم داع إلی ترکها ، بل بمجرّد اختیار إیقاع الصلاة فی السفینة ، ولعل هذا مما لم یقل به أحد منهم ، ألا تری أنّ المانعین استدلوا للمنع بأنّ القرار رکن ، وأنّ الصلاة فیها مستلزم لحرکات خارجة؟ فلو کان مرادهم الشمول للقیام وغیره من الواجبات لکان الاستدلال بوجوب القیام وغیره من الواجبات مثل القبلة والرکوع والسجود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فعلها کذلک تشریعا محرّما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ذکره إنّما یتوجّه إذا قلنا بأنّ الصلاة اسم للأرکان </w:t>
      </w:r>
      <w:r>
        <w:rPr>
          <w:rStyle w:val="FootnoteAnchor"/>
          <w:rtl w:val="true"/>
        </w:rPr>
        <w:footnoteReference w:id="976"/>
      </w:r>
      <w:r>
        <w:rPr>
          <w:rFonts w:ascii="IRNazanin" w:hAnsi="IRNazanin" w:eastAsia="IRNazanin"/>
          <w:color w:val="111111"/>
          <w:sz w:val="28"/>
          <w:sz w:val="28"/>
          <w:szCs w:val="28"/>
          <w:rtl w:val="true"/>
          <w:lang w:bidi="fa-IR"/>
        </w:rPr>
        <w:t xml:space="preserve">المستجمعة لشرائط الصحة ، والشارح رحمه الله لا یقول به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لمجرّد الأرکان ، کما یظهر منه فی کثیر من المباحث ، منها ما سیجی‌ء فی وجوب صلاة الجمعة </w:t>
      </w:r>
      <w:r>
        <w:rPr>
          <w:rStyle w:val="FootnoteAnchor"/>
          <w:rtl w:val="true"/>
        </w:rPr>
        <w:footnoteReference w:id="977"/>
      </w:r>
      <w:r>
        <w:rPr>
          <w:rFonts w:ascii="IRNazanin" w:hAnsi="IRNazanin" w:eastAsia="IRNazanin"/>
          <w:color w:val="111111"/>
          <w:sz w:val="28"/>
          <w:sz w:val="28"/>
          <w:szCs w:val="28"/>
          <w:rtl w:val="true"/>
          <w:lang w:bidi="fa-IR"/>
        </w:rPr>
        <w:t>، وإن کان ربما یظهر من کلامه فی بعض المواضع أنّه اسم للصحیحة ، کما یظهر منه فی المقام ، ولو کان اسما للمجرّد فلا شکّ فی أن الإطلاقات الواردة فی الأخبار تکفی لثبوت مشروعیة المجرّد ، إلاّ أن یثبت اشتراطه بشی‌ء شرعا ، ولم یثبت فی المقام اشتراطه بالقبلة ، ولو ثبت لکان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3" w:name="__RefHeading___Toc2088049_388300464"/>
      <w:bookmarkStart w:id="854" w:name="_Toc330"/>
      <w:bookmarkEnd w:id="853"/>
      <w:r>
        <w:rPr>
          <w:rtl w:val="true"/>
        </w:rPr>
        <w:t>حکم الاستقبال فی النوافل</w:t>
      </w:r>
      <w:bookmarkEnd w:id="854"/>
    </w:p>
    <w:p>
      <w:pPr>
        <w:pStyle w:val="BookText"/>
        <w:rPr/>
      </w:pPr>
      <w:r>
        <w:rPr>
          <w:rFonts w:ascii="IRNazanin" w:hAnsi="IRNazanin" w:eastAsia="IRNazanin"/>
          <w:color w:val="111111"/>
          <w:sz w:val="28"/>
          <w:sz w:val="28"/>
          <w:szCs w:val="28"/>
          <w:rtl w:val="true"/>
          <w:lang w:bidi="fa-IR"/>
        </w:rPr>
        <w:t>الدلیل ذلک لا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لو کانت صحیحة بغیر القبلة اختیارا لصدر ذلک بمقتضی العادة عن إحدی الحجج علیهم السلام ونقل إلینا ، لکن هذا أیضا علی فرض تمامیته خلاف طریقة الشارح رحمه الله کما مرّ فی الوضوء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الاستدلال علی ذلک بما ورد فی صحیحة زرارة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إلی القبلة </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لکن ربما یظهر بملاحظة آخر الخبر کون المراد منها الفریضة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لغیر القبلة أو فی یوم غیم فی غیر الوقت؟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الصحیح عن زرارة ،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استقبلت القبلة بوجهک فلا تقلّب وجهک فتفسد صلاتک ، فإنّ الله تعالی قال لنبیّه صلی الله علیه و آله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وَجْهَکَ شَطْرَ الْمَسْجِدِ الْحَرامِ </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کان المتبادر من لفظ الصلاة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سیجی‌ء من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Style w:val="FootnoteAnchor"/>
          <w:rtl w:val="true"/>
        </w:rPr>
        <w:footnoteReference w:id="98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وحسنة عبد الرحمن بن الحجاج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أورد الشارح رحمه الله خبرا یدل علی جواز النافلة ماشیا فی الحضر ، ویمکن الاستدلال له بما رواه الشیخ فی الصحیح عن عبد الله بن المغیرة ، عن عیینة ، عن إبراهیم بن میمون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صلّیت وأنت تمشی کبّرت ثم مشیت ثم قرأت ، فإذا أردت أن ترکع أومأت </w:t>
      </w:r>
      <w:bookmarkStart w:id="855" w:name="pg14966_204291"/>
    </w:p>
    <w:p>
      <w:pPr>
        <w:pStyle w:val="BookText"/>
        <w:rPr/>
      </w:pPr>
      <w:bookmarkEnd w:id="855"/>
      <w:r>
        <w:rPr>
          <w:rFonts w:ascii="IRNazanin" w:hAnsi="IRNazanin" w:eastAsia="IRNazanin"/>
          <w:color w:val="111111"/>
          <w:sz w:val="28"/>
          <w:sz w:val="28"/>
          <w:szCs w:val="28"/>
          <w:rtl w:val="true"/>
          <w:lang w:bidi="fa-IR"/>
        </w:rPr>
        <w:t xml:space="preserve">بالرکوع ثم أومأت بالسجود ، ولیس فی السفر تطوّع </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وفی الصحیح عن حمّاد ، عن حریز ، عمّن ذکره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یکن یری بأسا أن یصلّی الماشی وهو یمشی ولکن لا یسوق الإبل </w:t>
      </w:r>
      <w:r>
        <w:rPr>
          <w:rStyle w:val="FootnoteAnchor"/>
          <w:rtl w:val="true"/>
        </w:rPr>
        <w:footnoteReference w:id="9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لدخوله فی الصلاة دخولا منهیا عنه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إنّما یتمّ إذا قلنا بأنّ الجاهل غیر معذور ، وهو خلاف ما اختاره الشارح رحمه الله وعلی القول بالمعذوریة لا یکون الإعادة علی کلّ حال ، بل إذا خالف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فیتوقّف علی الدلالة ولا دلالة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سیجی‌ء العمومات الدالة علی وجوب قضاء ما فات من الصلاة وتصریح الشارح رحمه الله بذلک واعترافه به ، ومعلوم أنّ الفوت أعمّ من أنّه لا یصلّی أصلا أو یصلّی صلاة فاسدة ، کما لا یخفی ، فالاعتبار إنّما هو بالأخبار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فرض مستأنف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أشرنا آنفا إلی الاعتراض علیه باعترافه بالعمومات الدالة علی وجوب قضاء ما فات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 قبلة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أنّ المراد بالیسیر کون الانحراف بحدّ لا یصل إلی حدّ المشرق والمغرب ، بل یکون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أنّه ینحرف ولا إعادة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6" w:name="__RefHeading___Toc2088051_388300464"/>
      <w:bookmarkStart w:id="857" w:name="_Toc331"/>
      <w:bookmarkEnd w:id="856"/>
      <w:r>
        <w:rPr>
          <w:rtl w:val="true"/>
        </w:rPr>
        <w:t>الأعمی یرجع إلی غیره فی معرفة القبلة</w:t>
      </w:r>
      <w:bookmarkStart w:id="858" w:name="pg14966_204292"/>
      <w:bookmarkEnd w:id="857"/>
    </w:p>
    <w:p>
      <w:pPr>
        <w:pStyle w:val="BookText"/>
        <w:rPr/>
      </w:pPr>
      <w:bookmarkEnd w:id="858"/>
      <w:r>
        <w:rPr>
          <w:rFonts w:ascii="IRNazanin" w:hAnsi="IRNazanin" w:eastAsia="IRNazanin"/>
          <w:color w:val="111111"/>
          <w:sz w:val="28"/>
          <w:sz w:val="28"/>
          <w:szCs w:val="28"/>
          <w:rtl w:val="true"/>
          <w:lang w:bidi="fa-IR"/>
        </w:rPr>
        <w:t>لا یخفی أنّ مراعاة الوقت مقدّم علی مراعاة القبلة ، ولذا یجب علی الجاهل بالقبلة وغیر المتمکّن من الاستقبال أن یصلّی بغیر القبلة ، بل ومراعاتها مقدّم علی جلّ واجبات الصلاة من الأجزاء والشرائط ، وقد مرّ الکلام فی ذلک فی کتاب الطهارة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والامتثال 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والامتثال إنّما هو إذا لم یظهر المخالفة ، إذ الامتثال هو الإتیان بما هو مطلوب الله تعالی ، ومطلوبه تعالی هو الصلاة إلی القبلة لا إلی دبر القبلة ، ولو کان الامتثال متحقّقا علی تقدیر ظهور المخالفة للزم عدم وجوب الإعادة فی الوقت أیضا إذا ظهر الإخلال بالشرط فیه ، وهو رحمه الله صرّح مرارا بوجوب الإعادة فیه بسبب الإخلال بشرط الواجب ، فإذا أخلّ به یکون فاسدا ، وإن لم یکن فاسدا لم یکن إخلال بشرط ، والفریضة لم تکن إلاّ واحدة ، ولذا تکون الثانیة إعادة وعوضا عمّا فات شرطه ووقع الإخلال فیه ، ومقتضی ذلک وجوب القضاء أیضا ، لما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روایتی عبد الرحمن وسلیمان أنّه بعد الفراغ عن الصلاة فی الوقت واستبانة الخطأ خارج الوقت لا تجب إعادة تلک الصلاة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بین الجلد والدم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الفارق منحصرا فی ما ذکره بل عرفت غیرها ، وأنّ الأدلّة دالة علی نجاسة المیتة وعدم جواز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والمیتة اسم لما زهق روحه بغیر تذکیة فی الواقع من غیر مدخلیة العلم والجهل والمعروفیة وعدم المعروفیة فی المعنی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الدم وإن ورد بعض الأخبار أنّه نجس لکن ورد أنّ دم ما لا نفس له طاهر ، وکذا الدم المتخلّف ، فإذا وقع الاشتباه یکون الأصل الطهارة ،</w:t>
      </w:r>
    </w:p>
    <w:p>
      <w:pPr>
        <w:pStyle w:val="Heading2"/>
        <w:numPr>
          <w:ilvl w:val="1"/>
          <w:numId w:val="1"/>
        </w:numPr>
        <w:rPr/>
      </w:pPr>
      <w:bookmarkStart w:id="859" w:name="__RefHeading___Toc2088053_388300464"/>
      <w:bookmarkStart w:id="860" w:name="_Toc332"/>
      <w:bookmarkEnd w:id="859"/>
      <w:r>
        <w:rPr>
          <w:rtl w:val="true"/>
        </w:rPr>
        <w:t>لباس المصلّی</w:t>
      </w:r>
      <w:bookmarkEnd w:id="8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1" w:name="__RefHeading___Toc2088055_388300464"/>
      <w:bookmarkStart w:id="862" w:name="_Toc333"/>
      <w:bookmarkEnd w:id="861"/>
      <w:r>
        <w:rPr>
          <w:rtl w:val="true"/>
        </w:rPr>
        <w:t>حکم الصلاة فی جلد المیتة</w:t>
      </w:r>
      <w:bookmarkEnd w:id="862"/>
    </w:p>
    <w:p>
      <w:pPr>
        <w:pStyle w:val="BookText"/>
        <w:rPr/>
      </w:pPr>
      <w:r>
        <w:rPr>
          <w:rFonts w:ascii="IRNazanin" w:hAnsi="IRNazanin" w:eastAsia="IRNazanin"/>
          <w:color w:val="111111"/>
          <w:sz w:val="28"/>
          <w:sz w:val="28"/>
          <w:szCs w:val="28"/>
          <w:rtl w:val="true"/>
          <w:lang w:bidi="fa-IR"/>
        </w:rPr>
        <w:t>لعدم العلم بالتکلیف ، ولیس شی‌ء یعارض هذا ، بخلاف الجلد فإنّه یعارض فیه ما ستعرف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انتفاء حجیّته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بیّنا فی کتاب الطهارة حجّیة الاستصحاب </w:t>
      </w:r>
      <w:r>
        <w:rPr>
          <w:rStyle w:val="FootnoteAnchor"/>
          <w:rtl w:val="true"/>
        </w:rPr>
        <w:footnoteReference w:id="984"/>
      </w:r>
      <w:r>
        <w:rPr>
          <w:rFonts w:ascii="IRNazanin" w:hAnsi="IRNazanin" w:eastAsia="IRNazanin"/>
          <w:color w:val="111111"/>
          <w:sz w:val="28"/>
          <w:sz w:val="28"/>
          <w:szCs w:val="28"/>
          <w:rtl w:val="true"/>
          <w:lang w:bidi="fa-IR"/>
        </w:rPr>
        <w:t xml:space="preserve">، مع أنّ تتبّع الأخبار الواردة فی کتاب الصید وکتاب الذباحة وکتاب الأطعمة وغیر ذلک یکشف عمّا ذکره الفقهاء من أصالة عدم التذکیة حتی تثبت </w:t>
      </w:r>
      <w:r>
        <w:rPr>
          <w:rStyle w:val="FootnoteAnchor"/>
          <w:rtl w:val="true"/>
        </w:rPr>
        <w:footnoteReference w:id="985"/>
      </w:r>
      <w:r>
        <w:rPr>
          <w:rFonts w:ascii="IRNazanin" w:hAnsi="IRNazanin" w:eastAsia="IRNazanin"/>
          <w:color w:val="111111"/>
          <w:sz w:val="28"/>
          <w:sz w:val="28"/>
          <w:szCs w:val="28"/>
          <w:rtl w:val="true"/>
          <w:lang w:bidi="fa-IR"/>
        </w:rPr>
        <w:t xml:space="preserve">، وما لم تثبت لا یکون طاهرا ولا حلالا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ثبوت التذکیة شرط للحکم بالطهارة ، والحلّیة ، وجواز الأکل ، والاستعمال باللبس فی الصلاة ، وأمثال ذلک </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فتتبّع تجد الأخبار متواترة 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استدل به علی المنع من الصلاة فی جلد المیتة مقتضاه عدم جواز الصلاة فی ما هو فی الواقع میتة ، کما ذکرنا ، لأنّ المیتة اسم لما هو فی الواقع میتة کالماء والخبز ، وغیر ذلک ، وقد جعلوا الفسق </w:t>
      </w:r>
      <w:r>
        <w:rPr>
          <w:rStyle w:val="FootnoteAnchor"/>
          <w:rtl w:val="true"/>
        </w:rPr>
        <w:footnoteReference w:id="987"/>
      </w:r>
      <w:r>
        <w:rPr>
          <w:rFonts w:ascii="IRNazanin" w:hAnsi="IRNazanin" w:eastAsia="IRNazanin"/>
          <w:color w:val="111111"/>
          <w:sz w:val="28"/>
          <w:sz w:val="28"/>
          <w:szCs w:val="28"/>
          <w:rtl w:val="true"/>
          <w:lang w:bidi="fa-IR"/>
        </w:rPr>
        <w:t>اسما لما هو فی الواقع خروج عن الطاعة ، ولذلک أثبتوا اشتراط العدالة فی الراوی ، فمقتضی ما ذکر اشتراط ثبوت التذکیة للحکم بإباحة الصلاة وتحقّق الإطاعة والامتثال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فی موثقة ابن بکیر الآتیة عند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یحلّ أکله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اشتراط العلم بالتذکیة ، حیث قال علیه السلام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ممّا یؤکل لحمه فالصلاة فی وبره وشعره وبوله وروثه </w:t>
      </w:r>
    </w:p>
    <w:p>
      <w:pPr>
        <w:pStyle w:val="BookText"/>
        <w:rPr/>
      </w:pPr>
      <w:r>
        <w:rPr>
          <w:rFonts w:ascii="IRNazanin" w:hAnsi="IRNazanin" w:eastAsia="IRNazanin"/>
          <w:color w:val="111111"/>
          <w:sz w:val="28"/>
          <w:sz w:val="28"/>
          <w:szCs w:val="28"/>
          <w:rtl w:val="true"/>
          <w:lang w:bidi="fa-IR"/>
        </w:rPr>
        <w:t xml:space="preserve">وکلّ شی‌ء منه جائزة إذا علمت أنّه ذکی قد ذکّاه بالذبح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روی فی الکافی بسنده إلی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وأبا الحسن علیه السلام عن لباس الفراء والصلاة فیها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فیها إلاّ ما کان منه ذکیّا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سیجی‌ء الأخبار الدالة علی أنّ ما یؤخذ من غیر سوق المسلمین یجب السؤال عن تذکیته ، وکذا ما یؤخذ من ید المشرک ، وأنّ ما یؤخذ من ید من یستحلّ المیتة لا یجوز أن یباع علی أنّه ذکیّ وإن أخبر ذو الید أنّه ذکی ، وغیر ذلک </w:t>
      </w:r>
      <w:r>
        <w:rPr>
          <w:rStyle w:val="FootnoteAnchor"/>
          <w:rtl w:val="true"/>
        </w:rPr>
        <w:footnoteReference w:id="990"/>
      </w:r>
      <w:r>
        <w:rPr>
          <w:rFonts w:ascii="IRNazanin" w:hAnsi="IRNazanin" w:eastAsia="IRNazanin"/>
          <w:color w:val="111111"/>
          <w:sz w:val="28"/>
          <w:sz w:val="28"/>
          <w:szCs w:val="28"/>
          <w:rtl w:val="true"/>
          <w:lang w:bidi="fa-IR"/>
        </w:rPr>
        <w:t xml:space="preserve">، والأخذ من المسلم أو من سوق المسلمین موجب للحکم بالتذکیة ، لحمل أفعال المسلم علی الصحة ، ولما استدل به الشارح فی ما سیأتی من صحیحة الحلبی وصحیحة ابن أبی نصر وصحیحة الجعفری وغیرها من الأخبار الدالة علی أنّ ما یؤخذ من السوق یجوز الصلاة فیه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المتبادر والظاهر هو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سلّمنا عدم الظهور لا نسلّم العموم ، والمناط الظهور ، مع أنّه لیس ها هنا ما یدل علی العموم لغة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عدّة 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أراد من الأخبار ما استدل بها فالظاهر منها الأخذ من المسلم أو سوق المسلم ، ولا تأمّل فی ثبوت التذکیة به ،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غیر ذلک فلا بدّ من ذکره حتی یعرف 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الصحیح عن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أجمعت 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 عن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 الفراء الیمانی وفی ما صنع فی أرض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فیها غیر أهل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الغالب علیها المسلمون فلا بأس </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 بسنده عن أبی الحسن علیه السلام أنّه سئل عن جلود الفراء یشتریها الرجل فی سوق من أسواق الجبل ، یسأل عن ذکاته إذا کان البائع مسلما غیر عارف؟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أن تسألوا إذا رأیتم المشرکین یبیعون ذلک ، وإذا رأیتم یصلّون فیه فلا تسألوا عنه </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کالصحیح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تکره الصلاة فی الفراء إلاّ ما صنع فی أرض الحجاز ، أو ما علمت منه ذکاة </w:t>
      </w:r>
      <w:r>
        <w:rPr>
          <w:rFonts w:eastAsia="IRNazanin" w:cs="IRNazanin"/>
          <w:color w:val="111111"/>
          <w:sz w:val="28"/>
          <w:szCs w:val="28"/>
          <w:rtl w:val="true"/>
          <w:lang w:bidi="fa-IR"/>
        </w:rPr>
        <w:t xml:space="preserve">» </w:t>
      </w:r>
      <w:r>
        <w:rPr>
          <w:rStyle w:val="FootnoteAnchor"/>
          <w:rtl w:val="true"/>
        </w:rPr>
        <w:footnoteReference w:id="99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کالصحیح عن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الصادق علیه السلام عن لباس الجلود ، والخفاف ، والنعال ، والصلاة فیها ، إذا لم تکن من أرض المسلمین </w:t>
      </w:r>
      <w:r>
        <w:rPr>
          <w:rStyle w:val="FootnoteAnchor"/>
          <w:rtl w:val="true"/>
        </w:rPr>
        <w:footnoteReference w:id="99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النعال والخفاف فلا بأس بها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وظاهرها أنّ لباس الجلود لا یجوز ، وأنّ عدم المنع من النعال والخفاف من جهة کونهما ممّا لا تتمّ الصلاة فیه ، ولا مانع إذا کان نجسا بالإجماع والأخبار ، فتأمّل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سوق المسلمین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ید من لا یظهر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الفرو والخف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المطلق منصرف إلی الأفراد الشائعة ، وهی ما یؤخذ من سوق المسلمین أو من 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الرحمن بن الحجاج</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الخبر ظاهر فی کون أفعال المسلم محمولا علی الصحة إذا کان موافقا لرأیه واعتقاده ، لأنّ الراوی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أفسد ذلک؟</w:t>
      </w:r>
    </w:p>
    <w:p>
      <w:pPr>
        <w:pStyle w:val="BookText"/>
        <w:rPr/>
      </w:pPr>
      <w:r>
        <w:rPr>
          <w:rFonts w:ascii="IRNazanin" w:hAnsi="IRNazanin" w:eastAsia="IRNazanin"/>
          <w:color w:val="111111"/>
          <w:sz w:val="28"/>
          <w:sz w:val="28"/>
          <w:szCs w:val="28"/>
          <w:rtl w:val="true"/>
          <w:lang w:bidi="fa-IR"/>
        </w:rPr>
        <w:t>مع أنّ الکلام هو الذی قال المعصوم علیه السلام فی الجواب ، وأمّا مجرّد قول المسلم بأنّه کذا ، لا یقتضی أن یکون فی الواقع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الواقع هو قال کذا ، ومع ذلک استبعد الراوی عدم الحکم بکونه فی الواقع کذا بمجرّد قول المسلم ، فسأل عن السبب ، والمعصوم علیه السلام أقرّه علی معتقده وأجاب بأنّ العلة أمر آخر وهو استحلالهم بحسب معتقدهم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ما یدل علی عموم المنع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 فی مثل القمل والبرغوث والبقّ والذباب والنمل ونظائرها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عن علیّ بن مهزیار ، وفی الفقیه عن إبراهیم بن مهزیار ، عن أبی محمد علیه السلام أنّ الصلاة یجوز فی القرمز </w:t>
      </w:r>
      <w:r>
        <w:rPr>
          <w:rStyle w:val="FootnoteAnchor"/>
          <w:rtl w:val="true"/>
        </w:rPr>
        <w:footnoteReference w:id="998"/>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هو من قبیل السمک فربما یظهر من بعض الروایات المنع عنه مثل روایة محمد بن سلیمان الدیلمی التی وردت فی تحقیق الخزّ </w:t>
      </w:r>
      <w:r>
        <w:rPr>
          <w:rStyle w:val="FootnoteAnchor"/>
          <w:rtl w:val="true"/>
        </w:rPr>
        <w:footnoteReference w:id="99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فلیلاحظ ولیتأمّل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تحریم استصحاب غیر الملبوس أیضا لقوله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رواه فی التهذیب عن ابن محبوب ، عن عبد الله بن جعفر أنّه کتب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للرجل أن یصلّی ومعه فارة المسک؟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ذکیّا </w:t>
      </w:r>
      <w:r>
        <w:rPr>
          <w:rFonts w:eastAsia="IRNazanin" w:cs="IRNazanin"/>
          <w:color w:val="111111"/>
          <w:sz w:val="28"/>
          <w:szCs w:val="28"/>
          <w:rtl w:val="true"/>
          <w:lang w:bidi="fa-IR"/>
        </w:rPr>
        <w:t xml:space="preserve">»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فی الذکری بالطاهر </w:t>
      </w:r>
      <w:r>
        <w:rPr>
          <w:rStyle w:val="FootnoteAnchor"/>
          <w:rtl w:val="true"/>
        </w:rPr>
        <w:footnoteReference w:id="1001"/>
      </w:r>
      <w:r>
        <w:rPr>
          <w:rFonts w:ascii="IRNazanin" w:hAnsi="IRNazanin" w:eastAsia="IRNazanin"/>
          <w:color w:val="111111"/>
          <w:sz w:val="28"/>
          <w:sz w:val="28"/>
          <w:szCs w:val="28"/>
          <w:rtl w:val="true"/>
          <w:lang w:bidi="fa-IR"/>
        </w:rPr>
        <w:t>،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الصدوق رحمه الله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بتقلید السیف فی الصلاة فیه الفراء والکیمخت ما لم یعلم أنّه میتة </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وکذا روایة علی بن أبی حمزة الواردة بهذا المضمون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مرّ الروایة الدالة علی عدم البأس فی الصلاة فی الخفاف والنعال المأخوذة من أرض غیر المسلمین ، والمنع من الصلاة فی الجلود المأخوذة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إجماعی أیضا علی ما نقله 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والإجماع المنقول بخبر الواحد حجة ، کما حقّق فی محلّه ، بل ربما کان المنع من شعار الشیعة یعرفون بذلک ویتقون به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جلود السباع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علل الشرائع بسنده المرفوع إلی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 شعر ووبر ما لا یؤکل لحمه لأنّ أکثرها مسوخ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863" w:name="pg14966_204298"/>
    </w:p>
    <w:p>
      <w:pPr>
        <w:pStyle w:val="BookText"/>
        <w:rPr/>
      </w:pPr>
      <w:bookmarkEnd w:id="863"/>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 سنجاب ، وسمّور ، وفنک ، وإیّاک أن تصلّی فی الثعالب ، وفی ثوب تحته جلد الثعالب </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 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یخرج من منخر الدابّة إذا أنخرت فأصاب ثوب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لیس علیک أن تغسله </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بکیر وإن کان ضعیفا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تضعیف ابن بکیر ضعیف ، للتوثیق الصریح مع إجماع العصابة علی تصحیح ما یصح عنه ، وکونه من فقهاء أصحابنا ، ولقول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کثیر الرواة </w:t>
      </w:r>
      <w:r>
        <w:rPr>
          <w:rStyle w:val="FootnoteAnchor"/>
          <w:rtl w:val="true"/>
        </w:rPr>
        <w:footnoteReference w:id="1007"/>
      </w:r>
      <w:r>
        <w:rPr>
          <w:rFonts w:ascii="IRNazanin" w:hAnsi="IRNazanin" w:eastAsia="IRNazanin"/>
          <w:color w:val="111111"/>
          <w:sz w:val="28"/>
          <w:sz w:val="28"/>
          <w:szCs w:val="28"/>
          <w:rtl w:val="true"/>
          <w:lang w:bidi="fa-IR"/>
        </w:rPr>
        <w:t xml:space="preserve">، الدال علی الوثوق والاعتبار ، کما حقّقناه فی الرجال ، ولقول الشیخ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الطائفة أجمعت علی العمل بروایته </w:t>
      </w:r>
      <w:r>
        <w:rPr>
          <w:rStyle w:val="FootnoteAnchor"/>
          <w:rtl w:val="true"/>
        </w:rPr>
        <w:footnoteReference w:id="1008"/>
      </w:r>
      <w:r>
        <w:rPr>
          <w:rFonts w:ascii="IRNazanin" w:hAnsi="IRNazanin" w:eastAsia="IRNazanin"/>
          <w:color w:val="111111"/>
          <w:sz w:val="28"/>
          <w:sz w:val="28"/>
          <w:szCs w:val="28"/>
          <w:rtl w:val="true"/>
          <w:lang w:bidi="fa-IR"/>
        </w:rPr>
        <w:t xml:space="preserve">، وقول المفید رحمه الله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فقهاء الأصحاب والرؤساء الأعلام المأخوذ عنهم الحلال والحرام والفتیا والأحکام ، وهم أصحاب الأصول المدوّنة والمصنّفات المشهورة </w:t>
      </w:r>
      <w:r>
        <w:rPr>
          <w:rStyle w:val="FootnoteAnchor"/>
          <w:rtl w:val="true"/>
        </w:rPr>
        <w:footnoteReference w:id="1009"/>
      </w:r>
      <w:r>
        <w:rPr>
          <w:rFonts w:ascii="IRNazanin" w:hAnsi="IRNazanin" w:eastAsia="IRNazanin"/>
          <w:color w:val="111111"/>
          <w:sz w:val="28"/>
          <w:sz w:val="28"/>
          <w:szCs w:val="28"/>
          <w:rtl w:val="true"/>
          <w:lang w:bidi="fa-IR"/>
        </w:rPr>
        <w:t>، إلی غیر ذلک مثل کونه کثیر الروایة ، ومقبول الروایة ، وسدید الروایة ، وأنّه یروی عنه الثقات الأجلّة ، وغیر ذلک ممّا ذکرناه فی موضعه وحقّقنا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الفطحیة فالنجاشی لم یتعرّض ، وفی ترجمة هشام ابن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الفطحیة رجعوا عن رأیهم إلاّ طائفة عمار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4" w:name="__RefHeading___Toc2088057_388300464"/>
      <w:bookmarkStart w:id="865" w:name="_Toc334"/>
      <w:bookmarkEnd w:id="864"/>
      <w:r>
        <w:rPr>
          <w:rtl w:val="true"/>
        </w:rPr>
        <w:t>عبد الله بن بکیر ثقة من فقهاء أصحابنا</w:t>
      </w:r>
      <w:bookmarkEnd w:id="865"/>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یکون موثّقا کالصحیح ، بل روایته أقوی من کثیر من الصحاح ، ومع ذلک منجبر سندها بالشهرة العظیمة بل الإجماع ، وکذا منجبر بالأخبار الصحیحة </w:t>
      </w:r>
      <w:r>
        <w:rPr>
          <w:rStyle w:val="FootnoteAnchor"/>
          <w:rtl w:val="true"/>
        </w:rPr>
        <w:footnoteReference w:id="1011"/>
      </w:r>
      <w:r>
        <w:rPr>
          <w:rFonts w:ascii="IRNazanin" w:hAnsi="IRNazanin" w:eastAsia="IRNazanin"/>
          <w:color w:val="111111"/>
          <w:sz w:val="28"/>
          <w:sz w:val="28"/>
          <w:szCs w:val="28"/>
          <w:rtl w:val="true"/>
          <w:lang w:bidi="fa-IR"/>
        </w:rPr>
        <w:t>الدالة علی المنع فی جلود السباع والثعالب والأرانب وغیر ذلک ممّا ستعرف ، ولا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الراوی عنه فی هذه الروایة ابن أبی عمیر ، وهو أیضا ممّن أجمعت العصابة ، وممّن لا یروی إلاّ عن ثقة ، کما صرّح به فی العدّة </w:t>
      </w:r>
      <w:r>
        <w:rPr>
          <w:rStyle w:val="FootnoteAnchor"/>
          <w:rtl w:val="true"/>
        </w:rPr>
        <w:footnoteReference w:id="1012"/>
      </w:r>
      <w:r>
        <w:rPr>
          <w:rFonts w:ascii="IRNazanin" w:hAnsi="IRNazanin" w:eastAsia="IRNazanin"/>
          <w:color w:val="111111"/>
          <w:sz w:val="28"/>
          <w:sz w:val="28"/>
          <w:szCs w:val="28"/>
          <w:rtl w:val="true"/>
          <w:lang w:bidi="fa-IR"/>
        </w:rPr>
        <w:t>، إلی غیر ذلک ممّا یذکر فی ترجمته ، ویظهر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الدالة علی المنع فی خصوص الأشیاء وعمومها کثیرة غایة الکثرة ، یظهر منها أنّ هذا الحکم کان مشتهرا بین رواة الأئمّة علیهم السلام حتی أنّهم کانوا یسألون عن شعر الإنسان وظفره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استدلاله بأخبار کثیرة وقوله بأنّ العمل بها لازم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قصور فی دلالة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الشارح ربما یتمسّک لإتمام الدلالة بعدم القول بالفصل کغیره من الفقهاء ، وتمسّکه کذلک کثیر ، فلا مانع من أن یتمسّک به ها هنا ، سیّما مع الانضمام بما عرفت ، وبعد تتبّع الأحادیث حتی الأخبار الواردة فی استثناء مثل الخزّ وشعر الإنسان وظفره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یظهر أنّ الحکم عند الشیعة فی ذلک الزمان کان فی غایة الظهور والمسلّمیة ، فلاحظ وتأمّل </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866" w:name="pg14966_204300"/>
    </w:p>
    <w:p>
      <w:pPr>
        <w:pStyle w:val="BookText"/>
        <w:rPr/>
      </w:pPr>
      <w:bookmarkEnd w:id="86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استثنی من هذه الکلّیة أشیاء</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وشمول الکلیّة لمثل دود القزّ ونحل العسل والبقّ والذباب والبرغوث محلّ تأمّل من أصله ، لعدم کونها بحیث تکون لها قابلیة الأکل ومن شأنها ذلک ، لعدم تبادر مثل تلک من الخبر ، بل وعدم تبادر الإنسان أیضا ، فلا یحتاج إلی القول بأنّ القزّ خارج بالإجماع والأخبار والاجتناب عن غیره ، مع أنّه ربما یظهر من طریقة المسلمین فی الأعصار عدم الاجتناب عن عرق الإنسان وریقه ووسخه وأمثال ذلک ، وکذا الذباب والبرغوث والعسل والشمع ، بل ربما یظهر بعضها من الأخبار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الظاهر من غیر واحد من الفقهاء أنّ المنع غیر مختصّ باللبس ، بل شامل للاستصحاب أیضا </w:t>
      </w:r>
      <w:r>
        <w:rPr>
          <w:rStyle w:val="FootnoteAnchor"/>
          <w:rtl w:val="true"/>
        </w:rPr>
        <w:footnoteReference w:id="1016"/>
      </w:r>
      <w:r>
        <w:rPr>
          <w:rFonts w:ascii="IRNazanin" w:hAnsi="IRNazanin" w:eastAsia="IRNazanin"/>
          <w:color w:val="111111"/>
          <w:sz w:val="28"/>
          <w:sz w:val="28"/>
          <w:szCs w:val="28"/>
          <w:rtl w:val="true"/>
          <w:lang w:bidi="fa-IR"/>
        </w:rPr>
        <w:t>، لأنّهم یذکرون الأخبار الدالة علی ذلک فی جملة أدلتهم من دون تعرّض لکون مدلولاتها غیر المطلوب ، بل ویذکرون ما دل علی جوازه ویتعرضون للعلاج من غیر تعرّض بأنّ ذلک غیر المطلوب فی المقام ، وسیجی‌ء ما ذکرناه عن الشارح أیضا ، وأری العلماء وأسمع أنّهم یتنزّهون عنه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الدالة علی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علی ثوبی الوبر والشعر ممّا لا یؤکل لحمه من غیر تقیّة ولا ضرورة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 </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المنع عن الصلاة فی الثوب الذی تحت أو فوق هذه الجلود والأوبار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المنع عن الصلاة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7" w:name="__RefHeading___Toc2088059_388300464"/>
      <w:bookmarkStart w:id="868" w:name="_Toc335"/>
      <w:bookmarkEnd w:id="867"/>
      <w:r>
        <w:rPr>
          <w:rtl w:val="true"/>
        </w:rPr>
        <w:t>حکم استصحاب شیء مما لا یؤکل لحمه حال الصلاة</w:t>
      </w:r>
      <w:bookmarkStart w:id="869" w:name="pg14966_204301"/>
      <w:bookmarkEnd w:id="868"/>
    </w:p>
    <w:p>
      <w:pPr>
        <w:pStyle w:val="BookText"/>
        <w:rPr/>
      </w:pPr>
      <w:bookmarkEnd w:id="869"/>
      <w:r>
        <w:rPr>
          <w:rFonts w:ascii="IRNazanin" w:hAnsi="IRNazanin" w:eastAsia="IRNazanin"/>
          <w:color w:val="111111"/>
          <w:sz w:val="28"/>
          <w:sz w:val="28"/>
          <w:szCs w:val="28"/>
          <w:rtl w:val="true"/>
          <w:lang w:bidi="fa-IR"/>
        </w:rPr>
        <w:t xml:space="preserve">فی القلنسوة التی علیها وبر </w:t>
      </w:r>
      <w:r>
        <w:rPr>
          <w:rStyle w:val="FootnoteAnchor"/>
          <w:rtl w:val="true"/>
        </w:rPr>
        <w:footnoteReference w:id="1019"/>
      </w:r>
      <w:r>
        <w:rPr>
          <w:rFonts w:ascii="IRNazanin" w:hAnsi="IRNazanin" w:eastAsia="IRNazanin"/>
          <w:color w:val="111111"/>
          <w:sz w:val="28"/>
          <w:sz w:val="28"/>
          <w:szCs w:val="28"/>
          <w:rtl w:val="true"/>
          <w:lang w:bidi="fa-IR"/>
        </w:rPr>
        <w:t>، إلی غیر ذلک ، بل روایة ابن بکیر أیضا ظاهرة فیه ، فإنّ الصلاة فی الروث مثلا ظاهرة فی المعیّة ، وتقدیر الکلام بإرادة الثوب الذی یتلوّث به غلط ، لأنّ الأصل عدم التقدیر ، سیّما مثله ، وقرّر فی الأصول أنّه إذا دار الأمر بین المجاز والإضمار فالمجاز مقدّم ومتعیّن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 تتبّع الأخبار الواردة فی هذا الباب ، کما أشرنا إلیه ، والأخبار الواردة فی باب کراهة الحدید والمنع عن الذهب ، کما سنشیر إلیه </w:t>
      </w:r>
      <w:r>
        <w:rPr>
          <w:rStyle w:val="FootnoteAnchor"/>
          <w:rtl w:val="true"/>
        </w:rPr>
        <w:footnoteReference w:id="1020"/>
      </w:r>
      <w:r>
        <w:rPr>
          <w:rFonts w:ascii="IRNazanin" w:hAnsi="IRNazanin" w:eastAsia="IRNazanin"/>
          <w:color w:val="111111"/>
          <w:sz w:val="28"/>
          <w:sz w:val="28"/>
          <w:szCs w:val="28"/>
          <w:rtl w:val="true"/>
          <w:lang w:bidi="fa-IR"/>
        </w:rPr>
        <w:t>، بل التتبّع یکشف عن أنّ الظاهر أنّ الأمر کان کذلک عند الشیعة ، ولذا کانوا یسألون فیجابون علی نحو ربما یظهر منه تقریرهم ، فتأمّل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أیضا فهم الأصحاب ، مضافا إلی إطلاق لفظ الروث وغیره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الاجتناب مهما أمکن البتّة ، سیّما علی القول بأنّ العبادات أسام للصحیحة منها ، مع أنّ شغل الذمّة الیقینی یستدعی البراءة الیقینیة ، إلی غیر ذلک ممّا ستعرف ، وسیجی‌ء تتمّة الکلام فی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ما دلّ علی جواز الاستعمال شامل للأمرین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ینصرف إلی المتعارف الشائع ، والاستعمال لیس سابقا متعارفا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الصلاة فی شی‌ء من ذلک إذا کان ممّا لا یؤکل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0" w:name="__RefHeading___Toc2088061_388300464"/>
      <w:bookmarkStart w:id="871" w:name="_Toc336"/>
      <w:bookmarkEnd w:id="870"/>
      <w:r>
        <w:rPr>
          <w:rtl w:val="true"/>
        </w:rPr>
        <w:t>حکم الصلاة فی جلد ما لا یؤکل لحمه وحکم صوفه وشعره ووبره</w:t>
      </w:r>
      <w:bookmarkEnd w:id="871"/>
    </w:p>
    <w:p>
      <w:pPr>
        <w:pStyle w:val="BookText"/>
        <w:rPr/>
      </w:pP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یؤکل لحمه ، هو حرام الأکل ، کما تدل علیه روایة ابن بکیر التی هی الأصل فی هذا الباب ، وما ذکرنا من روایة سماعة المتضمّنة لجواز الصلاة فی الکیمخت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عبد الجبار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دلالة لها علی ما ذکره ، کما لا یخفی علی المتأمّل ، مع أنّ التذکیة لیست شرطا لحلّیة الصلاة فی الوبر وغیره ممّا لا تحلّه الحیاة ، بإجماع الفقهاء والأخبار ، ومسلّم ذلک عند الشارح رحمه الله کما مرّ ، ففی الروایة شی‌ء لا یقول به أحد ، ومخالف للإجماع والأخبار ، ومثل هذا مانع عن الاحتجاج بها عند الشارح ، کما صرّح به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من التذکیة کونه ممّا یؤکل لحمه ، ویشیر إلی ذلک بعض الأخبار ، مثل روایة علی بن أبی حمزة عن الصادق والکاظم علیهماالسلام فی الصلاة فی الفراء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فیها إلاّ ما کان ذکیّا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الذکی ما ذکّی بالحدید؟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 إذا کان ممّا یؤکل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روایة ابن أبی یعفور الواردة فی معرفة الخزّ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المعصوم علیه السلام عبّر هنا کذلک ، لکون حکمه فی جواب المکاتبة ، وکان عادتهم فی جواب المکاتبات یفعلون أمثال ما ذکر تقیّة وتنبیها للراوی علی ذلک ، کما لا یخفی علی المطّلع بأجوبة المکاتبات </w:t>
      </w:r>
    </w:p>
    <w:p>
      <w:pPr>
        <w:pStyle w:val="BookText"/>
        <w:rPr/>
      </w:pPr>
      <w:r>
        <w:rPr>
          <w:rFonts w:ascii="IRNazanin" w:hAnsi="IRNazanin" w:eastAsia="IRNazanin"/>
          <w:color w:val="111111"/>
          <w:sz w:val="28"/>
          <w:sz w:val="28"/>
          <w:szCs w:val="28"/>
          <w:rtl w:val="true"/>
          <w:lang w:bidi="fa-IR"/>
        </w:rPr>
        <w:t xml:space="preserve">منهم علیهم السلام ، وصرّح بذلک جدّی رحمه الله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یمکن أن تکون هذه الروایة خارجة مخرج التقیّة ، لأنّ أحمد قال بعدم جواز الصلاة فی الحریر المحض مطلقا بل بطلانها فیه </w:t>
      </w:r>
      <w:r>
        <w:rPr>
          <w:rStyle w:val="FootnoteAnchor"/>
          <w:rtl w:val="true"/>
        </w:rPr>
        <w:footnoteReference w:id="1026"/>
      </w:r>
      <w:r>
        <w:rPr>
          <w:rFonts w:ascii="IRNazanin" w:hAnsi="IRNazanin" w:eastAsia="IRNazanin"/>
          <w:color w:val="111111"/>
          <w:sz w:val="28"/>
          <w:sz w:val="28"/>
          <w:szCs w:val="28"/>
          <w:rtl w:val="true"/>
          <w:lang w:bidi="fa-IR"/>
        </w:rPr>
        <w:t xml:space="preserve">، فعلی هذا یکون قوله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ذکیّا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من أحمد المذکور ، والشافعی ، حیث شرطا کون الشعر ونحوه مأخوذا من الحیّ أو بعد التذکیة ، وإذا أخذ من المیت فهو نجس لا تصح الصلاة فیه </w:t>
      </w:r>
      <w:r>
        <w:rPr>
          <w:rStyle w:val="FootnoteAnchor"/>
          <w:rtl w:val="true"/>
        </w:rPr>
        <w:footnoteReference w:id="1027"/>
      </w:r>
      <w:r>
        <w:rPr>
          <w:rFonts w:ascii="IRNazanin" w:hAnsi="IRNazanin" w:eastAsia="IRNazanin"/>
          <w:color w:val="111111"/>
          <w:sz w:val="28"/>
          <w:sz w:val="28"/>
          <w:szCs w:val="28"/>
          <w:rtl w:val="true"/>
          <w:lang w:bidi="fa-IR"/>
        </w:rPr>
        <w:t xml:space="preserve">، فیکون ما ذکر شاهدا آخر علی التقیّة ، إذ معلوم أنّ أحمد کان معاصرا للرضا علیه السلام ، والصحیحة مکاتبة العسکری علیه السلام ، وعرفت أنّ المکاتبة لا تخلو عن التقیّة ، إذا التقیة مشاهدة مع ظهور توجیههم فیه ، فهذا أیضا مؤیّد آخر للحمل علی التقیّة ، فتأمّل جدّا </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ریّان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عدم دلالة هذه أیضا ، لأنّ الظاهر أنّ المراد ممّا لا یؤکل لحمه غیر الإنسان ، ولعل الأمر عند الأصحاب أیضا کذلک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یکتسب به 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مقدّمات النکاح ب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القطع بخروجه ، لأنّ لعاب کلّ واحد من الزوجین وسائر رطوباته یصل إلی الآخر بالتقبیل والملاصقة والملاعبة والمضاجعة غالبا ، وکذا لبن الزوجة ، وکذا الحال بالنسبة إلی الأطفال وغیرهم ، حتی أنّ المؤمنین فی المصافحة والتقبیل وسائر ملامساتهم یصل رطوباتهم إلی الآخر ، سیّما فی فصل الصیف وخصوصا فی البلاد الحارّة ، مع أنّهم کانوا یصلّون فی ثیاب الآخر ، وورد جواز ذلک فی الأخبار أیضا ، مع أنّه قلّما ینفکّ الثیاب الملبوسة عن الفضلات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الناجیة فی جمیع الأمصار والأعصار السابقة واللاحقة کانوا یتنزهون عن فضولات الإنسان ورطوباته فی الصلاة ، وما کانوا یعاملون فیها معاملتهم فی السّمور والفنک وغیرهما ممّا اتفقوا علی المنع عن الصلاة أو اختلفوا ، مع أنّ العبادة تقتضی بالنصوص المتواترة ، لعموم البلوی وشدّة الحاجة وغلبة التحقّق ، لا الاکتفاء بخبر واحد غیر ظاهر الدلالة ، بل المتبادر منه غیر الإنسان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صحیحة ابن ریّان وردت بطریقین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ذکره الشارح رحمه الله والثانی یظهر منه أنّ المراد شعر نفس المصلّی </w:t>
      </w:r>
      <w:r>
        <w:rPr>
          <w:rStyle w:val="FootnoteAnchor"/>
          <w:rtl w:val="true"/>
        </w:rPr>
        <w:footnoteReference w:id="1030"/>
      </w:r>
      <w:r>
        <w:rPr>
          <w:rFonts w:ascii="IRNazanin" w:hAnsi="IRNazanin" w:eastAsia="IRNazanin"/>
          <w:color w:val="111111"/>
          <w:sz w:val="28"/>
          <w:sz w:val="28"/>
          <w:szCs w:val="28"/>
          <w:rtl w:val="true"/>
          <w:lang w:bidi="fa-IR"/>
        </w:rPr>
        <w:t xml:space="preserve">، وخروج فضلات المصلّی نفسه لا شکّ فیه ، فتدبّر ، وورد فی الذی شرب المسکر وتفل ، أنّهم علیهم السلام قالوا بعدم وجوب غسله </w:t>
      </w:r>
      <w:r>
        <w:rPr>
          <w:rStyle w:val="FootnoteAnchor"/>
          <w:rtl w:val="true"/>
        </w:rPr>
        <w:footnoteReference w:id="103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bookmarkStart w:id="872" w:name="pg14966_204305"/>
    </w:p>
    <w:p>
      <w:pPr>
        <w:pStyle w:val="BookText"/>
        <w:rPr/>
      </w:pPr>
      <w:bookmarkEnd w:id="87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إبراهیم بن محمد الهمدانی وهی ضعیفة جدّا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إبراهیم هذا هو الوکیل الجلیل الذی هو وأولاده کانوا وکلاء ، والوکالة تستلزم العدالة ، کما اعترف به غیر واحد من المحققین </w:t>
      </w:r>
      <w:r>
        <w:rPr>
          <w:rStyle w:val="FootnoteAnchor"/>
          <w:rtl w:val="true"/>
        </w:rPr>
        <w:footnoteReference w:id="1032"/>
      </w:r>
      <w:r>
        <w:rPr>
          <w:rFonts w:ascii="IRNazanin" w:hAnsi="IRNazanin" w:eastAsia="IRNazanin"/>
          <w:color w:val="111111"/>
          <w:sz w:val="28"/>
          <w:sz w:val="28"/>
          <w:szCs w:val="28"/>
          <w:rtl w:val="true"/>
          <w:lang w:bidi="fa-IR"/>
        </w:rPr>
        <w:t xml:space="preserve">وحقّقناه فی الرجال </w:t>
      </w:r>
      <w:r>
        <w:rPr>
          <w:rStyle w:val="FootnoteAnchor"/>
          <w:rtl w:val="true"/>
        </w:rPr>
        <w:footnoteReference w:id="1033"/>
      </w:r>
      <w:r>
        <w:rPr>
          <w:rFonts w:ascii="IRNazanin" w:hAnsi="IRNazanin" w:eastAsia="IRNazanin"/>
          <w:color w:val="111111"/>
          <w:sz w:val="28"/>
          <w:sz w:val="28"/>
          <w:szCs w:val="28"/>
          <w:rtl w:val="true"/>
          <w:lang w:bidi="fa-IR"/>
        </w:rPr>
        <w:t xml:space="preserve">، مع أنّه روی الکشّی فیه روایات متضمّنة لعدالته وجلالته </w:t>
      </w:r>
      <w:r>
        <w:rPr>
          <w:rStyle w:val="FootnoteAnchor"/>
          <w:rtl w:val="true"/>
        </w:rPr>
        <w:footnoteReference w:id="1034"/>
      </w:r>
      <w:r>
        <w:rPr>
          <w:rFonts w:ascii="IRNazanin" w:hAnsi="IRNazanin" w:eastAsia="IRNazanin"/>
          <w:color w:val="111111"/>
          <w:sz w:val="28"/>
          <w:sz w:val="28"/>
          <w:szCs w:val="28"/>
          <w:rtl w:val="true"/>
          <w:lang w:bidi="fa-IR"/>
        </w:rPr>
        <w:t xml:space="preserve">، والظاهر اعتماد الکشی علیها ، وحقّقنا أیضا اعتبار مثله لثبوت العدالة ، فیظهر أنّه لا یضرّ إضماره ، لأنّ الظاهر أنّ مثله لا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إلاّ عن المعصوم الذی 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علی الراوی عنه ، فهو یروی عنه محمد بن أحمد بن یحیی کثیرا ، وما استثنی القمیون روایته ، وهو دلیل علی عدالته ، کما لا یخفی علی من تأمّل فی ترجمته ، فالروایة معتبرة جدّا ، بل صحیحة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الدلیل غیر منحصر فیها ، بل موثقة ابن بکیر الذی هی العمدة والأصل فی هذا الباب ، عمومها شامل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روی علی بن مهزیار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الماضی علیه السلام عن الصلاة فی جلود الثعالب فنهی عن الصلاة فیها ، وفی الثوب الذی یلیه ، فلم أدر أیّ الثوبین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یلصق بالوبر ، أو الذی یلصق بالجلد؟ فوقّع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یلصق بالجلد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هذه المسألة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 فی الذی فوقه ولا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3" w:name="__RefHeading___Toc2088063_388300464"/>
      <w:bookmarkStart w:id="874" w:name="_Toc337"/>
      <w:bookmarkEnd w:id="873"/>
      <w:r>
        <w:rPr>
          <w:rtl w:val="true"/>
        </w:rPr>
        <w:t>بحث رجالی حول إبراهیم بن محمّد الهمدانی</w:t>
      </w:r>
      <w:bookmarkStart w:id="875" w:name="pg14966_204306"/>
      <w:bookmarkEnd w:id="874"/>
    </w:p>
    <w:p>
      <w:pPr>
        <w:pStyle w:val="BookText"/>
        <w:rPr/>
      </w:pPr>
      <w:bookmarkEnd w:id="875"/>
      <w:r>
        <w:rPr>
          <w:rFonts w:ascii="IRNazanin" w:hAnsi="IRNazanin" w:eastAsia="IRNazanin"/>
          <w:color w:val="111111"/>
          <w:sz w:val="28"/>
          <w:sz w:val="28"/>
          <w:szCs w:val="28"/>
          <w:rtl w:val="true"/>
          <w:lang w:bidi="fa-IR"/>
        </w:rPr>
        <w:t xml:space="preserve">فی الذی تحته </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وسنذکر عن الفقه الرضوی ما یؤیده </w:t>
      </w:r>
      <w:r>
        <w:rPr>
          <w:rStyle w:val="FootnoteAnchor"/>
          <w:rtl w:val="true"/>
        </w:rPr>
        <w:footnoteReference w:id="1037"/>
      </w:r>
      <w:r>
        <w:rPr>
          <w:rFonts w:ascii="IRNazanin" w:hAnsi="IRNazanin" w:eastAsia="IRNazanin"/>
          <w:color w:val="111111"/>
          <w:sz w:val="28"/>
          <w:sz w:val="28"/>
          <w:szCs w:val="28"/>
          <w:rtl w:val="true"/>
          <w:lang w:bidi="fa-IR"/>
        </w:rPr>
        <w:t xml:space="preserve">، وکذا عن صحیحة أبی علی بن راشد </w:t>
      </w:r>
      <w:r>
        <w:rPr>
          <w:rStyle w:val="FootnoteAnchor"/>
          <w:rtl w:val="true"/>
        </w:rPr>
        <w:footnoteReference w:id="1038"/>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إنّما تعلّق بالصلاة فی غیر المأکول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التفرقة غیر واضحة بحسب الدلیل ، مع أنّ روایة ابن بکیر الذی هی الأصل فی هذا الباب إنّما تضمّنت فساد الصلاة فی حرام الأکل ، وربما یظهر منها أنّ المنع فی الأخبار الأخر عن الصلاة فیه کنایة عن فسادها ، ویؤیّده کلام الفقهاء بل فهمهم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المعلومیة والمشکوکیة أمران خارجان عن مفهوم حرام الأکل ، وفساد الصلاة إنّما تعلّق بمفهومه ، فإذا صلّی فی ما یحتمل کونه حرام الأکل فالفساد محتمل قطعا ، والصحة مشکوک فیها جزما ، کما ذکره العلاّمة رحمه الله فیبقی المکلّف تحت العهدة ، لعدم ثبوت الامتثال وتحققه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الصحیحة المؤیّدة فظهور شمولها لما نحن فیه لا یخلو من تأمّل ، ولذا جعله رحمه الله من المؤیّد ، وکذا شمول ما ورد من عدم التکلیف عند عدم العلم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به قائلا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الروایة الأخیرة أیضا لا قائل بمضمونها ، لمکان العلّة المنصوصة التی هی حجّة عند المحقّقین ، وعلی ما هو الحق ، وعند الشارح أیضا</w:t>
      </w:r>
      <w:r>
        <w:rPr>
          <w:rFonts w:eastAsia="IRNazanin" w:cs="IRNazanin"/>
          <w:color w:val="111111"/>
          <w:sz w:val="28"/>
          <w:szCs w:val="28"/>
          <w:rtl w:val="true"/>
          <w:lang w:bidi="fa-IR"/>
        </w:rPr>
        <w:t>.</w:t>
      </w:r>
    </w:p>
    <w:p>
      <w:pPr>
        <w:pStyle w:val="Heading3"/>
        <w:numPr>
          <w:ilvl w:val="2"/>
          <w:numId w:val="1"/>
        </w:numPr>
        <w:rPr/>
      </w:pPr>
      <w:bookmarkStart w:id="876" w:name="__RefHeading___Toc2088065_388300464"/>
      <w:bookmarkStart w:id="877" w:name="_Toc338"/>
      <w:bookmarkEnd w:id="876"/>
      <w:r>
        <w:rPr>
          <w:rtl w:val="true"/>
        </w:rPr>
        <w:t>حکم الصلاة فی التکة والقلنسوة المعمولتین من وبر غیر المأکول</w:t>
      </w:r>
      <w:bookmarkEnd w:id="87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8" w:name="__RefHeading___Toc2088067_388300464"/>
      <w:bookmarkStart w:id="879" w:name="_Toc339"/>
      <w:bookmarkEnd w:id="878"/>
      <w:r>
        <w:rPr>
          <w:rtl w:val="true"/>
        </w:rPr>
        <w:t>حکم الصلاة فی فرو السنجاب</w:t>
      </w:r>
      <w:bookmarkEnd w:id="87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غیر قادح عند التحقیق کما بیّناه مرارا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قاله مرارا علی تقدیر تسلیمه إنّما هو إذا کان الخبر صحیحا ولم یوجد قائل بمضمونه ، لا الذی أفتی الأصحاب بخلاف مضمونه وطرحوه وأعرضوا عنه ، کما هو الحال فی ما نحن فیه ، فإنّهم بأجمعهم أفتوا بالمنع من غیر استثناء هذه الأشیاء ، فالخبر یصیر من الشواذّ التی یجب ترک العمل بها عند الکلّ حتی عند الشارح رحمه الله أیضا ، کما صرّح به مرارا ، علی أنّ هذا یصیر سببا للمرجوحیة عند التعارض قطعا ، مع أنّ المعارض فی غایة القوّة ،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رحمه الله لا یمکنه الاستدلال بها ، ولم یقل أحد بالفصل ، والشارح رحمه الله کثیرا ما یستدل بعدم القول بالفصل ، فالحمل علی التقیّة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ربما أشکل المنع عن السّمور فی صحیح ابن راشد ، إلاّ أن یکون هناک مندوحة بالنسبة إلیه ، فتأمّل ، أو یکون بعض العامّة راضیا بالمنع وإن لم نعرفه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تجوز الصلاة فی سنجاب ولا سمّور وفنک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وإیّاک أن تصلّی فی الثعالب وفی ثوب تحته جلد الثعالب </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 رحمه الله یظهر منه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وصفه دین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الرخصة فی الصلاة فی کلّ ما ذکر ، وأنّ الأولی الترک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نظره کان إلی هذه الأخبار ، وأن ما ذکره توهّم منه ، کما توهّم فی غیره من </w:t>
      </w:r>
    </w:p>
    <w:p>
      <w:pPr>
        <w:pStyle w:val="BookText"/>
        <w:rPr/>
      </w:pPr>
      <w:r>
        <w:rPr>
          <w:rFonts w:ascii="IRNazanin" w:hAnsi="IRNazanin" w:eastAsia="IRNazanin"/>
          <w:color w:val="111111"/>
          <w:sz w:val="28"/>
          <w:sz w:val="28"/>
          <w:szCs w:val="28"/>
          <w:rtl w:val="true"/>
          <w:lang w:bidi="fa-IR"/>
        </w:rPr>
        <w:t>المواضع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کالنص فی المسؤول عنه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من المماثلة عدم القابلیة للتخصیص ، فلا یخفی 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یصحّ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السنجاب وما یؤدّی مؤدّاه متصلا بالجواب أو منفصلا عند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قوّة الدلالة فی الجملة ، فغیر خفی أن القوّة فیها لا تأبی عن التخصیص ، إذ یجوز أن یکون الخاصّ أقوی أو مساویا ، مع أنّ طریقته البناء علی التخصیص مطلقا ، استنادا إلی أنّ الجمع بین الأدلة أولی من طرح أحدهما بالمرّة ، ولا یراعی عدم التفاوت فی القوّة ، بل غالب المواضع التی یرتکب التخصیص فیها القوّة فیها متفاوتة ، بل فی کثیر منها تفاوت القوّة زائد ، وهذا هو الطریقة المتعارفة بین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عدم القابلیة لخصوص التخصیص بالمنفصل ، فهو أیضا فاسد ، لما أشرنا إلیه ، مع أنّ هذا التفصیل غریب وخلاف ما حقّق فی الأصول ، وما علیه محققوهم ، وما علیه فقهاؤنا فی الفقه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یجوز أن یکون هنا قرینة حالیة فهم منها خروج مثل السنجاب عن عموم الجواب ، ویکشف عنها الأخبار الواردة فی جواز الصلاة فی السنجاب ، والخبر الوارد بأنّ النبی صلی الله علیه و آله إنّما نهی عن السباع وما یأکل اللحم دون ما لا یأکل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من غیر واحد من الأخبار أیضا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أنّ السائل یقول فی 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الصلاة </w:t>
      </w:r>
      <w:bookmarkStart w:id="880" w:name="pg14966_204309"/>
    </w:p>
    <w:p>
      <w:pPr>
        <w:pStyle w:val="BookText"/>
        <w:rPr/>
      </w:pPr>
      <w:bookmarkEnd w:id="880"/>
      <w:r>
        <w:rPr>
          <w:rFonts w:ascii="IRNazanin" w:hAnsi="IRNazanin" w:eastAsia="IRNazanin"/>
          <w:color w:val="111111"/>
          <w:sz w:val="28"/>
          <w:sz w:val="28"/>
          <w:szCs w:val="28"/>
          <w:rtl w:val="true"/>
          <w:lang w:bidi="fa-IR"/>
        </w:rPr>
        <w:t xml:space="preserve">فی ما لا یؤکل لحمه؟ فیجاب بالمنع عموما ، أو یقول 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الصلاة فی الثعالب والفنک والسنجاب وغیره من الوبر؟ فیجاب بالمنع عموما فی صحة التخصیص بالمتصل والمنفصل ، فإنّ ما ورد منهم علیهم السلام من النص علی صحة الصلاة فی السنجاب فی الأخبار الأخر کما یصح أن یصیر مخصّصا فی الصورة الأولی کذا یصح أن یصیر مخصّصا فی الصورة الثانیة من دون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ویرشد إلیه أنّ الخزّ تصح الصلاة فیه قطعا وخارج عن عموم الجواب البتّة ، مع أنّ من جملة سؤال السائل الصلاة فی الأوبار أیضا ، فتأمّل ، لکن عرفت حال المخصّص وأنّه یشکل العمل به وإن لم یکن له معارض ، فکیف إذا کان معارض قوی فی غایة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صحّة أخبار الجواز</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أخبار الجواز أکثرها یتضمّن صحة الصلاة فی ما لا یقول به الأصحاب ، وقد مرّ الکلام فی ذلک وأنّ الحمل علی التقیّة متعیّن ، سیّما وعلی بن یقطین کان وزیر الخلیفة ، فکان یناسبه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جمیل فالحکم بصحتها مشکل ، لأنّ الشیخ رحمه الله رواها بسند آخر عن جمیل ، عن الحسین </w:t>
      </w:r>
      <w:r>
        <w:rPr>
          <w:rStyle w:val="FootnoteAnchor"/>
          <w:rtl w:val="true"/>
        </w:rPr>
        <w:footnoteReference w:id="1043"/>
      </w:r>
      <w:r>
        <w:rPr>
          <w:rFonts w:ascii="IRNazanin" w:hAnsi="IRNazanin" w:eastAsia="IRNazanin"/>
          <w:color w:val="111111"/>
          <w:sz w:val="28"/>
          <w:sz w:val="28"/>
          <w:szCs w:val="28"/>
          <w:rtl w:val="true"/>
          <w:lang w:bidi="fa-IR"/>
        </w:rPr>
        <w:t xml:space="preserve">بن شهاب ، عن الصادق علیه السلام </w:t>
      </w:r>
      <w:r>
        <w:rPr>
          <w:rStyle w:val="FootnoteAnchor"/>
          <w:rtl w:val="true"/>
        </w:rPr>
        <w:footnoteReference w:id="1044"/>
      </w:r>
      <w:r>
        <w:rPr>
          <w:rFonts w:ascii="IRNazanin" w:hAnsi="IRNazanin" w:eastAsia="IRNazanin"/>
          <w:color w:val="111111"/>
          <w:sz w:val="28"/>
          <w:sz w:val="28"/>
          <w:szCs w:val="28"/>
          <w:rtl w:val="true"/>
          <w:lang w:bidi="fa-IR"/>
        </w:rPr>
        <w:t>والظاهر أنّ الروایتین واحدة ، وإلاّ کان اللازم علیه أن یذکر لهذا الراوی روایته عن الصادق علیه السلام بلا واسطة ، والراوی الأوّل روایته بالواسطة ، کما هو الظاهر من حالهم ، ولو قلنا بعدم ظهور الاتحاد فظهور التعدّد محلّ نظر ظاهر ، وکیف کان ، ثبوت العدالة بالنسبة إلی الجمیع محلّ تأمّل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1" w:name="__RefHeading___Toc2088069_388300464"/>
      <w:bookmarkStart w:id="882" w:name="_Toc340"/>
      <w:bookmarkEnd w:id="881"/>
      <w:r>
        <w:rPr>
          <w:rtl w:val="true"/>
        </w:rPr>
        <w:t>حکم الصلاة فی جلود الثعالب والأرانب</w:t>
      </w:r>
      <w:bookmarkStart w:id="883" w:name="pg14966_204310"/>
      <w:bookmarkEnd w:id="882"/>
    </w:p>
    <w:p>
      <w:pPr>
        <w:pStyle w:val="BookText"/>
        <w:rPr/>
      </w:pPr>
      <w:bookmarkEnd w:id="883"/>
      <w:r>
        <w:rPr>
          <w:rFonts w:ascii="IRNazanin" w:hAnsi="IRNazanin" w:eastAsia="IRNazanin"/>
          <w:color w:val="111111"/>
          <w:sz w:val="28"/>
          <w:sz w:val="28"/>
          <w:szCs w:val="28"/>
          <w:rtl w:val="true"/>
          <w:lang w:bidi="fa-IR"/>
        </w:rPr>
        <w:t xml:space="preserve">سلّمنا ، لکنّها روایة واحدة تعارضها صحیحة علی بن مهزیار التی ذکرناها فی مسألة الشعرات الملقاة </w:t>
      </w:r>
      <w:r>
        <w:rPr>
          <w:rStyle w:val="FootnoteAnchor"/>
          <w:rtl w:val="true"/>
        </w:rPr>
        <w:footnoteReference w:id="1045"/>
      </w:r>
      <w:r>
        <w:rPr>
          <w:rFonts w:ascii="IRNazanin" w:hAnsi="IRNazanin" w:eastAsia="IRNazanin"/>
          <w:color w:val="111111"/>
          <w:sz w:val="28"/>
          <w:sz w:val="28"/>
          <w:szCs w:val="28"/>
          <w:rtl w:val="true"/>
          <w:lang w:bidi="fa-IR"/>
        </w:rPr>
        <w:t xml:space="preserve">، وصحیحة أبی علی بن راشد حیث قال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 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یلبس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فی الثوب الذی یلیها؟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تعارضها صحیحة ریّان بن الصلت عن الرضا علیه السلام وسنذکرها ، وکذا صحیحة ابن مسلم ، فإنّ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نکرة فی سیاق النفی ، وکذا روایة ابن بکیر ، وهی صحیحة ، علی ما عرفت </w:t>
      </w:r>
      <w:r>
        <w:rPr>
          <w:rStyle w:val="FootnoteAnchor"/>
          <w:rtl w:val="true"/>
        </w:rPr>
        <w:footnoteReference w:id="1047"/>
      </w:r>
      <w:r>
        <w:rPr>
          <w:rFonts w:ascii="IRNazanin" w:hAnsi="IRNazanin" w:eastAsia="IRNazanin"/>
          <w:color w:val="111111"/>
          <w:sz w:val="28"/>
          <w:sz w:val="28"/>
          <w:szCs w:val="28"/>
          <w:rtl w:val="true"/>
          <w:lang w:bidi="fa-IR"/>
        </w:rPr>
        <w:t>، بل أقوی من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ویعضدها الإجماعات والأخبار الکثیرة الواردة فی المنع عن الثعالب </w:t>
      </w:r>
      <w:r>
        <w:rPr>
          <w:rStyle w:val="FootnoteAnchor"/>
          <w:rtl w:val="true"/>
        </w:rPr>
        <w:footnoteReference w:id="1048"/>
      </w:r>
      <w:r>
        <w:rPr>
          <w:rFonts w:ascii="IRNazanin" w:hAnsi="IRNazanin" w:eastAsia="IRNazanin"/>
          <w:color w:val="111111"/>
          <w:sz w:val="28"/>
          <w:sz w:val="28"/>
          <w:szCs w:val="28"/>
          <w:rtl w:val="true"/>
          <w:lang w:bidi="fa-IR"/>
        </w:rPr>
        <w:t xml:space="preserve">، وعبارة الفقه الرضوی </w:t>
      </w:r>
      <w:r>
        <w:rPr>
          <w:rStyle w:val="FootnoteAnchor"/>
          <w:rtl w:val="true"/>
        </w:rPr>
        <w:footnoteReference w:id="1049"/>
      </w:r>
      <w:r>
        <w:rPr>
          <w:rFonts w:ascii="IRNazanin" w:hAnsi="IRNazanin" w:eastAsia="IRNazanin"/>
          <w:color w:val="111111"/>
          <w:sz w:val="28"/>
          <w:sz w:val="28"/>
          <w:szCs w:val="28"/>
          <w:rtl w:val="true"/>
          <w:lang w:bidi="fa-IR"/>
        </w:rPr>
        <w:t xml:space="preserve">، وکذا الأخبار المتعدّدة الواردة فی المنع عن کلّ ما لا یؤکل لحمه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الکلام فی الأرانب ، مع أنّ الشارح ما ذکر صحیحا یدل علی الجواز فیها ، وصحیحة محمد بن عبد الجبار جعلها الشارح دلیلا فی الشعرات التی ذکر أنّه لا مانع منها مطلقا ، مع أنّک عرفت ما فی تلک الصحیحة </w:t>
      </w:r>
      <w:r>
        <w:rPr>
          <w:rStyle w:val="FootnoteAnchor"/>
          <w:rtl w:val="true"/>
        </w:rPr>
        <w:footnoteReference w:id="1051"/>
      </w:r>
      <w:r>
        <w:rPr>
          <w:rFonts w:ascii="IRNazanin" w:hAnsi="IRNazanin" w:eastAsia="IRNazanin"/>
          <w:color w:val="111111"/>
          <w:sz w:val="28"/>
          <w:sz w:val="28"/>
          <w:szCs w:val="28"/>
          <w:rtl w:val="true"/>
          <w:lang w:bidi="fa-IR"/>
        </w:rPr>
        <w:t>، فما ذکره رحمه الله فی هذا الکتاب أولی وأظهر ممّا ذکره فی المعتبر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4" w:name="__RefHeading___Toc2088071_388300464"/>
      <w:bookmarkStart w:id="885" w:name="_Toc341"/>
      <w:bookmarkEnd w:id="884"/>
      <w:r>
        <w:rPr>
          <w:rtl w:val="true"/>
        </w:rPr>
        <w:t>حکم لبس الحریر للرجال</w:t>
      </w:r>
      <w:bookmarkEnd w:id="885"/>
    </w:p>
    <w:p>
      <w:pPr>
        <w:pStyle w:val="BookText"/>
        <w:rPr/>
      </w:pPr>
      <w:r>
        <w:rPr>
          <w:rFonts w:ascii="IRNazanin" w:hAnsi="IRNazanin" w:eastAsia="IRNazanin"/>
          <w:color w:val="111111"/>
          <w:sz w:val="28"/>
          <w:sz w:val="28"/>
          <w:szCs w:val="28"/>
          <w:rtl w:val="true"/>
          <w:lang w:bidi="fa-IR"/>
        </w:rPr>
        <w:t xml:space="preserve">هو جیّد ، کما حقّقناه فی ما سبق ، علی أنّ وقفه محلّ تأمّل ، کما حققناه فی الرجال </w:t>
      </w:r>
      <w:r>
        <w:rPr>
          <w:rStyle w:val="FootnoteAnchor"/>
          <w:rtl w:val="true"/>
        </w:rPr>
        <w:footnoteReference w:id="105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الصدوق فی الفقیه علی قزّ الماعز</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روی عن إبراهیم بن مهزیار أنّه کتب إلی أبی محمد علیه السلام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عن ریّان بن الصلت عن الرضا علیه السلام عن لبس السّمور والسنجاب والحواصل وأشباهها والمحشوّ بالقزّ والخفاف من أصناف الجلود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بهذا کلّه إلاّ الثعالب </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قزّ الإبریسم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من الشیخ الموافقة له </w:t>
      </w:r>
      <w:r>
        <w:rPr>
          <w:rStyle w:val="FootnoteAnchor"/>
          <w:rtl w:val="true"/>
        </w:rPr>
        <w:footnoteReference w:id="1055"/>
      </w:r>
      <w:r>
        <w:rPr>
          <w:rFonts w:ascii="IRNazanin" w:hAnsi="IRNazanin" w:eastAsia="IRNazanin"/>
          <w:color w:val="111111"/>
          <w:sz w:val="28"/>
          <w:sz w:val="28"/>
          <w:szCs w:val="28"/>
          <w:rtl w:val="true"/>
          <w:lang w:bidi="fa-IR"/>
        </w:rPr>
        <w:t xml:space="preserve">، وربما کان بناء حملها علیه ومنشؤه أنّ حشو الثوب یکون إبریسما أمر غیر معهود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 الراوی وما والاها </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ولا یصدر عن عاقل ، لعلوّ القیمة وعدم المنفعة والزینة ، بخلاف قزّ الماعز ، سیّما فی البلاد الباردة بالنسبة إلی أهل الفقر والمسکنة ، لحصول کمال الدف‌ء مع رخص القیمة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حملها علی الظاهر ربما کان عندهما مخالفا لمذهب الشیعة ، کما یظهر من المؤلّف والعلاّمة رحمه الله حیث نسبا الخلاف إلی خصوص الشافعی من العامّة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معارضة العمومات الدالة علی </w:t>
      </w:r>
      <w:bookmarkStart w:id="886" w:name="pg14966_204312"/>
    </w:p>
    <w:p>
      <w:pPr>
        <w:pStyle w:val="BookText"/>
        <w:rPr/>
      </w:pPr>
      <w:bookmarkEnd w:id="886"/>
      <w:r>
        <w:rPr>
          <w:rFonts w:ascii="IRNazanin" w:hAnsi="IRNazanin" w:eastAsia="IRNazanin"/>
          <w:color w:val="111111"/>
          <w:sz w:val="28"/>
          <w:sz w:val="28"/>
          <w:szCs w:val="28"/>
          <w:rtl w:val="true"/>
          <w:lang w:bidi="fa-IR"/>
        </w:rPr>
        <w:t xml:space="preserve">المنع حتی من مثل القلنسوة والتکّة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قرب عهدهما إلی زمان صدور الروایة والأمور المعهودة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إنّما هو علی سبیل الفرض ، بناء علی ما عهد من العامّة من فرضهم هذه المسألة وتکلّمهم فیها ، وذهب الشافعی إلی الجواز ، فإذا کان المخالفة من العامّة علی حسب ما مرّ فلا یبعد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أنّ المکاتبات لیست بمأمونة عن الأخذ والاطلاع علی ما فیها ، ولذا کثر تحقّق التقیّة فیها ، علی ما صرّح جدّی رحمه الله </w:t>
      </w:r>
      <w:r>
        <w:rPr>
          <w:rStyle w:val="FootnoteAnchor"/>
          <w:rtl w:val="true"/>
        </w:rPr>
        <w:footnoteReference w:id="1059"/>
      </w:r>
      <w:r>
        <w:rPr>
          <w:rFonts w:ascii="IRNazanin" w:hAnsi="IRNazanin" w:eastAsia="IRNazanin"/>
          <w:color w:val="111111"/>
          <w:sz w:val="28"/>
          <w:sz w:val="28"/>
          <w:szCs w:val="28"/>
          <w:rtl w:val="true"/>
          <w:lang w:bidi="fa-IR"/>
        </w:rPr>
        <w:t>، مضافا إلی أنّ المشهور عند العامّة صحة الصلاة فی الحریر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ما ورد فی روایة ریّان بن الصلت الموافقة لهذه من جواز الصلاة فی السمّور وسائر أصناف الجلود ، فاقتضی وجوه ثلاثة حملها علی التقیّة ، أشدّها أوسطها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النهی فی أکثر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فیه ، سیّما بعد ملاحظة ما أشرنا إلیه فی الحاشیة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لم یتوجّه المصنف ولا الشارح إلی حکم الصلاة فی الذهب ، وحکم العلاّمة فی التذکرة والتحریر والشهید فی البیان والدروس بالمنع عن الصلاة فیه للرجال ، بل ومن المموّه به أیضا ، وکذا الافتراش ، بل وببطلان الصلاة فی الخاتم منه ومن المموه به </w:t>
      </w:r>
      <w:r>
        <w:rPr>
          <w:rStyle w:val="FootnoteAnchor"/>
          <w:rtl w:val="true"/>
        </w:rPr>
        <w:footnoteReference w:id="1060"/>
      </w:r>
      <w:r>
        <w:rPr>
          <w:rFonts w:ascii="IRNazanin" w:hAnsi="IRNazanin" w:eastAsia="IRNazanin"/>
          <w:color w:val="111111"/>
          <w:sz w:val="28"/>
          <w:sz w:val="28"/>
          <w:szCs w:val="28"/>
          <w:rtl w:val="true"/>
          <w:lang w:bidi="fa-IR"/>
        </w:rPr>
        <w:t>، معلّلا بالنهی عن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2088073_388300464"/>
      <w:bookmarkStart w:id="888" w:name="_Toc342"/>
      <w:bookmarkEnd w:id="887"/>
      <w:r>
        <w:rPr>
          <w:rtl w:val="true"/>
        </w:rPr>
        <w:t>حکم الصلاة فی الذهب للرجال</w:t>
      </w:r>
      <w:bookmarkEnd w:id="888"/>
    </w:p>
    <w:p>
      <w:pPr>
        <w:pStyle w:val="BookText"/>
        <w:rPr/>
      </w:pPr>
      <w:r>
        <w:rPr>
          <w:rFonts w:ascii="IRNazanin" w:hAnsi="IRNazanin" w:eastAsia="IRNazanin"/>
          <w:color w:val="111111"/>
          <w:sz w:val="28"/>
          <w:sz w:val="28"/>
          <w:szCs w:val="28"/>
          <w:rtl w:val="true"/>
          <w:lang w:bidi="fa-IR"/>
        </w:rPr>
        <w:t xml:space="preserve">الکون فیه ، وبقول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الذهب حلیة أهل الجنّة ، فحرّم علی الرجال لبسه والصلاة فیه </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والصدوق فی کتابه العلل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التی من أجلها لا یجوز للرجل أن یتختم بخاتم حدید ولا یصلّی فیه ولا یجوز له أن یلبس الذهب ولا یصلّی فیه ، وروی موثقة عمار عن الصادق علیه السلام المتضمّنة لمنع الصلاة فی الحدید ، لأنّه من لباس أهل النار ، ومنع من الصلاة فی الذهب ، لأنّه من لباس أهل الجنّة ، وروایة أبی الجارود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لک ما أحبّ لنفسی ، وأکره لک ما أکره لنفسی ، لا تتختّم خاتم ذهب فإنّه زینتنا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یختار للرجل خاصّة الصلاة فی الحریر والذهب </w:t>
      </w:r>
      <w:r>
        <w:rPr>
          <w:rStyle w:val="FootnoteAnchor"/>
          <w:rtl w:val="true"/>
        </w:rPr>
        <w:footnoteReference w:id="1063"/>
      </w:r>
      <w:r>
        <w:rPr>
          <w:rFonts w:ascii="IRNazanin" w:hAnsi="IRNazanin" w:eastAsia="IRNazanin"/>
          <w:color w:val="111111"/>
          <w:sz w:val="28"/>
          <w:sz w:val="28"/>
          <w:szCs w:val="28"/>
          <w:rtl w:val="true"/>
          <w:lang w:bidi="fa-IR"/>
        </w:rPr>
        <w:t xml:space="preserve">، وفی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الصلاح بکراهة المذهّب ضعیف </w:t>
      </w:r>
      <w:r>
        <w:rPr>
          <w:rStyle w:val="FootnoteAnchor"/>
          <w:rtl w:val="true"/>
        </w:rPr>
        <w:footnoteReference w:id="1064"/>
      </w:r>
      <w:r>
        <w:rPr>
          <w:rFonts w:ascii="IRNazanin" w:hAnsi="IRNazanin" w:eastAsia="IRNazanin"/>
          <w:color w:val="111111"/>
          <w:sz w:val="28"/>
          <w:sz w:val="28"/>
          <w:szCs w:val="28"/>
          <w:rtl w:val="true"/>
          <w:lang w:bidi="fa-IR"/>
        </w:rPr>
        <w:t xml:space="preserve">، والصدوق رحمه الله فی الفقیه نقل موثقة عمار المذکورة </w:t>
      </w:r>
      <w:r>
        <w:rPr>
          <w:rStyle w:val="FootnoteAnchor"/>
          <w:rtl w:val="true"/>
        </w:rPr>
        <w:footnoteReference w:id="1065"/>
      </w:r>
      <w:r>
        <w:rPr>
          <w:rFonts w:ascii="IRNazanin" w:hAnsi="IRNazanin" w:eastAsia="IRNazanin"/>
          <w:color w:val="111111"/>
          <w:sz w:val="28"/>
          <w:sz w:val="28"/>
          <w:szCs w:val="28"/>
          <w:rtl w:val="true"/>
          <w:lang w:bidi="fa-IR"/>
        </w:rPr>
        <w:t xml:space="preserve">، فیظهر منه أنّه مفت بمضمونها فیه ، والکلینی رحمه الله روی روایة موسی بن أکیل النمیری ، فیظهر أنّه أیضا معتقد به ، والشیخ نقلها علی سبیل الاعتداد والاعتماد علیها ، ومضمون هذه الروایة أنّه قال الصادق علیه السلام فی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حلیة أهل النار ، والذهب حلیة أهل الجنّة ، جعله الله فی الدنیا زینة </w:t>
      </w:r>
    </w:p>
    <w:p>
      <w:pPr>
        <w:pStyle w:val="BookText"/>
        <w:rPr/>
      </w:pPr>
      <w:r>
        <w:rPr>
          <w:rFonts w:ascii="IRNazanin" w:hAnsi="IRNazanin" w:eastAsia="IRNazanin"/>
          <w:color w:val="111111"/>
          <w:sz w:val="28"/>
          <w:sz w:val="28"/>
          <w:szCs w:val="28"/>
          <w:rtl w:val="true"/>
          <w:lang w:bidi="fa-IR"/>
        </w:rPr>
        <w:t xml:space="preserve">للنساء ، فحرّم علی الرجال لبسه والصلاة فیه </w:t>
      </w:r>
      <w:r>
        <w:rPr>
          <w:rStyle w:val="FootnoteAnchor"/>
          <w:rtl w:val="true"/>
        </w:rPr>
        <w:footnoteReference w:id="1066"/>
      </w:r>
      <w:r>
        <w:rPr>
          <w:rFonts w:ascii="IRNazanin" w:hAnsi="IRNazanin" w:eastAsia="IRNazanin"/>
          <w:color w:val="111111"/>
          <w:sz w:val="28"/>
          <w:sz w:val="28"/>
          <w:szCs w:val="28"/>
          <w:rtl w:val="true"/>
          <w:lang w:bidi="fa-IR"/>
        </w:rPr>
        <w:t xml:space="preserve">، ویظهر منه ومن الصدوق أنّ کلّ واحد من الروایتین صحیحة ، 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 فی جلد المیتة علی کلّ حال ولا فی خاتم ذهب </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الکافی بسنده إلی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استرخت أسنانه فشدّها بالذهب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الصلاة فیه کونه ملبوسا ، لکن الظاهر من روایة النمیری أنّه أعمّ منه ومن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الأولی والأحوط الاجتناب ، خصوصا فی صورة اللبس ، وربما یؤیّده کونه مثل الحریر فی حرمة اللبس ، وأنّ الإنسان فی حال الصلاة لا بدّ أن لا یکون مشتغلا بأمر حرام ، وهذا وإن کان أعمّ من حال الصلاة إلاّ أنّ حال الصلاة أهمّ فأهمّ ، فتأمل ، بل یظهر من الأخبار هذا المعنی ، فلاحظ ، هذا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 خوف الضیاع وغیره من أسباب الحاجة یصلّی معه من غیر حاجة إلی الاحتیاط أصلا ، کما یشیر إلیه ما ورد فی طریق الحجّ للحاجّ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یجعل نفقته فی الهمیان ویشدّه فی وسطه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أنّ النفقة أعمّ من الدینار والدرهم ، بل الدینار أظهر فردیها ، کما لا یخفی ، وفی روایة النمیری أیضا ما یشیر إلی الجواز ، فلاحظ ، وما نقلناه عن الکافی أیضا شاهد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 بسنده عن داود بن سرحان أنّه لیس بحلیة </w:t>
      </w:r>
      <w:bookmarkStart w:id="889" w:name="pg14966_204315"/>
    </w:p>
    <w:p>
      <w:pPr>
        <w:pStyle w:val="BookText"/>
        <w:rPr/>
      </w:pPr>
      <w:bookmarkEnd w:id="889"/>
      <w:r>
        <w:rPr>
          <w:rFonts w:ascii="IRNazanin" w:hAnsi="IRNazanin" w:eastAsia="IRNazanin"/>
          <w:color w:val="111111"/>
          <w:sz w:val="28"/>
          <w:sz w:val="28"/>
          <w:szCs w:val="28"/>
          <w:rtl w:val="true"/>
          <w:lang w:bidi="fa-IR"/>
        </w:rPr>
        <w:t xml:space="preserve">المصاحف والسیوف بأس </w:t>
      </w:r>
      <w:r>
        <w:rPr>
          <w:rStyle w:val="FootnoteAnchor"/>
          <w:rtl w:val="true"/>
        </w:rPr>
        <w:footnoteReference w:id="1070"/>
      </w:r>
      <w:r>
        <w:rPr>
          <w:rFonts w:ascii="IRNazanin" w:hAnsi="IRNazanin" w:eastAsia="IRNazanin"/>
          <w:color w:val="111111"/>
          <w:sz w:val="28"/>
          <w:sz w:val="28"/>
          <w:szCs w:val="28"/>
          <w:rtl w:val="true"/>
          <w:lang w:bidi="fa-IR"/>
        </w:rPr>
        <w:t xml:space="preserve">، وعن عبد الله بن سنان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بتحلیة السیف بالذهب والفضة بأس </w:t>
      </w:r>
      <w:r>
        <w:rPr>
          <w:rStyle w:val="FootnoteAnchor"/>
          <w:rtl w:val="true"/>
        </w:rPr>
        <w:footnoteReference w:id="1071"/>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اختیار الأکثر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قال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الإسلام علی الجواز إلاّ الصدوق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عن مناقشة ، فإنّ العبرة بعموم اللفظ فی الجواب لا خصوص محلّ السؤال ، کما 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اللبس للنساء أیضا مطلق ، فیصلح کلّ منهما لأن یکون مقیّدا للآخر ، والترجیح للمشهور ، لأصالة البراءة واستصحاب الحالة السابقة ، والشهرة التی کادت أن تکون إجماعا ، وللموثق کالصحیح الآتی ، وما سنذکر فی الحاشیة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کثرة ما دل علی الجواز ، وکونها أقوی دلالة بلا شبهة ، وکون الروایة المانعة مع العلّة مکاتبة ، وهی أضعف بالقیاس إلی غیرها ، مع ضعف الدلالة ، إذ ربما کان المتبادر منها الرجال بملاحظة ما ذکره الشارح رحمه الله وما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أیضا موثقة عبد الله بن بکیر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أنّها کالصحیحة ، ومع ذلک منجبرة بعمل الأصحاب ، بل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0" w:name="__RefHeading___Toc2088075_388300464"/>
      <w:bookmarkStart w:id="891" w:name="_Toc343"/>
      <w:bookmarkEnd w:id="890"/>
      <w:r>
        <w:rPr>
          <w:rtl w:val="true"/>
        </w:rPr>
        <w:t>حکم لبس الحریر للنساء</w:t>
      </w:r>
      <w:bookmarkStart w:id="892" w:name="pg14966_204316"/>
      <w:bookmarkEnd w:id="891"/>
    </w:p>
    <w:p>
      <w:pPr>
        <w:pStyle w:val="BookText"/>
        <w:rPr/>
      </w:pPr>
      <w:bookmarkEnd w:id="892"/>
      <w:r>
        <w:rPr>
          <w:rFonts w:ascii="IRNazanin" w:hAnsi="IRNazanin" w:eastAsia="IRNazanin"/>
          <w:color w:val="111111"/>
          <w:sz w:val="28"/>
          <w:sz w:val="28"/>
          <w:szCs w:val="28"/>
          <w:rtl w:val="true"/>
          <w:lang w:bidi="fa-IR"/>
        </w:rPr>
        <w:t>ربما کان إجماعا ، لعموم البلوی وشدّة الحاجة ، وکون المرأة تحلّ لها لبسه ، فلو کان نزعه واجبا علیها فی حال الصلاة لشاع وذاع إلی أن لا یبقی خفاء بمقتضی العادة ، لا أن یکون الأمر بالعکس بحسب الفتوی ، بل وعمل المسلمین فی الأعصار والأمصار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المنهی عنه کعدمه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هذا التعلیل نظر ، لأنّ الصلاة عاریا یستلزم فوت واجبات کثیرة ، رکنا وغیر رکن ، وشرطا ، والواجب ترکه حرام ، فالعمدة هو الإجماع الذی یظهر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 إن کان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إدریس وأبی الصلاح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والمصنّف فی المعتبر والنافع أیضا ، والشهیدین والعلاّمة فی بعض کتبه مثل الإرشاد </w:t>
      </w:r>
      <w:r>
        <w:rPr>
          <w:rStyle w:val="FootnoteAnchor"/>
          <w:rtl w:val="true"/>
        </w:rPr>
        <w:footnoteReference w:id="1075"/>
      </w:r>
      <w:r>
        <w:rPr>
          <w:rFonts w:ascii="IRNazanin" w:hAnsi="IRNazanin" w:eastAsia="IRNazanin"/>
          <w:color w:val="111111"/>
          <w:sz w:val="28"/>
          <w:sz w:val="28"/>
          <w:szCs w:val="28"/>
          <w:rtl w:val="true"/>
          <w:lang w:bidi="fa-IR"/>
        </w:rPr>
        <w:t xml:space="preserve">، ولکن فی التحریر یظهر منه التوقّف </w:t>
      </w:r>
      <w:r>
        <w:rPr>
          <w:rStyle w:val="FootnoteAnchor"/>
          <w:rtl w:val="true"/>
        </w:rPr>
        <w:footnoteReference w:id="1076"/>
      </w:r>
      <w:r>
        <w:rPr>
          <w:rFonts w:ascii="IRNazanin" w:hAnsi="IRNazanin" w:eastAsia="IRNazanin"/>
          <w:color w:val="111111"/>
          <w:sz w:val="28"/>
          <w:sz w:val="28"/>
          <w:szCs w:val="28"/>
          <w:rtl w:val="true"/>
          <w:lang w:bidi="fa-IR"/>
        </w:rPr>
        <w:t>، بل ربما یظهر منه الجواز ، وکون الأحوط المنع ، بملاحظة عدم القول بالفصل فی المقام وفی ما لا تتمّ فیه الصلاة فی ما لا یؤکل ، فلاحظ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قوّی المنع </w:t>
      </w:r>
      <w:r>
        <w:rPr>
          <w:rStyle w:val="FootnoteAnchor"/>
          <w:rtl w:val="true"/>
        </w:rPr>
        <w:footnoteReference w:id="1077"/>
      </w:r>
      <w:r>
        <w:rPr>
          <w:rFonts w:ascii="IRNazanin" w:hAnsi="IRNazanin" w:eastAsia="IRNazanin"/>
          <w:color w:val="111111"/>
          <w:sz w:val="28"/>
          <w:sz w:val="28"/>
          <w:szCs w:val="28"/>
          <w:rtl w:val="true"/>
          <w:lang w:bidi="fa-IR"/>
        </w:rPr>
        <w:t xml:space="preserve">، وکذا فی المنتهی بعد الاستبصار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روایة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استدلوا بالأصل ، وعدم وجود المنع أیضا ، مع کون صحیحة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3" w:name="__RefHeading___Toc2088077_388300464"/>
      <w:bookmarkStart w:id="894" w:name="_Toc344"/>
      <w:bookmarkEnd w:id="893"/>
      <w:r>
        <w:rPr>
          <w:rtl w:val="true"/>
        </w:rPr>
        <w:t>حکم الصلاة فی ما لا تتم الصلاة فیه من الحریر کالتکة والقلنسوة</w:t>
      </w:r>
      <w:bookmarkEnd w:id="894"/>
    </w:p>
    <w:p>
      <w:pPr>
        <w:pStyle w:val="BookText"/>
        <w:rPr/>
      </w:pPr>
      <w:r>
        <w:rPr>
          <w:rFonts w:ascii="IRNazanin" w:hAnsi="IRNazanin" w:eastAsia="IRNazanin"/>
          <w:color w:val="111111"/>
          <w:sz w:val="28"/>
          <w:sz w:val="28"/>
          <w:szCs w:val="28"/>
          <w:rtl w:val="true"/>
          <w:lang w:bidi="fa-IR"/>
        </w:rPr>
        <w:t xml:space="preserve">محمد بن عبد الجبار حجّة عندهم قطعا ، وهذا یشهد علی ما سنذکر من تبادر الثوب من لفظ الحریر ، بل ظهر ذلک من المختلف فی مسألة المکفوف صریحا </w:t>
      </w:r>
      <w:r>
        <w:rPr>
          <w:rStyle w:val="FootnoteAnchor"/>
          <w:rtl w:val="true"/>
        </w:rPr>
        <w:footnoteReference w:id="1080"/>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أنّه یروی عن ابن أبی عمیر ، ومثل هذه الروایة معتبرة عند علماء الرجال ، لما ذکر فی ترجمته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عموم الأخبار المانعة من الصلاة فی الحریر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نجد منها ما یدل علی العموم المذکور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ورد النهی عن ثوب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صحیحة إسماعیل بن سعد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ولباسه إلاّ حالة الحرب من غیر مدخلیة کون الصلاة فیه ، مع تبادر الثوب من اللباس المطلق فی ما ورد بلفظ اللباس ، مع دعم معلومیة صحة السند ، نعم ورد خبر ضعیف بمضمون صحیحة إسماعیل بن سعد السابقة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عبد الجبار فی الصحیح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bookmarkStart w:id="895" w:name="pg14966_204318"/>
    </w:p>
    <w:p>
      <w:pPr>
        <w:pStyle w:val="BookText"/>
        <w:rPr/>
      </w:pPr>
      <w:bookmarkEnd w:id="895"/>
      <w:r>
        <w:rPr>
          <w:rFonts w:ascii="IRNazanin" w:hAnsi="IRNazanin" w:eastAsia="IRNazanin"/>
          <w:color w:val="111111"/>
          <w:sz w:val="28"/>
          <w:sz w:val="28"/>
          <w:szCs w:val="28"/>
          <w:rtl w:val="true"/>
          <w:lang w:bidi="fa-IR"/>
        </w:rPr>
        <w:t xml:space="preserve">هذه هی التی سبقت ما حکم </w:t>
      </w:r>
      <w:r>
        <w:rPr>
          <w:rStyle w:val="FootnoteAnchor"/>
          <w:rtl w:val="true"/>
        </w:rPr>
        <w:footnoteReference w:id="1087"/>
      </w:r>
      <w:r>
        <w:rPr>
          <w:rFonts w:ascii="IRNazanin" w:hAnsi="IRNazanin" w:eastAsia="IRNazanin"/>
          <w:color w:val="111111"/>
          <w:sz w:val="28"/>
          <w:sz w:val="28"/>
          <w:szCs w:val="28"/>
          <w:rtl w:val="true"/>
          <w:lang w:bidi="fa-IR"/>
        </w:rPr>
        <w:t xml:space="preserve">فی الصلاة فی ما لا یؤکل لحمه </w:t>
      </w:r>
      <w:r>
        <w:rPr>
          <w:rStyle w:val="FootnoteAnchor"/>
          <w:rtl w:val="true"/>
        </w:rPr>
        <w:footnoteReference w:id="1088"/>
      </w:r>
      <w:r>
        <w:rPr>
          <w:rFonts w:ascii="IRNazanin" w:hAnsi="IRNazanin" w:eastAsia="IRNazanin"/>
          <w:color w:val="111111"/>
          <w:sz w:val="28"/>
          <w:sz w:val="28"/>
          <w:szCs w:val="28"/>
          <w:rtl w:val="true"/>
          <w:lang w:bidi="fa-IR"/>
        </w:rPr>
        <w:t xml:space="preserve">، وأنّها لعلها محمولة علی التقیّة بالوجوه التی ذکرت ، فلعل الصحیحة الأولی أیضا کذلک ، لاشتراک الوجوه أکثرها مع أحادیثها </w:t>
      </w:r>
      <w:r>
        <w:rPr>
          <w:rStyle w:val="FootnoteAnchor"/>
          <w:rtl w:val="true"/>
        </w:rPr>
        <w:footnoteReference w:id="1089"/>
      </w:r>
      <w:r>
        <w:rPr>
          <w:rFonts w:ascii="IRNazanin" w:hAnsi="IRNazanin" w:eastAsia="IRNazanin"/>
          <w:color w:val="111111"/>
          <w:sz w:val="28"/>
          <w:sz w:val="28"/>
          <w:szCs w:val="28"/>
          <w:rtl w:val="true"/>
          <w:lang w:bidi="fa-IR"/>
        </w:rPr>
        <w:t>سندا ومتنا ودلالة وغیر ذلک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ابتناء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السبب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ذکرناه هناک من أنّ ذلک لا یخرجه عن العموم الذی یقبل التخصیص ، لأنّ کالنص لیس مثل النص فی عدم قبوله للتخصیص ، غایة الأمر أنّه یصیر قوی الدلالة ، والعامّ القوی الدلالة یخصّص بالخاصّ ، بل العامّ القطعی السند القوی الدلالة یخصّص فضلا عن الظنیّ الذی حجیته معرکة للآراء ومحلّ إشکال عظیم ، فإنّ المکاتبة وقع النزاع فی حجیتها ، حتی أنّ القائلین بالجواز صرّحوا بضعف المکاتبة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فیها ضعفا من جهة الخط ، وإن أخبر الثقة أنّه خطّه ، لأنّ الخط غیر معتبر شرعا ، کما اتفقوا فی مقام الشهادة ، ولأنّها لا یؤمن من أن یطّلع علیها من لا یرضی الإمام علیه السلام بالاطلاع علیها ، ولذا لا تکاد تخلو مکاتبة عن حزارة ، کما شهد به الوجدان ، وصرّح به جدّی رحمه الله </w:t>
      </w:r>
      <w:r>
        <w:rPr>
          <w:rStyle w:val="FootnoteAnchor"/>
          <w:rtl w:val="true"/>
        </w:rPr>
        <w:footnoteReference w:id="1091"/>
      </w:r>
      <w:r>
        <w:rPr>
          <w:rFonts w:ascii="IRNazanin" w:hAnsi="IRNazanin" w:eastAsia="IRNazanin"/>
          <w:color w:val="111111"/>
          <w:sz w:val="28"/>
          <w:sz w:val="28"/>
          <w:szCs w:val="28"/>
          <w:rtl w:val="true"/>
          <w:lang w:bidi="fa-IR"/>
        </w:rPr>
        <w:t>، فالمکاتبة وإن کانت صحیحة إلی محمد بن عبد الجبار إلاّ أنّها ضعیفة من الجهات المذکورة ، سیّما مع معارضتها لما سیجی‌ء من الأدلة المسلّمة عند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6" w:name="__RefHeading___Toc2088079_388300464"/>
      <w:bookmarkStart w:id="897" w:name="_Toc345"/>
      <w:bookmarkEnd w:id="896"/>
      <w:r>
        <w:rPr>
          <w:rtl w:val="true"/>
        </w:rPr>
        <w:t>بحث حول المکاتبة</w:t>
      </w:r>
      <w:bookmarkStart w:id="898" w:name="pg14966_204319"/>
      <w:bookmarkEnd w:id="897"/>
    </w:p>
    <w:p>
      <w:pPr>
        <w:pStyle w:val="BookText"/>
        <w:rPr/>
      </w:pPr>
      <w:bookmarkEnd w:id="898"/>
      <w:r>
        <w:rPr>
          <w:rFonts w:ascii="IRNazanin" w:hAnsi="IRNazanin" w:eastAsia="IRNazanin"/>
          <w:color w:val="111111"/>
          <w:sz w:val="28"/>
          <w:sz w:val="28"/>
          <w:szCs w:val="28"/>
          <w:rtl w:val="true"/>
          <w:lang w:bidi="fa-IR"/>
        </w:rPr>
        <w:t xml:space="preserve">القائلین بالمنع ، بل معارضة للصحیح وغیره ، علی ما مرّ فی الثوب المحشوّ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یوهنها موافقتها للصحیحة السابقة فی حکم ما لا یؤکل لحمه </w:t>
      </w:r>
      <w:r>
        <w:rPr>
          <w:rStyle w:val="FootnoteAnchor"/>
          <w:rtl w:val="true"/>
        </w:rPr>
        <w:footnoteReference w:id="1093"/>
      </w:r>
      <w:r>
        <w:rPr>
          <w:rFonts w:ascii="IRNazanin" w:hAnsi="IRNazanin" w:eastAsia="IRNazanin"/>
          <w:color w:val="111111"/>
          <w:sz w:val="28"/>
          <w:sz w:val="28"/>
          <w:szCs w:val="28"/>
          <w:rtl w:val="true"/>
          <w:lang w:bidi="fa-IR"/>
        </w:rPr>
        <w:t>سندا ومتنا ومضمونا وراویا وکونها مکاتبة ، مع تضمّنها لصحة الصلاة فی ما لا یؤکل لحمه فی الجملة ، وقد عرفت ما فیها ، وربما کانت محمولة علی التقیّة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یوهنها أیضا أنّ الحریر لغة هو الثوب المتخذ من الإبریسم المحض ، والمتبادر من لفظه المطلق الخالی عن القرائن لعله ذلک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کثر استعمالا فی ما ینسج من الإبریسم ، فیکون الجواب مطابقا للسؤال ، لکن لیس هذا نصا حتی یقابل النص ، لما عرفت من احتمال عدم المطابقة لما رأی المصلحة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منشأ هذا الاحتمال ، ولو کان مخالفا للظاهر ، لعدم استحالة عدم المطابقة من جهة المصلحة ، وقد وجد کثیرا </w:t>
      </w:r>
      <w:r>
        <w:rPr>
          <w:rStyle w:val="FootnoteAnchor"/>
          <w:rtl w:val="true"/>
        </w:rPr>
        <w:footnoteReference w:id="1094"/>
      </w:r>
      <w:r>
        <w:rPr>
          <w:rFonts w:ascii="IRNazanin" w:hAnsi="IRNazanin" w:eastAsia="IRNazanin"/>
          <w:color w:val="111111"/>
          <w:sz w:val="28"/>
          <w:sz w:val="28"/>
          <w:szCs w:val="28"/>
          <w:rtl w:val="true"/>
          <w:lang w:bidi="fa-IR"/>
        </w:rPr>
        <w:t>، ونبّه علیه الشیخ فی التهذیب والاستبصار مکرّرا ، فتتبّع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الحلبی وإن کان فیها ابن الهلال الغالی إلاّ أنّها مرویة عن ابن أبی عمیر ، وابن الغضائری توقّف فی حدیثه إلاّ ما یرویه عن ابن أبی عمیر والحسن بن محبوب ، وقد سمع هذین الکتابین جلّ أصحاب الحدیث واعتمدوا علیهما </w:t>
      </w:r>
      <w:r>
        <w:rPr>
          <w:rStyle w:val="FootnoteAnchor"/>
          <w:rtl w:val="true"/>
        </w:rPr>
        <w:footnoteReference w:id="1095"/>
      </w:r>
      <w:r>
        <w:rPr>
          <w:rFonts w:ascii="IRNazanin" w:hAnsi="IRNazanin" w:eastAsia="IRNazanin"/>
          <w:color w:val="111111"/>
          <w:sz w:val="28"/>
          <w:sz w:val="28"/>
          <w:szCs w:val="28"/>
          <w:rtl w:val="true"/>
          <w:lang w:bidi="fa-IR"/>
        </w:rPr>
        <w:t xml:space="preserve">،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الروایة ، یعرف منها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2088081_388300464"/>
      <w:bookmarkStart w:id="900" w:name="_Toc346"/>
      <w:bookmarkEnd w:id="899"/>
      <w:r>
        <w:rPr>
          <w:rtl w:val="true"/>
        </w:rPr>
        <w:t>بحث رجالی حول أحمد بن الهلال</w:t>
      </w:r>
      <w:bookmarkEnd w:id="900"/>
    </w:p>
    <w:p>
      <w:pPr>
        <w:pStyle w:val="BookText"/>
        <w:rPr/>
      </w:pPr>
      <w:r>
        <w:rPr>
          <w:rFonts w:ascii="IRNazanin" w:hAnsi="IRNazanin" w:eastAsia="IRNazanin"/>
          <w:color w:val="111111"/>
          <w:sz w:val="28"/>
          <w:sz w:val="28"/>
          <w:szCs w:val="28"/>
          <w:rtl w:val="true"/>
          <w:lang w:bidi="fa-IR"/>
        </w:rPr>
        <w:t xml:space="preserve">وینکر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یشیر إلی ما ذکره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المشیخة لابن محبوب أشهر من کتاب المزنی عند المخالفین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ونوادر ابن أبی عمیر ذکر فی أوّل الفقیه حاله </w:t>
      </w:r>
      <w:r>
        <w:rPr>
          <w:rStyle w:val="FootnoteAnchor"/>
          <w:rtl w:val="true"/>
        </w:rPr>
        <w:footnoteReference w:id="1098"/>
      </w:r>
      <w:r>
        <w:rPr>
          <w:rFonts w:ascii="IRNazanin" w:hAnsi="IRNazanin" w:eastAsia="IRNazanin"/>
          <w:color w:val="111111"/>
          <w:sz w:val="28"/>
          <w:sz w:val="28"/>
          <w:szCs w:val="28"/>
          <w:rtl w:val="true"/>
          <w:lang w:bidi="fa-IR"/>
        </w:rPr>
        <w:t xml:space="preserve">، وابن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یکاد یسلم عن قدحه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ما رواه عن ابن أبی عمیر ، وتوقّف فی غیره ولم یروه ، والنجاشی وافقه فی الجملة ، مع أنّه سمع جلّ أصحاب الحدیث علی ما ذکر فی محلّه ، وکثیرا ما عمل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المتأخرون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بروایته ، مثل ما مرّ فی غسالة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أحمد هذا کان علی الاستقامة ، ثم رجع فخرج التوقیع بلعنه والأمر بالبراءة منه ، فتبرّأ الشیعة منه ، وکانوا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یتفرّد به ابن هلال لا یجوز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سعد بن عبد الله الجلیل ، فلاحظ ، فکیف یروی هذه الروایة عنه بواسطة موسی بن الحسن الثقة الجلیل؟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ما ذکرته فی الرجال </w:t>
      </w:r>
      <w:r>
        <w:rPr>
          <w:rStyle w:val="FootnoteAnchor"/>
          <w:rtl w:val="true"/>
        </w:rPr>
        <w:footnoteReference w:id="1099"/>
      </w:r>
      <w:r>
        <w:rPr>
          <w:rFonts w:ascii="IRNazanin" w:hAnsi="IRNazanin" w:eastAsia="IRNazanin"/>
          <w:color w:val="111111"/>
          <w:sz w:val="28"/>
          <w:sz w:val="28"/>
          <w:szCs w:val="28"/>
          <w:rtl w:val="true"/>
          <w:lang w:bidi="fa-IR"/>
        </w:rPr>
        <w:t>یظهر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جلّ من أسّس اصطلاح المتأخرین من اقتصار الصحیح فی روایة العادل عن العادل ومعظم من اعتبر العدالة رجّح فی المقام هذه الروایة وقدّمها علی الصحیحة من حیث کونها خاصّا والخاصّ مقدّم ، وجمیع ما صار موهنا للصحیحة صار مقوّیا لهذه الروایة فی تقدیمها علی الصحیحة فتأمّل جدّا ، وکیف کان ، الروایات مشکل ، والاحتیاط واضح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النهی إنّما تعلّق بلبسه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bookmarkStart w:id="901" w:name="pg14966_204321"/>
    </w:p>
    <w:p>
      <w:pPr>
        <w:pStyle w:val="BookText"/>
        <w:rPr/>
      </w:pPr>
      <w:bookmarkEnd w:id="901"/>
      <w:r>
        <w:rPr>
          <w:rFonts w:ascii="IRNazanin" w:hAnsi="IRNazanin" w:eastAsia="IRNazanin"/>
          <w:color w:val="111111"/>
          <w:sz w:val="28"/>
          <w:sz w:val="28"/>
          <w:szCs w:val="28"/>
          <w:rtl w:val="true"/>
          <w:lang w:bidi="fa-IR"/>
        </w:rPr>
        <w:t xml:space="preserve">قد ورد فی بعض الأخبار إطلاق التحریم ، وهو یرجع إلی العموم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فی المقام ینصرف إلی اللبس ، لأنّه المتعارف الشائع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اسم اللبس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ممّا لا یخلو عن تأمّل ، ولذا حکم جدّه رحمه الله بأنّه مثل الافتراش </w:t>
      </w:r>
      <w:r>
        <w:rPr>
          <w:rStyle w:val="FootnoteAnchor"/>
          <w:rtl w:val="true"/>
        </w:rPr>
        <w:footnoteReference w:id="110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الکراهة کثیرا ما تستعمل فی الأخبار بمعنی التحریم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مجرّد کثرة الاستعمال لا یقتضی عدم الدلالة ، کیف؟ والعام قد کثر استعماله فی الخاص ، والأمر فی الندب ،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وبناؤه علی عدم ثبوت الحقیقة الشرعیة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عن هذا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أیضا له ظهور ، لظهور المسامحة التی لا تناسب الواجبات ، إلاّ أنّه ظهور مّا ولیس بنص تفی دلالته لتخصیص العمومات ، نعم لو کان فی الأخبار لا تستعمل إلاّ فی المصطلح مطلقا أو إلاّ نادرا یمکن أن تکون دلالته وافیة ، لقوة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ظهور شمول العمومات لما نحن فیه محلّ تأمّل ، حتی الشامل للتکة والقلنسوة نصا ، إذ بین مثل التکّة وبین ما نحن فیه فرق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رواه الشیخ فی الصحیح عن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لا یروی إلاّ عن الثقات ، وممّن أجمعت العصابة علی تصحیح 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2" w:name="__RefHeading___Toc2088083_388300464"/>
      <w:bookmarkStart w:id="903" w:name="_Toc347"/>
      <w:bookmarkEnd w:id="902"/>
      <w:r>
        <w:rPr>
          <w:rtl w:val="true"/>
        </w:rPr>
        <w:t>جواز الصلاة فی الثوب المکفوف بالحریر</w:t>
      </w:r>
      <w:bookmarkStart w:id="904" w:name="pg14966_204322"/>
      <w:bookmarkEnd w:id="903"/>
    </w:p>
    <w:p>
      <w:pPr>
        <w:pStyle w:val="BookText"/>
        <w:rPr/>
      </w:pPr>
      <w:bookmarkEnd w:id="904"/>
      <w:r>
        <w:rPr>
          <w:rFonts w:ascii="IRNazanin" w:hAnsi="IRNazanin" w:eastAsia="IRNazanin"/>
          <w:color w:val="111111"/>
          <w:sz w:val="28"/>
          <w:sz w:val="28"/>
          <w:szCs w:val="28"/>
          <w:rtl w:val="true"/>
          <w:lang w:bidi="fa-IR"/>
        </w:rPr>
        <w:t xml:space="preserve">یصح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یوسف بن إبراهیم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بالثوب أن یکون سداه وزرّه وعلمه حریرا ، وإنّما کره الحریر المبهم للرجال </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رواها المحمدون الثلاثة ، مع أنّ الصدوق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فی صدر کتابهما ما قالا ، والشیخ روی مفتیا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قوة السند ، بل وصحته ، وصراحة الدلالة ، والموافقة للشهرة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یظهر منه أنّ الحریر المحض الوارد فی الأخبار ، المراد منه کون نفس الثوب حریرا محضا ، وکذا ما یماثل الثوب مثل التکّة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منه صحة الصلاة ، فیجوز أن یکون لبسه فی غیر الصلاة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کون الثوب زرّه وعلمه حریرا مطلقا من غیر تعرّض لمنع الصلاة وأمر بالنزع فیها ظاهر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الجمع بینهما وبین السدی فی الحکم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علی ما ذکرت لا معارضة بین روایة جرّاح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من أنّ الاحتیاط للعبادة فلعله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القیام والقعود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أنّ الحرکات منهی عنها ، لکونها فی ملک الغیر بغیر إذن صاحبه ، ویکون المتصرف مشغول الذمّة فی أجرته وعوض ما تلف من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5" w:name="__RefHeading___Toc2088085_388300464"/>
      <w:bookmarkStart w:id="906" w:name="_Toc348"/>
      <w:bookmarkEnd w:id="905"/>
      <w:r>
        <w:rPr>
          <w:rtl w:val="true"/>
        </w:rPr>
        <w:t>حرمة الصلاة فی الثوب المغصوب</w:t>
      </w:r>
      <w:bookmarkEnd w:id="906"/>
    </w:p>
    <w:p>
      <w:pPr>
        <w:pStyle w:val="BookText"/>
        <w:rPr/>
      </w:pPr>
      <w:r>
        <w:rPr>
          <w:rFonts w:ascii="IRNazanin" w:hAnsi="IRNazanin" w:eastAsia="IRNazanin"/>
          <w:color w:val="111111"/>
          <w:sz w:val="28"/>
          <w:sz w:val="28"/>
          <w:szCs w:val="28"/>
          <w:rtl w:val="true"/>
          <w:lang w:bidi="fa-IR"/>
        </w:rPr>
        <w:t>الحرکات أو تفاوت القیمة بسببها ، ولا شکّ فی أنّه یجب المنع عن الحرکات من باب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الکون فی الثوب استدامة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إلاّ مجموع أجزاء من الکون ، والنهی عن الکلّ نهی عن جمیع أجزائه ، وتتفاوت الحرمة </w:t>
      </w:r>
      <w:r>
        <w:rPr>
          <w:rStyle w:val="FootnoteAnchor"/>
          <w:rtl w:val="true"/>
        </w:rPr>
        <w:footnoteReference w:id="1102"/>
      </w:r>
      <w:r>
        <w:rPr>
          <w:rFonts w:ascii="IRNazanin" w:hAnsi="IRNazanin" w:eastAsia="IRNazanin"/>
          <w:color w:val="111111"/>
          <w:sz w:val="28"/>
          <w:sz w:val="28"/>
          <w:szCs w:val="28"/>
          <w:rtl w:val="true"/>
          <w:lang w:bidi="fa-IR"/>
        </w:rPr>
        <w:t>بحسب الأجزاء قلّة وکثرة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شکّ فی عدم الفرق بین الجزء الأوّل وسائر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سیعترف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مکان المصلّی </w:t>
      </w:r>
      <w:r>
        <w:rPr>
          <w:rFonts w:eastAsia="IRNazanin" w:cs="IRNazanin"/>
          <w:color w:val="111111"/>
          <w:sz w:val="28"/>
          <w:szCs w:val="28"/>
          <w:rtl w:val="true"/>
          <w:lang w:bidi="fa-IR"/>
        </w:rPr>
        <w:t xml:space="preserve">)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الحرکات والسکنات الواقعة فیه منهی عنها </w:t>
      </w:r>
      <w:r>
        <w:rPr>
          <w:rStyle w:val="FootnoteAnchor"/>
          <w:rtl w:val="true"/>
        </w:rPr>
        <w:footnoteReference w:id="1104"/>
      </w:r>
      <w:r>
        <w:rPr>
          <w:rFonts w:ascii="IRNazanin" w:hAnsi="IRNazanin" w:eastAsia="IRNazanin"/>
          <w:color w:val="111111"/>
          <w:sz w:val="28"/>
          <w:sz w:val="28"/>
          <w:szCs w:val="28"/>
          <w:rtl w:val="true"/>
          <w:lang w:bidi="fa-IR"/>
        </w:rPr>
        <w:t>، ولا شکّ فی أنّه لا فرق بینه وبین الثوب ، إذ علّة الحرمة هو التصرّف فی ملک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الصلاة فی الساتر لظهر القدم ذی الساق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الاحتجاج فی توقیعات الصاحب علیه السلام إلی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الصلاة وفی الرجل بطیط لا یغطّی الکعبین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فیه شهادة للمنع عن مثل الشمشک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الإطلاق أولی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تأمّل لما ذکره ، لأنّ المطلق ینصرف إلی المتعارف ، ولیس ها هنا عموم لغوی</w:t>
      </w:r>
      <w:r>
        <w:rPr>
          <w:rFonts w:eastAsia="IRNazanin" w:cs="IRNazanin"/>
          <w:color w:val="111111"/>
          <w:sz w:val="28"/>
          <w:szCs w:val="28"/>
          <w:rtl w:val="true"/>
          <w:lang w:bidi="fa-IR"/>
        </w:rPr>
        <w:t xml:space="preserve">. </w:t>
      </w:r>
      <w:bookmarkStart w:id="907" w:name="pg14966_204324"/>
    </w:p>
    <w:p>
      <w:pPr>
        <w:pStyle w:val="BookText"/>
        <w:rPr/>
      </w:pPr>
      <w:bookmarkEnd w:id="90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الستر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الحاصل هو ستر اللون دون ستر الحجم ، إلاّ أنّ ستر اللون مجمع علیه بخلاف ستر الحجم ، والأصل عدم زیادة التکلیف وبراءة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الأخبار الستر مطلقا لا الستر فی الجملة ، فإنّه إذا رئی الحجم وظهر لا یقال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ستر عورته بعنوان الإطلاق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صحیحة ابن مسلم الآتیة فی ستر المرأة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إنّما یجری إذا کانت الصلاة اسما لمطلق الأرکان ، لا خصوص الصحیحة منها کما قال به بعض الفقهاء ، إذ علی هذا القول یشکل جریان الأصل ، وثبوت کونها اسما لمجرّد الأرکان ربما لا یخلو عن الإشکال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استدل به بعض الفقهاء </w:t>
      </w:r>
      <w:r>
        <w:rPr>
          <w:rStyle w:val="FootnoteAnchor"/>
          <w:rtl w:val="true"/>
        </w:rPr>
        <w:footnoteReference w:id="1107"/>
      </w:r>
      <w:r>
        <w:rPr>
          <w:rFonts w:ascii="IRNazanin" w:hAnsi="IRNazanin" w:eastAsia="IRNazanin"/>
          <w:color w:val="111111"/>
          <w:sz w:val="28"/>
          <w:sz w:val="28"/>
          <w:szCs w:val="28"/>
          <w:rtl w:val="true"/>
          <w:lang w:bidi="fa-IR"/>
        </w:rPr>
        <w:t xml:space="preserve">علی عدم وجوب ستر الحجم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النورة 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عورتک </w:t>
      </w:r>
      <w:r>
        <w:rPr>
          <w:rStyle w:val="FootnoteAnchor"/>
          <w:rtl w:val="true"/>
        </w:rPr>
        <w:footnoteReference w:id="1108"/>
      </w:r>
      <w:r>
        <w:rPr>
          <w:rFonts w:ascii="IRNazanin" w:hAnsi="IRNazanin" w:eastAsia="IRNazanin"/>
          <w:color w:val="111111"/>
          <w:sz w:val="28"/>
          <w:sz w:val="28"/>
          <w:szCs w:val="28"/>
          <w:rtl w:val="true"/>
          <w:lang w:bidi="fa-IR"/>
        </w:rPr>
        <w:t>، ظاهر الفساد ، لعدم حکایة الحجم فی النورة ، إذ حکایة الحجم هی أن یری الحجم بنفسه خلف ثوب رقیق أو مثل الثوب الرقیق ، لا أن یری النورة المطلیة علی الحجم وشکل مجموع النورة والحجم ، ولذا تکون المرأة اللابسة للثوب مستورة قطعا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والدرع لا یستر الیدین ولا القدمین بل ولا العقبین غالبا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8" w:name="__RefHeading___Toc2088087_388300464"/>
      <w:bookmarkStart w:id="909" w:name="_Toc349"/>
      <w:bookmarkEnd w:id="908"/>
      <w:r>
        <w:rPr>
          <w:rtl w:val="true"/>
        </w:rPr>
        <w:t>جواز الصلاة فی ثوب واحد للرجل دون المرأة</w:t>
      </w:r>
      <w:bookmarkEnd w:id="909"/>
    </w:p>
    <w:p>
      <w:pPr>
        <w:pStyle w:val="BookText"/>
        <w:rPr/>
      </w:pPr>
      <w:r>
        <w:rPr>
          <w:rFonts w:ascii="IRNazanin" w:hAnsi="IRNazanin" w:eastAsia="IRNazanin"/>
          <w:color w:val="111111"/>
          <w:sz w:val="28"/>
          <w:sz w:val="28"/>
          <w:szCs w:val="28"/>
          <w:rtl w:val="true"/>
          <w:lang w:bidi="fa-IR"/>
        </w:rPr>
        <w:t>قمیص نساء العرب غیر ظاهر کونه غیر ساتر للقدمین والعقبین وأنّه کان کذلک فی زمن الباقر علیه السلام ، إلاّ أن یتمسّک بالأصل ، فلم تکن الروایة دالة ، ومع ذلک إنّما یتمّ التمسّک به إذا کانت الصلاة اسما لمجرّد الأرکان لا خصوص الصحیح وإلاّ أشکل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الوجوب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فیها إشعار بأنّ الخمار ممّا یواری الشعر عند نساء العرب ، والآن نشاهد نساءهم علی هذا النحو خمارهم ، والظاهر أنّ الملحفة والمقنعة الواردتین فی الصحیحتین السابقتین الخمار ، بل علی أیّ حال مقنعتهنّ وملحفتهنّ تستر شعرهنّ ، بل وعنقهنّ علی ما نشاهد ، بل ربما کان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وتجلل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إلی ذلک ، وکیف کان الأحوط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قوله علیه السلام فی صحیحة علی بن جعفر المتقدّمة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الصحیحة دالة علی حکم المضطر لا المختار ، فلا تعارض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الأخبار الدالة علی تعیین العورة </w:t>
      </w:r>
      <w:r>
        <w:rPr>
          <w:rStyle w:val="FootnoteAnchor"/>
          <w:rtl w:val="true"/>
        </w:rPr>
        <w:footnoteReference w:id="1109"/>
      </w:r>
      <w:r>
        <w:rPr>
          <w:rFonts w:ascii="IRNazanin" w:hAnsi="IRNazanin" w:eastAsia="IRNazanin"/>
          <w:color w:val="111111"/>
          <w:sz w:val="28"/>
          <w:sz w:val="28"/>
          <w:szCs w:val="28"/>
          <w:rtl w:val="true"/>
          <w:lang w:bidi="fa-IR"/>
        </w:rPr>
        <w:t>تدل علی تعیین ما ذکره ، وتعارض صحیحة زرارة من حیث أنّها منجبرة بعمل الأصحاب والشهرة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إلاّ أن یکون علیه رداء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سیجی‌ء فی الصحیح أنّ الباقر علیه السلام أمّ الناس فی قمیص وحده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قمیصی کثیف فیجزئ عن الرداء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فالظاهر عدم </w:t>
      </w:r>
      <w:bookmarkStart w:id="910" w:name="pg14966_204326"/>
    </w:p>
    <w:p>
      <w:pPr>
        <w:pStyle w:val="BookText"/>
        <w:rPr/>
      </w:pPr>
      <w:bookmarkEnd w:id="910"/>
      <w:r>
        <w:rPr>
          <w:rFonts w:ascii="IRNazanin" w:hAnsi="IRNazanin" w:eastAsia="IRNazanin"/>
          <w:color w:val="111111"/>
          <w:sz w:val="28"/>
          <w:sz w:val="28"/>
          <w:szCs w:val="28"/>
          <w:rtl w:val="true"/>
          <w:lang w:bidi="fa-IR"/>
        </w:rPr>
        <w:t>الکراهة إذا کان کثیفا ، فیمکن حمل هذه الصحیحة علی کونه غیر کثیف ، علی ما هو الأغلب فی قمیصهم ، أو الحمل علی ما هو أعمّ من الاستحباب ، إذا الاستحباب لا تأمّل فیه وإن کان کثیفا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الاستدلال فرع أن یرد حدیث یدل علی اشتراط الساتر ، ولم یرد ولم یستدل به ، بل الدلیل هو الإجماع المنقول وصحیحة علی بن جعفر المذکورة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والإجماع أمر معنوی لا لفظی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الساتر المذکور فیه إطلاقه ینصرف إلی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علی بن جعفر فغایة ما یظهر منها أنّ المتعارف إطلاق الساتر علی الثیاب ، ومراد الشارح رحمه الله من الاستدلال بها أیضا لیس إلاّ هذا ، إذ لا تدل علی اشتراط الساتر أصلا ، یعنی بالمعنی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 علی اشتراطه بالمعنی الأعمّ ، مع أنّ الصحیحة لیست بصحیحة عند الشارح وأمثاله ، کما یظهر من ملاحظة سندها ، فلاحظ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یحیی الواسطی التی هی المستند فی تعیین العورتین فی الرجل صریحة فی أنّ الستر غیر منحصر فی الثوب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الدبر مستور بالألیتین </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أنّه ستر للصلاة أو عن النظر المحرّم ، والثانی لا شکّ فی کفایة کلّ ما یکون ساترا وحاجبا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1" w:name="__RefHeading___Toc2088089_388300464"/>
      <w:bookmarkStart w:id="912" w:name="_Toc350"/>
      <w:bookmarkEnd w:id="911"/>
      <w:r>
        <w:rPr>
          <w:rtl w:val="true"/>
        </w:rPr>
        <w:t>حکم من لا یجد ثوباً یستر به العورة</w:t>
      </w:r>
      <w:bookmarkEnd w:id="912"/>
    </w:p>
    <w:p>
      <w:pPr>
        <w:pStyle w:val="BookText"/>
        <w:rPr/>
      </w:pPr>
      <w:r>
        <w:rPr>
          <w:rFonts w:ascii="IRNazanin" w:hAnsi="IRNazanin" w:eastAsia="IRNazanin"/>
          <w:color w:val="111111"/>
          <w:sz w:val="28"/>
          <w:sz w:val="28"/>
          <w:szCs w:val="28"/>
          <w:rtl w:val="true"/>
          <w:lang w:bidi="fa-IR"/>
        </w:rPr>
        <w:t>منشأ استبعاده ظاهر صحیحة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استضعافا للروایة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إلی ابن مسکان صحیح وهو ممّن أجمعت العصابة ، ومع ذلک انجبرت بالشهرة ، ومع ذلک الأصل القیام مع الإمکان وعدم مانع ، لأنّه من واجبات الصلاة ، بل رکن فیها ، بل رکنان ، بل أرکان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صحیحة علی بن جعفر ، وصحیحة ابن سنان صریحة فی وجود المطلع أو الناظر المحترم ، وهذا مانع عن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حسنة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کونها حسنة والحسنة لا تقاوم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وجود الناظر فی غایة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تقیید للنص من غیر دلیل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سوی جعل السجود أخفض من الرکوع ، لورود الأخبار به ، کصحیحة زرارة المرویة فی الفقیه ، فإنّ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ویکون سجوده أخفض من رکوعه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ومثلها ما رواه فی قرب الاسناد عن السندی بن محمد ، عن أبی البختری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غرقت ثیابه فلا ینبغی له أن یصلّی حتی یخاف ذهاب الوقت ، یبتغی ثیابا ، فإن لم یجد صلّی عریانا جالسا یومئ إیماء ، ویجعل سجوده أخفض من رکوعه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 فی صحیحة عبد الرحمن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صلاة المریض غیر ما نحن فیه فمن أین ظهر اتحاد حکمهما؟ وما ذکره الشهید أولی ممّا ذکره ، لأنّ مستنده ما سیذکر من </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أمرتکم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15"/>
      </w:r>
      <w:r>
        <w:rPr>
          <w:rFonts w:ascii="IRNazanin" w:hAnsi="IRNazanin" w:eastAsia="IRNazanin"/>
          <w:color w:val="111111"/>
          <w:sz w:val="28"/>
          <w:sz w:val="28"/>
          <w:szCs w:val="28"/>
          <w:rtl w:val="true"/>
          <w:lang w:bidi="fa-IR"/>
        </w:rPr>
        <w:t xml:space="preserve">، وقول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النهی به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النهی المطلق ینصرف إلی الأفراد الشائعة ، إلاّ أن یکون اتفاق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علی المنع ، وإلاّ فلا شکّ فی تقدیم الصلاة مع الرکوع والسجود علی مجرّد الإیماء ، للأخبار المتواترة فی وجوبهما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الجمع بین الصلاتین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مانعه عرضی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فساده ، مع أنّ الحریر غیر ممنوع بالنسبة إلی النساء ، بل الرجال أیضا فی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النهی عن لبس الحریر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 مضافا إلی أنّ لبس الحریر حال الاضطرار جوازه إجماعی ، بل وجوبه ، نعم مع وجودهما لبس النجس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وجوب الاستمرار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خفاء فی ضعف هذا الاحتمال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من الجوانب التی جرت العادة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bookmarkStart w:id="913" w:name="pg14966_204329"/>
    </w:p>
    <w:p>
      <w:pPr>
        <w:pStyle w:val="BookText"/>
        <w:rPr/>
      </w:pPr>
      <w:bookmarkEnd w:id="913"/>
      <w:r>
        <w:rPr>
          <w:rFonts w:ascii="IRNazanin" w:hAnsi="IRNazanin" w:eastAsia="IRNazanin"/>
          <w:color w:val="111111"/>
          <w:sz w:val="28"/>
          <w:sz w:val="28"/>
          <w:szCs w:val="28"/>
          <w:rtl w:val="true"/>
          <w:lang w:bidi="fa-IR"/>
        </w:rPr>
        <w:t>لا خفاء فی وجوب سترها مطلقا عقلا ونقلا وعدم جواز کشفها کذلک ، وأیّ عاقل یرضی بأن یکشف عورته علی الناس من تحت لکون الکشف عن تحت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عاقل یرضی بالحلیّة والکشف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الستر معتبرا فی صلاة الجنازة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الاستدلال فرع أن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بالستر ، ولم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صحیحة علیّ بن جعفر </w:t>
      </w:r>
      <w:r>
        <w:rPr>
          <w:rStyle w:val="FootnoteAnchor"/>
          <w:rtl w:val="true"/>
        </w:rPr>
        <w:footnoteReference w:id="1120"/>
      </w:r>
      <w:r>
        <w:rPr>
          <w:rFonts w:ascii="IRNazanin" w:hAnsi="IRNazanin" w:eastAsia="IRNazanin"/>
          <w:color w:val="111111"/>
          <w:sz w:val="28"/>
          <w:sz w:val="28"/>
          <w:szCs w:val="28"/>
          <w:rtl w:val="true"/>
          <w:lang w:bidi="fa-IR"/>
        </w:rPr>
        <w:t>التی استدل بها علی ستر الحشیش والورق ، فالظاهر منها غیر صلاة المیت ، بل صریحها ، وإن قلنا بأنّها صلاة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یحسن وصفها بالحسن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شبهة فی أنّه لیس مراده الحسن الاصطلاحی ، بل الحسن من حیث العمل ، لأنّ ابن جبلة وإن کان واقفیا إلاّ أنّه موثق ، وکذا الحال فی إسحاق إن لم یکن ابن عمار بن حیان الکوفی الثقة الإمامی الجلیل ، بل الظاهر أنّه هو ، وقد حقّقنا حجیّة الموثق </w:t>
      </w:r>
      <w:r>
        <w:rPr>
          <w:rStyle w:val="FootnoteAnchor"/>
          <w:rtl w:val="true"/>
        </w:rPr>
        <w:footnoteReference w:id="1121"/>
      </w:r>
      <w:r>
        <w:rPr>
          <w:rFonts w:ascii="IRNazanin" w:hAnsi="IRNazanin" w:eastAsia="IRNazanin"/>
          <w:color w:val="111111"/>
          <w:sz w:val="28"/>
          <w:sz w:val="28"/>
          <w:szCs w:val="28"/>
          <w:rtl w:val="true"/>
          <w:lang w:bidi="fa-IR"/>
        </w:rPr>
        <w:t xml:space="preserve">، وفی المشهور أیضا أنّه حجّة ، ونبّه علی ذلک فی المعتبر </w:t>
      </w:r>
      <w:r>
        <w:rPr>
          <w:rStyle w:val="FootnoteAnchor"/>
          <w:rtl w:val="true"/>
        </w:rPr>
        <w:footnoteReference w:id="1122"/>
      </w:r>
      <w:r>
        <w:rPr>
          <w:rFonts w:ascii="IRNazanin" w:hAnsi="IRNazanin" w:eastAsia="IRNazanin"/>
          <w:color w:val="111111"/>
          <w:sz w:val="28"/>
          <w:sz w:val="28"/>
          <w:szCs w:val="28"/>
          <w:rtl w:val="true"/>
          <w:lang w:bidi="fa-IR"/>
        </w:rPr>
        <w:t>، فتأمّل ، ومع ذلک هذا الموثق موافق للأصل من وجوب الرکوع والسجود مع عدم مانع منهما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العدم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 العمومات حسن الستر والحیاء مهما أمکن ، وأمّا الروایة مع ضعفها ربما تکون واردة مورد التقیة ، لأنّ عمر کان أمر بضرب</w:t>
      </w:r>
    </w:p>
    <w:p>
      <w:pPr>
        <w:pStyle w:val="Heading3"/>
        <w:numPr>
          <w:ilvl w:val="2"/>
          <w:numId w:val="1"/>
        </w:numPr>
        <w:rPr/>
      </w:pPr>
      <w:bookmarkStart w:id="914" w:name="__RefHeading___Toc2088091_388300464"/>
      <w:bookmarkStart w:id="915" w:name="_Toc351"/>
      <w:bookmarkEnd w:id="914"/>
      <w:r>
        <w:rPr>
          <w:rtl w:val="true"/>
        </w:rPr>
        <w:t>عبد الله بن جَبَلة واقفی ثقة</w:t>
      </w:r>
      <w:bookmarkEnd w:id="915"/>
    </w:p>
    <w:p>
      <w:pPr>
        <w:pStyle w:val="Heading3"/>
        <w:numPr>
          <w:ilvl w:val="2"/>
          <w:numId w:val="1"/>
        </w:numPr>
        <w:rPr/>
      </w:pPr>
      <w:bookmarkStart w:id="916" w:name="__RefHeading___Toc2088093_388300464"/>
      <w:bookmarkStart w:id="917" w:name="_Toc352"/>
      <w:bookmarkEnd w:id="916"/>
      <w:r>
        <w:rPr>
          <w:rtl w:val="true"/>
        </w:rPr>
        <w:t>إسحاق بن عمّار بن حیّان الکوفی ثقة</w:t>
      </w:r>
      <w:bookmarkEnd w:id="91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2088095_388300464"/>
      <w:bookmarkStart w:id="919" w:name="_Toc353"/>
      <w:bookmarkEnd w:id="918"/>
      <w:r>
        <w:rPr>
          <w:rtl w:val="true"/>
        </w:rPr>
        <w:t>الأمة والصبیّة تصلّیان بدون خمار</w:t>
      </w:r>
      <w:bookmarkStart w:id="920" w:name="pg14966_204330"/>
      <w:bookmarkEnd w:id="919"/>
    </w:p>
    <w:p>
      <w:pPr>
        <w:pStyle w:val="BookText"/>
        <w:rPr/>
      </w:pPr>
      <w:bookmarkEnd w:id="920"/>
      <w:r>
        <w:rPr>
          <w:rFonts w:ascii="IRNazanin" w:hAnsi="IRNazanin" w:eastAsia="IRNazanin"/>
          <w:color w:val="111111"/>
          <w:sz w:val="28"/>
          <w:sz w:val="28"/>
          <w:szCs w:val="28"/>
          <w:rtl w:val="true"/>
          <w:lang w:bidi="fa-IR"/>
        </w:rPr>
        <w:t xml:space="preserve">الأمة لذلک أو کان یضرب </w:t>
      </w:r>
      <w:r>
        <w:rPr>
          <w:rStyle w:val="FootnoteAnchor"/>
          <w:rtl w:val="true"/>
        </w:rPr>
        <w:footnoteReference w:id="1123"/>
      </w:r>
      <w:r>
        <w:rPr>
          <w:rFonts w:ascii="IRNazanin" w:hAnsi="IRNazanin" w:eastAsia="IRNazanin"/>
          <w:color w:val="111111"/>
          <w:sz w:val="28"/>
          <w:sz w:val="28"/>
          <w:szCs w:val="28"/>
          <w:rtl w:val="true"/>
          <w:lang w:bidi="fa-IR"/>
        </w:rPr>
        <w:t xml:space="preserve">، وکان هذا مشهورا منه ، مع أنّ الضرب أذیّة لا یجوز أن یرتکب إلاّ لفعل حرام أو ترک واجب ، ولیس سترها حراما اتفاقا ، وورد النهی الشدید فی ضرب المملوک والأمر بالعفو عنه ، حتی أنّهم علیهم السلام أمروا بالعفو عنه سبعین مرّة ، وعن ضربه فی النسیان والزلّة </w:t>
      </w:r>
      <w:r>
        <w:rPr>
          <w:rStyle w:val="FootnoteAnchor"/>
          <w:rtl w:val="true"/>
        </w:rPr>
        <w:footnoteReference w:id="1124"/>
      </w:r>
      <w:r>
        <w:rPr>
          <w:rFonts w:ascii="IRNazanin" w:hAnsi="IRNazanin" w:eastAsia="IRNazanin"/>
          <w:color w:val="111111"/>
          <w:sz w:val="28"/>
          <w:sz w:val="28"/>
          <w:szCs w:val="28"/>
          <w:rtl w:val="true"/>
          <w:lang w:bidi="fa-IR"/>
        </w:rPr>
        <w:t>، فکیف إذا کان مرادها الستر والعفاف والحیاء؟ مع أنّ الظاهر من الروایة الضرب من دون تقدیم منع وإصرار منها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التعلیل بمعرفة المملوکة عن الحرّة أیضا فیه ما فیه ، فإنّها معروفة عنها بلا شبهة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ما افتتحت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معارضة بالقاعدة الکلیة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 الطهارة ورکعة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عدم الحاجة إلی الطهارة مع حصولها ، إذا الصلاة الفریضة بالطهارة المستحبة لا تأمّل فی صحتها لو لم نقل بالأولویة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تقلّد بهما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فی الصحاح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تقلّد بهما ، ولا یوجد منها فیه أثر أصلا ، فلاحظ ، نعم فی القاموس ذلک </w:t>
      </w:r>
      <w:r>
        <w:rPr>
          <w:rStyle w:val="FootnoteAnchor"/>
          <w:rtl w:val="true"/>
        </w:rPr>
        <w:footnoteReference w:id="1126"/>
      </w:r>
      <w:r>
        <w:rPr>
          <w:rFonts w:ascii="IRNazanin" w:hAnsi="IRNazanin" w:eastAsia="IRNazanin"/>
          <w:color w:val="111111"/>
          <w:sz w:val="28"/>
          <w:sz w:val="28"/>
          <w:szCs w:val="28"/>
          <w:rtl w:val="true"/>
          <w:lang w:bidi="fa-IR"/>
        </w:rPr>
        <w:t>، وقول الصحاح أصحّ من قول القاموس مطلقا عند المحقّقین ، ومع ذلک یکون المکروه علی هذا مطلق التقلید فوق القمیص ، والمتبادر الشائع تقلّد غیر الثوب من الحمائل والتمائم والسیف</w:t>
      </w:r>
    </w:p>
    <w:p>
      <w:pPr>
        <w:pStyle w:val="Heading3"/>
        <w:numPr>
          <w:ilvl w:val="2"/>
          <w:numId w:val="1"/>
        </w:numPr>
        <w:rPr/>
      </w:pPr>
      <w:bookmarkStart w:id="921" w:name="__RefHeading___Toc2088097_388300464"/>
      <w:bookmarkStart w:id="922" w:name="_Toc354"/>
      <w:bookmarkEnd w:id="921"/>
      <w:r>
        <w:rPr>
          <w:rtl w:val="true"/>
        </w:rPr>
        <w:t>مکروهات لباس المصلّی</w:t>
      </w:r>
      <w:bookmarkEnd w:id="92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3" w:name="__RefHeading___Toc2088099_388300464"/>
      <w:bookmarkStart w:id="924" w:name="_Toc355"/>
      <w:bookmarkEnd w:id="923"/>
      <w:r>
        <w:rPr>
          <w:rtl w:val="true"/>
        </w:rPr>
        <w:t>الاتزار فوق القمیص</w:t>
      </w:r>
      <w:bookmarkStart w:id="925" w:name="pg14966_204331"/>
      <w:bookmarkEnd w:id="924"/>
    </w:p>
    <w:p>
      <w:pPr>
        <w:pStyle w:val="BookText"/>
        <w:rPr/>
      </w:pPr>
      <w:bookmarkEnd w:id="925"/>
      <w:r>
        <w:rPr>
          <w:rFonts w:ascii="IRNazanin" w:hAnsi="IRNazanin" w:eastAsia="IRNazanin"/>
          <w:color w:val="111111"/>
          <w:sz w:val="28"/>
          <w:sz w:val="28"/>
          <w:szCs w:val="28"/>
          <w:rtl w:val="true"/>
          <w:lang w:bidi="fa-IR"/>
        </w:rPr>
        <w:t>عند العرب ، والکلّ کان عادة الکلّ من غیر اختصاص بأهل الجاهلیة أو الیهود أو الجبابرة ، وأنّه لهذا کره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 الرسول صلی الله علیه و آله والأئمّة علیهم السلام وأولادهم کانوا یقلّدون الحمائل والسیف والتمائم ، مع أنّ أحدا من الفقهاء لم یفت بکراهة تقلید أمثال ما ذکر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فی من لا یحضره الفقیه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الصدوق رحمه الله أیضا فهم من التوشّح الائتزار ، وهو الظاهر من غیر واحد من الأخبار ، مثل روایة زیاد بن المنذر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یخرج من الحمّام فیتوشّح ویلبس قمیصه فوق الإزار فیصلی کذلک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عمل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یتوشّح فوق القمیص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التجبر </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الحدیث ، وصحیحة ابن مسلم أنّه سأل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یصلّی فی قمیص واحد أو قباء طاق ولیس علیه إزار؟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القمیص صفیقا والقباء لیس بطویل الفرج والثوب الواحد إذا کان یتوشّح به والسراویل بتلک المنزلة ، کلّ ذلک لا بأس به </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الحدیث ، 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روی ابن أبی جمهور فی العوالی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الصلاة مقتطعا ، رواه مکرّرا عنه </w:t>
      </w:r>
      <w:r>
        <w:rPr>
          <w:rStyle w:val="FootnoteAnchor"/>
          <w:rtl w:val="true"/>
        </w:rPr>
        <w:footnoteReference w:id="1129"/>
      </w:r>
      <w:r>
        <w:rPr>
          <w:rFonts w:ascii="IRNazanin" w:hAnsi="IRNazanin" w:eastAsia="IRNazanin"/>
          <w:color w:val="111111"/>
          <w:sz w:val="28"/>
          <w:sz w:val="28"/>
          <w:szCs w:val="28"/>
          <w:rtl w:val="true"/>
          <w:lang w:bidi="fa-IR"/>
        </w:rPr>
        <w:t>، مع أنّ الإجماع المنقول یکفی ، بل</w:t>
      </w:r>
    </w:p>
    <w:p>
      <w:pPr>
        <w:pStyle w:val="Heading4"/>
        <w:numPr>
          <w:ilvl w:val="3"/>
          <w:numId w:val="1"/>
        </w:numPr>
        <w:rPr/>
      </w:pPr>
      <w:bookmarkStart w:id="926" w:name="__RefHeading___Toc2088101_388300464"/>
      <w:bookmarkStart w:id="927" w:name="_Toc356"/>
      <w:bookmarkEnd w:id="926"/>
      <w:r>
        <w:rPr>
          <w:rtl w:val="true"/>
        </w:rPr>
        <w:t>معنی التوشح</w:t>
      </w:r>
      <w:bookmarkEnd w:id="92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8" w:name="__RefHeading___Toc2088103_388300464"/>
      <w:bookmarkStart w:id="929" w:name="_Toc357"/>
      <w:bookmarkEnd w:id="928"/>
      <w:r>
        <w:rPr>
          <w:rtl w:val="true"/>
        </w:rPr>
        <w:t>الصلاة فی عمامة لا حنک لها</w:t>
      </w:r>
      <w:bookmarkStart w:id="930" w:name="pg14966_204332"/>
      <w:bookmarkEnd w:id="929"/>
    </w:p>
    <w:p>
      <w:pPr>
        <w:pStyle w:val="BookText"/>
        <w:rPr/>
      </w:pPr>
      <w:bookmarkEnd w:id="930"/>
      <w:r>
        <w:rPr>
          <w:rFonts w:ascii="IRNazanin" w:hAnsi="IRNazanin" w:eastAsia="IRNazanin"/>
          <w:color w:val="111111"/>
          <w:sz w:val="28"/>
          <w:sz w:val="28"/>
          <w:szCs w:val="28"/>
          <w:rtl w:val="true"/>
          <w:lang w:bidi="fa-IR"/>
        </w:rPr>
        <w:t>الشهرة أیضا ، للتسامح فی أدلة السنن والمکروه ، مع أنّه یظهر من الأخبار أنّ ما هو ممنوع فی نفسه ممنوع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فاسد ، لأنّ شدّ القباء غیر التحزّم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إذا نهی عن التحزّم فالشدّ منهی عنه بطریق أولی ، لأنّ التحزّم قلیل شدّ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لم یفتوا بکراهة التحزّم ، والقیاس بطریق أولی حجّة إذا کان المقیس علیه صحیحا یقولون به ، إذا لا معنی للقول بالفرع مع عدم القول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بکراهة التحزّم أیضا ، أی استحباب عدمه ، والمستحب یسامح فی دلیله ومأخذه ، ولا یجب أن یکون له قائل من الفقهاء ، کما 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 الأخبار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متعمّما صلّی بجمیع أمتی بغیر عمامة یقبل الله صلاتهم جمیعا من کرامته علیه </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رکعتین بعمامة فضله علی من لم یتعمّم کفضل النبی علی أمّته </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وفی الکافی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متطیّب أفضل من سبعین صلاة بغیر طیب </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وفی العوالی عن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قام إلی الصلاة لبس أجود ثیابه ، وکان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جمیل یحب الجمال </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 لکن فی التهذیب روی عن الصادقین علیهماالسلام أنّهما کانا یلبسان أخشن ثیابهما وأغلظهما فی الصلاة </w:t>
      </w:r>
      <w:r>
        <w:rPr>
          <w:rStyle w:val="FootnoteAnchor"/>
          <w:rtl w:val="true"/>
        </w:rPr>
        <w:footnoteReference w:id="1134"/>
      </w:r>
      <w:r>
        <w:rPr>
          <w:rFonts w:ascii="IRNazanin" w:hAnsi="IRNazanin" w:eastAsia="IRNazanin"/>
          <w:color w:val="111111"/>
          <w:sz w:val="28"/>
          <w:sz w:val="28"/>
          <w:szCs w:val="28"/>
          <w:rtl w:val="true"/>
          <w:lang w:bidi="fa-IR"/>
        </w:rPr>
        <w:t>، ولعله لإظهار التواضع والحاجة إلیه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2088105_388300464"/>
      <w:bookmarkStart w:id="932" w:name="_Toc358"/>
      <w:bookmarkEnd w:id="931"/>
      <w:r>
        <w:rPr>
          <w:rtl w:val="true"/>
        </w:rPr>
        <w:t>الصلاة فی قباء مشدود</w:t>
      </w:r>
      <w:bookmarkStart w:id="933" w:name="pg14966_204333"/>
      <w:bookmarkEnd w:id="932"/>
    </w:p>
    <w:p>
      <w:pPr>
        <w:pStyle w:val="BookText"/>
        <w:rPr/>
      </w:pPr>
      <w:bookmarkEnd w:id="933"/>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کراهة الإمامة بغیر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الشهرة کافیة فی مقام المسامحة فی الدلیل ، بل ربما یفتون بالاستحباب أو الکراهة بمجرّد فتوی فقیه واحد ، منها ما سیجی‌ء فی الصلاة إلی باب مفتوح وغیره ، ویؤیّدها صحیحة زرارة الآتیة ، کما لا یخفی عند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تجوز الصلاة إذا کان مع الإنسان شی‌ء من حدید مشتهر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الکلینی والصدوق أیضا المنع </w:t>
      </w:r>
      <w:r>
        <w:rPr>
          <w:rStyle w:val="FootnoteAnchor"/>
          <w:rtl w:val="true"/>
        </w:rPr>
        <w:footnoteReference w:id="1135"/>
      </w:r>
      <w:r>
        <w:rPr>
          <w:rFonts w:ascii="IRNazanin" w:hAnsi="IRNazanin" w:eastAsia="IRNazanin"/>
          <w:color w:val="111111"/>
          <w:sz w:val="28"/>
          <w:sz w:val="28"/>
          <w:szCs w:val="28"/>
          <w:rtl w:val="true"/>
          <w:lang w:bidi="fa-IR"/>
        </w:rPr>
        <w:t xml:space="preserve">، والأخبار الدالة علیه کثیرة ، منها موثقة عمار ، حیث نهی فیها عن الصلاة وعلیه خاتم حدید ، وعلّل بأنّه لباس أهل النار </w:t>
      </w:r>
      <w:r>
        <w:rPr>
          <w:rStyle w:val="FootnoteAnchor"/>
          <w:rtl w:val="true"/>
        </w:rPr>
        <w:footnoteReference w:id="1136"/>
      </w:r>
      <w:r>
        <w:rPr>
          <w:rFonts w:ascii="IRNazanin" w:hAnsi="IRNazanin" w:eastAsia="IRNazanin"/>
          <w:color w:val="111111"/>
          <w:sz w:val="28"/>
          <w:sz w:val="28"/>
          <w:szCs w:val="28"/>
          <w:rtl w:val="true"/>
          <w:lang w:bidi="fa-IR"/>
        </w:rPr>
        <w:t>، فإن لم نقل بأنّ الموثق حجّة فالحکم الکراهة ، کما هو المشهور ، فإنّ الأخبار غیر الصحیحة وإن اتفقوا علی العمل بها فی المقام إلاّ أنّه لم یثبت أزید من کون العمل علی سبیل المسامحة فی أدلة السنن والکراهة ، فلا یمکن الحکم بالحرمة ، لما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بأنّ الموثق حجّة فیمکن إثبات الحرمة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المنع عن الصلاة فیه ومعه بکونه نجسا شاهد واضح علی الکراهة ، لعدم کونه نجسا بالإجماع ، ولذا تجوز الصلاة معه مستورا ، مع أنّ متون روایات عمار ربما لا تخلو عن التشویش ، فالمراد کراهة الاستصحاب ، فقد</w:t>
      </w:r>
    </w:p>
    <w:p>
      <w:pPr>
        <w:pStyle w:val="Heading4"/>
        <w:numPr>
          <w:ilvl w:val="3"/>
          <w:numId w:val="1"/>
        </w:numPr>
        <w:rPr/>
      </w:pPr>
      <w:bookmarkStart w:id="934" w:name="__RefHeading___Toc2088107_388300464"/>
      <w:bookmarkStart w:id="935" w:name="_Toc359"/>
      <w:bookmarkEnd w:id="934"/>
      <w:r>
        <w:rPr>
          <w:rtl w:val="true"/>
        </w:rPr>
        <w:t>الإمامة بغیر رداء</w:t>
      </w:r>
      <w:bookmarkEnd w:id="93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6" w:name="__RefHeading___Toc2088109_388300464"/>
      <w:bookmarkStart w:id="937" w:name="_Toc360"/>
      <w:bookmarkEnd w:id="936"/>
      <w:r>
        <w:rPr>
          <w:rtl w:val="true"/>
        </w:rPr>
        <w:t>حکم استصحاب الحدید الظاهر فی الصلاة</w:t>
      </w:r>
      <w:bookmarkStart w:id="938" w:name="pg14966_204334"/>
      <w:bookmarkEnd w:id="937"/>
    </w:p>
    <w:p>
      <w:pPr>
        <w:pStyle w:val="BookText"/>
        <w:rPr/>
      </w:pPr>
      <w:bookmarkEnd w:id="938"/>
      <w:r>
        <w:rPr>
          <w:rFonts w:ascii="IRNazanin" w:hAnsi="IRNazanin" w:eastAsia="IRNazanin"/>
          <w:color w:val="111111"/>
          <w:sz w:val="28"/>
          <w:sz w:val="28"/>
          <w:szCs w:val="28"/>
          <w:rtl w:val="true"/>
          <w:lang w:bidi="fa-IR"/>
        </w:rPr>
        <w:t xml:space="preserve">روی عمار هذا فی الموثق أیضا فی من قصّ أظفاره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قفاه وصلّی من غیر مسح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یمسح به ویعید الصلاة ، لأنّ الحدید نجس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الحدید لباس أهل النار </w:t>
      </w:r>
      <w:r>
        <w:rPr>
          <w:rFonts w:eastAsia="IRNazanin" w:cs="IRNazanin"/>
          <w:color w:val="111111"/>
          <w:sz w:val="28"/>
          <w:szCs w:val="28"/>
          <w:rtl w:val="true"/>
          <w:lang w:bidi="fa-IR"/>
        </w:rPr>
        <w:t xml:space="preserve">» </w:t>
      </w:r>
      <w:r>
        <w:rPr>
          <w:rStyle w:val="FootnoteAnchor"/>
          <w:rtl w:val="true"/>
        </w:rPr>
        <w:footnoteReference w:id="113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قیل بکراهة الصلاة فی الخاتم الذی فصّه حدید صینی ، ولعله لما فی الاحتجاج من توقیع الصاحب علیه السلام إلی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 الخماهن فیه کراهة أن یصلّی فیه ، وفیه إطلاق ، والعمل علی الکراهة </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باشد سیاه که از آن نگین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فی خلاخل النساء إذا کان لها صوت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اختصاص للروایة بحال الصلاة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طویلة ، والمتقدّم علی هذا السؤال والجواب والمتأخّر عنهما سؤالات وجوابات کثیرة کلّها متعلّقة بأمر الصلاة بل المتأخر عمّا ذکر من الروایة بلا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فأرة المسک تکون مع الرجل فی جیبه أو ثیابه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ولا شکّ فی أنّ المراد حال الصلاة ، مع أنّ تعلیل المنع عن الصلاة فی السواد والحدید بأنّه من لباس أهل النار ربما یشیر إلی أنّ ما هو ممنوع منه فی نفسه لا یصلح حال الصلاة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إسماعیل بن بزیع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Heading4"/>
        <w:numPr>
          <w:ilvl w:val="3"/>
          <w:numId w:val="1"/>
        </w:numPr>
        <w:rPr/>
      </w:pPr>
      <w:bookmarkStart w:id="939" w:name="__RefHeading___Toc2088111_388300464"/>
      <w:bookmarkStart w:id="940" w:name="_Toc361"/>
      <w:bookmarkEnd w:id="939"/>
      <w:r>
        <w:rPr>
          <w:rtl w:val="true"/>
        </w:rPr>
        <w:t>صلاة المرأة فی خلخال له صوّت</w:t>
      </w:r>
      <w:bookmarkEnd w:id="94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2088113_388300464"/>
      <w:bookmarkStart w:id="942" w:name="_Toc362"/>
      <w:bookmarkEnd w:id="941"/>
      <w:r>
        <w:rPr>
          <w:rtl w:val="true"/>
        </w:rPr>
        <w:t>الصلاة فی ثوب علیه تماثیل</w:t>
      </w:r>
      <w:bookmarkStart w:id="943" w:name="pg14966_204335"/>
      <w:bookmarkEnd w:id="942"/>
    </w:p>
    <w:p>
      <w:pPr>
        <w:pStyle w:val="BookText"/>
        <w:rPr/>
      </w:pPr>
      <w:bookmarkEnd w:id="943"/>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صورة الحیوان بناء علی أنّ الإطلاق ینصرف إلی الکامل ، ولما ورد فی أخبار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النهی عن تصویر الصور والتماثیل بعنوان الإطلاق ، ثمّ علّق علیه أنّ الله یعذّب المصوّر بنفخ الروح فیها وفی تلک التماثیل </w:t>
      </w:r>
      <w:r>
        <w:rPr>
          <w:rStyle w:val="FootnoteAnchor"/>
          <w:rtl w:val="true"/>
        </w:rPr>
        <w:footnoteReference w:id="1143"/>
      </w:r>
      <w:r>
        <w:rPr>
          <w:rFonts w:ascii="IRNazanin" w:hAnsi="IRNazanin" w:eastAsia="IRNazanin"/>
          <w:color w:val="111111"/>
          <w:sz w:val="28"/>
          <w:sz w:val="28"/>
          <w:szCs w:val="28"/>
          <w:rtl w:val="true"/>
          <w:lang w:bidi="fa-IR"/>
        </w:rPr>
        <w:t xml:space="preserve">، ولما ورد من أنّ سلیمان علیه السلام کانوا یعملون له تماثیل الشجر وشبهه لا تماثیل الرجال والنساء </w:t>
      </w:r>
      <w:r>
        <w:rPr>
          <w:rStyle w:val="FootnoteAnchor"/>
          <w:rtl w:val="true"/>
        </w:rPr>
        <w:footnoteReference w:id="1144"/>
      </w:r>
      <w:r>
        <w:rPr>
          <w:rFonts w:ascii="IRNazanin" w:hAnsi="IRNazanin" w:eastAsia="IRNazanin"/>
          <w:color w:val="111111"/>
          <w:sz w:val="28"/>
          <w:sz w:val="28"/>
          <w:szCs w:val="28"/>
          <w:rtl w:val="true"/>
          <w:lang w:bidi="fa-IR"/>
        </w:rPr>
        <w:t xml:space="preserve">، ولما ورد من عدم البأس إذا کانت بعین واحدة لا أن تکون لها عینان ، أو قطع رأسها </w:t>
      </w:r>
      <w:r>
        <w:rPr>
          <w:rStyle w:val="FootnoteAnchor"/>
          <w:rtl w:val="true"/>
        </w:rPr>
        <w:footnoteReference w:id="1145"/>
      </w:r>
      <w:r>
        <w:rPr>
          <w:rFonts w:ascii="IRNazanin" w:hAnsi="IRNazanin" w:eastAsia="IRNazanin"/>
          <w:color w:val="111111"/>
          <w:sz w:val="28"/>
          <w:sz w:val="28"/>
          <w:szCs w:val="28"/>
          <w:rtl w:val="true"/>
          <w:lang w:bidi="fa-IR"/>
        </w:rPr>
        <w:t xml:space="preserve">، مع إطلاق النهی ، کما </w:t>
      </w:r>
      <w:r>
        <w:rPr>
          <w:rStyle w:val="FootnoteAnchor"/>
          <w:rtl w:val="true"/>
        </w:rPr>
        <w:footnoteReference w:id="1146"/>
      </w:r>
      <w:r>
        <w:rPr>
          <w:rFonts w:ascii="IRNazanin" w:hAnsi="IRNazanin" w:eastAsia="IRNazanin"/>
          <w:color w:val="111111"/>
          <w:sz w:val="28"/>
          <w:sz w:val="28"/>
          <w:szCs w:val="28"/>
          <w:rtl w:val="true"/>
          <w:lang w:bidi="fa-IR"/>
        </w:rPr>
        <w:t xml:space="preserve">فی محاسن البرقی فی الصحیح عن ابن مسلم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تماثیل الشجر والشمس والقمر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ما لم یکن شیئا من الحیوان </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وفی الصحیح عن زرارة ، عن الباقر علیه السلام مثله </w:t>
      </w:r>
      <w:r>
        <w:rPr>
          <w:rStyle w:val="FootnoteAnchor"/>
          <w:rtl w:val="true"/>
        </w:rPr>
        <w:footnoteReference w:id="1148"/>
      </w:r>
      <w:r>
        <w:rPr>
          <w:rFonts w:ascii="IRNazanin" w:hAnsi="IRNazanin" w:eastAsia="IRNazanin"/>
          <w:color w:val="111111"/>
          <w:sz w:val="28"/>
          <w:sz w:val="28"/>
          <w:szCs w:val="28"/>
          <w:rtl w:val="true"/>
          <w:lang w:bidi="fa-IR"/>
        </w:rPr>
        <w:t xml:space="preserve">، وفی الصحیح عن زرارة ،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بتماثیل الشجر </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مضافا إلی استشمام العلّة والتصریح بلفظ الطیر فی موثقة عمار مکرّرا المؤذن بکون غیر ذلک من قبیل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النهایة حکم بعدم جواز الصلاة </w:t>
      </w:r>
      <w:r>
        <w:rPr>
          <w:rStyle w:val="FootnoteAnchor"/>
          <w:rtl w:val="true"/>
        </w:rPr>
        <w:footnoteReference w:id="1150"/>
      </w:r>
      <w:r>
        <w:rPr>
          <w:rFonts w:ascii="IRNazanin" w:hAnsi="IRNazanin" w:eastAsia="IRNazanin"/>
          <w:color w:val="111111"/>
          <w:sz w:val="28"/>
          <w:sz w:val="28"/>
          <w:szCs w:val="28"/>
          <w:rtl w:val="true"/>
          <w:lang w:bidi="fa-IR"/>
        </w:rPr>
        <w:t>، وابن البراج أیضا حرّم</w:t>
      </w:r>
    </w:p>
    <w:p>
      <w:pPr>
        <w:pStyle w:val="Heading2"/>
        <w:numPr>
          <w:ilvl w:val="1"/>
          <w:numId w:val="1"/>
        </w:numPr>
        <w:rPr/>
      </w:pPr>
      <w:bookmarkStart w:id="944" w:name="__RefHeading___Toc2088115_388300464"/>
      <w:bookmarkStart w:id="945" w:name="_Toc363"/>
      <w:bookmarkEnd w:id="944"/>
      <w:r>
        <w:rPr>
          <w:rtl w:val="true"/>
        </w:rPr>
        <w:t>مکان المصلّی</w:t>
      </w:r>
      <w:bookmarkEnd w:id="94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6" w:name="__RefHeading___Toc2088117_388300464"/>
      <w:bookmarkStart w:id="947" w:name="_Toc364"/>
      <w:bookmarkEnd w:id="946"/>
      <w:r>
        <w:rPr>
          <w:rtl w:val="true"/>
        </w:rPr>
        <w:t>اشتراط الإباحة فی مکان المصلّی</w:t>
      </w:r>
      <w:bookmarkEnd w:id="947"/>
    </w:p>
    <w:p>
      <w:pPr>
        <w:pStyle w:val="BookText"/>
        <w:rPr/>
      </w:pPr>
      <w:r>
        <w:rPr>
          <w:rFonts w:ascii="IRNazanin" w:hAnsi="IRNazanin" w:eastAsia="IRNazanin"/>
          <w:color w:val="111111"/>
          <w:sz w:val="28"/>
          <w:sz w:val="28"/>
          <w:szCs w:val="28"/>
          <w:rtl w:val="true"/>
          <w:lang w:bidi="fa-IR"/>
        </w:rPr>
        <w:t xml:space="preserve">الصلاة فی الخاتم الذی فیه صورة </w:t>
      </w:r>
      <w:r>
        <w:rPr>
          <w:rStyle w:val="FootnoteAnchor"/>
          <w:rtl w:val="true"/>
        </w:rPr>
        <w:footnoteReference w:id="1151"/>
      </w:r>
      <w:r>
        <w:rPr>
          <w:rFonts w:ascii="IRNazanin" w:hAnsi="IRNazanin" w:eastAsia="IRNazanin"/>
          <w:color w:val="111111"/>
          <w:sz w:val="28"/>
          <w:sz w:val="28"/>
          <w:szCs w:val="28"/>
          <w:rtl w:val="true"/>
          <w:lang w:bidi="fa-IR"/>
        </w:rPr>
        <w:t>، ودلیلهم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فی صحیحة ابن بزیع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کره ما فیه التماثیل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وإن لم تثبت الحقیقة الشرعیة ، للمسامحة فی التأدیّة التی لا تناسب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 الرحمن بن الحجاج فی الدراهم السود تکون مع الرجل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أشتهی </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 وهو أیضا ظاهر فیها ، ویعضده الشهرة العظیمة ، وسیجی‌ء تتمّة الکلام فی استقبال النار ، فی مرسلة ابن أبی 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لها عین واحدة فلا بأس ، وإن کان لها عینان فلا </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الصور مستورة خفّت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154"/>
      </w:r>
      <w:r>
        <w:rPr>
          <w:rFonts w:ascii="IRNazanin" w:hAnsi="IRNazanin" w:eastAsia="IRNazanin"/>
          <w:color w:val="111111"/>
          <w:sz w:val="28"/>
          <w:sz w:val="28"/>
          <w:szCs w:val="28"/>
          <w:rtl w:val="true"/>
          <w:lang w:bidi="fa-IR"/>
        </w:rPr>
        <w:t>الظاهر من الصحیح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قسیم للمملوک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 راجع إلی المکان لا إلی منفعته ، فکیف یستقیم إدراج المستأجر فی المملوک؟ وأمّا ما فعله الأصحاب فالظاهر أنّهم جعلوا المنفعة مقسما لا العین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مراده من الإذن بالکون من حیث هو هو من دون زیادة کونه للصلاة ، إذ لا شکّ فی کونه أمرا زائدا ، إلاّ أنّ هذه الزیادة ربما یفهم </w:t>
      </w:r>
    </w:p>
    <w:p>
      <w:pPr>
        <w:pStyle w:val="BookText"/>
        <w:rPr/>
      </w:pPr>
      <w:r>
        <w:rPr>
          <w:rFonts w:ascii="IRNazanin" w:hAnsi="IRNazanin" w:eastAsia="IRNazanin"/>
          <w:color w:val="111111"/>
          <w:sz w:val="28"/>
          <w:sz w:val="28"/>
          <w:szCs w:val="28"/>
          <w:rtl w:val="true"/>
          <w:lang w:bidi="fa-IR"/>
        </w:rPr>
        <w:t xml:space="preserve">بطریق أولی ، لأن الکون لغیر العبادة لیست مطلوبیته مثل الکون لها ، بعد ما ظهر کون الکون من حیث هو مطلوب ، بخلاف الضیافة ، إذ لا ظهور فیها من حیث هی هی علی کون المطلوب هو الکون من حیث هو هو ، إلاّ أن یظهر من الخارج ، کما اعترف 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إنّما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لهذا الإیراد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اکتفاؤه فی شاهد الحال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الفقهاء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بشاهد </w:t>
      </w:r>
      <w:r>
        <w:rPr>
          <w:rStyle w:val="FootnoteAnchor"/>
          <w:rtl w:val="true"/>
        </w:rPr>
        <w:footnoteReference w:id="1155"/>
      </w:r>
      <w:r>
        <w:rPr>
          <w:rFonts w:ascii="IRNazanin" w:hAnsi="IRNazanin" w:eastAsia="IRNazanin"/>
          <w:color w:val="111111"/>
          <w:sz w:val="28"/>
          <w:sz w:val="28"/>
          <w:szCs w:val="28"/>
          <w:rtl w:val="true"/>
          <w:lang w:bidi="fa-IR"/>
        </w:rPr>
        <w:t xml:space="preserve">الحال وأنّه یشهد ، والظاهر من الشهادة حصول الوثوق والاطمئنان ، وهو معنی العلم ، وصرّح غیر واحد بالعلم </w:t>
      </w:r>
      <w:r>
        <w:rPr>
          <w:rStyle w:val="FootnoteAnchor"/>
          <w:rtl w:val="true"/>
        </w:rPr>
        <w:footnoteReference w:id="1156"/>
      </w:r>
      <w:r>
        <w:rPr>
          <w:rFonts w:ascii="IRNazanin" w:hAnsi="IRNazanin" w:eastAsia="IRNazanin"/>
          <w:color w:val="111111"/>
          <w:sz w:val="28"/>
          <w:sz w:val="28"/>
          <w:szCs w:val="28"/>
          <w:rtl w:val="true"/>
          <w:lang w:bidi="fa-IR"/>
        </w:rPr>
        <w:t xml:space="preserve">، مع أنّه ربما اکتفی بعض بالأعم لدلیل ما کان </w:t>
      </w:r>
      <w:r>
        <w:rPr>
          <w:rStyle w:val="FootnoteAnchor"/>
          <w:rtl w:val="true"/>
        </w:rPr>
        <w:footnoteReference w:id="1157"/>
      </w:r>
      <w:r>
        <w:rPr>
          <w:rFonts w:ascii="IRNazanin" w:hAnsi="IRNazanin" w:eastAsia="IRNazanin"/>
          <w:color w:val="111111"/>
          <w:sz w:val="28"/>
          <w:sz w:val="28"/>
          <w:szCs w:val="28"/>
          <w:rtl w:val="true"/>
          <w:lang w:bidi="fa-IR"/>
        </w:rPr>
        <w:t>علیه ولیس کل فقه بنهج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الفرق بین الأراضی ، مثل البیوت وأمثالها والصحاری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تجوز من دون توقّف علی رضا المالک أصلا ، لما فی الأعصار والأمصار من الصلاة من دون إذن ، مع أنّه ربما کان المالک صغیرا أو مجنونا أو سفیها أو من أهل السنّة أو أهل الذمّة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المکان لمولّی علیه ، وهو کذلک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فساده ، إذ عدم الضرر فی التصرّف کیف یصیر منشأ لصحته؟ وکیف یسوغ للولی الإذن من العلّة المذکورة؟ نعم تجوز الصلاة ونحوها فی الصحاری من دون مراعاة إذن أصلا ، کما أفتی الفقهاء ، وإن </w:t>
      </w:r>
    </w:p>
    <w:p>
      <w:pPr>
        <w:pStyle w:val="BookText"/>
        <w:rPr/>
      </w:pPr>
      <w:r>
        <w:rPr>
          <w:rFonts w:ascii="IRNazanin" w:hAnsi="IRNazanin" w:eastAsia="IRNazanin"/>
          <w:color w:val="111111"/>
          <w:sz w:val="28"/>
          <w:sz w:val="28"/>
          <w:szCs w:val="28"/>
          <w:rtl w:val="true"/>
          <w:lang w:bidi="fa-IR"/>
        </w:rPr>
        <w:t xml:space="preserve">علّل بعضهم بإذن الفحوی </w:t>
      </w:r>
      <w:r>
        <w:rPr>
          <w:rStyle w:val="FootnoteAnchor"/>
          <w:rtl w:val="true"/>
        </w:rPr>
        <w:footnoteReference w:id="1159"/>
      </w:r>
      <w:r>
        <w:rPr>
          <w:rFonts w:ascii="IRNazanin" w:hAnsi="IRNazanin" w:eastAsia="IRNazanin"/>
          <w:color w:val="111111"/>
          <w:sz w:val="28"/>
          <w:sz w:val="28"/>
          <w:szCs w:val="28"/>
          <w:rtl w:val="true"/>
          <w:lang w:bidi="fa-IR"/>
        </w:rPr>
        <w:t>، وفیه ما فیه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سلوک الطریق المغصوب إلی المیقات عند وجوب الحجّ</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مرادهم من الخیاطة فعل الخیاطة أی حرکة الید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تعلّق أمره بالحرکة المخصوصة یکون الغرض منه حصول الأثر الحاصل ، أو التمرین وتحصیل الملکة ، فهی لیست مطلوبة لنفسها ، بل مطلوبة من حیث الوصلة به إلی الغرض الحقیقی والمطلوب الواقعی الذی هو المطلوب لنفسه ، فلا یضرّ أن یکون مثل هذا أیضا حراما ، کسلوک الطریق المغصوب إلی المیقات ، وکالأمر بإنقاذ الغریق من المسلم وإطفاء حریقه ، فإنّ المقصود منهما رفع الضرر منه وحفظ نفسه أو ماله من التلف ، فالمقصود یحصل وإن وقع الإنقاذ والإطفاء بوجه حرام شدید الحرمة ،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 أنّ المولی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 ومحبوبی فعل الخیاطة ، أی حرکة الید المخصوصة من حیث هو هو ، وهو واجب علیک لنفسه لا لأثر حاصل ولا للتمرین ولا لغیر ذلک ، لکن إن فعلته فی حرم بیتی لعاقبتک ، لأنّک فعلت مبغوضی أیضا ، کما لو أمره بالرقص من حیث إنّه یعجبه ، ونهاه عن کونه فی بطن بیته عند نسائه من حیث إنّه یبغضه ویسوءه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أنّه إذا رقص فی بطن بیته عند نسائه فأمّا أنّه یعجبه </w:t>
      </w:r>
    </w:p>
    <w:p>
      <w:pPr>
        <w:pStyle w:val="BookText"/>
        <w:rPr/>
      </w:pPr>
      <w:r>
        <w:rPr>
          <w:rFonts w:ascii="IRNazanin" w:hAnsi="IRNazanin" w:eastAsia="IRNazanin"/>
          <w:color w:val="111111"/>
          <w:sz w:val="28"/>
          <w:sz w:val="28"/>
          <w:szCs w:val="28"/>
          <w:rtl w:val="true"/>
          <w:lang w:bidi="fa-IR"/>
        </w:rPr>
        <w:t>فقط ، أو یبغضه فقط ، أو لا یعجبه ولا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یعجبه ویبغضه معا من الحیثیتین فمحال ، لأنّ الحبّ والبغض لا یمکن اجتماعهما فی فعل واحد فی زمان واحد ، والذی صدر عن العبد إنّما کان فعلا واحدا بحسب الوجود الخارجی ، ولا أجزاء له مرتبة فی الخارج ، فمن هذا الفعل الواحد إن حصل للمولی السرور والطرب فکیف یمکن حصول نقیضه وهو عدم السرور وعدم الطرب؟ فضلا عن أن یکون حصل ضدّه وهو الحزن والانقباض ونفرة الطبع وأمثال ذلک ، فکیف یمکن أن یصیر هذا الفعل الواحد سببا لحصول أثرین متناقضین أو متضادّین فی زمان واحد ودفعة واحدة بحیث لا یکون بینهما ترتیب أصلا ولا تمایز مطلقا؟ لما عرفت من أنّ العلّة فعل واحد بسیط فی الخارج لا یکون له أجزاء فی الخارج أصلا ، فضلا عن أن یکون بین تلک الأجزاء ترتیب فی الخارج بحیث یکون أحدها مقدما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الزمان فی الخارج </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حتی یتأتّی أن یحصل بالجزء الأوّل الفرح والمحبّة ، وبعد انقضاء الجزء الأوّل ومجی‌ء الجزء الثانی یحصل الانقباض والکراهة والبغض ، أو بالعکس ، وهذا واضح لمن تأمّل أدنی تأمّل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الفرق بینه وبین قطع الطریق المغصوب وإنقاذ الغریق الحرام والإطفاء الحرام أیضا واضح بحمد الله ، فإنّ متعلّق المحبّة مثلا هو اندفاع الضرر عن المسلم ، ومتعلّق الکراهة والبغض هو الکون والإطفاء بماء مغصوب مال شخص عطشان مضطرّ إلی ذلک الماء ، وأحدهما غیر الآخر ، لأنّ الأوّل أثر ومسبّب ، بل متأخّر بحسب الزمان أیضا ، بخلاف الآخر ، فإنّه </w:t>
      </w:r>
    </w:p>
    <w:p>
      <w:pPr>
        <w:pStyle w:val="BookText"/>
        <w:rPr/>
      </w:pPr>
      <w:r>
        <w:rPr>
          <w:rFonts w:ascii="IRNazanin" w:hAnsi="IRNazanin" w:eastAsia="IRNazanin"/>
          <w:color w:val="111111"/>
          <w:sz w:val="28"/>
          <w:sz w:val="28"/>
          <w:szCs w:val="28"/>
          <w:rtl w:val="true"/>
          <w:lang w:bidi="fa-IR"/>
        </w:rPr>
        <w:t>مؤثّر وسبب ومتقدّم بحسب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العبادة من شأنها التقرّب إلی الله تعالی وإلی الثواب مثل الجنّة ، والحرام من شأنه التبعّد عن الله تعالی وعن الثواب والجنة ، فکیف یکون فعل واحد شخصی یقرّب إلیه تعالی وإلی الجنة حین ما هو یبعّد عنه تعالی وعن الجنّة ویقرّب إلی النار؟</w:t>
      </w:r>
    </w:p>
    <w:p>
      <w:pPr>
        <w:pStyle w:val="BookText"/>
        <w:rPr/>
      </w:pPr>
      <w:r>
        <w:rPr>
          <w:rFonts w:ascii="IRNazanin" w:hAnsi="IRNazanin" w:eastAsia="IRNazanin"/>
          <w:color w:val="111111"/>
          <w:sz w:val="28"/>
          <w:sz w:val="28"/>
          <w:szCs w:val="28"/>
          <w:rtl w:val="true"/>
          <w:lang w:bidi="fa-IR"/>
        </w:rPr>
        <w:t>وأیضا کیف ینوی العبد بهذا الشخص المعیّن من الفعل التقرّب إلیه تعالی مع یقینه بأنّه مبعّد عنه حین ما هو مقرّب إلیه؟</w:t>
      </w:r>
    </w:p>
    <w:p>
      <w:pPr>
        <w:pStyle w:val="BookText"/>
        <w:rPr/>
      </w:pPr>
      <w:r>
        <w:rPr>
          <w:rFonts w:ascii="IRNazanin" w:hAnsi="IRNazanin" w:eastAsia="IRNazanin"/>
          <w:color w:val="111111"/>
          <w:sz w:val="28"/>
          <w:sz w:val="28"/>
          <w:szCs w:val="28"/>
          <w:rtl w:val="true"/>
          <w:lang w:bidi="fa-IR"/>
        </w:rPr>
        <w:t xml:space="preserve">وأیضا کیف یقول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ارکع مثلا إن شئت هذا الرکوع المشخّص ، وإن شئت غیره ، فإنّی أوجبت علیک هذا وذاک؟ ومع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ترکع هذا الرکوع المشخّص ، فإنّک إن رکعت لعقابتک ، فإنّ هذا قبیح عن الحکیم ، فکیف الحال بالنسبة إلی کلّ واحد واحد من حرکاته وسکناته وأجزاء الحرکات والسکنات؟</w:t>
      </w:r>
    </w:p>
    <w:p>
      <w:pPr>
        <w:pStyle w:val="BookText"/>
        <w:rPr/>
      </w:pPr>
      <w:r>
        <w:rPr>
          <w:rFonts w:ascii="IRNazanin" w:hAnsi="IRNazanin" w:eastAsia="IRNazanin"/>
          <w:color w:val="111111"/>
          <w:sz w:val="28"/>
          <w:sz w:val="28"/>
          <w:szCs w:val="28"/>
          <w:rtl w:val="true"/>
          <w:lang w:bidi="fa-IR"/>
        </w:rPr>
        <w:t xml:space="preserve">وأیضا کیف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إلیّ بفعل هذا القبیح الذی یوجب البعد عنّی ویوجب سخطی علیک وعقابی وانتقامی؟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الکون لیس جزءا منها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المسح هو إمرار الماسح علی الممسوح وهو عین الحرکة ، فالوضوء والتیمم یکون الکون جزءا منهما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الغسل فلا یمکن تحقّقه بغیر حرکة علی ما هو المتعارف الشائع ، والمقدّمة إذا انحصرت فی الحرام فالتکلیف بذی المقدّمة إن کان باقیا لزم التکلیف بالمحال ، کما إذا انحصر طریق الحجّ فی المغصوب ، نعم إذا کان طریق الحجّ مغصوبا إلی خصوص المیقات وسلک المکلف بعنوان الحرام یصیر مکلفا بالحجّ بعد وصوله المیقات وارتکابه الحرام ، وإن لم </w:t>
      </w:r>
    </w:p>
    <w:p>
      <w:pPr>
        <w:pStyle w:val="BookText"/>
        <w:rPr/>
      </w:pPr>
      <w:r>
        <w:rPr>
          <w:rFonts w:ascii="IRNazanin" w:hAnsi="IRNazanin" w:eastAsia="IRNazanin"/>
          <w:color w:val="111111"/>
          <w:sz w:val="28"/>
          <w:sz w:val="28"/>
          <w:szCs w:val="28"/>
          <w:rtl w:val="true"/>
          <w:lang w:bidi="fa-IR"/>
        </w:rPr>
        <w:t xml:space="preserve">یکن باقیا لزم أن لا تکون المقدّمة واجبة مطلقا لأنّ وجوبها من جهة وجوب ذی المقدّمة ، کما هو المفروض ، 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من أجزاء المغسول لا یمکن غسله علی الفرض المتعارف من دون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ظهر حال الوضوء بالنسبة إلی غسل الأعضاء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التصرّف فی المغصوب حرام قطعا بلا خصوصیة للکون فی ذلک ، والطهارة فی المکان المغصوب تصرّف فیه وانتفاع منه ، فکیف یتأمّل فی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بعید جدّا </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لعل نظر المحقّق فی ذلک إلی الإجماع علی بطلان الصلاة فی المکان المغصوب ، فإنّه یصدق علی صلاة من صلّی فی المکان المغصوب وإن کان بإذن المالک ، بل 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صاحب المال ومالکه یصلّی فیه ، فإنّ صلاته باطلة من حیث وقوعها فی المکان الذی وقع علیه الغصب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باطل ، لعدم کون المکان مغصوبا بالنسبة إلی المالک ولا المأذون من قبل المالک ، مع أنّ الإجماع إنّما وقع علی ما اقتضاه الدلیل العقلی لا أنّ الحرمة والبطلان مجرّد تعبّد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بتوجّه النهی المنافی للصحة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شمول النهی لهذه الصورة تأمّل ، لأنّ المفروض أنّ المالک رخّصه وأذن له بقدر الصلاة ، ویعلم قدر الصلاة ، ویعلم أنّه یجب علیه إتمام الصلاة ویحرم علیه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لعله فی هذا القدر یدخل فی أمر </w:t>
      </w:r>
      <w:bookmarkStart w:id="948" w:name="pg14966_204342"/>
    </w:p>
    <w:p>
      <w:pPr>
        <w:pStyle w:val="BookText"/>
        <w:rPr/>
      </w:pPr>
      <w:bookmarkEnd w:id="948"/>
      <w:r>
        <w:rPr>
          <w:rFonts w:ascii="IRNazanin" w:hAnsi="IRNazanin" w:eastAsia="IRNazanin"/>
          <w:color w:val="111111"/>
          <w:sz w:val="28"/>
          <w:sz w:val="28"/>
          <w:szCs w:val="28"/>
          <w:rtl w:val="true"/>
          <w:lang w:bidi="fa-IR"/>
        </w:rPr>
        <w:t>لا یمکن شرعا قطعه ، إذ فی بعض الصور یجب عدم القطع قطعا ، کما لو کان مشغولا بجماع أو غیره مما لا یتیسّر له القطع ، لأنّه ربما یقتله أو یضرّه ضرر عظیم أو غیر عظیم ، إذ لا ضرر ولا ضرار ، فیمکن أن تکون الصلاة أیضا من قبیل الأمور المذکورة ، سیّما إذا وقع الإذن الصریح فی الصلاة فشرع فیها ، إذ ربما کان مستخفّا للصلاة ومؤذیا للمسلم وعارا له ، وبالجملة یکون عموم شامل لما نحن فیه بعد ملاحظة ما أشرنا إلیه ،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النهی فی الروایتین الأوّلتین علی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الواردة فی أنّ المرأة فی الجماعة واقتدائها بالرجل تؤخّر عنه </w:t>
      </w:r>
      <w:r>
        <w:rPr>
          <w:rStyle w:val="FootnoteAnchor"/>
          <w:rtl w:val="true"/>
        </w:rPr>
        <w:footnoteReference w:id="1164"/>
      </w:r>
      <w:r>
        <w:rPr>
          <w:rFonts w:ascii="IRNazanin" w:hAnsi="IRNazanin" w:eastAsia="IRNazanin"/>
          <w:color w:val="111111"/>
          <w:sz w:val="28"/>
          <w:sz w:val="28"/>
          <w:szCs w:val="28"/>
          <w:rtl w:val="true"/>
          <w:lang w:bidi="fa-IR"/>
        </w:rPr>
        <w:t>، فی غایة الکثرة ونهایة الاعتبار ، والظاهر من صحیحة علی بن جعفر أیضا ذلک ، والأخبار المعارضة غیر ظاهرة فی الجماعة المذکورة لو لم نقل بظهورها فی خلافها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ببطلان الصلاة ظاهرا بالمحاذاة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یتأتی نیّة القربة حین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المصنف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وجماعة کالعلاّمة وابن زهرة والشهید وغیرهم </w:t>
      </w:r>
      <w:r>
        <w:rPr>
          <w:rStyle w:val="FootnoteAnchor"/>
          <w:rtl w:val="true"/>
        </w:rPr>
        <w:footnoteReference w:id="1165"/>
      </w:r>
      <w:r>
        <w:rPr>
          <w:rFonts w:ascii="IRNazanin" w:hAnsi="IRNazanin" w:eastAsia="IRNazanin"/>
          <w:color w:val="111111"/>
          <w:sz w:val="28"/>
          <w:sz w:val="28"/>
          <w:szCs w:val="28"/>
          <w:rtl w:val="true"/>
          <w:lang w:bidi="fa-IR"/>
        </w:rPr>
        <w:t xml:space="preserve">، ومرّ فی باب التطهیر بالشمس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2088119_388300464"/>
      <w:bookmarkStart w:id="950" w:name="_Toc365"/>
      <w:bookmarkEnd w:id="949"/>
      <w:r>
        <w:rPr>
          <w:rtl w:val="true"/>
        </w:rPr>
        <w:t>حکم تساوی الرجل والمرأة أو تقدّمها علیه فی موقف الصلاة</w:t>
      </w:r>
      <w:bookmarkEnd w:id="95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1" w:name="__RefHeading___Toc2088121_388300464"/>
      <w:bookmarkStart w:id="952" w:name="_Toc366"/>
      <w:bookmarkEnd w:id="951"/>
      <w:r>
        <w:rPr>
          <w:rtl w:val="true"/>
        </w:rPr>
        <w:t>اشتراط طهارة موضع السجود</w:t>
      </w:r>
      <w:bookmarkStart w:id="953" w:name="pg14966_204343"/>
      <w:bookmarkEnd w:id="952"/>
    </w:p>
    <w:p>
      <w:pPr>
        <w:pStyle w:val="BookText"/>
        <w:rPr/>
      </w:pPr>
      <w:bookmarkEnd w:id="95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یحتمل أن یکون احتجاجه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مساجدکم النجاسة </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وبعض الأخبار أیضا له ظهور ، مثل الموثق کالصحیح بابن بکیر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الشاذکونة یصیبها الاحتلام أیصلّی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ویحمل علی الاستحباب للمعارض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ضعف سندها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ودلالتها أیضا ، لأنّ من العشرة المذکورة ما ثبت من الصحیح والمعتبر عدم المنع من الصلاة فیه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النجاسة لم تکره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کان فی روایة علی بن جعفر إشارة إلی ذلک ، کما لا یخفی علی الفطن ، وکذا فی موثقة عمار عن الصادق علیه السلام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مرابض الغنم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الغوالی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الصلاة فی أعطان الإبل ، فإنّها خلقت من الشیاطین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فیه بعد ورود النص به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استبعادهم بمکانه ، فإنّه إذا کان الخمر فی البیت لم لا تجوز الصلاة فیه وإذا کانت فی ثوب المصلّی تجوز الصلاة فی ذلک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نص من الشارع بهذا النحو ، بل ورد النص علی بطلان</w:t>
      </w:r>
    </w:p>
    <w:p>
      <w:pPr>
        <w:pStyle w:val="Heading3"/>
        <w:numPr>
          <w:ilvl w:val="2"/>
          <w:numId w:val="1"/>
        </w:numPr>
        <w:rPr/>
      </w:pPr>
      <w:bookmarkStart w:id="954" w:name="__RefHeading___Toc2088123_388300464"/>
      <w:bookmarkStart w:id="955" w:name="_Toc367"/>
      <w:bookmarkEnd w:id="954"/>
      <w:r>
        <w:rPr>
          <w:rtl w:val="true"/>
        </w:rPr>
        <w:t>مکروهات مکان المصلّی</w:t>
      </w:r>
      <w:bookmarkEnd w:id="955"/>
    </w:p>
    <w:p>
      <w:pPr>
        <w:pStyle w:val="Heading4"/>
        <w:numPr>
          <w:ilvl w:val="3"/>
          <w:numId w:val="1"/>
        </w:numPr>
        <w:rPr/>
      </w:pPr>
      <w:bookmarkStart w:id="956" w:name="__RefHeading___Toc2088125_388300464"/>
      <w:bookmarkStart w:id="957" w:name="_Toc368"/>
      <w:bookmarkEnd w:id="956"/>
      <w:r>
        <w:rPr>
          <w:rtl w:val="true"/>
        </w:rPr>
        <w:t>الصلاة فی الحمام</w:t>
      </w:r>
      <w:bookmarkEnd w:id="957"/>
    </w:p>
    <w:p>
      <w:pPr>
        <w:pStyle w:val="Heading4"/>
        <w:numPr>
          <w:ilvl w:val="3"/>
          <w:numId w:val="1"/>
        </w:numPr>
        <w:rPr/>
      </w:pPr>
      <w:bookmarkStart w:id="958" w:name="__RefHeading___Toc2088127_388300464"/>
      <w:bookmarkStart w:id="959" w:name="_Toc369"/>
      <w:bookmarkEnd w:id="958"/>
      <w:r>
        <w:rPr>
          <w:rtl w:val="true"/>
        </w:rPr>
        <w:t>الصلاة فی معاطن الإبل</w:t>
      </w:r>
      <w:bookmarkEnd w:id="95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0" w:name="__RefHeading___Toc2088129_388300464"/>
      <w:bookmarkStart w:id="961" w:name="_Toc370"/>
      <w:bookmarkEnd w:id="960"/>
      <w:r>
        <w:rPr>
          <w:rtl w:val="true"/>
        </w:rPr>
        <w:t>فی بیوت الخمور إذا لم تتعد إلیه نجاستها</w:t>
      </w:r>
      <w:bookmarkStart w:id="962" w:name="pg14966_204344"/>
      <w:bookmarkEnd w:id="961"/>
    </w:p>
    <w:p>
      <w:pPr>
        <w:pStyle w:val="BookText"/>
        <w:rPr/>
      </w:pPr>
      <w:bookmarkEnd w:id="962"/>
      <w:r>
        <w:rPr>
          <w:rFonts w:ascii="IRNazanin" w:hAnsi="IRNazanin" w:eastAsia="IRNazanin"/>
          <w:color w:val="111111"/>
          <w:sz w:val="28"/>
          <w:sz w:val="28"/>
          <w:szCs w:val="28"/>
          <w:rtl w:val="true"/>
          <w:lang w:bidi="fa-IR"/>
        </w:rPr>
        <w:t xml:space="preserve">الصلاة وحرمتها فی ذلک الثوب ، وإن ورد النص بطهارتها أیضا </w:t>
      </w:r>
      <w:r>
        <w:rPr>
          <w:rStyle w:val="FootnoteAnchor"/>
          <w:rtl w:val="true"/>
        </w:rPr>
        <w:footnoteReference w:id="1172"/>
      </w:r>
      <w:r>
        <w:rPr>
          <w:rFonts w:ascii="IRNazanin" w:hAnsi="IRNazanin" w:eastAsia="IRNazanin"/>
          <w:color w:val="111111"/>
          <w:sz w:val="28"/>
          <w:sz w:val="28"/>
          <w:szCs w:val="28"/>
          <w:rtl w:val="true"/>
          <w:lang w:bidi="fa-IR"/>
        </w:rPr>
        <w:t xml:space="preserve">، فظاهر أنّ ما دل علی المنع من الصلاة فی البیت الذی یکون فیه ، من قبیل النص الأوّل ولا یلائم الثانی ، لأنّه علیه السلام بمجرّد وجودها فی البیت ما جوّز الصلاة فیه فکیف یجوّز الصلاة فی الثوب الذی یکون الخمر فیه؟ فتأمّل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صراحة الاولی فی التحریم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إشعار بالظهور فی التحریم ، ولعله کذلک ، وظاهر أنّ الظهور یکفی ، إلاّ أن یقال بأنّه لیس ظهورا یوثق به ، بل یعدّ فی مکان الریبة والتزلزل ، لکن یقوّیه موثق عمار إن لم نقل بحجّیة الموثق وإلاّ فهو حجّة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یتضمّن المنع عن استقبال الحدید أیضا ولم یفت أحد بحرمته فهو مضعّف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تأمل فی أنّ الاحتیاط التامّ فی الاجتناب ، لأنّ ما ذکره الصدوق رحمه الله وإن کان صحیحا عنده إلاّ أنّه لا یقاوم الموثق فضلا عن الصحیح ، إلاّ أن یقال باعتضاده بالشهرة أیضا ، وضعف دلالة الصحیح والموثق من هذه الجهة أیضا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الاحتیاط یقتضی تجنّب استقبال النار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الاحتجاج ، عن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ورد علی ید أبی جعفر محمد بن عثمان العمری رضی الله عنه فی جواب مسائله إلی صاحب الزمان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عنه من المصلّی والنار والصورة والسراج بین یدیه هل یجوز؟ فإنّ الناس قد اختلفوا فی ذلک قبلک ، فإنّه جائز لمن لم یکن من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3" w:name="__RefHeading___Toc2088131_388300464"/>
      <w:bookmarkStart w:id="964" w:name="_Toc371"/>
      <w:bookmarkEnd w:id="963"/>
      <w:r>
        <w:rPr>
          <w:rtl w:val="true"/>
        </w:rPr>
        <w:t>کراهة الصلاة إذا کان بین یدی المصلّی نار مضرمة</w:t>
      </w:r>
      <w:bookmarkStart w:id="965" w:name="pg14966_204345"/>
      <w:bookmarkEnd w:id="964"/>
    </w:p>
    <w:p>
      <w:pPr>
        <w:pStyle w:val="BookText"/>
        <w:rPr/>
      </w:pPr>
      <w:bookmarkEnd w:id="965"/>
      <w:r>
        <w:rPr>
          <w:rFonts w:ascii="IRNazanin" w:hAnsi="IRNazanin" w:eastAsia="IRNazanin"/>
          <w:color w:val="111111"/>
          <w:sz w:val="28"/>
          <w:sz w:val="28"/>
          <w:szCs w:val="28"/>
          <w:rtl w:val="true"/>
          <w:lang w:bidi="fa-IR"/>
        </w:rPr>
        <w:t xml:space="preserve">أولاد عبدة الأصنام والنیران </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فتأمّل ، إذ لم یفت بهذا التفصیل أحد ، ولا یظهر أنّ المراد من أولادهم الأولاد بغیر واسطة ، أو هم وأولاد أولادهم إلی یوم القیامة ، وما ذکرنا یوجب التأکید فی الاحتیاط لمن لم یکن من آل الرسول وأمیر المؤمنین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الطریق ضعف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ظهر الکلام فی المقام ممّا مرّ فی الصلاة فی الکعبة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النهی علی الکراهة أمکن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وجه له ، لأنّ صحیحة زرارة موافقة للعمومات المعمول بها عند الأصحاب فلا تقاومها فلا تکون حجّة ، لأن الراجح هو الحجّة والمرجوح لیس بحجّة ، لعدم الدلیل علی حجّیته ، والأصل عدمها ، ولأنّ معنی المرجوح أنّ الظاهر أنّه لیس بحق ولیس حکم الله ، والمشکوک فیه لا یمکن أن یصیر حجّة فضلا عن المرجوح ، فتعین طرح المعارض أو توجیهه بما یرجع إلی الحجّة ، بل الظاهر أنّ المعارض من الشواذّ التی لا عمل علیها أصلا ، فالحمل علی الضرورة من التقیّة أو غیرها متعیّن إن لم یطرح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علیها اسم الأرض عرفا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الصدق عرفا إشکال ، سیّما وأن یکون من الأفراد الشائعة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وتؤیّده الأخبار الکثیرة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التأیید نظر ، وکذا فی تأیید صحیحة معاویة ، مضافا إلی ما عرفت ممّا هو فیها</w:t>
      </w:r>
      <w:r>
        <w:rPr>
          <w:rFonts w:eastAsia="IRNazanin" w:cs="IRNazanin"/>
          <w:color w:val="111111"/>
          <w:sz w:val="28"/>
          <w:szCs w:val="28"/>
          <w:rtl w:val="true"/>
          <w:lang w:bidi="fa-IR"/>
        </w:rPr>
        <w:t>.</w:t>
      </w:r>
    </w:p>
    <w:p>
      <w:pPr>
        <w:pStyle w:val="Heading2"/>
        <w:numPr>
          <w:ilvl w:val="1"/>
          <w:numId w:val="1"/>
        </w:numPr>
        <w:rPr/>
      </w:pPr>
      <w:bookmarkStart w:id="966" w:name="__RefHeading___Toc2088133_388300464"/>
      <w:bookmarkStart w:id="967" w:name="_Toc372"/>
      <w:bookmarkEnd w:id="966"/>
      <w:r>
        <w:rPr>
          <w:rtl w:val="true"/>
        </w:rPr>
        <w:t>ما یسجد علیه</w:t>
      </w:r>
      <w:bookmarkEnd w:id="96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8" w:name="__RefHeading___Toc2088135_388300464"/>
      <w:bookmarkStart w:id="969" w:name="_Toc373"/>
      <w:bookmarkEnd w:id="968"/>
      <w:r>
        <w:rPr>
          <w:rtl w:val="true"/>
        </w:rPr>
        <w:t>عدم جواز السجود علی المعدن إلاّ عند الضرورة</w:t>
      </w:r>
      <w:bookmarkStart w:id="970" w:name="pg14966_204346"/>
      <w:bookmarkEnd w:id="969"/>
    </w:p>
    <w:p>
      <w:pPr>
        <w:pStyle w:val="BookText"/>
        <w:rPr/>
      </w:pPr>
      <w:bookmarkEnd w:id="97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من نبات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یبعد أن یکون المراد الحصر الطبریة ، فإنّ الطبری هو الحصیر الذی شغل أهل طبرستان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 بذلک جدّی رحمه الله ومولانا مراد فی شرحهما علی الفقیه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نبات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 المطلق علی المقید جائز ومتعارف ، سیّما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المصنف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کلّ راو إذا سأل المعصوم علیه السلام عن مسألة ، مراده حال عدم التقیّة وأنّها فی الواقع کیف ، صرّح بذلک أو لم یصرّح ، من دون تفاوت ، فإذا کان المقام اقتضی التقیّة أو الاتقاء فلا یمنع فرض سؤال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وکونها محمولة علی التقیّة فی غایة الظهور ، لأنها شعار العامة ، کما أنّ خلافها شعار الخاصة فی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والأمصار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مع أنّ الشیخ أعرف بالتقیّة ، وغیره أیضا من فقهائنا حملوا علی التقیّة </w:t>
      </w:r>
      <w:r>
        <w:rPr>
          <w:rStyle w:val="FootnoteAnchor"/>
          <w:rtl w:val="true"/>
        </w:rPr>
        <w:footnoteReference w:id="1179"/>
      </w:r>
      <w:r>
        <w:rPr>
          <w:rFonts w:ascii="IRNazanin" w:hAnsi="IRNazanin" w:eastAsia="IRNazanin"/>
          <w:color w:val="111111"/>
          <w:sz w:val="28"/>
          <w:sz w:val="28"/>
          <w:szCs w:val="28"/>
          <w:rtl w:val="true"/>
          <w:lang w:bidi="fa-IR"/>
        </w:rPr>
        <w:t xml:space="preserve">، مع أنّ المکاتبة قلّما تخلو عن التقیّة خوفا من أن یقع بید الأعداء ، صرّح بذلک جدّی </w:t>
      </w:r>
      <w:r>
        <w:rPr>
          <w:rStyle w:val="FootnoteAnchor"/>
          <w:rtl w:val="true"/>
        </w:rPr>
        <w:footnoteReference w:id="1180"/>
      </w:r>
      <w:r>
        <w:rPr>
          <w:rFonts w:ascii="IRNazanin" w:hAnsi="IRNazanin" w:eastAsia="IRNazanin"/>
          <w:color w:val="111111"/>
          <w:sz w:val="28"/>
          <w:sz w:val="28"/>
          <w:szCs w:val="28"/>
          <w:rtl w:val="true"/>
          <w:lang w:bidi="fa-IR"/>
        </w:rPr>
        <w:t xml:space="preserve">رحمه الله ، والصدوق قال فی أمالیه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یجوز السجود علی الأرض أو ما أنبتت الأرض إلاّ ما أکل أو لبس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مضافا إلی الإجماعات المنقولة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1" w:name="__RefHeading___Toc2088137_388300464"/>
      <w:bookmarkStart w:id="972" w:name="_Toc374"/>
      <w:bookmarkEnd w:id="971"/>
      <w:r>
        <w:rPr>
          <w:rtl w:val="true"/>
        </w:rPr>
        <w:t>حکم السجود علی القطن والکتان</w:t>
      </w:r>
      <w:bookmarkStart w:id="973" w:name="pg14966_204347"/>
      <w:bookmarkEnd w:id="972"/>
    </w:p>
    <w:p>
      <w:pPr>
        <w:pStyle w:val="BookText"/>
        <w:rPr/>
      </w:pPr>
      <w:bookmarkEnd w:id="9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بامتزاجه بالماء عن اسم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لأنّ الجبهة تلاصق التراب والأرض ، ولم یتحقّق استحالة قطعا بمجرّد مزج الماء معه ، بل هو ماء وتراب أو أرض ممزوجان ، نعم إن لم تستقرّ الجبهة فلا یجوز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هذه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الإطلاق ینفع إذا علم أنّ القرطاس المأخوذ من الإبریسم کان فی ذلک الزمان موجودا وکان من الأفراد الشائعة ، والآن لیس کذلک فضلا عن حصول العلم بذلک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الشهید فی الذکری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وادعی رحمه الله أنّ القرطاس الذی وقع فی الأخبار صحة السجود علیه هو الذی یؤخذ من العلف ، وببالی أنّه ادعی أنّ المتعارف فی ذلک الزمان کان کذلک </w:t>
      </w:r>
      <w:r>
        <w:rPr>
          <w:rStyle w:val="FootnoteAnchor"/>
          <w:rtl w:val="true"/>
        </w:rPr>
        <w:footnoteReference w:id="1182"/>
      </w:r>
      <w:r>
        <w:rPr>
          <w:rFonts w:ascii="IRNazanin" w:hAnsi="IRNazanin" w:eastAsia="IRNazanin"/>
          <w:color w:val="111111"/>
          <w:sz w:val="28"/>
          <w:sz w:val="28"/>
          <w:szCs w:val="28"/>
          <w:rtl w:val="true"/>
          <w:lang w:bidi="fa-IR"/>
        </w:rPr>
        <w:t>، فلیلاحظ ولیتأمّل فیه ، إذ أحد من الأصحاب ما تعرض له ممّن تقدم علیه أو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المناقشة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الأحوط الاجتناب ، للشکّ فی دخوله تحت الأرض الوارد فی أخبار السجود أو کونه من أفرادها الشائعة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 ما مرّ فی مسألة الإنائین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المشتبهین فی أوائل کتاب الطهارة من أنّه لا معنی للنجس الشرعی إلاّ أنّه یجب الاجتناب عنه ، وإذا وجب لزم الإطاعة ، ولا تتحقّق إلاّ بالاجتناب عن الجمیع ، عن القدر</w:t>
      </w:r>
    </w:p>
    <w:p>
      <w:pPr>
        <w:pStyle w:val="Heading3"/>
        <w:numPr>
          <w:ilvl w:val="2"/>
          <w:numId w:val="1"/>
        </w:numPr>
        <w:rPr/>
      </w:pPr>
      <w:bookmarkStart w:id="974" w:name="__RefHeading___Toc2088139_388300464"/>
      <w:bookmarkStart w:id="975" w:name="_Toc375"/>
      <w:bookmarkEnd w:id="974"/>
      <w:r>
        <w:rPr>
          <w:rtl w:val="true"/>
        </w:rPr>
        <w:t>عدم جواز السجود علی الوحل</w:t>
      </w:r>
      <w:bookmarkEnd w:id="975"/>
    </w:p>
    <w:p>
      <w:pPr>
        <w:pStyle w:val="Heading3"/>
        <w:numPr>
          <w:ilvl w:val="2"/>
          <w:numId w:val="1"/>
        </w:numPr>
        <w:rPr/>
      </w:pPr>
      <w:bookmarkStart w:id="976" w:name="__RefHeading___Toc2088141_388300464"/>
      <w:bookmarkStart w:id="977" w:name="_Toc376"/>
      <w:bookmarkEnd w:id="976"/>
      <w:r>
        <w:rPr>
          <w:rtl w:val="true"/>
        </w:rPr>
        <w:t>جواز الصلاة علی القرطاس</w:t>
      </w:r>
      <w:bookmarkEnd w:id="97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8" w:name="__RefHeading___Toc2088143_388300464"/>
      <w:bookmarkStart w:id="979" w:name="_Toc377"/>
      <w:bookmarkEnd w:id="978"/>
      <w:r>
        <w:rPr>
          <w:rtl w:val="true"/>
        </w:rPr>
        <w:t>حکم اشتباه الموضع النجس بغیره</w:t>
      </w:r>
      <w:bookmarkStart w:id="980" w:name="pg14966_204348"/>
      <w:bookmarkEnd w:id="979"/>
    </w:p>
    <w:p>
      <w:pPr>
        <w:pStyle w:val="BookText"/>
        <w:rPr/>
      </w:pPr>
      <w:bookmarkEnd w:id="980"/>
      <w:r>
        <w:rPr>
          <w:rFonts w:ascii="IRNazanin" w:hAnsi="IRNazanin" w:eastAsia="IRNazanin"/>
          <w:color w:val="111111"/>
          <w:sz w:val="28"/>
          <w:sz w:val="28"/>
          <w:szCs w:val="28"/>
          <w:rtl w:val="true"/>
          <w:lang w:bidi="fa-IR"/>
        </w:rPr>
        <w:t xml:space="preserve">النجس بالأصالة ، وما بقی من باب المقدمة ، وإذا کان کلّ جزء جزء باقیا علی طهارته لزم ارتفاع النجس الیقینی ، وتعیین جزء خاصّ ترجیح من غیر مرجّح شرعی ، وأصالة الطهارة لا تعارض ما ذکرنا ، کالصلاة فی الثیاب التی أحدها نجس یقینا ، وغیر ذلک ، والفرق بین المحصور وغیره ذکرناه هناک ، فلاحظ جمیع ما ذکرناه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ما یدل علی طهارة محلّ السجود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 الدلیل والإشارة إلیه فی مبحث مطهریّة الشمس </w:t>
      </w:r>
      <w:r>
        <w:rPr>
          <w:rStyle w:val="FootnoteAnchor"/>
          <w:rtl w:val="true"/>
        </w:rPr>
        <w:footnoteReference w:id="118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الأصحاب فی استحبابهما أو وجوبهما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أنّ الأذان والإقامة فی ثلاث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الفجر والظهر والمغرب ، وصلاتین بإقامة هما العصر والعشاء ، لأنّه روی خمس صلوات فی ثلاث أوقات </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من السنن اللازمة ، ولیستا بفریضة ، ولیس علی النساء أذان ولا إقامة ، وینبغی لهن إذا استقبلن القبلة أن 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 xml:space="preserve">»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الأخبار الدالة علی أنّ المؤذّن والمقیم یصلّی خلفه صفّان من الملائکة ، والمقیم وحده یصلّی خلفه صفّ أو ملک </w:t>
      </w:r>
      <w:r>
        <w:rPr>
          <w:rStyle w:val="FootnoteAnchor"/>
          <w:rtl w:val="true"/>
        </w:rPr>
        <w:footnoteReference w:id="1188"/>
      </w:r>
      <w:r>
        <w:rPr>
          <w:rFonts w:ascii="IRNazanin" w:hAnsi="IRNazanin" w:eastAsia="IRNazanin"/>
          <w:color w:val="111111"/>
          <w:sz w:val="28"/>
          <w:sz w:val="28"/>
          <w:szCs w:val="28"/>
          <w:rtl w:val="true"/>
          <w:lang w:bidi="fa-IR"/>
        </w:rPr>
        <w:t>، إشعار باستحباب</w:t>
      </w:r>
    </w:p>
    <w:p>
      <w:pPr>
        <w:pStyle w:val="Heading2"/>
        <w:numPr>
          <w:ilvl w:val="1"/>
          <w:numId w:val="1"/>
        </w:numPr>
        <w:rPr/>
      </w:pPr>
      <w:bookmarkStart w:id="981" w:name="__RefHeading___Toc2088145_388300464"/>
      <w:bookmarkStart w:id="982" w:name="_Toc378"/>
      <w:bookmarkEnd w:id="981"/>
      <w:r>
        <w:rPr>
          <w:rtl w:val="true"/>
        </w:rPr>
        <w:t>الأذان والإقامة</w:t>
      </w:r>
      <w:bookmarkEnd w:id="98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3" w:name="__RefHeading___Toc2088147_388300464"/>
      <w:bookmarkStart w:id="984" w:name="_Toc379"/>
      <w:bookmarkEnd w:id="983"/>
      <w:r>
        <w:rPr>
          <w:rtl w:val="true"/>
        </w:rPr>
        <w:t>اختلاف الأصحاب فی استحبابهما أو وجوبهما</w:t>
      </w:r>
      <w:bookmarkEnd w:id="984"/>
    </w:p>
    <w:p>
      <w:pPr>
        <w:pStyle w:val="BookText"/>
        <w:rPr/>
      </w:pPr>
      <w:r>
        <w:rPr>
          <w:rFonts w:ascii="IRNazanin" w:hAnsi="IRNazanin" w:eastAsia="IRNazanin"/>
          <w:color w:val="111111"/>
          <w:sz w:val="28"/>
          <w:sz w:val="28"/>
          <w:szCs w:val="28"/>
          <w:rtl w:val="true"/>
          <w:lang w:bidi="fa-IR"/>
        </w:rPr>
        <w:t>الإقامة بعد ثبوت استحباب الأذان من أخبار کثیرة ، ومع ذلک ، الاحتیاط فی عدم ترک الإقامة مطلقا ، هذا فی غیر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الجماعة فالأمر فی الإقامة کما ذکر ، وأشدّ منه ، والأذان فبعد تمامیة الاجتماع وعدم الانتظار فلا مانع من ترک الأذان ، مع أنّ الأولی والأحوط الفعل أیضا ، وأمّا الإقامة فلا تترک البتّة ، لعدم دلیل واضح علی جواز ترک القراءة خلف إمام لم یأت بالإقامة لا هو ولا أحد ممّن خلفه لأجل الجماعة ، مع أنّ شغل الذمّة بالقراءة کان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الأذان والإقامة واجبین لذکرا فی مقام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فساد هذا الاستدلال ، لأنّه یتوقّف علی کون الأذان والإقامة داخلین فی ماهیة الصلاة ، ولیس کذلک إجماعا ، بل وضرورة من الدین ، والمعصوم علیه السلام ما توجّه إلی الأمور الخارجة عن الصلاة ، والتوجّه إلی خصوص الأصابع لعله لما رأی من أنّ حمادا ما راعی ذلک ، وهذا هو الظاهر ، کما لا یخفی ، مع أنّه من الآداب المرعیة حال الصلاة ، وعلی فرض أنّه اتفق بیان بعض الخارج لا یلزم منه ما ذکره ، لأنّ تأخیر البیان إنّما هو بالنسبة إلی ما هو بصدد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لعل الأذان والإقامة من حماد ما کان فیهما حزازة أصلا ، فتأمّل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المعصوم علیه السلام ما کان فی صدد بیان الواجبات فقط ، بل الظاهر أنّه کان بصدد بیان الآداب والمستحبات ، کما هو ظاهر ، وظاهر أیضا أنّ حمادا کان أتی بالواجبات ولذا ما أمر المعصوم علیه السلام بقضاء صلواته ، بل وبّخه بما هو ظاهر فی ما ذکرناه ، فعلی هذا لو کان الأمر کما ذکره الشارح رحمه الله لزم أن لا یکونا من مستحبات الصلاة أیضا ، مع أنّ </w:t>
      </w:r>
      <w:bookmarkStart w:id="985" w:name="pg14966_204350"/>
    </w:p>
    <w:p>
      <w:pPr>
        <w:pStyle w:val="BookText"/>
        <w:rPr/>
      </w:pPr>
      <w:bookmarkEnd w:id="985"/>
      <w:r>
        <w:rPr>
          <w:rFonts w:ascii="IRNazanin" w:hAnsi="IRNazanin" w:eastAsia="IRNazanin"/>
          <w:color w:val="111111"/>
          <w:sz w:val="28"/>
          <w:sz w:val="28"/>
          <w:szCs w:val="28"/>
          <w:rtl w:val="true"/>
          <w:lang w:bidi="fa-IR"/>
        </w:rPr>
        <w:t xml:space="preserve">المعصوم علیه السلام تعرّض لإظهار آداب لیست بمثابة الأذان ، فکیف الإقامة؟ إذ ربما یظهر من کثیر من الأخبار وجوبها ، وغایة ما فی الباب أن تکون مستحبة قریبة إلی الواجب غایة القرب ، وسیجی‌ء الأمر بإعادة الصلاة للناسی لها </w:t>
      </w:r>
      <w:r>
        <w:rPr>
          <w:rStyle w:val="FootnoteAnchor"/>
          <w:rtl w:val="true"/>
        </w:rPr>
        <w:footnoteReference w:id="1189"/>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أذان العصر یوم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فی مبحث صلاة الجمعة تحقیق الحال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ذکره الشیخ وجمع من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الشیخ رحمه الله ما عمّم الحکم بهذا التعمیم ، بل خصّصه بالصلاة جماعة فی المرتبة الثانیة ، وکونهما فی المسجد جمیعا ، وکونهما فی صلاة واحدة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صلّی فی مسجد جماعة کره أن تصلّی دفعة أخری جماعة تلک الصلاة بعینها ، فإن حضر قوم وأرادوا أن یصلّوها جماعة فلیصلّ بهم واحد منهم ولا یؤذّن ولا یقیم ، بل یقتصر علی ما تقدّم من الأذان والإقامة فی المسجد إذا لم یکن الصفّ قد انفضّ </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المذکور فی معظم کتب فقهائنا ، والمستفاد منها ، ومنهم المفید رحمه الله فی المقنعة </w:t>
      </w:r>
      <w:r>
        <w:rPr>
          <w:rStyle w:val="FootnoteAnchor"/>
          <w:rtl w:val="true"/>
        </w:rPr>
        <w:footnoteReference w:id="1193"/>
      </w:r>
      <w:r>
        <w:rPr>
          <w:rFonts w:ascii="IRNazanin" w:hAnsi="IRNazanin" w:eastAsia="IRNazanin"/>
          <w:color w:val="111111"/>
          <w:sz w:val="28"/>
          <w:sz w:val="28"/>
          <w:szCs w:val="28"/>
          <w:rtl w:val="true"/>
          <w:lang w:bidi="fa-IR"/>
        </w:rPr>
        <w:t xml:space="preserve">، والعلاّمة فی غیر واحد من کتبه ، مثل التحریر والتذکرة </w:t>
      </w:r>
      <w:r>
        <w:rPr>
          <w:rStyle w:val="FootnoteAnchor"/>
          <w:rtl w:val="true"/>
        </w:rPr>
        <w:footnoteReference w:id="1194"/>
      </w:r>
      <w:r>
        <w:rPr>
          <w:rFonts w:ascii="IRNazanin" w:hAnsi="IRNazanin" w:eastAsia="IRNazanin"/>
          <w:color w:val="111111"/>
          <w:sz w:val="28"/>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6" w:name="__RefHeading___Toc2088149_388300464"/>
      <w:bookmarkStart w:id="987" w:name="_Toc380"/>
      <w:bookmarkEnd w:id="986"/>
      <w:r>
        <w:rPr>
          <w:rtl w:val="true"/>
        </w:rPr>
        <w:t>سقوط الأذان والإقامة عمّن أدرک الجماعة</w:t>
      </w:r>
      <w:bookmarkEnd w:id="987"/>
    </w:p>
    <w:p>
      <w:pPr>
        <w:pStyle w:val="BookText"/>
        <w:rPr/>
      </w:pPr>
      <w:r>
        <w:rPr>
          <w:rFonts w:ascii="IRNazanin" w:hAnsi="IRNazanin" w:eastAsia="IRNazanin"/>
          <w:color w:val="111111"/>
          <w:sz w:val="28"/>
          <w:sz w:val="28"/>
          <w:szCs w:val="28"/>
          <w:rtl w:val="true"/>
          <w:lang w:bidi="fa-IR"/>
        </w:rPr>
        <w:t xml:space="preserve">بل ظاهر المصنف رحمه الله فی النافع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عندی نسخة المعتبر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المبسوط خصّص السقوط بالأذان فقط بعد أن خصّص بالمسجد وبتلک الصلاة التی أذّن لها ، وإن کان عمّم بالنسبة إلی تفرّق الصف وغیره ، وکذا بالنسبة إلی مرید الجماعة وغیره ، ومع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یؤذّن فیما بینه وبین نفسه ، وإن لم یفعل فلا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العلاّمة فی القواعد والإرشاد تخصیص ذلک بمرید الجماعة وغیر ذلک من القیود ، إلاّ حکایة کونها فی المسجد فالظاهر منه التعمیم بالنسبة إلیها </w:t>
      </w:r>
      <w:r>
        <w:rPr>
          <w:rStyle w:val="FootnoteAnchor"/>
          <w:rtl w:val="true"/>
        </w:rPr>
        <w:footnoteReference w:id="1198"/>
      </w:r>
      <w:r>
        <w:rPr>
          <w:rFonts w:ascii="IRNazanin" w:hAnsi="IRNazanin" w:eastAsia="IRNazanin"/>
          <w:color w:val="111111"/>
          <w:sz w:val="28"/>
          <w:sz w:val="28"/>
          <w:szCs w:val="28"/>
          <w:rtl w:val="true"/>
          <w:lang w:bidi="fa-IR"/>
        </w:rPr>
        <w:t xml:space="preserve">، وکذلک الشهید فی اللمعة والبیان والدروس </w:t>
      </w:r>
      <w:r>
        <w:rPr>
          <w:rStyle w:val="FootnoteAnchor"/>
          <w:rtl w:val="true"/>
        </w:rPr>
        <w:footnoteReference w:id="1199"/>
      </w:r>
      <w:r>
        <w:rPr>
          <w:rFonts w:ascii="IRNazanin" w:hAnsi="IRNazanin" w:eastAsia="IRNazanin"/>
          <w:color w:val="111111"/>
          <w:sz w:val="28"/>
          <w:sz w:val="28"/>
          <w:szCs w:val="28"/>
          <w:rtl w:val="true"/>
          <w:lang w:bidi="fa-IR"/>
        </w:rPr>
        <w:t xml:space="preserve">،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ندبا لا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مراد المصنّف رحمه الله فی هذا الکتاب أیضا ذلک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الإمام جماعة وجاء آخرون ، فتأمّل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ابن المفلح </w:t>
      </w:r>
      <w:r>
        <w:rPr>
          <w:rStyle w:val="FootnoteAnchor"/>
          <w:rtl w:val="true"/>
        </w:rPr>
        <w:footnoteReference w:id="1200"/>
      </w:r>
      <w:r>
        <w:rPr>
          <w:rFonts w:ascii="IRNazanin" w:hAnsi="IRNazanin" w:eastAsia="IRNazanin"/>
          <w:color w:val="111111"/>
          <w:sz w:val="28"/>
          <w:sz w:val="28"/>
          <w:szCs w:val="28"/>
          <w:rtl w:val="true"/>
          <w:lang w:bidi="fa-IR"/>
        </w:rPr>
        <w:t xml:space="preserve">فی شرح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مستحب إلاّ فی أماکن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عرفة ، عشاء مزدلفة ، عصر الجمعة ، والسقوط هنا للجمع لا المکان والزمان ،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یجتزئ بالأذان فی أوّل ورده والإقامة للبواقی ، وإنّ الجمع بینهما أفضل ، ثم استشکل بأنّ فی الأداء إمّا مکروه أو حرام ، ثم أجاب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الثانیة إذا لم تتفرّق الأولی لأنّهم یدعون بالأذان الأوّل وقد أجابوا بالحضور فصاروا کالحاضرین فی </w:t>
      </w:r>
    </w:p>
    <w:p>
      <w:pPr>
        <w:pStyle w:val="BookText"/>
        <w:rPr/>
      </w:pPr>
      <w:r>
        <w:rPr>
          <w:rFonts w:ascii="IRNazanin" w:hAnsi="IRNazanin" w:eastAsia="IRNazanin"/>
          <w:color w:val="111111"/>
          <w:sz w:val="28"/>
          <w:sz w:val="28"/>
          <w:szCs w:val="28"/>
          <w:rtl w:val="true"/>
          <w:lang w:bidi="fa-IR"/>
        </w:rPr>
        <w:t xml:space="preserve">الجماعة الأولی بعد الأذان ، فإذا کان کذلک جمّعوا بغیر أذان ولا إقامة وصلّوا فی ناحیة المسجد لا فی محرابه ، ولا یبرز لهم إمام لئلاّ تکرّر الصلاة الواحدة ، ولا بدّ أن تکون الصلاة واحدة ، فلو کان حضورها لصلاة أخری أذّنوا وأقاموا ، وإن لم تفرق الأولی بل کانوا فی الصلاة ، ثم شرط فی السقوط اشتغال الباقی من الصف بالصلاة والتعقیب ، فلو بقی الکل مشتغلین بالخیاطة مثلا ممّا لیس بدعاء ولا تسبیح فی المسجد فقد تفرّقوا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صلّت الجماعة الثانیة من غیر تأذین فحضرت ثالثة فإن کان قبل تفرّق الأولی لم یؤذّنوا وإلاّ أذّنوا وإن لم تتفرّق الثانیة ، لأنّ الضابطة حضور جماعة بعد جماعة 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نقلناها لما فیه من الفوائد ، وربما یومئ هذا إلی أنّ مراد الکل واحد ، وإن لم یقیّدوا بالمسجد أو بالجماعة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تلخیص خلاف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مسجد جماعة وجاء آخرون ینبغی أن یصلّوا فرادی ، وهو مذهب الشافعی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المسجد له إمام راتب ، وإن لم یکن له إمام راتب أو کان المسجد علی قارعة الطریق أو فی محلّة لا یمکن أن یجتمع أهله دفعة واحدة ، یجوز أن یصلّوا جماعة بعد جماعة ، وقد روی أصحابنا أنّهم إذا صلّوا جماعة وجاء قوم جاز لهم أن یصلّوا دفعة أخری إلاّ أنّهم لا یؤذّنون ولا یقیمون ویجتزون بالأذان الأوّل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الأذان والإقامة عن الجماعة الثانیة إذا لم تنصرف الاولی عن المسجد ، وهو أحد قولی الشافعی ، لأنّهم مدعوون </w:t>
      </w:r>
    </w:p>
    <w:p>
      <w:pPr>
        <w:pStyle w:val="BookText"/>
        <w:rPr/>
      </w:pPr>
      <w:r>
        <w:rPr>
          <w:rFonts w:ascii="IRNazanin" w:hAnsi="IRNazanin" w:eastAsia="IRNazanin"/>
          <w:color w:val="111111"/>
          <w:sz w:val="28"/>
          <w:sz w:val="28"/>
          <w:szCs w:val="28"/>
          <w:rtl w:val="true"/>
          <w:lang w:bidi="fa-IR"/>
        </w:rPr>
        <w:t xml:space="preserve">بالأذان الأوّل ، فإذا جاؤوا کانوا کالحاضرین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المرّة الأولی </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ومع التفرقة تصیر کالمستأنفة ، ولقول الصادق علیه السلام ، ثم أتی روایة أبی بصیر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 یستحب مطلقا ، وبه قال أبو حنیفة لکن لا یرفع بها الصوت دفعا للالتباس</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بحث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تکرّر الجماعة فی المسجد الواحد ، فإذا صلّی إمام الحیّ فی مسجده وحضر آخرون ، صلّوا فرادی ، قاله الشیخ ، وبه قال اللیث والنخعی </w:t>
      </w:r>
      <w:r>
        <w:rPr>
          <w:rStyle w:val="FootnoteAnchor"/>
          <w:rtl w:val="true"/>
        </w:rPr>
        <w:footnoteReference w:id="1204"/>
      </w:r>
      <w:r>
        <w:rPr>
          <w:rFonts w:ascii="IRNazanin" w:hAnsi="IRNazanin" w:eastAsia="IRNazanin"/>
          <w:color w:val="111111"/>
          <w:sz w:val="28"/>
          <w:sz w:val="28"/>
          <w:szCs w:val="28"/>
          <w:rtl w:val="true"/>
          <w:lang w:bidi="fa-IR"/>
        </w:rPr>
        <w:t xml:space="preserve">والثوری ومالک وأبو حنیفة والأوزاعی والشافعی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 الشیخ بالأخبار ، ولأنّ فیه اختلاف القلوب والعداوة والتهاون بالصلاة مع إمامه ، والذی روی أبو علی الحرّانی کراهة تأذین الجماعة الثانیة إذا تخلّف أحد من الأولی ، وروی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عن آبائه 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المسجد وقد صلّی علی علیه السلام بالناس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شئتما فلیؤمّ أحدکما صاحبه ولا یؤذّن ولا یقیم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الصدوق رحمه الله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جماعتان فی مسجد فی صلاة واحدة ، فقد روی ابن أبی عمیر عن أبی علی الحرّانی</w:t>
      </w:r>
      <w:r>
        <w:rPr>
          <w:rFonts w:eastAsia="IRNazanin" w:cs="IRNazanin"/>
          <w:color w:val="111111"/>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صلّی فی مسجد جماعة لا یجوز أن یصلّی دفعة أخری جماعة بأذان وإقامة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الإحاطة بما ذکرنا ظهر ما فی کلام الشارح ، وظهر أنّ المعظم فهموا الروایات فی خصوص الجماعة الثانیة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الفقیه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أدرک الإمام وهو فی التشهد فقد أدرک الجماعة ولیس علیه أذان ولا إقامة ، ومن أدرکه وقد سلّم فعلیه الأذان والإقامة </w:t>
      </w:r>
      <w:r>
        <w:rPr>
          <w:rStyle w:val="FootnoteAnchor"/>
          <w:rtl w:val="true"/>
        </w:rPr>
        <w:footnoteReference w:id="1209"/>
      </w:r>
      <w:r>
        <w:rPr>
          <w:rFonts w:ascii="IRNazanin" w:hAnsi="IRNazanin" w:eastAsia="IRNazanin"/>
          <w:color w:val="111111"/>
          <w:sz w:val="28"/>
          <w:sz w:val="28"/>
          <w:szCs w:val="28"/>
          <w:rtl w:val="true"/>
          <w:lang w:bidi="fa-IR"/>
        </w:rPr>
        <w:t xml:space="preserve">، وهو مضمون روایة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الصدوق فی الفقیه والشیخ فی التهذیب بسند موثق </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عن الصادق علیه السلام ، عن رجل أدرک الإمام حین سلّم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یؤذّن ویقیم </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 وهو أوفق بالعمومات والتأکیدات والتشدیدات ، سیّما فی الإقامة ، وسیّما فی الجماعة ، وحمل علی تفرّق الصفّ </w:t>
      </w:r>
      <w:r>
        <w:rPr>
          <w:rStyle w:val="FootnoteAnchor"/>
          <w:rtl w:val="true"/>
        </w:rPr>
        <w:footnoteReference w:id="1212"/>
      </w:r>
      <w:r>
        <w:rPr>
          <w:rFonts w:ascii="IRNazanin" w:hAnsi="IRNazanin" w:eastAsia="IRNazanin"/>
          <w:color w:val="111111"/>
          <w:sz w:val="28"/>
          <w:sz w:val="28"/>
          <w:szCs w:val="28"/>
          <w:rtl w:val="true"/>
          <w:lang w:bidi="fa-IR"/>
        </w:rPr>
        <w:t>، وفیه ما لا یخفی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فی أخبار السقوط من المخالفة والاختلاف ، حتی أنّ روایة السکونی فی غایة التأکید فی المنع مطلقا من دون قید التفرّق فی الصفّ </w:t>
      </w:r>
      <w:r>
        <w:rPr>
          <w:rStyle w:val="FootnoteAnchor"/>
          <w:rtl w:val="true"/>
        </w:rPr>
        <w:footnoteReference w:id="1213"/>
      </w:r>
      <w:r>
        <w:rPr>
          <w:rFonts w:ascii="IRNazanin" w:hAnsi="IRNazanin" w:eastAsia="IRNazanin"/>
          <w:color w:val="111111"/>
          <w:sz w:val="28"/>
          <w:sz w:val="28"/>
          <w:szCs w:val="28"/>
          <w:rtl w:val="true"/>
          <w:lang w:bidi="fa-IR"/>
        </w:rPr>
        <w:t xml:space="preserve">، ومع ذلک فهی أوفق بمذاهب العامّة ، وألیق بالحمل علی الاتقاء من حیث ندرة وجود الإمام الراتب فی المسجد من الشیعة فی زمانهم علیهم السلام ، وقرب حملها علی الجماعة الثانیة فی المسجد ، کما فهم المعظم ، لأنّه المعهود فی الاستشکال والسؤال عن الحال علی ما بناه المعظم وفهمه </w:t>
      </w:r>
      <w:r>
        <w:rPr>
          <w:rStyle w:val="FootnoteAnchor"/>
          <w:rtl w:val="true"/>
        </w:rPr>
        <w:footnoteReference w:id="1214"/>
      </w:r>
      <w:r>
        <w:rPr>
          <w:rFonts w:ascii="IRNazanin" w:hAnsi="IRNazanin" w:eastAsia="IRNazanin"/>
          <w:color w:val="111111"/>
          <w:sz w:val="28"/>
          <w:sz w:val="28"/>
          <w:szCs w:val="28"/>
          <w:rtl w:val="true"/>
          <w:lang w:bidi="fa-IR"/>
        </w:rPr>
        <w:t xml:space="preserve">، وفهم القدماء لو لم یکن معیّنا ومشخّصا للمعنی فلا أقلّ </w:t>
      </w:r>
      <w:bookmarkStart w:id="988" w:name="pg14966_204355"/>
    </w:p>
    <w:p>
      <w:pPr>
        <w:pStyle w:val="BookText"/>
        <w:rPr/>
      </w:pPr>
      <w:bookmarkEnd w:id="988"/>
      <w:r>
        <w:rPr>
          <w:rFonts w:ascii="IRNazanin" w:hAnsi="IRNazanin" w:eastAsia="IRNazanin"/>
          <w:color w:val="111111"/>
          <w:sz w:val="28"/>
          <w:sz w:val="28"/>
          <w:szCs w:val="28"/>
          <w:rtl w:val="true"/>
          <w:lang w:bidi="fa-IR"/>
        </w:rPr>
        <w:t>من کونه مقرّبا للحمل ، وقرب حمل موثّقة عمار علی غیر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والشارح أیضا فهم من الروایات ما فهمه المعظم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r>
        <w:rPr>
          <w:rStyle w:val="FootnoteAnchor"/>
          <w:rtl w:val="true"/>
        </w:rPr>
        <w:footnoteReference w:id="1215"/>
      </w:r>
      <w:r>
        <w:rPr>
          <w:rFonts w:ascii="IRNazanin" w:hAnsi="IRNazanin" w:eastAsia="IRNazanin"/>
          <w:color w:val="111111"/>
          <w:sz w:val="28"/>
          <w:sz w:val="28"/>
          <w:szCs w:val="28"/>
          <w:rtl w:val="true"/>
          <w:lang w:bidi="fa-IR"/>
        </w:rPr>
        <w:t>أن تکون الحکمة فی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حق ، وبالجملة الحکم بالسقوط مطلقا مع </w:t>
      </w:r>
      <w:r>
        <w:rPr>
          <w:rStyle w:val="FootnoteAnchor"/>
          <w:rtl w:val="true"/>
        </w:rPr>
        <w:footnoteReference w:id="1216"/>
      </w:r>
      <w:r>
        <w:rPr>
          <w:rFonts w:ascii="IRNazanin" w:hAnsi="IRNazanin" w:eastAsia="IRNazanin"/>
          <w:color w:val="111111"/>
          <w:sz w:val="28"/>
          <w:sz w:val="28"/>
          <w:szCs w:val="28"/>
          <w:rtl w:val="true"/>
          <w:lang w:bidi="fa-IR"/>
        </w:rPr>
        <w:t>ما أشرنا إلیه لعله فی غایة الإشکال سیّما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باشتراک راوی الأولی بین الثقة والضعیف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یضرّ اشتراکه ، لأنّه مشترک بین الثقتین أو ثقات ، کما حقّقنا أنّ یحیی بن القاسم ثقة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وجهالة راوی الثانیة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الراوی عنه ابن أبی عمیر ، وهو ممّن أجمعت العصابة ، وممّن لا یروی إلاّ عن الثقة ، وطریق الصدوق إلی ابن أبی عمیر صحیح ، کما فی الخلاصة </w:t>
      </w:r>
      <w:r>
        <w:rPr>
          <w:rStyle w:val="FootnoteAnchor"/>
          <w:rtl w:val="true"/>
        </w:rPr>
        <w:footnoteReference w:id="1219"/>
      </w:r>
      <w:r>
        <w:rPr>
          <w:rFonts w:ascii="IRNazanin" w:hAnsi="IRNazanin" w:eastAsia="IRNazanin"/>
          <w:color w:val="111111"/>
          <w:sz w:val="28"/>
          <w:sz w:val="28"/>
          <w:szCs w:val="28"/>
          <w:rtl w:val="true"/>
          <w:lang w:bidi="fa-IR"/>
        </w:rPr>
        <w:t xml:space="preserve">، والصدوق رواها عنه </w:t>
      </w:r>
      <w:r>
        <w:rPr>
          <w:rStyle w:val="FootnoteAnchor"/>
          <w:rtl w:val="true"/>
        </w:rPr>
        <w:footnoteReference w:id="1220"/>
      </w:r>
      <w:r>
        <w:rPr>
          <w:rFonts w:ascii="IRNazanin" w:hAnsi="IRNazanin" w:eastAsia="IRNazanin"/>
          <w:color w:val="111111"/>
          <w:sz w:val="28"/>
          <w:sz w:val="28"/>
          <w:szCs w:val="28"/>
          <w:rtl w:val="true"/>
          <w:lang w:bidi="fa-IR"/>
        </w:rPr>
        <w:t>، ویعضدها روایة الحسین بن سعید عنه ، والطریق إلیه 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بما بیّناه مرارا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نظره رحمه الله إلی ما ذکره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إذا وصلت إلی حدّ الإجماع تکون حجة فی نفسها من دون حاجة إلی الخبر ، وإلاّ فلا فائدة فیها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2088151_388300464"/>
      <w:bookmarkStart w:id="990" w:name="_Toc381"/>
      <w:bookmarkEnd w:id="989"/>
      <w:r>
        <w:rPr>
          <w:rtl w:val="true"/>
        </w:rPr>
        <w:t>أبو بصیر یحیی بن القاسم ثقة</w:t>
      </w:r>
      <w:bookmarkEnd w:id="99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1" w:name="__RefHeading___Toc2088153_388300464"/>
      <w:bookmarkStart w:id="992" w:name="_Toc382"/>
      <w:bookmarkEnd w:id="991"/>
      <w:r>
        <w:rPr>
          <w:rtl w:val="true"/>
        </w:rPr>
        <w:t>إشارة إلی أن الشهرة جابرة لضعف الخبر</w:t>
      </w:r>
      <w:bookmarkStart w:id="993" w:name="pg14966_204356"/>
      <w:bookmarkEnd w:id="992"/>
    </w:p>
    <w:p>
      <w:pPr>
        <w:pStyle w:val="BookText"/>
        <w:rPr/>
      </w:pPr>
      <w:bookmarkEnd w:id="993"/>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الفائدة حصول التبیّن المأمور به فی خبر الفاسق ، ولا شکّ فی أنّها من أعظم أنواع التبیّن ، وهو تعالی کما جعل خبر العادل حجّة کذا جعل الخبر المتبیّن حجّة ، والشارح یکتفی فی تصحیح الحدیث بالظنون الضعیفة الحاصلة من القرائن الضعیفة لتعیین المشترک وغیره ، ومن الظنون الظنّ بعدم السقط والاشتباه وأمثالهما ، مع أنّ نفس توثیقات الرجال غالبا من الظنون ، کما حقّقنا </w:t>
      </w:r>
      <w:r>
        <w:rPr>
          <w:rStyle w:val="FootnoteAnchor"/>
          <w:rtl w:val="true"/>
        </w:rPr>
        <w:footnoteReference w:id="1222"/>
      </w:r>
      <w:r>
        <w:rPr>
          <w:rFonts w:ascii="IRNazanin" w:hAnsi="IRNazanin" w:eastAsia="IRNazanin"/>
          <w:color w:val="111111"/>
          <w:sz w:val="28"/>
          <w:sz w:val="28"/>
          <w:szCs w:val="28"/>
          <w:rtl w:val="true"/>
          <w:lang w:bidi="fa-IR"/>
        </w:rPr>
        <w:t>فکیف یکفی الظّن فی ثبوت العدالة التی هی شرط فی الصحة ولا یکفی الظنّ القوی فی التبیّن؟ إذ لغة یصدق علیه أنّه تبیّن وظهر ، فإنّ التبیّن طلب ظهور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کل دلیل دل علی کفایة الظنّ فی التعدیل یشمل التبیّن أیضا من دون تفاوت ، وبناء فقه الشیعة غالبا علی الأخبار المنجبرة بالجوابر التی هی تبیّنات ، بل ندر الصحیح فی المعاملات غایة الندرة والشارح أیضا کثیرا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الأصحاب تجبر ضعف السند ، کما قاله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رکعة من الوقت فقد أدرک الوقت </w:t>
      </w:r>
      <w:r>
        <w:rPr>
          <w:rStyle w:val="FootnoteAnchor"/>
          <w:rtl w:val="true"/>
        </w:rPr>
        <w:footnoteReference w:id="1223"/>
      </w:r>
      <w:r>
        <w:rPr>
          <w:rFonts w:ascii="IRNazanin" w:hAnsi="IRNazanin" w:eastAsia="IRNazanin"/>
          <w:color w:val="111111"/>
          <w:sz w:val="28"/>
          <w:sz w:val="28"/>
          <w:szCs w:val="28"/>
          <w:rtl w:val="true"/>
          <w:lang w:bidi="fa-IR"/>
        </w:rPr>
        <w:t>، وغیرها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تحقّق الشهرة الجابرة ، کیف؟ والشیخ واتباعه قالوا ما قالوا ، وکذا لم یظهر کون أذان جعفر علیه السلام وإقامته للانفراد ،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من تأمّل ، لتبادر المنفرد ، بل وبعد النسیان فی صورة الجماعة ، لندرة التحقّق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حمل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أنّ الأجر الوارد فی الخبر المراد منه الأجرة ، وظهور النهی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4" w:name="__RefHeading___Toc2088155_388300464"/>
      <w:bookmarkStart w:id="995" w:name="_Toc383"/>
      <w:bookmarkEnd w:id="994"/>
      <w:r>
        <w:rPr>
          <w:rtl w:val="true"/>
        </w:rPr>
        <w:t>تُعطی أجرة المؤذن من بیت المال إذا لم یوجد من یتطوع به</w:t>
      </w:r>
      <w:bookmarkStart w:id="996" w:name="pg14966_204357"/>
      <w:bookmarkEnd w:id="995"/>
    </w:p>
    <w:p>
      <w:pPr>
        <w:pStyle w:val="BookText"/>
        <w:rPr/>
      </w:pPr>
      <w:bookmarkEnd w:id="996"/>
      <w:r>
        <w:rPr>
          <w:rFonts w:ascii="IRNazanin" w:hAnsi="IRNazanin" w:eastAsia="IRNazanin"/>
          <w:color w:val="111111"/>
          <w:sz w:val="28"/>
          <w:sz w:val="28"/>
          <w:szCs w:val="28"/>
          <w:rtl w:val="true"/>
          <w:lang w:bidi="fa-IR"/>
        </w:rPr>
        <w:t>المؤکّد عن أخذه مؤذّنا فی حرمة نفس أخذ الأجرة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والسکونی نقل الشیخ فی عدّته ، أنّ الشیعة أجمعوا علی العمل بروایته ، وأنّه من الثقات </w:t>
      </w:r>
      <w:r>
        <w:rPr>
          <w:rStyle w:val="FootnoteAnchor"/>
          <w:rtl w:val="true"/>
        </w:rPr>
        <w:footnoteReference w:id="1224"/>
      </w:r>
      <w:r>
        <w:rPr>
          <w:rFonts w:ascii="IRNazanin" w:hAnsi="IRNazanin" w:eastAsia="IRNazanin"/>
          <w:color w:val="111111"/>
          <w:sz w:val="28"/>
          <w:sz w:val="28"/>
          <w:szCs w:val="28"/>
          <w:rtl w:val="true"/>
          <w:lang w:bidi="fa-IR"/>
        </w:rPr>
        <w:t>، لکن الضعف من غیر جهة السکونی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 الظاهر أنّ الأجر أعمّ من الأجرة ویشمل الارتزاق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الارتزاق لیس أجر أذانه ، بل من جهة فقره واستحقاقه ، أو أنّ له حقا فی بیت المال ، وتحقیق الکلام فی 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احتجاج السید بعینه هو الذی ذکره الشارح لعدم جواز الأذان للفریضة قبل وقتها فی غیر الصبح ، من أنّه وضع للإعلام بدخول وقته ، ومن المعلوم عدم الفرق فی ذلک بین الصبح وغیره لو لا ورود الروایات المذکورة ، وبدیهی أنّه لو لم ترد یکون حال الصبح حال غیره ، کما أنّه لو فرض ورود ما فی الصبح فی غیره أیضا لکان حکمهما واحدا ، فالجواب بالمنع من حصر فائدة الإعلام فاسد ، بل الجواب منحصر فی ورود الرخصة من تلک الأخبار ، لکنّها أخبار آحاد عند السید وان کانت متواترة عند 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فیه مخالفا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صرّح الشیخ فی العدّة بأنّ الشیعة مختلفون فی عدد الأذان والإقامة ، وأنّ التعیین بأخبار الآحاد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الإمامیّة</w:t>
      </w:r>
    </w:p>
    <w:p>
      <w:pPr>
        <w:pStyle w:val="Heading3"/>
        <w:numPr>
          <w:ilvl w:val="2"/>
          <w:numId w:val="1"/>
        </w:numPr>
        <w:rPr/>
      </w:pPr>
      <w:bookmarkStart w:id="997" w:name="__RefHeading___Toc2088157_388300464"/>
      <w:bookmarkStart w:id="998" w:name="_Toc384"/>
      <w:bookmarkEnd w:id="997"/>
      <w:r>
        <w:rPr>
          <w:rtl w:val="true"/>
        </w:rPr>
        <w:t>اشتراط کون الأذان بعد دخول الوقت إلاّ فی الصبح</w:t>
      </w:r>
      <w:bookmarkEnd w:id="99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9" w:name="__RefHeading___Toc2088159_388300464"/>
      <w:bookmarkStart w:id="1000" w:name="_Toc385"/>
      <w:bookmarkEnd w:id="999"/>
      <w:r>
        <w:rPr>
          <w:rtl w:val="true"/>
        </w:rPr>
        <w:t>فصول الأذان والإقامة</w:t>
      </w:r>
      <w:bookmarkEnd w:id="1000"/>
    </w:p>
    <w:p>
      <w:pPr>
        <w:pStyle w:val="BookText"/>
        <w:rPr/>
      </w:pP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الأذان والإقامة مثنی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مراد الشیخ بالخلاف فی الأذان ما حکی فی الخلاف عن بعض الأصحاب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ذکره الصدوق فلعل ظاهره غیر مراد له ، إذ یبعد نسبة ذلک إلی کلّ الإمامیة ، سیّما وأن یکون ذلک بحیث یدخل فی عقائدهم ، فلعل مراده أنّ أحدا من الشیعة لم یذهب إلی أنّ الأذان مثنی والإقامة واحدة ، بل کلاهما مثنی ، أی بالنحو المعهود عندهم ، وهو أنّ غالب الفصول مثنی ، وإن کان فی أوّل الأذان أربع وفی آخر الإقامة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یمکن الجمع بین الروایات بإرجاع غیر روایة إسماعیل إلی روایة إسماعیل ، لأنّها هی المشهورة بین الأصحاب ، حتی أنّ النجاشی عند ذکره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الذی روی حدیث الأذان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إشعار تامّ بأنّ المعهود المتداول والحجّة المعمول بها هو روایته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الأذان والإقامة من الأمور المتکرّرة الصدور والمتکثّرة الوقوع فی کلّ یوم ولیلة بین الشیعة ، ووقوعهما کذلک علانیة وجهارا فی المجامع والجوامع کثیرا ، وأنّ الأصحاب مع أنّهم هم الذین رووا سائر الروایات ترکوها وأخذوا بهذه الروایة وترکوا غیرها ،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دلالتها بالنسبة إلی معرفة نفس الفصول ، وأنّ النقص فی الإقامة فی أیّ موضع ، وإن کان معرفة نفس الفصول بالإجماع والأخبار تتحقّق ، وکذا معرفة </w:t>
      </w:r>
    </w:p>
    <w:p>
      <w:pPr>
        <w:pStyle w:val="BookText"/>
        <w:rPr/>
      </w:pPr>
      <w:r>
        <w:rPr>
          <w:rFonts w:ascii="IRNazanin" w:hAnsi="IRNazanin" w:eastAsia="IRNazanin"/>
          <w:color w:val="111111"/>
          <w:sz w:val="28"/>
          <w:sz w:val="28"/>
          <w:szCs w:val="28"/>
          <w:rtl w:val="true"/>
          <w:lang w:bidi="fa-IR"/>
        </w:rPr>
        <w:t>النقص ، إذ إجماعیّ عندهم أنّ النقص لو کان ففی آخرها ، مع أنّ المعمول به فی الأعصار والأمصار من الفقهاء هو هذا ، بل عدم کون غیر الفصل الآخر ناقصا لعله من ضروریات دین الشیعة والمعروف من مذهبهم وطریقتهم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بعض الأخبار أیضا ما یشهد بأنّ النقص فی التهلیل الآخر ، وهو أنّ المصلّی خلف العامّة إذا لم یتمکّن من الأذان والإقامة یقتصر 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 الله أکبر ، الله أکبر ، لا إله إلاّ الله </w:t>
      </w:r>
      <w:r>
        <w:rPr>
          <w:rStyle w:val="FootnoteAnchor"/>
          <w:rtl w:val="true"/>
        </w:rPr>
        <w:footnoteReference w:id="123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روایة إسماعیل لصراحتها فی أنّ العدد خمسة وثلاثون حرفا لا یمکن توجیهها ، بخلاف تلک الروایات ، فإنّه یمکن توجیهها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فی بعض الأخبار من أنّ الإقامة مثل الأذان علی سبیل الإطلاق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رحمه الله فی الفقیه بعد ذکر روایة أبی بکر وکلیب وعدم ذکره غیر تلک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الأذان الصحیح لا تزاد فیه ولا تنقص ، والمفوّضة لعنهم الله</w:t>
      </w:r>
      <w:r>
        <w:rPr>
          <w:rFonts w:eastAsia="IRNazanin" w:cs="IRNazanin"/>
          <w:color w:val="111111"/>
          <w:sz w:val="28"/>
          <w:szCs w:val="28"/>
          <w:rtl w:val="true"/>
          <w:lang w:bidi="fa-IR"/>
        </w:rPr>
        <w:t xml:space="preserve">.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تأیید لما ذکرنا وشاهد علی أنّ مراده فی الأمالی هو ما ذکرنا ، فتأمّل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لهذا استدل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بروایة صفوان بن مهران </w:t>
      </w:r>
      <w:r>
        <w:rPr>
          <w:rStyle w:val="FootnoteAnchor"/>
          <w:rtl w:val="true"/>
        </w:rPr>
        <w:footnoteReference w:id="1234"/>
      </w:r>
      <w:r>
        <w:rPr>
          <w:rFonts w:ascii="IRNazanin" w:hAnsi="IRNazanin" w:eastAsia="IRNazanin"/>
          <w:color w:val="111111"/>
          <w:sz w:val="28"/>
          <w:sz w:val="28"/>
          <w:szCs w:val="28"/>
          <w:rtl w:val="true"/>
          <w:lang w:bidi="fa-IR"/>
        </w:rPr>
        <w:t xml:space="preserve">وإلاّ فهی لا تنطبق علی مذهبهم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التهلیل </w:t>
      </w:r>
    </w:p>
    <w:p>
      <w:pPr>
        <w:pStyle w:val="BookText"/>
        <w:rPr/>
      </w:pPr>
      <w:r>
        <w:rPr>
          <w:rFonts w:ascii="IRNazanin" w:hAnsi="IRNazanin" w:eastAsia="IRNazanin"/>
          <w:color w:val="111111"/>
          <w:sz w:val="28"/>
          <w:sz w:val="28"/>
          <w:szCs w:val="28"/>
          <w:rtl w:val="true"/>
          <w:lang w:bidi="fa-IR"/>
        </w:rPr>
        <w:t xml:space="preserve">فی آخر الإقامة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التکبیر فی أوّل الأذان ، مع إمکان الجمع بحمل تثنیة التکبیر بأنّها الأصل وتربیعة علی أنّه زید لغرض التنبیه </w:t>
      </w:r>
      <w:r>
        <w:rPr>
          <w:rStyle w:val="FootnoteAnchor"/>
          <w:rtl w:val="true"/>
        </w:rPr>
        <w:footnoteReference w:id="1235"/>
      </w:r>
      <w:r>
        <w:rPr>
          <w:rFonts w:ascii="IRNazanin" w:hAnsi="IRNazanin" w:eastAsia="IRNazanin"/>
          <w:color w:val="111111"/>
          <w:sz w:val="28"/>
          <w:sz w:val="28"/>
          <w:szCs w:val="28"/>
          <w:rtl w:val="true"/>
          <w:lang w:bidi="fa-IR"/>
        </w:rPr>
        <w:t xml:space="preserve">علی ما ورد فی بعض الأخبار </w:t>
      </w:r>
      <w:r>
        <w:rPr>
          <w:rStyle w:val="FootnoteAnchor"/>
          <w:rtl w:val="true"/>
        </w:rPr>
        <w:footnoteReference w:id="1236"/>
      </w:r>
      <w:r>
        <w:rPr>
          <w:rFonts w:ascii="IRNazanin" w:hAnsi="IRNazanin" w:eastAsia="IRNazanin"/>
          <w:color w:val="111111"/>
          <w:sz w:val="28"/>
          <w:sz w:val="28"/>
          <w:szCs w:val="28"/>
          <w:rtl w:val="true"/>
          <w:lang w:bidi="fa-IR"/>
        </w:rPr>
        <w:t>، وحمل تثنیة التهلیل فی آخر الإقامة علی الاستحباب ، لکن ذلک غیر معروف من أحد من الأصحاب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الشیخ فی 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اشتهر فی أمثال هذه الأزمان عن جمع قول بأنّ الأذان ثمانیة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والإقامة ثمانیة عشر بتثنیة التهلیل فی آخرها </w:t>
      </w:r>
      <w:r>
        <w:rPr>
          <w:rStyle w:val="FootnoteAnchor"/>
          <w:rtl w:val="true"/>
        </w:rPr>
        <w:footnoteReference w:id="1237"/>
      </w:r>
      <w:r>
        <w:rPr>
          <w:rFonts w:ascii="IRNazanin" w:hAnsi="IRNazanin" w:eastAsia="IRNazanin"/>
          <w:color w:val="111111"/>
          <w:sz w:val="28"/>
          <w:sz w:val="28"/>
          <w:szCs w:val="28"/>
          <w:rtl w:val="true"/>
          <w:lang w:bidi="fa-IR"/>
        </w:rPr>
        <w:t xml:space="preserve">، وهذا القول لا یطابق شیئا من الأخبار ولا فتاوی الأصحاب ، ولو قال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الآخر بقصد أنّه إن کان من الإقامة فبها وإلاّ یکون ذکرا علی حدة وهو حسن علی کلّ حال ، لعله لا یکون به بأس ، لکن لعل حال تربیع التکبیر فی أوّل الإقامة أیضا کذلک ، فتأمّل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الأذان ثمانی عشرة کلمة ، والإقامة سبع عشرة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فیه صورة الأذان والإقامة بالتفصیل ، یکون التکبیر أربعا فی أوّلهما والباقی مثنی مثنی ، إلاّ التهلیل فی آخر الإقامة فإنّه واحدة ، وکونه فی آخر الإقامة واحدة مذکور فیه صریحا ، مرّة فی مقام الإجمال ومرّة أخری فی مقام التفصیل ، ثم بعد تمام الذکر التفصیلی لهما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والإقامة جمیعا مثنی مثنی علی ما ذکرت لک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انتهی ، وفیه شهادة واضحة علی الجمع الذی ذکرناه سابقا</w:t>
      </w:r>
      <w:r>
        <w:rPr>
          <w:rFonts w:eastAsia="IRNazanin" w:cs="IRNazanin"/>
          <w:color w:val="111111"/>
          <w:sz w:val="28"/>
          <w:szCs w:val="28"/>
          <w:rtl w:val="true"/>
          <w:lang w:bidi="fa-IR"/>
        </w:rPr>
        <w:t xml:space="preserve">. </w:t>
      </w:r>
      <w:bookmarkStart w:id="1001" w:name="pg14966_204361"/>
    </w:p>
    <w:p>
      <w:pPr>
        <w:pStyle w:val="BookText"/>
        <w:rPr/>
      </w:pPr>
      <w:bookmarkEnd w:id="100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حال التقیة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الخلیفة الثانی جعل فصول الإقامة واحدا واحدا ، فرقا بینها وبین فصول الأذان ، ونقص من فصول الأذان التهلیل فی آخرها مرّة ، وکان فصول الإقامة کذلک ، کما قیل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استحباب الفصل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أحببت أن تجلس بین الأذان والإقامة فافعل فإنّ فیه فضلا کثیرا ، وإنّما ذلک علی الإمام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المنفرد فیخطو خطوة برجله الیمنی تجاه القبلة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أستفتح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إلی آخر الدعاء ، هکذا ، وسیجی‌ء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استحباب الفصل بین أذان المغرب وإقامتها بالجلوس</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یظهر من روایة سیف الآتیة عدم الاستحباب ، وقال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رویت روایات أنّ الأفضل أن لا یجلس بین أذان المغرب وإقامتها </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ویؤیّده ضیق وقت المغرب وکون ذلک کذلک عند علمائنا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به حدیثا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أنّ فی الفقه الرضوی ذکر ذلک ، وقال خالی العلاّمة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فیه روایة ، وورد فی استحباب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2" w:name="__RefHeading___Toc2088161_388300464"/>
      <w:bookmarkStart w:id="1003" w:name="_Toc386"/>
      <w:bookmarkEnd w:id="1002"/>
      <w:r>
        <w:rPr>
          <w:rtl w:val="true"/>
        </w:rPr>
        <w:t>استحباب الفصل بین الأذان والإقامة</w:t>
      </w:r>
      <w:bookmarkStart w:id="1004" w:name="pg14966_204362"/>
      <w:bookmarkEnd w:id="1003"/>
    </w:p>
    <w:p>
      <w:pPr>
        <w:pStyle w:val="BookText"/>
        <w:rPr/>
      </w:pPr>
      <w:bookmarkEnd w:id="1004"/>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بالسجدة أیضا روایة أو أکثر ، إلاّ أنّ التقیید بغیر المغرب غیر موجود ، کما أنّ التقیید بالمغرب فی الخطوة غیر موجود ، ولعل وجه التقیید ضیق وقت المغرب ، فیکون الأولی اختیار الأقصر دون الأطول </w:t>
      </w:r>
      <w:r>
        <w:rPr>
          <w:rStyle w:val="FootnoteAnchor"/>
          <w:rtl w:val="true"/>
        </w:rPr>
        <w:footnoteReference w:id="12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 تقیید الفقهاء بغیر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طاوس روی فی کتاب فلاح السائل روایات متعدّدة فی استحباب السجود بین الأذان والإقامة ، بعضها مطلق وبعضها مع ضمیمة دعاء خاصّ فیه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لک سجدت خاضعا خاشعا 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ربی سجدت لک خاضعا خاشعا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الأولی والأحوط أن لا یزید الفصل بینهما عن الرکعتین أو قدرهما ، لصحیحة ابن سنان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بین الأذان والإقامة إلاّ الرکعتان </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ذلک رفع الصوت ، فإنّه غیر مسنون فی الإقامة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نظر ، لما ورد فی صحیحة معاویة </w:t>
      </w:r>
      <w:r>
        <w:rPr>
          <w:rStyle w:val="FootnoteAnchor"/>
          <w:rtl w:val="true"/>
        </w:rPr>
        <w:footnoteReference w:id="1249"/>
      </w:r>
      <w:r>
        <w:rPr>
          <w:rFonts w:ascii="IRNazanin" w:hAnsi="IRNazanin" w:eastAsia="IRNazanin"/>
          <w:color w:val="111111"/>
          <w:sz w:val="28"/>
          <w:sz w:val="28"/>
          <w:szCs w:val="28"/>
          <w:rtl w:val="true"/>
          <w:lang w:bidi="fa-IR"/>
        </w:rPr>
        <w:t xml:space="preserve">من استحباب جهرها أیضا لکن دون جهر الأذان ، ولذا قال فی النافع ما قال هنا </w:t>
      </w:r>
      <w:r>
        <w:rPr>
          <w:rStyle w:val="FootnoteAnchor"/>
          <w:rtl w:val="true"/>
        </w:rPr>
        <w:footnoteReference w:id="1250"/>
      </w:r>
      <w:r>
        <w:rPr>
          <w:rFonts w:ascii="IRNazanin" w:hAnsi="IRNazanin" w:eastAsia="IRNazanin"/>
          <w:color w:val="111111"/>
          <w:sz w:val="28"/>
          <w:sz w:val="28"/>
          <w:szCs w:val="28"/>
          <w:rtl w:val="true"/>
          <w:lang w:bidi="fa-IR"/>
        </w:rPr>
        <w:t xml:space="preserve">، والمراد تأکّد الاستحباب لا تأکّد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5" w:name="__RefHeading___Toc2088163_388300464"/>
      <w:bookmarkStart w:id="1006" w:name="_Toc387"/>
      <w:bookmarkEnd w:id="1005"/>
      <w:r>
        <w:rPr>
          <w:rtl w:val="true"/>
        </w:rPr>
        <w:t>استحباب رفع الصوت فی الأذان والإقامة</w:t>
      </w:r>
      <w:bookmarkStart w:id="1007" w:name="pg14966_204363"/>
      <w:bookmarkEnd w:id="1006"/>
    </w:p>
    <w:p>
      <w:pPr>
        <w:pStyle w:val="BookText"/>
        <w:rPr/>
      </w:pPr>
      <w:bookmarkEnd w:id="100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الزیادة فیه تشریعا محرّما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التشریع إنّما یکون إذا اعتقد کونه عبادة مطلوبة من الشرع من غیر جهة ودلیل شرعی ، والترجیع علی ما حقّقه لیس إلاّ مجرّد فعل وتکرار ، أمّا کونه داخلا فی العبادة ومطلوبا من الشارع فلا ، فیمکن الجمع بین القولین بأنّ القائل بالتحریم بناؤه علی ذلک ، والقائل بالکراهة بناؤه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مکروها ، لأنّه لغو فی أثناء الأذان وکلام ، أو للتشبّه بالعامّة أو بعضهم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وآله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حرامان بقصد الدخول والجزئیّة للأذان لا بمجرّد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توظیف الفعل فی أثناء الأذان ربما یکون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مغیّرا لهیئة الأذان </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 xml:space="preserve">بحسب ظاهر اللفظ ، أو کونه کلاما فیه ، أو للتشبّه بالمفوّضة ، إلاّ أنّه ورد فی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متی ذکرتم محمدا فاذکروا آله ، أو متی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 کما رواه فی الاحتجاج </w:t>
      </w:r>
      <w:r>
        <w:rPr>
          <w:rStyle w:val="FootnoteAnchor"/>
          <w:rtl w:val="true"/>
        </w:rPr>
        <w:footnoteReference w:id="1253"/>
      </w:r>
      <w:r>
        <w:rPr>
          <w:rFonts w:ascii="IRNazanin" w:hAnsi="IRNazanin" w:eastAsia="IRNazanin"/>
          <w:color w:val="111111"/>
          <w:sz w:val="28"/>
          <w:sz w:val="28"/>
          <w:szCs w:val="28"/>
          <w:rtl w:val="true"/>
          <w:lang w:bidi="fa-IR"/>
        </w:rPr>
        <w:t xml:space="preserve">، فیکون حاله حال الصلاة علی محمد وآله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خارجا عن الفصول ومندوبا إلیه عند ذکر محمد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مخالفة لما علیه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هذا الاستدراک </w:t>
      </w:r>
      <w:r>
        <w:rPr>
          <w:rStyle w:val="FootnoteAnchor"/>
          <w:rtl w:val="true"/>
        </w:rPr>
        <w:footnoteReference w:id="1254"/>
      </w:r>
      <w:r>
        <w:rPr>
          <w:rFonts w:ascii="IRNazanin" w:hAnsi="IRNazanin" w:eastAsia="IRNazanin"/>
          <w:color w:val="111111"/>
          <w:sz w:val="28"/>
          <w:sz w:val="28"/>
          <w:szCs w:val="28"/>
          <w:rtl w:val="true"/>
          <w:lang w:bidi="fa-IR"/>
        </w:rPr>
        <w:t>ما لا یخفی ، لأنّ المخالفة لما علیه الأصحاب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8" w:name="__RefHeading___Toc2088165_388300464"/>
      <w:bookmarkStart w:id="1009" w:name="_Toc388"/>
      <w:bookmarkEnd w:id="1008"/>
      <w:r>
        <w:rPr>
          <w:rtl w:val="true"/>
        </w:rPr>
        <w:t>حکم الترجیع فی الأذان والإقامة</w:t>
      </w:r>
      <w:bookmarkStart w:id="1010" w:name="pg14966_204364"/>
      <w:bookmarkEnd w:id="1009"/>
    </w:p>
    <w:p>
      <w:pPr>
        <w:pStyle w:val="BookText"/>
        <w:rPr/>
      </w:pPr>
      <w:bookmarkEnd w:id="1010"/>
      <w:r>
        <w:rPr>
          <w:rFonts w:ascii="IRNazanin" w:hAnsi="IRNazanin" w:eastAsia="IRNazanin"/>
          <w:color w:val="111111"/>
          <w:sz w:val="28"/>
          <w:sz w:val="28"/>
          <w:szCs w:val="28"/>
          <w:rtl w:val="true"/>
          <w:lang w:bidi="fa-IR"/>
        </w:rPr>
        <w:t>مؤیّدة للحمل علی التقیّة ، بل وتعیّنه وحدة التهلیل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ینقل عنهم علیهم السلام الفصل بین فصولهما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ینقل عنهم أیضا الفصل بین فصولهما بالنوم أو الإغماء اللذین لا ینافیان الموالاة ، والعبادة سنّة متلقّاة من الشرع فیجب الاقتصار علی ما ورد به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الأولویة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فمقتضی ما ذکره عدم الجواز لا الاستشکال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لا یلائمه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قبیل الأسباب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علی تقدیر تسلیم بطلان العبادة بالردّة ، نعم بالنسبة إلی دخول الوقت یکون الأمر کما ذکره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الإسناد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لعلها من روایات العامّة ، لأنّها موافقة لطریقتهم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مثل ذلک حین یسمع أذان المغرب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المراد لیس نفس الدعاء المذکور ، بل مثله للمغرب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بإقبال لیلک وإدبار نهارک ، الدعاء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أیتکلّم بعد ما یقیم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Heading3"/>
        <w:numPr>
          <w:ilvl w:val="2"/>
          <w:numId w:val="1"/>
        </w:numPr>
        <w:rPr/>
      </w:pPr>
      <w:bookmarkStart w:id="1011" w:name="__RefHeading___Toc2088167_388300464"/>
      <w:bookmarkStart w:id="1012" w:name="_Toc389"/>
      <w:bookmarkEnd w:id="1011"/>
      <w:r>
        <w:rPr>
          <w:rtl w:val="true"/>
        </w:rPr>
        <w:t>استحباب استئناف الأذان والإقامة علی من نام فی خلالهما</w:t>
      </w:r>
      <w:bookmarkEnd w:id="1012"/>
    </w:p>
    <w:p>
      <w:pPr>
        <w:pStyle w:val="Heading3"/>
        <w:numPr>
          <w:ilvl w:val="2"/>
          <w:numId w:val="1"/>
        </w:numPr>
        <w:rPr/>
      </w:pPr>
      <w:bookmarkStart w:id="1013" w:name="__RefHeading___Toc2088169_388300464"/>
      <w:bookmarkStart w:id="1014" w:name="_Toc390"/>
      <w:bookmarkEnd w:id="1013"/>
      <w:r>
        <w:rPr>
          <w:rtl w:val="true"/>
        </w:rPr>
        <w:t>استحباب حکایة الأذان</w:t>
      </w:r>
      <w:bookmarkEnd w:id="101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5" w:name="__RefHeading___Toc2088171_388300464"/>
      <w:bookmarkStart w:id="1016" w:name="_Toc391"/>
      <w:bookmarkEnd w:id="1015"/>
      <w:r>
        <w:rPr>
          <w:rtl w:val="true"/>
        </w:rPr>
        <w:t>کراهة الکلام بعد الإقامة</w:t>
      </w:r>
      <w:bookmarkEnd w:id="1016"/>
    </w:p>
    <w:p>
      <w:pPr>
        <w:pStyle w:val="BookText"/>
        <w:rPr/>
      </w:pPr>
      <w:r>
        <w:rPr>
          <w:rFonts w:ascii="IRNazanin" w:hAnsi="IRNazanin" w:eastAsia="IRNazanin"/>
          <w:color w:val="111111"/>
          <w:sz w:val="28"/>
          <w:sz w:val="28"/>
          <w:szCs w:val="28"/>
          <w:rtl w:val="true"/>
          <w:lang w:bidi="fa-IR"/>
        </w:rPr>
        <w:t xml:space="preserve">لا یخفی ما فیها من عدم دلالتها علی الجواز حتی یمکن الجمع بالحمل علی الکراهة ، لوجوه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منها ورودها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المنفرد ، وتلک الأخبار واردة فی الجماعة فی المسجد فلا مناسبة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بعد ما یقیم مطلق شامل للدخول فی الأذان بمعنی الذکر ببعض أجزائه کالتکبیر والشهادتین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الجمع بینهما بالحمل علی الکراهة ، کذا یجوز حمل المطلق علی المقیّد بحمل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یتعلّق بالصلاة کتقدیم إمام ، کما تقدّم فی تلک الأخبار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علی الدلالة وهی منتفیة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روایة عمار طلب إعادة الأذان والإقامة کلّما یعید الصلاة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1017" w:name="pg14966_204366"/>
    </w:p>
    <w:p>
      <w:pPr>
        <w:pStyle w:val="Heading2"/>
        <w:numPr>
          <w:ilvl w:val="1"/>
          <w:numId w:val="1"/>
        </w:numPr>
        <w:rPr/>
      </w:pPr>
      <w:bookmarkStart w:id="1018" w:name="__RefHeading___Toc2088173_388300464"/>
      <w:bookmarkStart w:id="1019" w:name="_Toc392"/>
      <w:bookmarkEnd w:id="1017"/>
      <w:bookmarkEnd w:id="1018"/>
      <w:r>
        <w:rPr>
          <w:rtl w:val="true"/>
        </w:rPr>
        <w:t>فهرس الموضوعات</w:t>
      </w:r>
      <w:bookmarkEnd w:id="1019"/>
    </w:p>
    <w:p>
      <w:pPr>
        <w:pStyle w:val="BookText"/>
        <w:rPr/>
      </w:pPr>
      <w:r>
        <w:rPr>
          <w:rFonts w:ascii="Amiri" w:hAnsi="Amiri" w:eastAsia="Amiri" w:cs="Amiri"/>
          <w:color w:val="111111"/>
          <w:sz w:val="28"/>
          <w:sz w:val="28"/>
          <w:szCs w:val="28"/>
          <w:rtl w:val="true"/>
          <w:lang w:bidi="ar-SA"/>
        </w:rPr>
        <w:t>الاستحاضة</w:t>
      </w:r>
    </w:p>
    <w:p>
      <w:pPr>
        <w:pStyle w:val="BookText"/>
        <w:rPr/>
      </w:pPr>
      <w:r>
        <w:rPr>
          <w:rFonts w:ascii="Amiri" w:hAnsi="Amiri" w:eastAsia="Amiri" w:cs="Amiri"/>
          <w:color w:val="111111"/>
          <w:sz w:val="28"/>
          <w:sz w:val="28"/>
          <w:szCs w:val="28"/>
          <w:rtl w:val="true"/>
          <w:lang w:bidi="ar-SA"/>
        </w:rPr>
        <w:t>صفات دم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ما قلّ عن ثلاثة وما تجاوز العشرة فهو 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حکم المبتدأة</w:t>
      </w:r>
    </w:p>
    <w:p>
      <w:pPr>
        <w:pStyle w:val="BookText"/>
        <w:rPr/>
      </w:pPr>
      <w:r>
        <w:rPr>
          <w:rFonts w:ascii="IRNazanin" w:hAnsi="IRNazanin" w:eastAsia="IRNazanin"/>
          <w:color w:val="111111"/>
          <w:sz w:val="28"/>
          <w:sz w:val="28"/>
          <w:szCs w:val="28"/>
          <w:rtl w:val="true"/>
          <w:lang w:bidi="fa-IR"/>
        </w:rPr>
        <w:t>رجوع المبتدأة إلی عادة نسائها أو أقرانها عند فقد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تحیّض المبتدأة بسبعة أیّام عند اختلاف نسائها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حکم ذات العادة</w:t>
      </w:r>
    </w:p>
    <w:p>
      <w:pPr>
        <w:pStyle w:val="BookText"/>
        <w:rPr/>
      </w:pPr>
      <w:r>
        <w:rPr>
          <w:rFonts w:ascii="IRNazanin" w:hAnsi="IRNazanin" w:eastAsia="IRNazanin"/>
          <w:color w:val="111111"/>
          <w:sz w:val="28"/>
          <w:sz w:val="28"/>
          <w:szCs w:val="28"/>
          <w:rtl w:val="true"/>
          <w:lang w:bidi="fa-IR"/>
        </w:rPr>
        <w:t>ذات العادة تجعل عادتها حیضاً وما سواه 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حکم المضطربة إذا فقدت التمییز</w:t>
      </w:r>
    </w:p>
    <w:p>
      <w:pPr>
        <w:pStyle w:val="BookText"/>
        <w:rPr/>
      </w:pPr>
      <w:r>
        <w:rPr>
          <w:rFonts w:ascii="IRNazanin" w:hAnsi="IRNazanin" w:eastAsia="IRNazanin"/>
          <w:color w:val="111111"/>
          <w:sz w:val="28"/>
          <w:sz w:val="28"/>
          <w:szCs w:val="28"/>
          <w:rtl w:val="true"/>
          <w:lang w:bidi="fa-IR"/>
        </w:rPr>
        <w:t>حکم ذاکرة العدد ناسیة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ذاکرة الوقت ناسیة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رجالی حول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حکم ناسیة الوقت والعدد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أقسام الاستحاضة وأحکامها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القلیلة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الاستحاضة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إشارة إلی أنّ الشهرة جابرة لضعف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الخدشة فی أدلّة القائلین بالتسویة بین المتوسطة والکثیرة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الاستحاضة الکثیرة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عدم وجوب الوضوء مع کلّ غسل فی الاستحاضة الکثیرة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هل تجب مقارنة الغسل والوضوء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جواز دخول المستحاضة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حکم وطء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غسل النفاس</w:t>
      </w:r>
    </w:p>
    <w:p>
      <w:pPr>
        <w:pStyle w:val="BookText"/>
        <w:rPr/>
      </w:pPr>
      <w:r>
        <w:rPr>
          <w:rFonts w:ascii="IRNazanin" w:hAnsi="IRNazanin" w:eastAsia="IRNazanin"/>
          <w:color w:val="111111"/>
          <w:sz w:val="28"/>
          <w:sz w:val="28"/>
          <w:szCs w:val="28"/>
          <w:rtl w:val="true"/>
          <w:lang w:bidi="fa-IR"/>
        </w:rPr>
        <w:t>معنی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حکم من تری الدم قبل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أکثر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النفساء کالحائض فی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أحکام الأموات</w:t>
      </w:r>
    </w:p>
    <w:p>
      <w:pPr>
        <w:pStyle w:val="BookText"/>
        <w:rPr/>
      </w:pP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سلیمان بن خالد ثقة عند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وجوب توجیه المحتضر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التوجیه واجب 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نقل المحتضر إلی مصلاّه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استحباب الإسراج عنده إن مات لیلاً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وجوب الصبر لمن اشتبه موته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التغسیل</w:t>
      </w:r>
    </w:p>
    <w:p>
      <w:pPr>
        <w:pStyle w:val="BookText"/>
        <w:rPr/>
      </w:pPr>
      <w:r>
        <w:rPr>
          <w:rFonts w:ascii="IRNazanin" w:hAnsi="IRNazanin" w:eastAsia="IRNazanin"/>
          <w:color w:val="111111"/>
          <w:sz w:val="28"/>
          <w:sz w:val="28"/>
          <w:szCs w:val="28"/>
          <w:rtl w:val="true"/>
          <w:lang w:bidi="fa-IR"/>
        </w:rPr>
        <w:t>الکلام فی الغاسل</w:t>
      </w:r>
    </w:p>
    <w:p>
      <w:pPr>
        <w:pStyle w:val="BookText"/>
        <w:rPr/>
      </w:pPr>
      <w:r>
        <w:rPr>
          <w:rFonts w:ascii="IRNazanin" w:hAnsi="IRNazanin" w:eastAsia="IRNazanin"/>
          <w:color w:val="111111"/>
          <w:sz w:val="28"/>
          <w:sz w:val="28"/>
          <w:szCs w:val="28"/>
          <w:rtl w:val="true"/>
          <w:lang w:bidi="fa-IR"/>
        </w:rPr>
        <w:t>أولی الناس بالتغسیل أولاهم بالمیت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أنّ الزوج أولی بالمرأة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الخبر الضعیف المعمول به مقدم علی الصحیح غیر المعمول 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هل یجوز أن یغسل الکافر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الکلام فی المغسول</w:t>
      </w:r>
    </w:p>
    <w:p>
      <w:pPr>
        <w:pStyle w:val="BookText"/>
        <w:rPr/>
      </w:pPr>
      <w:r>
        <w:rPr>
          <w:rFonts w:ascii="IRNazanin" w:hAnsi="IRNazanin" w:eastAsia="IRNazanin"/>
          <w:color w:val="111111"/>
          <w:sz w:val="28"/>
          <w:sz w:val="28"/>
          <w:szCs w:val="28"/>
          <w:rtl w:val="true"/>
          <w:lang w:bidi="fa-IR"/>
        </w:rPr>
        <w:t>حکم تغسیل المخالف للحق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سقوط الغسل عن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بیان المراد من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إشارة إلی حجّیة 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حکم تغسیل السقط</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الکلام فی الغسل</w:t>
      </w:r>
    </w:p>
    <w:p>
      <w:pPr>
        <w:pStyle w:val="BookText"/>
        <w:rPr/>
      </w:pPr>
      <w:r>
        <w:rPr>
          <w:rFonts w:ascii="IRNazanin" w:hAnsi="IRNazanin" w:eastAsia="IRNazanin"/>
          <w:color w:val="111111"/>
          <w:sz w:val="28"/>
          <w:sz w:val="28"/>
          <w:szCs w:val="28"/>
          <w:rtl w:val="true"/>
          <w:lang w:bidi="fa-IR"/>
        </w:rPr>
        <w:t>واجبات الغسل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النجاسة عن بدن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تغسیله بماء السدر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تعدد النیّة بتعدد الغسلات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توضئة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لو تعذّر السدر والکافور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تیمّم المیت لو خیف تناثر جلده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سنن غسل المیت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المیت علی شیء 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 قمیصه ونزعه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تلیین الأصابع والمفاصل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رأسه برغوة السدر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کراهة إقعاد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کراهة تغسیل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التکفین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الواجب من الکفن ثلاث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والقمیص والمئزر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إشارة إلی أن الکلینی أضبط من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دلیل من اقتصر فی التکفین علی ثوب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بحث حول الروایات الدالة علی التخییر بین الأثواب الثلاثة وبین القمیص والثوبین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بحث فی تعیین المراد من الثوبین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فی معنی الإزار وأنّه غیر اللفافة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بحث حول المئزر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بحث حول الأثواب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الکفن المفروض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وإزار ولفافة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إجزاء قطعة عند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التکفین بالحریر والجلد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مسح مساجد المیت بالکافور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القدر الواجب من الحنوط</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سنن التکفین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الحبرة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لفافة لثدیی امرأة ونمطاً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بحث فی معنی المنطق الوارد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الکفن قطناً أبیضاً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یطیّب الکفن بالذریرة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بحث حول التشریع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کتابة الشهادتین والإقرار بالأئمّة علی الحبرة والقمیص والإزار بالتربة الحسینیّة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یجعل مع المیت جریدتان من سعف 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 فقد الجریدة یجعل بدلها عود الرمان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کیفیّة وضع الجریدتین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یطوی جانب اللفافة الأیسر علی الأیمن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إشارة إلی عمل الأصحاب بروایات کتاب 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کراهة جعل الکافور فی سمع المیت وبصره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بعض مسائل التکفین</w:t>
      </w:r>
    </w:p>
    <w:p>
      <w:pPr>
        <w:pStyle w:val="BookText"/>
        <w:rPr/>
      </w:pPr>
      <w:r>
        <w:rPr>
          <w:rFonts w:ascii="IRNazanin" w:hAnsi="IRNazanin" w:eastAsia="IRNazanin"/>
          <w:color w:val="111111"/>
          <w:sz w:val="28"/>
          <w:sz w:val="28"/>
          <w:szCs w:val="28"/>
          <w:rtl w:val="true"/>
          <w:lang w:bidi="fa-IR"/>
        </w:rPr>
        <w:t>حکم النجاسة الخارجة من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إشارة إلی مقبولیّة مراسیل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یحیی الکاهلی من الممدوحین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الکفن الواجب للمرأة علی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وجوب إخراج الکفن من أصل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الفضل بن یونس واقفی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الدفن</w:t>
      </w:r>
    </w:p>
    <w:p>
      <w:pPr>
        <w:pStyle w:val="BookText"/>
        <w:rPr/>
      </w:pPr>
      <w:r>
        <w:rPr>
          <w:rFonts w:ascii="IRNazanin" w:hAnsi="IRNazanin" w:eastAsia="IRNazanin"/>
          <w:color w:val="111111"/>
          <w:sz w:val="28"/>
          <w:sz w:val="28"/>
          <w:szCs w:val="28"/>
          <w:rtl w:val="true"/>
          <w:lang w:bidi="fa-IR"/>
        </w:rPr>
        <w:t xml:space="preserve">ما یتعلق بالدفن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تشییع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کراهة الرکوب فی تشییع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استحباب المشی وراء الجنازة أو أحد جانبیها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کراهة الجلوس للمشیّع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استحباب تربیع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استحباب وضع الجنازة قرب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کیفیة إرسال المیت فی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استحباب تحفّی النازل فی القبر وکشف رأسه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فروض الدفن</w:t>
      </w:r>
    </w:p>
    <w:p>
      <w:pPr>
        <w:pStyle w:val="BookText"/>
        <w:rPr/>
      </w:pPr>
      <w:r>
        <w:rPr>
          <w:rFonts w:ascii="IRNazanin" w:hAnsi="IRNazanin" w:eastAsia="IRNazanin"/>
          <w:color w:val="111111"/>
          <w:sz w:val="28"/>
          <w:sz w:val="28"/>
          <w:szCs w:val="28"/>
          <w:rtl w:val="true"/>
          <w:lang w:bidi="fa-IR"/>
        </w:rPr>
        <w:t>مواراة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کیفیّة دفن من مات فی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اضجاع المیت علی جنبه الأیمن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سنن الدفن</w:t>
      </w:r>
    </w:p>
    <w:p>
      <w:pPr>
        <w:pStyle w:val="BookText"/>
        <w:rPr/>
      </w:pPr>
      <w:r>
        <w:rPr>
          <w:rFonts w:ascii="IRNazanin" w:hAnsi="IRNazanin" w:eastAsia="IRNazanin"/>
          <w:color w:val="111111"/>
          <w:sz w:val="28"/>
          <w:sz w:val="28"/>
          <w:szCs w:val="28"/>
          <w:rtl w:val="true"/>
          <w:lang w:bidi="fa-IR"/>
        </w:rPr>
        <w:t>موسی بن أشیم ضعّفه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حفر القبر إلی الترقوة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اللحد للمیت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 عقد کفنه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تربة الحسین علیه السلام مع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إهالة الحاضرین التراب بظهور الأکف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القبر مقدار أربع 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 الماء علی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الولی المیت بعد انصراف الحاضرین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المیت إلی المشاهد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لواحق تتعلق</w:t>
      </w:r>
    </w:p>
    <w:p>
      <w:pPr>
        <w:pStyle w:val="BookText"/>
        <w:rPr/>
      </w:pPr>
      <w:r>
        <w:rPr>
          <w:rFonts w:ascii="Amiri" w:hAnsi="Amiri" w:eastAsia="Amiri" w:cs="Amiri"/>
          <w:color w:val="111111"/>
          <w:sz w:val="28"/>
          <w:sz w:val="28"/>
          <w:szCs w:val="28"/>
          <w:rtl w:val="true"/>
          <w:lang w:bidi="ar-SA"/>
        </w:rPr>
        <w:t>بالدفن حرمة نبش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حرمة شق الثوب علی غیر الأب والأخ</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حکم ما إذا ماتت الحامل دون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الأغسال المسنونة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معنی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سنة 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وقت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جواز تقدیمه یوم الخمیس لمن خاف عوز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جواز قضائه یوم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لیلة النصف من شهر مضان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لیالی فرادی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بحث رجالی حول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زیارة النبی صلی الله علیه و آله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کلمة فی تداخل 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غسل السعی لرؤیة المصلوب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غسل المولود حین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التیمم</w:t>
      </w:r>
    </w:p>
    <w:p>
      <w:pPr>
        <w:pStyle w:val="BookText"/>
        <w:rPr/>
      </w:pPr>
      <w:r>
        <w:rPr>
          <w:rFonts w:ascii="IRNazanin" w:hAnsi="IRNazanin" w:eastAsia="IRNazanin"/>
          <w:color w:val="111111"/>
          <w:sz w:val="28"/>
          <w:sz w:val="28"/>
          <w:szCs w:val="28"/>
          <w:rtl w:val="true"/>
          <w:lang w:bidi="fa-IR"/>
        </w:rPr>
        <w:t>مسوغات التیمم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وجدان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وجوب طلب الماء ومقداره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بحث رجالی حول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حکم من أخل بالطلب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الوصول إلی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عدم وجوب شراء الماء إذا أضرّ فی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الخوف من اللص والسبع أو ضیاع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جواز التیمم مع خوف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حکم الجنب المختار لو خاف بالغسل التلف أو الزیادة فی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جواز التیمم مع خوف 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جواز التیمم مع خوف العطش علی رفیقه أو دوابّه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ما یجوز التیمم به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 فی معنی الصعید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التیمم بغیر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حکم التیمم بالمعادن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جواز التیمم بالحجر عند فقد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بحث فی أنّ إطلاق لفظ الأرض علی التراب یکون من قبیل إطلاق الکلی علی الفرد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دلیل ما قاله السیّد المرتضی من أنّه لا یجزئ فی التیمم إلاّ التراب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جواز التیمم بأرض الجصّ والنورة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حکم التیمم بالخزف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حکم التیمم فی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عدم صحة التیمم بالوحل مع وجود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کراهة التیمم بالأرض السبخة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استحباب التیمم من ربا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جواز التیمم بغبار الثوب أو لبد السرج عند فقد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إشارة إلی أنّ أبا بصیر مشترک بین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دلیل السیّد المرتضی بجواز التیمم بالثلج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وقت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تحقیق فی الاجماع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أدلّة القائلین بوجوب تأخیر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الوقت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أدلّة القائلین بجواز التیمم مع سعة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هل یجوز للمتیمم الصلاة فی أوّل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حکم التیمم للنافلة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واجبات التیمم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وقت 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الیدین معاً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المناقشة فی اشتراط علوق التراب بالید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وجوب الابتداء فی مسح الجبهة بالأعلی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ظاهر 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وجوب مسح ظاهر 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إشارة إلی معنی التأسی بفعل المعصوم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اختلاف الأقوال فی عدد الضربات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حکم مقطوع 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أحکام التیمم</w:t>
      </w:r>
    </w:p>
    <w:p>
      <w:pPr>
        <w:pStyle w:val="BookText"/>
        <w:rPr/>
      </w:pPr>
      <w:r>
        <w:rPr>
          <w:rFonts w:ascii="Amiri" w:hAnsi="Amiri" w:eastAsia="Amiri" w:cs="Amiri"/>
          <w:color w:val="111111"/>
          <w:sz w:val="28"/>
          <w:sz w:val="28"/>
          <w:szCs w:val="28"/>
          <w:rtl w:val="true"/>
          <w:lang w:bidi="ar-SA"/>
        </w:rPr>
        <w:t>حکم من صلّی متیمماً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جواز التیمم لمتعمد الجنابة إذا خشی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جواز التیمم لمن منعه زحام الجمعة علی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بحث رجالی حول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حکم المتیمم إذا صلّی وعلی جسده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عدم سقوط الصلاة مع عدم التمکن من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حکم من تیمم ثم وجد الماء قبل الشروع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حکم من تیمم ثم وجد الماء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حکم اجتماع المیت والجنب والمحدث مع کفایة الماء لأحدهم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فی أن التیمم لا یرفع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تیمم الجنب بدلاً من الغسل ثم أحدث حدثاً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النجاسات</w:t>
      </w:r>
    </w:p>
    <w:p>
      <w:pPr>
        <w:pStyle w:val="BookText"/>
        <w:rPr/>
      </w:pPr>
      <w:r>
        <w:rPr>
          <w:rFonts w:ascii="IRNazanin" w:hAnsi="IRNazanin" w:eastAsia="IRNazanin"/>
          <w:color w:val="111111"/>
          <w:sz w:val="28"/>
          <w:sz w:val="28"/>
          <w:szCs w:val="28"/>
          <w:rtl w:val="true"/>
          <w:lang w:bidi="fa-IR"/>
        </w:rPr>
        <w:t>أنواع النجاسات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حکم رجیع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إشارة إلی أنّ عبد الله بن سنان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حکم بول ما لا یؤکل لحمه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حکم بول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حکم رجیع ما لا نفس 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حکم ذرق الدجاج 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میتة غیر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بحث حول ما ذکره الصدوق فی مقدمة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میتة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نجاسة ما قطع من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طهارة ما لا تحلّه الحیاة من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توضیح ما ذکره النجاشی من أنّ وهب بن وهب کذّاب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أدلّة القائلین بنجاسة ما لا تحله الحیاة من المیتة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حکم ما لا تحله الحیاة من نجس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وجوب الغسل بمس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حکم مس عضوٍ کمل غسله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طهارة القیح والقیء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لو اشتبه الدم بالطاهر والنجس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أدلّة نجاسة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حکم العصیر العنبی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أدلّة القائلین بطهارته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حکم عرق الجنب من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عرق الإبل الجلالة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طهارة أبوال البغال والحمیر والدواب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أدلّة القائلین بعدم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بحث رجالی حول الحکم بن 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بحث رجالی فی أبی الأغر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طهارة أرواث البغال والحمیر والدواب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أحکام النجاسات</w:t>
      </w:r>
    </w:p>
    <w:p>
      <w:pPr>
        <w:pStyle w:val="BookText"/>
        <w:rPr/>
      </w:pPr>
      <w:r>
        <w:rPr>
          <w:rFonts w:ascii="Amiri" w:hAnsi="Amiri" w:eastAsia="Amiri" w:cs="Amiri"/>
          <w:color w:val="111111"/>
          <w:sz w:val="28"/>
          <w:sz w:val="28"/>
          <w:szCs w:val="28"/>
          <w:rtl w:val="true"/>
          <w:lang w:bidi="ar-SA"/>
        </w:rPr>
        <w:t>وجوب إزالة النجاسة عن الثوب والبدن للصلاة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وجوب إزالة النجاسة عن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حکم إدخال النجاسة الغیر المتعدیة إلی المسجد أو فرشه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تحقیق فی أنّ الأمر بالشیء هل یقتضی النهی عن ضدّه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العفو عما دون الدرهم من الدم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عدم العفو عن الدماء الثلاثة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الدم المتفرق الذی یبلغ مجموعه 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الصلاة فیما لا تتم الصلاة فیه مع نجاسته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حکم من جبر عظمه بعظم نجس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وجوب عصر الثیاب من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وجوب دلک الصلب فی تطهیره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حکم ما یعسر عصره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حکم الصابون وأمثاله إذا تنجس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عدم وجوب العصر فی بول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لزوم غسل أطراف الشبهة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اعتبار التعدد فی غسل الثوب من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عدم وجوب إزالة اللون والرائحة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حکم من أخلّ بإزالة النجاسة عن ثوبه أو بدنه فصلّی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عدم وجوب الإعادة والقضاء مع الجهل بالنجاسة حتّی فرغ من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حکم رؤیة النجاسة فی أثناء الصلاة مع العلم بسبقها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حکم رؤیة النجاسة فی أثناء الصلاة مع عدم العلم بسبقها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حکم رؤیة النجاسة فی أثناء الصلاة مع ضیق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المربیّة للصبی إذا لم یکن لها ثوب تغسل ثوبها مرّة بالیوم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الصلاة فی الثوب المشتبه بالنجس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حکم من لیس له ثوب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المطهرات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مطهریة الشمس وموردها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الجفاف بغیر الشمس من ریح أو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مطهریة الاستحالة بالنار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اللبن المضروب من طین نجس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العجین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مطهریة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تطهر الأرض باطن الخف والقدم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حکم ماء الغیث الواقع علی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الأوانی والجلود</w:t>
      </w:r>
    </w:p>
    <w:p>
      <w:pPr>
        <w:pStyle w:val="BookText"/>
        <w:rPr/>
      </w:pPr>
      <w:r>
        <w:rPr>
          <w:rFonts w:ascii="IRNazanin" w:hAnsi="IRNazanin" w:eastAsia="IRNazanin"/>
          <w:color w:val="111111"/>
          <w:sz w:val="28"/>
          <w:sz w:val="28"/>
          <w:szCs w:val="28"/>
          <w:rtl w:val="true"/>
          <w:lang w:bidi="fa-IR"/>
        </w:rPr>
        <w:t>حرمة الأکل والشرب فی آنیة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کراهة استعمال الإناء المفضّض</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کراهة استعمال الأوانی الخشبیّة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حکم الإناء الذی ولغ فیه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وجوب غسل الإناء من الخمر ثلاث مرّات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حکم التعدد فی غسل الإناء من سائر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فی معنی الصلاة لغةً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أعداد الصلاة</w:t>
      </w:r>
    </w:p>
    <w:p>
      <w:pPr>
        <w:pStyle w:val="BookText"/>
        <w:rPr/>
      </w:pPr>
      <w:r>
        <w:rPr>
          <w:rFonts w:ascii="IRNazanin" w:hAnsi="IRNazanin" w:eastAsia="IRNazanin"/>
          <w:color w:val="111111"/>
          <w:sz w:val="28"/>
          <w:sz w:val="28"/>
          <w:szCs w:val="28"/>
          <w:rtl w:val="true"/>
          <w:lang w:bidi="fa-IR"/>
        </w:rPr>
        <w:t>نوافل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نوافل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کراهة الکلام بین المغرب ونافلتها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إنّ الجلوس فی الرکعتین اللتین بعد الشعاء أفضل من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المستفاد من الروایات أنّ الوتر اسم للرکعات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آداب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الجلوس فی النافلة مع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 سقوط الوتیرة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إشارة إلی أن عبد الواحد بن عبدوس وعلی بن محمّد القتیبی من مشایخ الإجازة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مواقیت الصلاة</w:t>
      </w:r>
    </w:p>
    <w:p>
      <w:pPr>
        <w:pStyle w:val="BookText"/>
        <w:rPr/>
      </w:pPr>
      <w:r>
        <w:rPr>
          <w:rFonts w:ascii="IRNazanin" w:hAnsi="IRNazanin" w:eastAsia="IRNazanin"/>
          <w:color w:val="111111"/>
          <w:sz w:val="28"/>
          <w:sz w:val="28"/>
          <w:szCs w:val="28"/>
          <w:rtl w:val="true"/>
          <w:lang w:bidi="fa-IR"/>
        </w:rPr>
        <w:t>وقت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اختصاص الظهر بأوّل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اختصاص العصر من آخر الوقت بمقدار أدائها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آخر وقت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الضحّاک بن زید هو أبو مالک الحضرمی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بحث فی وثاقة قاسم بن عروة وموسی بن بکر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أوّل وقت العصر وآخره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أوّل وقت المغرب وما یتحقق به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آخر وقت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أوّل وقت العشاء وآخره وقت صلاة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وقت نوافل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وقت نافلة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وقت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وقت النوافل الغیر الراتبة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أحکام المواقیت</w:t>
      </w:r>
    </w:p>
    <w:p>
      <w:pPr>
        <w:pStyle w:val="BookText"/>
        <w:rPr/>
      </w:pPr>
      <w:r>
        <w:rPr>
          <w:rFonts w:ascii="IRNazanin" w:hAnsi="IRNazanin" w:eastAsia="IRNazanin"/>
          <w:color w:val="111111"/>
          <w:sz w:val="28"/>
          <w:sz w:val="28"/>
          <w:szCs w:val="28"/>
          <w:rtl w:val="true"/>
          <w:lang w:bidi="fa-IR"/>
        </w:rPr>
        <w:t>حکم من حصل له مانع من الصلاة کالجنون قبل دخول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لو زال المانع والوقت باقٍ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تحصیل العلم بالوقت مع التمکن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جواز التعویل علی الظن مع عدم التمکن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أفضلیّة الصلاة فی أوّل الوقت إلاّ ما استثنی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القبلة</w:t>
      </w:r>
    </w:p>
    <w:p>
      <w:pPr>
        <w:pStyle w:val="BookText"/>
        <w:rPr/>
      </w:pPr>
      <w:r>
        <w:rPr>
          <w:rFonts w:ascii="IRNazanin" w:hAnsi="IRNazanin" w:eastAsia="IRNazanin"/>
          <w:color w:val="111111"/>
          <w:sz w:val="28"/>
          <w:sz w:val="28"/>
          <w:szCs w:val="28"/>
          <w:rtl w:val="true"/>
          <w:lang w:bidi="fa-IR"/>
        </w:rPr>
        <w:t>حقیقة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کفایة استقبال جهة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إشارة إلی أنّ روایة الطاطری ، موثقة ، وأنّ ابن مسکان من أصحاب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حکم المصلّی فی جوف الکعبة أو علی سطحها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استحباب التیاسر لأهل العرق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حکم فاقد الظن بالقبلة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إشارة إلی أن محمّد بن أحمد العلوی من شیوخ 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عدم جواز الصلاة علی الراحلة إلاّ عند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حکم الصلاة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حکم الاستقبال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الأعمی یرجع إلی غیره فی معرفة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لباس المصلّی</w:t>
      </w:r>
    </w:p>
    <w:p>
      <w:pPr>
        <w:pStyle w:val="BookText"/>
        <w:rPr/>
      </w:pPr>
      <w:r>
        <w:rPr>
          <w:rFonts w:ascii="IRNazanin" w:hAnsi="IRNazanin" w:eastAsia="IRNazanin"/>
          <w:color w:val="111111"/>
          <w:sz w:val="28"/>
          <w:sz w:val="28"/>
          <w:szCs w:val="28"/>
          <w:rtl w:val="true"/>
          <w:lang w:bidi="fa-IR"/>
        </w:rPr>
        <w:t>حکم الصلاة فی جلد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عبد الله بن بکیر ثقة من فقهاء 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حکم استصحاب شیء مما لا یؤکل لحمه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حکم الصلاة فی جلد ما لا یؤکل لحمه وحکم صوفه وشعره ووبره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بحث رجالی حول إبراهیم بن محمّد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الصلاة فی التکة والقلنسوة المعمولتین من وبر غیر المأکول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الصلاة فی فرو السنجاب</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حکم الصلاة فی جلود الثعالب والأرانب</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حکم لبس الحریر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حکم الصلاة فی الذهب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لبس الحریر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حکم الصلاة فی ما لا تتم الصلاة فیه من الحریر کالتکة والقلنسوة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بحث حول المکاتبة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بحث رجالی حول أحمد بن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جواز الصلاة فی الثوب المکفوف بالحریر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حرمة الصلاة فی الثوب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جواز الصلاة فی ثوب واحد للرجل دون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حکم من لا یجد ثوباً یستر به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عبد الله بن جَبَلة واقفی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إسحاق بن عمّار بن حیّان الکوفی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الأمة والصبیّة تصلّیان بدون خمار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مکروهات لباس المصلّی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الاتزار فوق القمیص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معنی التوشح</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عمامة لا حنک لها</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قباء مشدود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الإمامة بغیر رداء</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حکم استصحاب الحدید الظاهر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المرأة فی خلخال له صوّت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ثوب علیه تماثیل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مکان المصلّی</w:t>
      </w:r>
    </w:p>
    <w:p>
      <w:pPr>
        <w:pStyle w:val="BookText"/>
        <w:rPr/>
      </w:pPr>
      <w:r>
        <w:rPr>
          <w:rFonts w:ascii="IRNazanin" w:hAnsi="IRNazanin" w:eastAsia="IRNazanin"/>
          <w:color w:val="111111"/>
          <w:sz w:val="28"/>
          <w:sz w:val="28"/>
          <w:szCs w:val="28"/>
          <w:rtl w:val="true"/>
          <w:lang w:bidi="fa-IR"/>
        </w:rPr>
        <w:t>اشتراط الإباحة فی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حکم تساوی الرجل والمرأة أو تقدّمها علیه فی موقف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اشتراط طهارة موضع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مکروهات مکان المصلّی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معاطن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بیوت الخمور إذا لم تتعد إلیه نجاستها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کراهة الصلاة إذا کان بین یدی المصلّی نار مضرمة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ما یسجد علیه</w:t>
      </w:r>
    </w:p>
    <w:p>
      <w:pPr>
        <w:pStyle w:val="BookText"/>
        <w:rPr/>
      </w:pPr>
      <w:r>
        <w:rPr>
          <w:rFonts w:ascii="IRNazanin" w:hAnsi="IRNazanin" w:eastAsia="IRNazanin"/>
          <w:color w:val="111111"/>
          <w:sz w:val="28"/>
          <w:sz w:val="28"/>
          <w:szCs w:val="28"/>
          <w:rtl w:val="true"/>
          <w:lang w:bidi="fa-IR"/>
        </w:rPr>
        <w:t>عدم جواز السجود علی المعدن إلاّ عند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حکم السجود علی القطن والکتان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عدم جواز السجود علی الوحل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جواز الصلاة علی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حکم اشتباه الموضع النجس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الأذان والإقامة</w:t>
      </w:r>
    </w:p>
    <w:p>
      <w:pPr>
        <w:pStyle w:val="BookText"/>
        <w:rPr/>
      </w:pPr>
      <w:r>
        <w:rPr>
          <w:rFonts w:ascii="IRNazanin" w:hAnsi="IRNazanin" w:eastAsia="IRNazanin"/>
          <w:color w:val="111111"/>
          <w:sz w:val="28"/>
          <w:sz w:val="28"/>
          <w:szCs w:val="28"/>
          <w:rtl w:val="true"/>
          <w:lang w:bidi="fa-IR"/>
        </w:rPr>
        <w:t>اختلاف الأصحاب فی استحبابهما أو وجوبهما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سقوط الأذان والإقامة عمّن أدرک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یحیی بن القاسم ثقة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أن الشهرة جابرة لضعف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تُعطی أجرة المؤذن من بیت المال إذا لم یوجد من یتطوع به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اشتراط کون الأذان بعد دخول الوقت إلاّ فی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فصول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استحباب الفصل بین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استحباب رفع الصوت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حکم الترجیع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استحباب استئناف الأذان والإقامة علی من نام فی خلالهما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استحباب حکایة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الکلام بعد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علی الحاشیة الآتیة ، وهذه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بیع الحیوان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نکاح العبید والإماء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العبارة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مذهبه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الحیض ،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الحیض ،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بن نوح علی ما حکی عنه تلمیذه النجاشی فی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الاستحاضة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ورودها من ابن سنان ووردت فی صحیحة صفوان ، أنظر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إلی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لا حرمة لهم إلاّ ما خرج بالدلیل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مشروط بوجود الإمام علیه السلام أو من نصبه لروایات کثیرة ، وإن لم تبلغ درجة الصحة ، إذ الانجبار بعملهم یکفی ، بل کاد أن یکون شعار الشیعة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تذنیب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ملاذ الأخیار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بتلک الدلالة فتأمّل جدّا ، فی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الموثّقة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الأعصار والأمصار علی ذلک علی الأظهر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للبدن ، بل هو موافق ومتقارب للمئزر الذی ذکره الفقهاء ، وأنّ الباقر علیه السلام کان بادنا ، وعلی تقدیر عدم الظهور نمنع ظهوره فی الشمول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وثوب ، وما أثبتناه من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کالفیومی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واللتان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 کوچک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کجمال الدین الخوانساری فی الحواشی علی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وجه دلالتها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فإنّهما کثیرا متن فقه الرضا علیه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إجبار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اجتناب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رجال النجاشی لا بعنوان أحمد بن أشیم ولا موسی بن أشیم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ما فیه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والد الصدوق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وإلی الکلینی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هذه الحاشیة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أراد أنّ القضاء لیس علیه فالأمر کما ذکره ، وإن أراد أنّه فی الوقت والتمکّن من الطهارة المائیة لیس علیه إعادة للامتثال ،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ربما کانت العمومات تقتضی الإعادة ، إذ بمجرّد تقصیره فی الطلب وخطائه فی ظنّه الضیق لا یقتضی خروجه عن عهدة التکلیف الثابت بها مع بقاء وقته واستجماعه لشرائط التکلیف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هذه التعلیقة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أنّها مطابقة للعمومات الدالة علی أنّ المکلف یجب علیه الصلاة بعد دخول الوقت وفی الوقت بالطهارة المائیة وموافقة لما دلّ علی وجوب التأخیر إلی ضیق الوقت فی التیمّم والصلاة به ، ولهذا 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خلاف محلّ النزاع إن کان محلّ النزاع القضاء ، وإن کان الإعادة فی الوقت فالأظهر الإعادة ، والنسیان مشعر بإخلال الطلب وقت السعة ، فتأمّل جدّا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نعمة الله الجزائری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المقباس فی تفسیر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إنّما هو بالماء والصعید ، والصواب ما أثبتناه ، 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هذه الحاشیة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النبإ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عقیل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العلوق ، والظاهر ما أثبتناه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 والظاهر ما أثبتناه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 والظاهر ما أثبتناه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 والظاهر ما أثبتناه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 والظاهر ما أثبتناه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ثبت من الشرع ، 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مجملا مجمع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کان یعمل بمثل هذا الخبر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مشترک ومثل ضعیف عنده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الصید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ذرقة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 والظاهر ما أثبتناه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 ولعله تصحیف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 والظاهر ما أثبتناه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 الریش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فی المتن والمسند والمسند إلیه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ذلک أیضا ،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نهایة التعلیقة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 السلام ، والصحیح ما أثبتناه من المصادر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حسن فی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البهائی فی 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قفز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وظاهرهما ان الأکثر قائلون بنجاسة النبیذ المسکر وحرمة شربه وفی المجموع ان أبا حنیفة وطائفة قلیلة قالوا بطهارته وحلیة شربه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وربما کسرت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یؤتدم به ، معرّب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الغسل إن کان فإنّما هو بسبب النجاسة لا غیر ، وأنّها إذا لم یکن نجسة لا یکون واجب الغسل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حکم العصیر التمری والزبیبی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موطّإ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مشاورته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الأقطع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الموادة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 والظاهر ما أثبتناه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الضعفاء لأبی جعفر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قائله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خزفة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علیها فی کشف الغمّة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هیئة القصر فیه منازل وبیوت للخدم والحشم ، 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یعمّه ، والظاهر ما أثبتناه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 وفی بعض کلام اللغویین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 یأخذها صاحب السلس ،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انماث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ذاب ،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النزاع فیه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عقلیین أو ذاتیة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عقلیة أو ذاتیة ، والأنسب ما أثبتناه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وملاذ الأخیار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فمعارضته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الحاشیة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لا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لا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کذلک ، بل الوارد فیها جواز الصلاة فی المحلّ المذکور لا علی المحل المذکور ، کما سنذکر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وتأتی الروایة فی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منجبر بعمل القدماء ، سیّما فی المقام فإنّه منجبر بعمل الأصحاب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للنووی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هذا الاستدلال علی ما ادّعاه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الملازمة بین الصلاة فی المکان وإصابة الجبهة ، فتدبّر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الدوابّ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 والظاهر ما أثبتناه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الفقرة فی روایة 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ولکنها موجودة فی روایة الفضل بن شاذان عن الرضا علیه السلام ، 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مصادر الحدیث ، والموجود فی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عذر أو علّة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حملهما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والاحتیاط واضح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المصادر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الشیخ والکلینی رویا فی الحسن بإبراهیم بن هاشم عن ابن أبی عمیر عن أبی عبد الله الفراء عن الصادق علیه السلام هذا المضمون ، فلاحظ وتدبّر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ویحمل قوله ، والأنسب ما أثبتناه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 ، والأنسب ما أثبتناه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بقیّة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المصلّین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علیه فی فقه الرضا علیه السلام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الشیخ المفید فی العدد والرؤیة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بسنده عن الباقر علیه السلام أنّه سئل عن القرامل التی تصنعها النساء فی رؤوسهنّ ، یصلنه بشعورهنّ؟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علی المرأة بما تزیّنت به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أنّ رسول الله صلی الله علیه و آله لعن الواصلة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 فلاحظ فی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أخری عن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یکره للمرأة أن تجعل القرامل من شعر غیرها ، فإن وصلت شعرها بصوف أو بشعر نفسها فلا یضرّها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صوفا فلا بأس وإن کان شعرا فلا خیر فیه من الواصلة والموصولة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الشیخ البهائی فی مقباس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عملها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عملهما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لا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واللتان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إجازتها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بینهما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الحرکة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الخف بلا ساق ،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وأربع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واللّتان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المصادر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وأربع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لشاهد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 والأنسب ما أثبتناه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والبناء ، والمناسب ما أثبتناه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ناسیا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والتعلیقة تناسب ما أثبتناه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الزیدیة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ولیس عندنا شرح المولی مراد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وکتب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التعمیم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التعلیقة 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والأنسب ما أثبتناه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وهو موجود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ولو صلّی فی مسجد جماعة ثم جاء آخرون لم یؤذّنوا ما دامت الصفوف باقیة ، فلو انقضت أذّن الآخرون وأقاموا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 وهو موجود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فهمه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ولجواز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 والظاهر ما أثبتناه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للشیعة ، والصواب ما أثبتناه من المصدر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التثنیة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سیجی‌ء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 والظاهر ما أثبتناه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کونه بغیر هیئة الأذان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 والصواب ما أثبتناه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55365</Words>
  <Characters>224783</Characters>
  <CharactersWithSpaces>278107</CharactersWithSpaces>
  <Paragraphs>2174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2026-08-24T19:24:23Z</dcterms:created>
  <dc:creator>ghaemiyeh.com</dc:creator>
  <dc:description/>
  <dc:language>en-US</dc:language>
  <cp:lastModifiedBy/>
  <dcterms:modified xsi:type="dcterms:W3CDTF">2026-08-24T22:54:44Z</dcterms:modified>
  <cp:revision>1</cp:revision>
  <dc:subject/>
  <dc:title>الحاشیة علی مدارک الأحکام جلد 2</dc:title>
</cp:coreProperties>
</file>

<file path=docProps/custom.xml><?xml version="1.0" encoding="utf-8"?>
<Properties xmlns="http://schemas.openxmlformats.org/officeDocument/2006/custom-properties" xmlns:vt="http://schemas.openxmlformats.org/officeDocument/2006/docPropsVTypes"/>
</file>