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الطاف الرحمن فی فقه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5853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65855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65857_388300464">
            <w:r>
              <w:rPr>
                <w:webHidden/>
                <w:rStyle w:val="IndexLink"/>
                <w:rtl w:val="true"/>
              </w:rPr>
              <w:t>تقديم</w:t>
            </w:r>
            <w:r>
              <w:rPr>
                <w:rStyle w:val="IndexLink"/>
                <w:rtl w:val="true"/>
              </w:rPr>
              <w:tab/>
            </w:r>
            <w:r>
              <w:rPr>
                <w:rStyle w:val="IndexLink"/>
              </w:rPr>
              <w:t>19</w:t>
            </w:r>
          </w:hyperlink>
        </w:p>
        <w:p>
          <w:pPr>
            <w:pStyle w:val="Contents3"/>
            <w:tabs>
              <w:tab w:val="clear" w:pos="8459"/>
              <w:tab w:val="right" w:pos="9026" w:leader="dot"/>
            </w:tabs>
            <w:rPr/>
          </w:pPr>
          <w:hyperlink w:anchor="__RefHeading___Toc1365859_388300464">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65861_388300464">
            <w:r>
              <w:rPr>
                <w:webHidden/>
                <w:rStyle w:val="IndexLink"/>
              </w:rPr>
              <w:t>1</w:t>
            </w:r>
            <w:r>
              <w:rPr>
                <w:rStyle w:val="IndexLink"/>
                <w:rtl w:val="true"/>
              </w:rPr>
              <w:t xml:space="preserve">. </w:t>
            </w:r>
            <w:r>
              <w:rPr>
                <w:rStyle w:val="IndexLink"/>
                <w:rtl w:val="true"/>
              </w:rPr>
              <w:t>التشريع تدريجياً</w:t>
            </w:r>
            <w:r>
              <w:rPr>
                <w:rStyle w:val="IndexLink"/>
                <w:rtl w:val="true"/>
              </w:rPr>
              <w:tab/>
            </w:r>
            <w:r>
              <w:rPr>
                <w:rStyle w:val="IndexLink"/>
              </w:rPr>
              <w:t>19</w:t>
            </w:r>
          </w:hyperlink>
        </w:p>
        <w:p>
          <w:pPr>
            <w:pStyle w:val="Contents3"/>
            <w:tabs>
              <w:tab w:val="clear" w:pos="8459"/>
              <w:tab w:val="right" w:pos="9026" w:leader="dot"/>
            </w:tabs>
            <w:rPr/>
          </w:pPr>
          <w:hyperlink w:anchor="__RefHeading___Toc1365863_388300464">
            <w:r>
              <w:rPr>
                <w:webHidden/>
                <w:rStyle w:val="IndexLink"/>
              </w:rPr>
              <w:t>2</w:t>
            </w:r>
            <w:r>
              <w:rPr>
                <w:rStyle w:val="IndexLink"/>
                <w:rtl w:val="true"/>
              </w:rPr>
              <w:t xml:space="preserve">. </w:t>
            </w:r>
            <w:r>
              <w:rPr>
                <w:rStyle w:val="IndexLink"/>
                <w:rtl w:val="true"/>
              </w:rPr>
              <w:t>الاقتصار على الأحكام الكلّيّة</w:t>
            </w:r>
            <w:r>
              <w:rPr>
                <w:rStyle w:val="IndexLink"/>
                <w:rtl w:val="true"/>
              </w:rPr>
              <w:tab/>
            </w:r>
            <w:r>
              <w:rPr>
                <w:rStyle w:val="IndexLink"/>
              </w:rPr>
              <w:t>20</w:t>
            </w:r>
          </w:hyperlink>
        </w:p>
        <w:p>
          <w:pPr>
            <w:pStyle w:val="Contents3"/>
            <w:tabs>
              <w:tab w:val="clear" w:pos="8459"/>
              <w:tab w:val="right" w:pos="9026" w:leader="dot"/>
            </w:tabs>
            <w:rPr/>
          </w:pPr>
          <w:hyperlink w:anchor="__RefHeading___Toc1365865_388300464">
            <w:r>
              <w:rPr>
                <w:webHidden/>
                <w:rStyle w:val="IndexLink"/>
              </w:rPr>
              <w:t>3</w:t>
            </w:r>
            <w:r>
              <w:rPr>
                <w:rStyle w:val="IndexLink"/>
                <w:rtl w:val="true"/>
              </w:rPr>
              <w:t xml:space="preserve">. </w:t>
            </w:r>
            <w:r>
              <w:rPr>
                <w:rStyle w:val="IndexLink"/>
                <w:rtl w:val="true"/>
              </w:rPr>
              <w:t>مرونة التشريع</w:t>
            </w:r>
            <w:r>
              <w:rPr>
                <w:rStyle w:val="IndexLink"/>
                <w:rtl w:val="true"/>
              </w:rPr>
              <w:tab/>
            </w:r>
            <w:r>
              <w:rPr>
                <w:rStyle w:val="IndexLink"/>
              </w:rPr>
              <w:t>20</w:t>
            </w:r>
          </w:hyperlink>
        </w:p>
        <w:p>
          <w:pPr>
            <w:pStyle w:val="Contents2"/>
            <w:tabs>
              <w:tab w:val="clear" w:pos="8743"/>
              <w:tab w:val="right" w:pos="9026" w:leader="dot"/>
            </w:tabs>
            <w:rPr/>
          </w:pPr>
          <w:hyperlink w:anchor="__RefHeading___Toc1365867_388300464">
            <w:r>
              <w:rPr>
                <w:webHidden/>
                <w:rStyle w:val="IndexLink"/>
                <w:rtl w:val="true"/>
              </w:rPr>
              <w:t>تمهيد</w:t>
            </w:r>
            <w:r>
              <w:rPr>
                <w:rStyle w:val="IndexLink"/>
                <w:rtl w:val="true"/>
              </w:rPr>
              <w:tab/>
            </w:r>
            <w:r>
              <w:rPr>
                <w:rStyle w:val="IndexLink"/>
              </w:rPr>
              <w:t>21</w:t>
            </w:r>
          </w:hyperlink>
        </w:p>
        <w:p>
          <w:pPr>
            <w:pStyle w:val="Contents2"/>
            <w:tabs>
              <w:tab w:val="clear" w:pos="8743"/>
              <w:tab w:val="right" w:pos="9026" w:leader="dot"/>
            </w:tabs>
            <w:rPr/>
          </w:pPr>
          <w:hyperlink w:anchor="__RefHeading___Toc1365869_388300464">
            <w:r>
              <w:rPr>
                <w:webHidden/>
                <w:rStyle w:val="IndexLink"/>
                <w:rtl w:val="true"/>
              </w:rPr>
              <w:t>كم هو عدد آيات الأحكام‌؟</w:t>
            </w:r>
            <w:r>
              <w:rPr>
                <w:rStyle w:val="IndexLink"/>
                <w:rtl w:val="true"/>
              </w:rPr>
              <w:tab/>
            </w:r>
            <w:r>
              <w:rPr>
                <w:rStyle w:val="IndexLink"/>
              </w:rPr>
              <w:t>22</w:t>
            </w:r>
          </w:hyperlink>
        </w:p>
        <w:p>
          <w:pPr>
            <w:pStyle w:val="Contents2"/>
            <w:tabs>
              <w:tab w:val="clear" w:pos="8743"/>
              <w:tab w:val="right" w:pos="9026" w:leader="dot"/>
            </w:tabs>
            <w:rPr/>
          </w:pPr>
          <w:hyperlink w:anchor="__RefHeading___Toc1365871_388300464">
            <w:r>
              <w:rPr>
                <w:webHidden/>
                <w:rStyle w:val="IndexLink"/>
                <w:rtl w:val="true"/>
              </w:rPr>
              <w:t>تحديد عدد الآيات غير مفيد</w:t>
            </w:r>
            <w:r>
              <w:rPr>
                <w:rStyle w:val="IndexLink"/>
                <w:rtl w:val="true"/>
              </w:rPr>
              <w:tab/>
            </w:r>
            <w:r>
              <w:rPr>
                <w:rStyle w:val="IndexLink"/>
              </w:rPr>
              <w:t>23</w:t>
            </w:r>
          </w:hyperlink>
        </w:p>
        <w:p>
          <w:pPr>
            <w:pStyle w:val="Contents3"/>
            <w:tabs>
              <w:tab w:val="clear" w:pos="8459"/>
              <w:tab w:val="right" w:pos="9026" w:leader="dot"/>
            </w:tabs>
            <w:rPr/>
          </w:pPr>
          <w:hyperlink w:anchor="__RefHeading___Toc1365873_388300464">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365875_388300464">
            <w:r>
              <w:rPr>
                <w:webHidden/>
                <w:rStyle w:val="IndexLink"/>
              </w:rPr>
              <w:t>1</w:t>
            </w:r>
            <w:r>
              <w:rPr>
                <w:rStyle w:val="IndexLink"/>
                <w:rtl w:val="true"/>
              </w:rPr>
              <w:t xml:space="preserve">. </w:t>
            </w:r>
            <w:r>
              <w:rPr>
                <w:rStyle w:val="IndexLink"/>
                <w:rtl w:val="true"/>
              </w:rPr>
              <w:t>الذمّي الّذي نقض حكم الذمّة</w:t>
            </w:r>
            <w:r>
              <w:rPr>
                <w:rStyle w:val="IndexLink"/>
                <w:rtl w:val="true"/>
              </w:rPr>
              <w:tab/>
            </w:r>
            <w:r>
              <w:rPr>
                <w:rStyle w:val="IndexLink"/>
              </w:rPr>
              <w:t>23</w:t>
            </w:r>
          </w:hyperlink>
        </w:p>
        <w:p>
          <w:pPr>
            <w:pStyle w:val="Contents3"/>
            <w:tabs>
              <w:tab w:val="clear" w:pos="8459"/>
              <w:tab w:val="right" w:pos="9026" w:leader="dot"/>
            </w:tabs>
            <w:rPr/>
          </w:pPr>
          <w:hyperlink w:anchor="__RefHeading___Toc1365877_388300464">
            <w:r>
              <w:rPr>
                <w:webHidden/>
                <w:rStyle w:val="IndexLink"/>
              </w:rPr>
              <w:t>2</w:t>
            </w:r>
            <w:r>
              <w:rPr>
                <w:rStyle w:val="IndexLink"/>
                <w:rtl w:val="true"/>
              </w:rPr>
              <w:t xml:space="preserve">. </w:t>
            </w:r>
            <w:r>
              <w:rPr>
                <w:rStyle w:val="IndexLink"/>
                <w:rtl w:val="true"/>
              </w:rPr>
              <w:t>موضوعات خفيّت عن المؤلّفين</w:t>
            </w:r>
            <w:r>
              <w:rPr>
                <w:rStyle w:val="IndexLink"/>
                <w:rtl w:val="true"/>
              </w:rPr>
              <w:tab/>
            </w:r>
            <w:r>
              <w:rPr>
                <w:rStyle w:val="IndexLink"/>
              </w:rPr>
              <w:t>25</w:t>
            </w:r>
          </w:hyperlink>
        </w:p>
        <w:p>
          <w:pPr>
            <w:pStyle w:val="Contents4"/>
            <w:tabs>
              <w:tab w:val="clear" w:pos="8176"/>
              <w:tab w:val="right" w:pos="9026" w:leader="dot"/>
            </w:tabs>
            <w:rPr/>
          </w:pPr>
          <w:hyperlink w:anchor="__RefHeading___Toc1365879_388300464">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365881_388300464">
            <w:r>
              <w:rPr>
                <w:webHidden/>
                <w:rStyle w:val="IndexLink"/>
              </w:rPr>
              <w:t>1</w:t>
            </w:r>
            <w:r>
              <w:rPr>
                <w:rStyle w:val="IndexLink"/>
                <w:rtl w:val="true"/>
              </w:rPr>
              <w:t xml:space="preserve">. </w:t>
            </w:r>
            <w:r>
              <w:rPr>
                <w:rStyle w:val="IndexLink"/>
                <w:rtl w:val="true"/>
              </w:rPr>
              <w:t>البدعة</w:t>
            </w:r>
            <w:r>
              <w:rPr>
                <w:rStyle w:val="IndexLink"/>
                <w:rtl w:val="true"/>
              </w:rPr>
              <w:tab/>
            </w:r>
            <w:r>
              <w:rPr>
                <w:rStyle w:val="IndexLink"/>
              </w:rPr>
              <w:t>26</w:t>
            </w:r>
          </w:hyperlink>
        </w:p>
        <w:p>
          <w:pPr>
            <w:pStyle w:val="Contents4"/>
            <w:tabs>
              <w:tab w:val="clear" w:pos="8176"/>
              <w:tab w:val="right" w:pos="9026" w:leader="dot"/>
            </w:tabs>
            <w:rPr/>
          </w:pPr>
          <w:hyperlink w:anchor="__RefHeading___Toc1365883_388300464">
            <w:r>
              <w:rPr>
                <w:webHidden/>
                <w:rStyle w:val="IndexLink"/>
              </w:rPr>
              <w:t>2</w:t>
            </w:r>
            <w:r>
              <w:rPr>
                <w:rStyle w:val="IndexLink"/>
                <w:rtl w:val="true"/>
              </w:rPr>
              <w:t xml:space="preserve">. </w:t>
            </w:r>
            <w:r>
              <w:rPr>
                <w:rStyle w:val="IndexLink"/>
                <w:rtl w:val="true"/>
              </w:rPr>
              <w:t>الإسراف والتبذير</w:t>
            </w:r>
            <w:r>
              <w:rPr>
                <w:rStyle w:val="IndexLink"/>
                <w:rtl w:val="true"/>
              </w:rPr>
              <w:tab/>
            </w:r>
            <w:r>
              <w:rPr>
                <w:rStyle w:val="IndexLink"/>
              </w:rPr>
              <w:t>26</w:t>
            </w:r>
          </w:hyperlink>
        </w:p>
        <w:p>
          <w:pPr>
            <w:pStyle w:val="Contents4"/>
            <w:tabs>
              <w:tab w:val="clear" w:pos="8176"/>
              <w:tab w:val="right" w:pos="9026" w:leader="dot"/>
            </w:tabs>
            <w:rPr/>
          </w:pPr>
          <w:hyperlink w:anchor="__RefHeading___Toc1365885_388300464">
            <w:r>
              <w:rPr>
                <w:webHidden/>
                <w:rStyle w:val="IndexLink"/>
              </w:rPr>
              <w:t>3</w:t>
            </w:r>
            <w:r>
              <w:rPr>
                <w:rStyle w:val="IndexLink"/>
                <w:rtl w:val="true"/>
              </w:rPr>
              <w:t xml:space="preserve">. </w:t>
            </w:r>
            <w:r>
              <w:rPr>
                <w:rStyle w:val="IndexLink"/>
                <w:rtl w:val="true"/>
              </w:rPr>
              <w:t>التكفير</w:t>
            </w:r>
            <w:r>
              <w:rPr>
                <w:rStyle w:val="IndexLink"/>
                <w:rtl w:val="true"/>
              </w:rPr>
              <w:tab/>
            </w:r>
            <w:r>
              <w:rPr>
                <w:rStyle w:val="IndexLink"/>
              </w:rPr>
              <w:t>26</w:t>
            </w:r>
          </w:hyperlink>
        </w:p>
        <w:p>
          <w:pPr>
            <w:pStyle w:val="Contents4"/>
            <w:tabs>
              <w:tab w:val="clear" w:pos="8176"/>
              <w:tab w:val="right" w:pos="9026" w:leader="dot"/>
            </w:tabs>
            <w:rPr/>
          </w:pPr>
          <w:hyperlink w:anchor="__RefHeading___Toc1365887_388300464">
            <w:r>
              <w:rPr>
                <w:webHidden/>
                <w:rStyle w:val="IndexLink"/>
              </w:rPr>
              <w:t>4</w:t>
            </w:r>
            <w:r>
              <w:rPr>
                <w:rStyle w:val="IndexLink"/>
                <w:rtl w:val="true"/>
              </w:rPr>
              <w:t xml:space="preserve">. </w:t>
            </w:r>
            <w:r>
              <w:rPr>
                <w:rStyle w:val="IndexLink"/>
                <w:rtl w:val="true"/>
              </w:rPr>
              <w:t>التعزير</w:t>
            </w:r>
            <w:r>
              <w:rPr>
                <w:rStyle w:val="IndexLink"/>
                <w:rtl w:val="true"/>
              </w:rPr>
              <w:tab/>
            </w:r>
            <w:r>
              <w:rPr>
                <w:rStyle w:val="IndexLink"/>
              </w:rPr>
              <w:t>27</w:t>
            </w:r>
          </w:hyperlink>
        </w:p>
        <w:p>
          <w:pPr>
            <w:pStyle w:val="Contents2"/>
            <w:tabs>
              <w:tab w:val="clear" w:pos="8743"/>
              <w:tab w:val="right" w:pos="9026" w:leader="dot"/>
            </w:tabs>
            <w:rPr/>
          </w:pPr>
          <w:hyperlink w:anchor="__RefHeading___Toc1365889_388300464">
            <w:r>
              <w:rPr>
                <w:webHidden/>
                <w:rStyle w:val="IndexLink"/>
                <w:rtl w:val="true"/>
              </w:rPr>
              <w:t>اختلاف المناهج في تفسير آيات الأحكام</w:t>
            </w:r>
            <w:r>
              <w:rPr>
                <w:rStyle w:val="IndexLink"/>
                <w:rtl w:val="true"/>
              </w:rPr>
              <w:tab/>
            </w:r>
            <w:r>
              <w:rPr>
                <w:rStyle w:val="IndexLink"/>
              </w:rPr>
              <w:t>27</w:t>
            </w:r>
          </w:hyperlink>
        </w:p>
        <w:p>
          <w:pPr>
            <w:pStyle w:val="Contents2"/>
            <w:tabs>
              <w:tab w:val="clear" w:pos="8743"/>
              <w:tab w:val="right" w:pos="9026" w:leader="dot"/>
            </w:tabs>
            <w:rPr/>
          </w:pPr>
          <w:hyperlink w:anchor="__RefHeading___Toc1365891_388300464">
            <w:r>
              <w:rPr>
                <w:webHidden/>
                <w:rStyle w:val="IndexLink"/>
                <w:rtl w:val="true"/>
              </w:rPr>
              <w:t>الكتب المشهورة المؤلّفة في آيات الأحكام عند الفريقين</w:t>
            </w:r>
            <w:r>
              <w:rPr>
                <w:rStyle w:val="IndexLink"/>
                <w:rtl w:val="true"/>
              </w:rPr>
              <w:tab/>
            </w:r>
            <w:r>
              <w:rPr>
                <w:rStyle w:val="IndexLink"/>
              </w:rPr>
              <w:t>28</w:t>
            </w:r>
          </w:hyperlink>
        </w:p>
        <w:p>
          <w:pPr>
            <w:pStyle w:val="Contents2"/>
            <w:tabs>
              <w:tab w:val="clear" w:pos="8743"/>
              <w:tab w:val="right" w:pos="9026" w:leader="dot"/>
            </w:tabs>
            <w:rPr/>
          </w:pPr>
          <w:hyperlink w:anchor="__RefHeading___Toc1365893_388300464">
            <w:r>
              <w:rPr>
                <w:webHidden/>
                <w:rStyle w:val="IndexLink"/>
                <w:rtl w:val="true"/>
              </w:rPr>
              <w:t>الفصل الأوّل</w:t>
            </w:r>
            <w:r>
              <w:rPr>
                <w:rStyle w:val="IndexLink"/>
                <w:rtl w:val="true"/>
              </w:rPr>
              <w:t xml:space="preserve">: </w:t>
            </w:r>
            <w:r>
              <w:rPr>
                <w:rStyle w:val="IndexLink"/>
                <w:rtl w:val="true"/>
              </w:rPr>
              <w:t>أحكام الطهارة في الذكر الحكيم</w:t>
            </w:r>
            <w:r>
              <w:rPr>
                <w:rStyle w:val="IndexLink"/>
                <w:rtl w:val="true"/>
              </w:rPr>
              <w:tab/>
            </w:r>
            <w:r>
              <w:rPr>
                <w:rStyle w:val="IndexLink"/>
              </w:rPr>
              <w:t>31</w:t>
            </w:r>
          </w:hyperlink>
        </w:p>
        <w:p>
          <w:pPr>
            <w:pStyle w:val="Contents3"/>
            <w:tabs>
              <w:tab w:val="clear" w:pos="8459"/>
              <w:tab w:val="right" w:pos="9026" w:leader="dot"/>
            </w:tabs>
            <w:rPr/>
          </w:pPr>
          <w:hyperlink w:anchor="__RefHeading___Toc1365895_388300464">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365897_388300464">
            <w:r>
              <w:rPr>
                <w:webHidden/>
                <w:rStyle w:val="IndexLink"/>
              </w:rPr>
              <w:t>1</w:t>
            </w:r>
            <w:r>
              <w:rPr>
                <w:rStyle w:val="IndexLink"/>
                <w:rtl w:val="true"/>
              </w:rPr>
              <w:t xml:space="preserve">. </w:t>
            </w:r>
            <w:r>
              <w:rPr>
                <w:rStyle w:val="IndexLink"/>
                <w:rtl w:val="true"/>
              </w:rPr>
              <w:t>آية الوضوء والغسل والتيمّم</w:t>
            </w:r>
            <w:r>
              <w:rPr>
                <w:rStyle w:val="IndexLink"/>
                <w:rtl w:val="true"/>
              </w:rPr>
              <w:tab/>
            </w:r>
            <w:r>
              <w:rPr>
                <w:rStyle w:val="IndexLink"/>
              </w:rPr>
              <w:t>32</w:t>
            </w:r>
          </w:hyperlink>
        </w:p>
        <w:p>
          <w:pPr>
            <w:pStyle w:val="Contents4"/>
            <w:tabs>
              <w:tab w:val="clear" w:pos="8176"/>
              <w:tab w:val="right" w:pos="9026" w:leader="dot"/>
            </w:tabs>
            <w:rPr/>
          </w:pPr>
          <w:hyperlink w:anchor="__RefHeading___Toc1365899_388300464">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365901_388300464">
            <w:r>
              <w:rPr>
                <w:webHidden/>
                <w:rStyle w:val="IndexLink"/>
                <w:rtl w:val="true"/>
              </w:rPr>
              <w:t>المفردات</w:t>
            </w:r>
            <w:r>
              <w:rPr>
                <w:rStyle w:val="IndexLink"/>
                <w:rtl w:val="true"/>
              </w:rPr>
              <w:tab/>
            </w:r>
            <w:r>
              <w:rPr>
                <w:rStyle w:val="IndexLink"/>
              </w:rPr>
              <w:t>32</w:t>
            </w:r>
          </w:hyperlink>
        </w:p>
        <w:p>
          <w:pPr>
            <w:pStyle w:val="Contents4"/>
            <w:tabs>
              <w:tab w:val="clear" w:pos="8176"/>
              <w:tab w:val="right" w:pos="9026" w:leader="dot"/>
            </w:tabs>
            <w:rPr/>
          </w:pPr>
          <w:hyperlink w:anchor="__RefHeading___Toc1365903_388300464">
            <w:r>
              <w:rPr>
                <w:webHidden/>
                <w:rStyle w:val="IndexLink"/>
                <w:rtl w:val="true"/>
              </w:rPr>
              <w:t>كيفية الوضوء في الكتاب العزيز</w:t>
            </w:r>
            <w:r>
              <w:rPr>
                <w:rStyle w:val="IndexLink"/>
                <w:rtl w:val="true"/>
              </w:rPr>
              <w:tab/>
            </w:r>
            <w:r>
              <w:rPr>
                <w:rStyle w:val="IndexLink"/>
              </w:rPr>
              <w:t>34</w:t>
            </w:r>
          </w:hyperlink>
        </w:p>
        <w:p>
          <w:pPr>
            <w:pStyle w:val="Contents4"/>
            <w:tabs>
              <w:tab w:val="clear" w:pos="8176"/>
              <w:tab w:val="right" w:pos="9026" w:leader="dot"/>
            </w:tabs>
            <w:rPr/>
          </w:pPr>
          <w:hyperlink w:anchor="__RefHeading___Toc1365905_388300464">
            <w:r>
              <w:rPr>
                <w:webHidden/>
                <w:rStyle w:val="IndexLink"/>
                <w:rtl w:val="true"/>
              </w:rPr>
              <w:t xml:space="preserve">بيان إعراب </w:t>
            </w:r>
            <w:r>
              <w:rPr>
                <w:rStyle w:val="IndexLink"/>
                <w:rtl w:val="true"/>
              </w:rPr>
              <w:t>«</w:t>
            </w:r>
            <w:r>
              <w:rPr>
                <w:rStyle w:val="IndexLink"/>
                <w:rtl w:val="true"/>
              </w:rPr>
              <w:t>الأرجل</w:t>
            </w:r>
            <w:r>
              <w:rPr>
                <w:rStyle w:val="IndexLink"/>
                <w:rtl w:val="true"/>
              </w:rPr>
              <w:t xml:space="preserve">» </w:t>
            </w:r>
            <w:r>
              <w:rPr>
                <w:rStyle w:val="IndexLink"/>
                <w:rtl w:val="true"/>
              </w:rPr>
              <w:t>على رأي الإمامية</w:t>
            </w:r>
            <w:r>
              <w:rPr>
                <w:rStyle w:val="IndexLink"/>
                <w:rtl w:val="true"/>
              </w:rPr>
              <w:tab/>
            </w:r>
            <w:r>
              <w:rPr>
                <w:rStyle w:val="IndexLink"/>
              </w:rPr>
              <w:t>42</w:t>
            </w:r>
          </w:hyperlink>
        </w:p>
        <w:p>
          <w:pPr>
            <w:pStyle w:val="Contents4"/>
            <w:tabs>
              <w:tab w:val="clear" w:pos="8176"/>
              <w:tab w:val="right" w:pos="9026" w:leader="dot"/>
            </w:tabs>
            <w:rPr/>
          </w:pPr>
          <w:hyperlink w:anchor="__RefHeading___Toc1365907_388300464">
            <w:r>
              <w:rPr>
                <w:webHidden/>
                <w:rStyle w:val="IndexLink"/>
                <w:rtl w:val="true"/>
              </w:rPr>
              <w:t>قراءة النصب ورأي أهل السنّة</w:t>
            </w:r>
            <w:r>
              <w:rPr>
                <w:rStyle w:val="IndexLink"/>
                <w:rtl w:val="true"/>
              </w:rPr>
              <w:tab/>
            </w:r>
            <w:r>
              <w:rPr>
                <w:rStyle w:val="IndexLink"/>
              </w:rPr>
              <w:t>43</w:t>
            </w:r>
          </w:hyperlink>
        </w:p>
        <w:p>
          <w:pPr>
            <w:pStyle w:val="Contents4"/>
            <w:tabs>
              <w:tab w:val="clear" w:pos="8176"/>
              <w:tab w:val="right" w:pos="9026" w:leader="dot"/>
            </w:tabs>
            <w:rPr/>
          </w:pPr>
          <w:hyperlink w:anchor="__RefHeading___Toc1365909_388300464">
            <w:r>
              <w:rPr>
                <w:webHidden/>
                <w:rStyle w:val="IndexLink"/>
                <w:rtl w:val="true"/>
              </w:rPr>
              <w:t>قراءة الجر ورأي أهل السنّة</w:t>
            </w:r>
            <w:r>
              <w:rPr>
                <w:rStyle w:val="IndexLink"/>
                <w:rtl w:val="true"/>
              </w:rPr>
              <w:tab/>
            </w:r>
            <w:r>
              <w:rPr>
                <w:rStyle w:val="IndexLink"/>
              </w:rPr>
              <w:t>46</w:t>
            </w:r>
          </w:hyperlink>
        </w:p>
        <w:p>
          <w:pPr>
            <w:pStyle w:val="Contents4"/>
            <w:tabs>
              <w:tab w:val="clear" w:pos="8176"/>
              <w:tab w:val="right" w:pos="9026" w:leader="dot"/>
            </w:tabs>
            <w:rPr/>
          </w:pPr>
          <w:hyperlink w:anchor="__RefHeading___Toc1365911_388300464">
            <w:r>
              <w:rPr>
                <w:webHidden/>
                <w:rStyle w:val="IndexLink"/>
                <w:rtl w:val="true"/>
              </w:rPr>
              <w:t>دراسة كلام صاحب المنار</w:t>
            </w:r>
            <w:r>
              <w:rPr>
                <w:rStyle w:val="IndexLink"/>
                <w:rtl w:val="true"/>
              </w:rPr>
              <w:tab/>
            </w:r>
            <w:r>
              <w:rPr>
                <w:rStyle w:val="IndexLink"/>
              </w:rPr>
              <w:t>49</w:t>
            </w:r>
          </w:hyperlink>
        </w:p>
        <w:p>
          <w:pPr>
            <w:pStyle w:val="Contents4"/>
            <w:tabs>
              <w:tab w:val="clear" w:pos="8176"/>
              <w:tab w:val="right" w:pos="9026" w:leader="dot"/>
            </w:tabs>
            <w:rPr/>
          </w:pPr>
          <w:hyperlink w:anchor="__RefHeading___Toc1365913_388300464">
            <w:r>
              <w:rPr>
                <w:webHidden/>
                <w:rStyle w:val="IndexLink"/>
                <w:rtl w:val="true"/>
              </w:rPr>
              <w:t>مسح الأرجل في أحاديث النبيّ صلى الله عليه و آله و سلم</w:t>
            </w:r>
            <w:r>
              <w:rPr>
                <w:rStyle w:val="IndexLink"/>
                <w:rtl w:val="true"/>
              </w:rPr>
              <w:tab/>
            </w:r>
            <w:r>
              <w:rPr>
                <w:rStyle w:val="IndexLink"/>
              </w:rPr>
              <w:t>50</w:t>
            </w:r>
          </w:hyperlink>
        </w:p>
        <w:p>
          <w:pPr>
            <w:pStyle w:val="Contents4"/>
            <w:tabs>
              <w:tab w:val="clear" w:pos="8176"/>
              <w:tab w:val="right" w:pos="9026" w:leader="dot"/>
            </w:tabs>
            <w:rPr/>
          </w:pPr>
          <w:hyperlink w:anchor="__RefHeading___Toc1365915_388300464">
            <w:r>
              <w:rPr>
                <w:webHidden/>
                <w:rStyle w:val="IndexLink"/>
                <w:rtl w:val="true"/>
              </w:rPr>
              <w:t>ما هو المراد من الكعب‌؟</w:t>
            </w:r>
            <w:r>
              <w:rPr>
                <w:rStyle w:val="IndexLink"/>
                <w:rtl w:val="true"/>
              </w:rPr>
              <w:tab/>
            </w:r>
            <w:r>
              <w:rPr>
                <w:rStyle w:val="IndexLink"/>
              </w:rPr>
              <w:t>54</w:t>
            </w:r>
          </w:hyperlink>
        </w:p>
        <w:p>
          <w:pPr>
            <w:pStyle w:val="Contents4"/>
            <w:tabs>
              <w:tab w:val="clear" w:pos="8176"/>
              <w:tab w:val="right" w:pos="9026" w:leader="dot"/>
            </w:tabs>
            <w:rPr/>
          </w:pPr>
          <w:hyperlink w:anchor="__RefHeading___Toc1365917_388300464">
            <w:r>
              <w:rPr>
                <w:webHidden/>
                <w:rStyle w:val="IndexLink"/>
                <w:rtl w:val="true"/>
              </w:rPr>
              <w:t>حكم غير المتمكّن من الماء</w:t>
            </w:r>
            <w:r>
              <w:rPr>
                <w:rStyle w:val="IndexLink"/>
                <w:rtl w:val="true"/>
              </w:rPr>
              <w:tab/>
            </w:r>
            <w:r>
              <w:rPr>
                <w:rStyle w:val="IndexLink"/>
              </w:rPr>
              <w:t>55</w:t>
            </w:r>
          </w:hyperlink>
        </w:p>
        <w:p>
          <w:pPr>
            <w:pStyle w:val="Contents5"/>
            <w:tabs>
              <w:tab w:val="clear" w:pos="7892"/>
              <w:tab w:val="right" w:pos="9026" w:leader="dot"/>
            </w:tabs>
            <w:rPr/>
          </w:pPr>
          <w:hyperlink w:anchor="__RefHeading___Toc1365919_388300464">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365921_388300464">
            <w:r>
              <w:rPr>
                <w:webHidden/>
                <w:rStyle w:val="IndexLink"/>
                <w:rtl w:val="true"/>
              </w:rPr>
              <w:t>الأوّل</w:t>
            </w:r>
            <w:r>
              <w:rPr>
                <w:rStyle w:val="IndexLink"/>
                <w:rtl w:val="true"/>
              </w:rPr>
              <w:t xml:space="preserve">: </w:t>
            </w:r>
            <w:r>
              <w:rPr>
                <w:rStyle w:val="IndexLink"/>
                <w:rtl w:val="true"/>
              </w:rPr>
              <w:t>ما هو المراد من الصعيد؟</w:t>
            </w:r>
            <w:r>
              <w:rPr>
                <w:rStyle w:val="IndexLink"/>
                <w:rtl w:val="true"/>
              </w:rPr>
              <w:tab/>
            </w:r>
            <w:r>
              <w:rPr>
                <w:rStyle w:val="IndexLink"/>
              </w:rPr>
              <w:t>56</w:t>
            </w:r>
          </w:hyperlink>
        </w:p>
        <w:p>
          <w:pPr>
            <w:pStyle w:val="Contents5"/>
            <w:tabs>
              <w:tab w:val="clear" w:pos="7892"/>
              <w:tab w:val="right" w:pos="9026" w:leader="dot"/>
            </w:tabs>
            <w:rPr/>
          </w:pPr>
          <w:hyperlink w:anchor="__RefHeading___Toc1365923_388300464">
            <w:r>
              <w:rPr>
                <w:webHidden/>
                <w:rStyle w:val="IndexLink"/>
                <w:rtl w:val="true"/>
              </w:rPr>
              <w:t>الثاني</w:t>
            </w:r>
            <w:r>
              <w:rPr>
                <w:rStyle w:val="IndexLink"/>
                <w:rtl w:val="true"/>
              </w:rPr>
              <w:t xml:space="preserve">: </w:t>
            </w:r>
            <w:r>
              <w:rPr>
                <w:rStyle w:val="IndexLink"/>
                <w:rtl w:val="true"/>
              </w:rPr>
              <w:t>حدّ الملامسة</w:t>
            </w:r>
            <w:r>
              <w:rPr>
                <w:rStyle w:val="IndexLink"/>
                <w:rtl w:val="true"/>
              </w:rPr>
              <w:tab/>
            </w:r>
            <w:r>
              <w:rPr>
                <w:rStyle w:val="IndexLink"/>
              </w:rPr>
              <w:t>58</w:t>
            </w:r>
          </w:hyperlink>
        </w:p>
        <w:p>
          <w:pPr>
            <w:pStyle w:val="Contents5"/>
            <w:tabs>
              <w:tab w:val="clear" w:pos="7892"/>
              <w:tab w:val="right" w:pos="9026" w:leader="dot"/>
            </w:tabs>
            <w:rPr/>
          </w:pPr>
          <w:hyperlink w:anchor="__RefHeading___Toc1365925_388300464">
            <w:r>
              <w:rPr>
                <w:webHidden/>
                <w:rStyle w:val="IndexLink"/>
                <w:rtl w:val="true"/>
              </w:rPr>
              <w:t>الثالث</w:t>
            </w:r>
            <w:r>
              <w:rPr>
                <w:rStyle w:val="IndexLink"/>
                <w:rtl w:val="true"/>
              </w:rPr>
              <w:t xml:space="preserve">: </w:t>
            </w:r>
            <w:r>
              <w:rPr>
                <w:rStyle w:val="IndexLink"/>
                <w:rtl w:val="true"/>
              </w:rPr>
              <w:t>حكم المريض والمسافر</w:t>
            </w:r>
            <w:r>
              <w:rPr>
                <w:rStyle w:val="IndexLink"/>
                <w:rtl w:val="true"/>
              </w:rPr>
              <w:tab/>
            </w:r>
            <w:r>
              <w:rPr>
                <w:rStyle w:val="IndexLink"/>
              </w:rPr>
              <w:t>59</w:t>
            </w:r>
          </w:hyperlink>
        </w:p>
        <w:p>
          <w:pPr>
            <w:pStyle w:val="Contents6"/>
            <w:tabs>
              <w:tab w:val="clear" w:pos="7609"/>
              <w:tab w:val="right" w:pos="9026" w:leader="dot"/>
            </w:tabs>
            <w:rPr/>
          </w:pPr>
          <w:hyperlink w:anchor="__RefHeading___Toc1365927_388300464">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365929_388300464">
            <w:r>
              <w:rPr>
                <w:webHidden/>
                <w:rStyle w:val="IndexLink"/>
                <w:rtl w:val="true"/>
              </w:rPr>
              <w:t>فتوى شاذّة لصاحب المنار وأُستاذه</w:t>
            </w:r>
            <w:r>
              <w:rPr>
                <w:rStyle w:val="IndexLink"/>
                <w:rtl w:val="true"/>
              </w:rPr>
              <w:tab/>
            </w:r>
            <w:r>
              <w:rPr>
                <w:rStyle w:val="IndexLink"/>
              </w:rPr>
              <w:t>60</w:t>
            </w:r>
          </w:hyperlink>
        </w:p>
        <w:p>
          <w:pPr>
            <w:pStyle w:val="Contents5"/>
            <w:tabs>
              <w:tab w:val="clear" w:pos="7892"/>
              <w:tab w:val="right" w:pos="9026" w:leader="dot"/>
            </w:tabs>
            <w:rPr/>
          </w:pPr>
          <w:hyperlink w:anchor="__RefHeading___Toc1365931_388300464">
            <w:r>
              <w:rPr>
                <w:webHidden/>
                <w:rStyle w:val="IndexLink"/>
                <w:rtl w:val="true"/>
              </w:rPr>
              <w:t>الرابع</w:t>
            </w:r>
            <w:r>
              <w:rPr>
                <w:rStyle w:val="IndexLink"/>
                <w:rtl w:val="true"/>
              </w:rPr>
              <w:t xml:space="preserve">: </w:t>
            </w:r>
            <w:r>
              <w:rPr>
                <w:rStyle w:val="IndexLink"/>
                <w:rtl w:val="true"/>
              </w:rPr>
              <w:t>كيفية التيمّم</w:t>
            </w:r>
            <w:r>
              <w:rPr>
                <w:rStyle w:val="IndexLink"/>
                <w:rtl w:val="true"/>
              </w:rPr>
              <w:tab/>
            </w:r>
            <w:r>
              <w:rPr>
                <w:rStyle w:val="IndexLink"/>
              </w:rPr>
              <w:t>62</w:t>
            </w:r>
          </w:hyperlink>
        </w:p>
        <w:p>
          <w:pPr>
            <w:pStyle w:val="Contents5"/>
            <w:tabs>
              <w:tab w:val="clear" w:pos="7892"/>
              <w:tab w:val="right" w:pos="9026" w:leader="dot"/>
            </w:tabs>
            <w:rPr/>
          </w:pPr>
          <w:hyperlink w:anchor="__RefHeading___Toc1365933_388300464">
            <w:r>
              <w:rPr>
                <w:webHidden/>
                <w:rStyle w:val="IndexLink"/>
                <w:rtl w:val="true"/>
              </w:rPr>
              <w:t>الخامس</w:t>
            </w:r>
            <w:r>
              <w:rPr>
                <w:rStyle w:val="IndexLink"/>
                <w:rtl w:val="true"/>
              </w:rPr>
              <w:t xml:space="preserve">: </w:t>
            </w:r>
            <w:r>
              <w:rPr>
                <w:rStyle w:val="IndexLink"/>
                <w:rtl w:val="true"/>
              </w:rPr>
              <w:t>الغاية من الوضوء</w:t>
            </w:r>
            <w:r>
              <w:rPr>
                <w:rStyle w:val="IndexLink"/>
                <w:rtl w:val="true"/>
              </w:rPr>
              <w:tab/>
            </w:r>
            <w:r>
              <w:rPr>
                <w:rStyle w:val="IndexLink"/>
              </w:rPr>
              <w:t>64</w:t>
            </w:r>
          </w:hyperlink>
        </w:p>
        <w:p>
          <w:pPr>
            <w:pStyle w:val="Contents5"/>
            <w:tabs>
              <w:tab w:val="clear" w:pos="7892"/>
              <w:tab w:val="right" w:pos="9026" w:leader="dot"/>
            </w:tabs>
            <w:rPr/>
          </w:pPr>
          <w:hyperlink w:anchor="__RefHeading___Toc1365935_388300464">
            <w:r>
              <w:rPr>
                <w:webHidden/>
                <w:rStyle w:val="IndexLink"/>
                <w:rtl w:val="true"/>
              </w:rPr>
              <w:t>السادس</w:t>
            </w:r>
            <w:r>
              <w:rPr>
                <w:rStyle w:val="IndexLink"/>
                <w:rtl w:val="true"/>
              </w:rPr>
              <w:t xml:space="preserve">: </w:t>
            </w:r>
            <w:r>
              <w:rPr>
                <w:rStyle w:val="IndexLink"/>
                <w:rtl w:val="true"/>
              </w:rPr>
              <w:t>سبب الاختلاف في حكم الأرجل</w:t>
            </w:r>
            <w:r>
              <w:rPr>
                <w:rStyle w:val="IndexLink"/>
                <w:rtl w:val="true"/>
              </w:rPr>
              <w:tab/>
            </w:r>
            <w:r>
              <w:rPr>
                <w:rStyle w:val="IndexLink"/>
              </w:rPr>
              <w:t>64</w:t>
            </w:r>
          </w:hyperlink>
        </w:p>
        <w:p>
          <w:pPr>
            <w:pStyle w:val="Contents6"/>
            <w:tabs>
              <w:tab w:val="clear" w:pos="7609"/>
              <w:tab w:val="right" w:pos="9026" w:leader="dot"/>
            </w:tabs>
            <w:rPr/>
          </w:pPr>
          <w:hyperlink w:anchor="__RefHeading___Toc1365937_388300464">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365939_388300464">
            <w:r>
              <w:rPr>
                <w:webHidden/>
                <w:rStyle w:val="IndexLink"/>
                <w:rtl w:val="true"/>
              </w:rPr>
              <w:t>الأوّل</w:t>
            </w:r>
            <w:r>
              <w:rPr>
                <w:rStyle w:val="IndexLink"/>
                <w:rtl w:val="true"/>
              </w:rPr>
              <w:t xml:space="preserve">: </w:t>
            </w:r>
            <w:r>
              <w:rPr>
                <w:rStyle w:val="IndexLink"/>
                <w:rtl w:val="true"/>
              </w:rPr>
              <w:t>الاختلاف في القراءة</w:t>
            </w:r>
            <w:r>
              <w:rPr>
                <w:rStyle w:val="IndexLink"/>
                <w:rtl w:val="true"/>
              </w:rPr>
              <w:tab/>
            </w:r>
            <w:r>
              <w:rPr>
                <w:rStyle w:val="IndexLink"/>
              </w:rPr>
              <w:t>65</w:t>
            </w:r>
          </w:hyperlink>
        </w:p>
        <w:p>
          <w:pPr>
            <w:pStyle w:val="Contents6"/>
            <w:tabs>
              <w:tab w:val="clear" w:pos="7609"/>
              <w:tab w:val="right" w:pos="9026" w:leader="dot"/>
            </w:tabs>
            <w:rPr/>
          </w:pPr>
          <w:hyperlink w:anchor="__RefHeading___Toc1365941_388300464">
            <w:r>
              <w:rPr>
                <w:webHidden/>
                <w:rStyle w:val="IndexLink"/>
                <w:rtl w:val="true"/>
              </w:rPr>
              <w:t>الثاني</w:t>
            </w:r>
            <w:r>
              <w:rPr>
                <w:rStyle w:val="IndexLink"/>
                <w:rtl w:val="true"/>
              </w:rPr>
              <w:t xml:space="preserve">: </w:t>
            </w:r>
            <w:r>
              <w:rPr>
                <w:rStyle w:val="IndexLink"/>
                <w:rtl w:val="true"/>
              </w:rPr>
              <w:t>النبيّ صلى الله عليه و آله و سلم كان يغسل رجليه قبل نزول الآية</w:t>
            </w:r>
            <w:r>
              <w:rPr>
                <w:rStyle w:val="IndexLink"/>
                <w:rtl w:val="true"/>
              </w:rPr>
              <w:tab/>
            </w:r>
            <w:r>
              <w:rPr>
                <w:rStyle w:val="IndexLink"/>
              </w:rPr>
              <w:t>66</w:t>
            </w:r>
          </w:hyperlink>
        </w:p>
        <w:p>
          <w:pPr>
            <w:pStyle w:val="Contents6"/>
            <w:tabs>
              <w:tab w:val="clear" w:pos="7609"/>
              <w:tab w:val="right" w:pos="9026" w:leader="dot"/>
            </w:tabs>
            <w:rPr/>
          </w:pPr>
          <w:hyperlink w:anchor="__RefHeading___Toc1365943_388300464">
            <w:r>
              <w:rPr>
                <w:webHidden/>
                <w:rStyle w:val="IndexLink"/>
                <w:rtl w:val="true"/>
              </w:rPr>
              <w:t>الثالث</w:t>
            </w:r>
            <w:r>
              <w:rPr>
                <w:rStyle w:val="IndexLink"/>
                <w:rtl w:val="true"/>
              </w:rPr>
              <w:t xml:space="preserve">: </w:t>
            </w:r>
            <w:r>
              <w:rPr>
                <w:rStyle w:val="IndexLink"/>
                <w:rtl w:val="true"/>
              </w:rPr>
              <w:t>إشاعة الغسل من قبل السلطة</w:t>
            </w:r>
            <w:r>
              <w:rPr>
                <w:rStyle w:val="IndexLink"/>
                <w:rtl w:val="true"/>
              </w:rPr>
              <w:tab/>
            </w:r>
            <w:r>
              <w:rPr>
                <w:rStyle w:val="IndexLink"/>
              </w:rPr>
              <w:t>66</w:t>
            </w:r>
          </w:hyperlink>
        </w:p>
        <w:p>
          <w:pPr>
            <w:pStyle w:val="Contents3"/>
            <w:tabs>
              <w:tab w:val="clear" w:pos="8459"/>
              <w:tab w:val="right" w:pos="9026" w:leader="dot"/>
            </w:tabs>
            <w:rPr/>
          </w:pPr>
          <w:hyperlink w:anchor="__RefHeading___Toc1365945_388300464">
            <w:r>
              <w:rPr>
                <w:webHidden/>
                <w:rStyle w:val="IndexLink"/>
              </w:rPr>
              <w:t>2</w:t>
            </w:r>
            <w:r>
              <w:rPr>
                <w:rStyle w:val="IndexLink"/>
                <w:rtl w:val="true"/>
              </w:rPr>
              <w:t xml:space="preserve">. </w:t>
            </w:r>
            <w:r>
              <w:rPr>
                <w:rStyle w:val="IndexLink"/>
                <w:rtl w:val="true"/>
              </w:rPr>
              <w:t>آية التيمّم</w:t>
            </w:r>
            <w:r>
              <w:rPr>
                <w:rStyle w:val="IndexLink"/>
                <w:rtl w:val="true"/>
              </w:rPr>
              <w:tab/>
            </w:r>
            <w:r>
              <w:rPr>
                <w:rStyle w:val="IndexLink"/>
              </w:rPr>
              <w:t>68</w:t>
            </w:r>
          </w:hyperlink>
        </w:p>
        <w:p>
          <w:pPr>
            <w:pStyle w:val="Contents4"/>
            <w:tabs>
              <w:tab w:val="clear" w:pos="8176"/>
              <w:tab w:val="right" w:pos="9026" w:leader="dot"/>
            </w:tabs>
            <w:rPr/>
          </w:pPr>
          <w:hyperlink w:anchor="__RefHeading___Toc1365947_388300464">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365949_388300464">
            <w:r>
              <w:rPr>
                <w:webHidden/>
                <w:rStyle w:val="IndexLink"/>
                <w:rtl w:val="true"/>
              </w:rPr>
              <w:t>المفردات</w:t>
            </w:r>
            <w:r>
              <w:rPr>
                <w:rStyle w:val="IndexLink"/>
                <w:rtl w:val="true"/>
              </w:rPr>
              <w:tab/>
            </w:r>
            <w:r>
              <w:rPr>
                <w:rStyle w:val="IndexLink"/>
              </w:rPr>
              <w:t>68</w:t>
            </w:r>
          </w:hyperlink>
        </w:p>
        <w:p>
          <w:pPr>
            <w:pStyle w:val="Contents4"/>
            <w:tabs>
              <w:tab w:val="clear" w:pos="8176"/>
              <w:tab w:val="right" w:pos="9026" w:leader="dot"/>
            </w:tabs>
            <w:rPr/>
          </w:pPr>
          <w:hyperlink w:anchor="__RefHeading___Toc1365951_388300464">
            <w:r>
              <w:rPr>
                <w:webHidden/>
                <w:rStyle w:val="IndexLink"/>
                <w:rtl w:val="true"/>
              </w:rPr>
              <w:t>تفسير قوله</w:t>
            </w:r>
            <w:r>
              <w:rPr>
                <w:rStyle w:val="IndexLink"/>
                <w:rtl w:val="true"/>
              </w:rPr>
              <w:t>: (</w:t>
            </w:r>
            <w:r>
              <w:rPr>
                <w:rStyle w:val="IndexLink"/>
                <w:rtl w:val="true"/>
              </w:rPr>
              <w:t>إِلاّ عابِرِي سَبِيلٍ‌</w:t>
            </w:r>
            <w:r>
              <w:rPr>
                <w:rStyle w:val="IndexLink"/>
                <w:rtl w:val="true"/>
              </w:rPr>
              <w:t>)</w:t>
              <w:tab/>
            </w:r>
            <w:r>
              <w:rPr>
                <w:rStyle w:val="IndexLink"/>
              </w:rPr>
              <w:t>71</w:t>
            </w:r>
          </w:hyperlink>
        </w:p>
        <w:p>
          <w:pPr>
            <w:pStyle w:val="Contents3"/>
            <w:tabs>
              <w:tab w:val="clear" w:pos="8459"/>
              <w:tab w:val="right" w:pos="9026" w:leader="dot"/>
            </w:tabs>
            <w:rPr/>
          </w:pPr>
          <w:hyperlink w:anchor="__RefHeading___Toc1365953_388300464">
            <w:r>
              <w:rPr>
                <w:webHidden/>
                <w:rStyle w:val="IndexLink"/>
                <w:rtl w:val="true"/>
              </w:rPr>
              <w:t>حكم الطوائف الأربع</w:t>
            </w:r>
            <w:r>
              <w:rPr>
                <w:rStyle w:val="IndexLink"/>
                <w:rtl w:val="true"/>
              </w:rPr>
              <w:tab/>
            </w:r>
            <w:r>
              <w:rPr>
                <w:rStyle w:val="IndexLink"/>
              </w:rPr>
              <w:t>72</w:t>
            </w:r>
          </w:hyperlink>
        </w:p>
        <w:p>
          <w:pPr>
            <w:pStyle w:val="Contents3"/>
            <w:tabs>
              <w:tab w:val="clear" w:pos="8459"/>
              <w:tab w:val="right" w:pos="9026" w:leader="dot"/>
            </w:tabs>
            <w:rPr/>
          </w:pPr>
          <w:hyperlink w:anchor="__RefHeading___Toc1365955_388300464">
            <w:r>
              <w:rPr>
                <w:webHidden/>
                <w:rStyle w:val="IndexLink"/>
                <w:rtl w:val="true"/>
              </w:rPr>
              <w:t>المحور الرابع</w:t>
            </w:r>
            <w:r>
              <w:rPr>
                <w:rStyle w:val="IndexLink"/>
                <w:rtl w:val="true"/>
              </w:rPr>
              <w:t xml:space="preserve">: </w:t>
            </w:r>
            <w:r>
              <w:rPr>
                <w:rStyle w:val="IndexLink"/>
                <w:rtl w:val="true"/>
              </w:rPr>
              <w:t>كيفية التيمّم</w:t>
            </w:r>
            <w:r>
              <w:rPr>
                <w:rStyle w:val="IndexLink"/>
                <w:rtl w:val="true"/>
              </w:rPr>
              <w:tab/>
            </w:r>
            <w:r>
              <w:rPr>
                <w:rStyle w:val="IndexLink"/>
              </w:rPr>
              <w:t>73</w:t>
            </w:r>
          </w:hyperlink>
        </w:p>
        <w:p>
          <w:pPr>
            <w:pStyle w:val="Contents3"/>
            <w:tabs>
              <w:tab w:val="clear" w:pos="8459"/>
              <w:tab w:val="right" w:pos="9026" w:leader="dot"/>
            </w:tabs>
            <w:rPr/>
          </w:pPr>
          <w:hyperlink w:anchor="__RefHeading___Toc1365957_388300464">
            <w:r>
              <w:rPr>
                <w:webHidden/>
                <w:rStyle w:val="IndexLink"/>
                <w:rtl w:val="true"/>
              </w:rPr>
              <w:t>عليٌّ إمام المتّقين</w:t>
            </w:r>
            <w:r>
              <w:rPr>
                <w:rStyle w:val="IndexLink"/>
                <w:rtl w:val="true"/>
              </w:rPr>
              <w:tab/>
            </w:r>
            <w:r>
              <w:rPr>
                <w:rStyle w:val="IndexLink"/>
              </w:rPr>
              <w:t>74</w:t>
            </w:r>
          </w:hyperlink>
        </w:p>
        <w:p>
          <w:pPr>
            <w:pStyle w:val="Contents3"/>
            <w:tabs>
              <w:tab w:val="clear" w:pos="8459"/>
              <w:tab w:val="right" w:pos="9026" w:leader="dot"/>
            </w:tabs>
            <w:rPr/>
          </w:pPr>
          <w:hyperlink w:anchor="__RefHeading___Toc1365959_388300464">
            <w:r>
              <w:rPr>
                <w:webHidden/>
                <w:rStyle w:val="IndexLink"/>
                <w:rtl w:val="true"/>
              </w:rPr>
              <w:t>عليّ ربيب بيت النبوة</w:t>
            </w:r>
            <w:r>
              <w:rPr>
                <w:rStyle w:val="IndexLink"/>
                <w:rtl w:val="true"/>
              </w:rPr>
              <w:tab/>
            </w:r>
            <w:r>
              <w:rPr>
                <w:rStyle w:val="IndexLink"/>
              </w:rPr>
              <w:t>74</w:t>
            </w:r>
          </w:hyperlink>
        </w:p>
        <w:p>
          <w:pPr>
            <w:pStyle w:val="Contents3"/>
            <w:tabs>
              <w:tab w:val="clear" w:pos="8459"/>
              <w:tab w:val="right" w:pos="9026" w:leader="dot"/>
            </w:tabs>
            <w:rPr/>
          </w:pPr>
          <w:hyperlink w:anchor="__RefHeading___Toc1365961_388300464">
            <w:r>
              <w:rPr>
                <w:webHidden/>
                <w:rStyle w:val="IndexLink"/>
                <w:rtl w:val="true"/>
              </w:rPr>
              <w:t>عدم مفارقة عليّ رسول اللّه منذ صباه إلى رحيله</w:t>
            </w:r>
            <w:r>
              <w:rPr>
                <w:rStyle w:val="IndexLink"/>
                <w:rtl w:val="true"/>
              </w:rPr>
              <w:tab/>
            </w:r>
            <w:r>
              <w:rPr>
                <w:rStyle w:val="IndexLink"/>
              </w:rPr>
              <w:t>75</w:t>
            </w:r>
          </w:hyperlink>
        </w:p>
        <w:p>
          <w:pPr>
            <w:pStyle w:val="Contents3"/>
            <w:tabs>
              <w:tab w:val="clear" w:pos="8459"/>
              <w:tab w:val="right" w:pos="9026" w:leader="dot"/>
            </w:tabs>
            <w:rPr/>
          </w:pPr>
          <w:hyperlink w:anchor="__RefHeading___Toc1365963_388300464">
            <w:r>
              <w:rPr>
                <w:webHidden/>
                <w:rStyle w:val="IndexLink"/>
                <w:rtl w:val="true"/>
              </w:rPr>
              <w:t>تحريم الخمر في عامة الشرائع</w:t>
            </w:r>
            <w:r>
              <w:rPr>
                <w:rStyle w:val="IndexLink"/>
                <w:rtl w:val="true"/>
              </w:rPr>
              <w:tab/>
            </w:r>
            <w:r>
              <w:rPr>
                <w:rStyle w:val="IndexLink"/>
              </w:rPr>
              <w:t>77</w:t>
            </w:r>
          </w:hyperlink>
        </w:p>
        <w:p>
          <w:pPr>
            <w:pStyle w:val="Contents3"/>
            <w:tabs>
              <w:tab w:val="clear" w:pos="8459"/>
              <w:tab w:val="right" w:pos="9026" w:leader="dot"/>
            </w:tabs>
            <w:rPr/>
          </w:pPr>
          <w:hyperlink w:anchor="__RefHeading___Toc1365965_388300464">
            <w:r>
              <w:rPr>
                <w:webHidden/>
                <w:rStyle w:val="IndexLink"/>
                <w:rtl w:val="true"/>
              </w:rPr>
              <w:t>رواية مجعولة للحطّ من مقام الوصيّ‌</w:t>
            </w:r>
            <w:r>
              <w:rPr>
                <w:rStyle w:val="IndexLink"/>
                <w:rtl w:val="true"/>
              </w:rPr>
              <w:tab/>
            </w:r>
            <w:r>
              <w:rPr>
                <w:rStyle w:val="IndexLink"/>
              </w:rPr>
              <w:t>78</w:t>
            </w:r>
          </w:hyperlink>
        </w:p>
        <w:p>
          <w:pPr>
            <w:pStyle w:val="Contents3"/>
            <w:tabs>
              <w:tab w:val="clear" w:pos="8459"/>
              <w:tab w:val="right" w:pos="9026" w:leader="dot"/>
            </w:tabs>
            <w:rPr/>
          </w:pPr>
          <w:hyperlink w:anchor="__RefHeading___Toc1365967_388300464">
            <w:r>
              <w:rPr>
                <w:webHidden/>
                <w:rStyle w:val="IndexLink"/>
              </w:rPr>
              <w:t>3</w:t>
            </w:r>
            <w:r>
              <w:rPr>
                <w:rStyle w:val="IndexLink"/>
                <w:rtl w:val="true"/>
              </w:rPr>
              <w:t xml:space="preserve">. </w:t>
            </w:r>
            <w:r>
              <w:rPr>
                <w:rStyle w:val="IndexLink"/>
                <w:rtl w:val="true"/>
              </w:rPr>
              <w:t>أحكام الحائض في الذكر الحكيم</w:t>
            </w:r>
            <w:r>
              <w:rPr>
                <w:rStyle w:val="IndexLink"/>
                <w:rtl w:val="true"/>
              </w:rPr>
              <w:tab/>
            </w:r>
            <w:r>
              <w:rPr>
                <w:rStyle w:val="IndexLink"/>
              </w:rPr>
              <w:t>81</w:t>
            </w:r>
          </w:hyperlink>
        </w:p>
        <w:p>
          <w:pPr>
            <w:pStyle w:val="Contents4"/>
            <w:tabs>
              <w:tab w:val="clear" w:pos="8176"/>
              <w:tab w:val="right" w:pos="9026" w:leader="dot"/>
            </w:tabs>
            <w:rPr/>
          </w:pPr>
          <w:hyperlink w:anchor="__RefHeading___Toc1365969_388300464">
            <w:r>
              <w:rPr>
                <w:webHidden/>
                <w:rStyle w:val="IndexLink"/>
                <w:rtl w:val="true"/>
              </w:rPr>
              <w:t>الآية الأُولى</w:t>
            </w:r>
            <w:r>
              <w:rPr>
                <w:rStyle w:val="IndexLink"/>
                <w:rtl w:val="true"/>
              </w:rPr>
              <w:t>:</w:t>
              <w:tab/>
            </w:r>
            <w:r>
              <w:rPr>
                <w:rStyle w:val="IndexLink"/>
              </w:rPr>
              <w:t>81</w:t>
            </w:r>
          </w:hyperlink>
        </w:p>
        <w:p>
          <w:pPr>
            <w:pStyle w:val="Contents5"/>
            <w:tabs>
              <w:tab w:val="clear" w:pos="7892"/>
              <w:tab w:val="right" w:pos="9026" w:leader="dot"/>
            </w:tabs>
            <w:rPr/>
          </w:pPr>
          <w:hyperlink w:anchor="__RefHeading___Toc1365971_388300464">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365973_388300464">
            <w:r>
              <w:rPr>
                <w:webHidden/>
                <w:rStyle w:val="IndexLink"/>
                <w:rtl w:val="true"/>
              </w:rPr>
              <w:t>المفردات</w:t>
            </w:r>
            <w:r>
              <w:rPr>
                <w:rStyle w:val="IndexLink"/>
                <w:rtl w:val="true"/>
              </w:rPr>
              <w:tab/>
            </w:r>
            <w:r>
              <w:rPr>
                <w:rStyle w:val="IndexLink"/>
              </w:rPr>
              <w:t>81</w:t>
            </w:r>
          </w:hyperlink>
        </w:p>
        <w:p>
          <w:pPr>
            <w:pStyle w:val="Contents5"/>
            <w:tabs>
              <w:tab w:val="clear" w:pos="7892"/>
              <w:tab w:val="right" w:pos="9026" w:leader="dot"/>
            </w:tabs>
            <w:rPr/>
          </w:pPr>
          <w:hyperlink w:anchor="__RefHeading___Toc1365975_388300464">
            <w:r>
              <w:rPr>
                <w:webHidden/>
                <w:rStyle w:val="IndexLink"/>
                <w:rtl w:val="true"/>
              </w:rPr>
              <w:t>التفسير</w:t>
            </w:r>
            <w:r>
              <w:rPr>
                <w:rStyle w:val="IndexLink"/>
                <w:rtl w:val="true"/>
              </w:rPr>
              <w:tab/>
            </w:r>
            <w:r>
              <w:rPr>
                <w:rStyle w:val="IndexLink"/>
              </w:rPr>
              <w:t>83</w:t>
            </w:r>
          </w:hyperlink>
        </w:p>
        <w:p>
          <w:pPr>
            <w:pStyle w:val="Contents4"/>
            <w:tabs>
              <w:tab w:val="clear" w:pos="8176"/>
              <w:tab w:val="right" w:pos="9026" w:leader="dot"/>
            </w:tabs>
            <w:rPr/>
          </w:pPr>
          <w:hyperlink w:anchor="__RefHeading___Toc1365977_388300464">
            <w:r>
              <w:rPr>
                <w:webHidden/>
                <w:rStyle w:val="IndexLink"/>
                <w:rtl w:val="true"/>
              </w:rPr>
              <w:t>الآية الثانية</w:t>
            </w:r>
            <w:r>
              <w:rPr>
                <w:rStyle w:val="IndexLink"/>
                <w:rtl w:val="true"/>
              </w:rPr>
              <w:t>:</w:t>
              <w:tab/>
            </w:r>
            <w:r>
              <w:rPr>
                <w:rStyle w:val="IndexLink"/>
              </w:rPr>
              <w:t>85</w:t>
            </w:r>
          </w:hyperlink>
        </w:p>
        <w:p>
          <w:pPr>
            <w:pStyle w:val="Contents5"/>
            <w:tabs>
              <w:tab w:val="clear" w:pos="7892"/>
              <w:tab w:val="right" w:pos="9026" w:leader="dot"/>
            </w:tabs>
            <w:rPr/>
          </w:pPr>
          <w:hyperlink w:anchor="__RefHeading___Toc1365979_388300464">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365981_388300464">
            <w:r>
              <w:rPr>
                <w:webHidden/>
                <w:rStyle w:val="IndexLink"/>
                <w:rtl w:val="true"/>
              </w:rPr>
              <w:t>جواز إتيان النساء بالنقاء عن الدم وعدمه</w:t>
            </w:r>
            <w:r>
              <w:rPr>
                <w:rStyle w:val="IndexLink"/>
                <w:rtl w:val="true"/>
              </w:rPr>
              <w:tab/>
            </w:r>
            <w:r>
              <w:rPr>
                <w:rStyle w:val="IndexLink"/>
              </w:rPr>
              <w:t>88</w:t>
            </w:r>
          </w:hyperlink>
        </w:p>
        <w:p>
          <w:pPr>
            <w:pStyle w:val="Contents6"/>
            <w:tabs>
              <w:tab w:val="clear" w:pos="7609"/>
              <w:tab w:val="right" w:pos="9026" w:leader="dot"/>
            </w:tabs>
            <w:rPr/>
          </w:pPr>
          <w:hyperlink w:anchor="__RefHeading___Toc1365983_388300464">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365985_388300464">
            <w:r>
              <w:rPr>
                <w:webHidden/>
                <w:rStyle w:val="IndexLink"/>
                <w:rtl w:val="true"/>
              </w:rPr>
              <w:t>الأوّل</w:t>
            </w:r>
            <w:r>
              <w:rPr>
                <w:rStyle w:val="IndexLink"/>
                <w:rtl w:val="true"/>
              </w:rPr>
              <w:t xml:space="preserve">: </w:t>
            </w:r>
            <w:r>
              <w:rPr>
                <w:rStyle w:val="IndexLink"/>
                <w:rtl w:val="true"/>
              </w:rPr>
              <w:t>ما يدلّ على الجواز مطلقاً،</w:t>
            </w:r>
            <w:r>
              <w:rPr>
                <w:rStyle w:val="IndexLink"/>
                <w:rtl w:val="true"/>
              </w:rPr>
              <w:tab/>
            </w:r>
            <w:r>
              <w:rPr>
                <w:rStyle w:val="IndexLink"/>
              </w:rPr>
              <w:t>90</w:t>
            </w:r>
          </w:hyperlink>
        </w:p>
        <w:p>
          <w:pPr>
            <w:pStyle w:val="Contents6"/>
            <w:tabs>
              <w:tab w:val="clear" w:pos="7609"/>
              <w:tab w:val="right" w:pos="9026" w:leader="dot"/>
            </w:tabs>
            <w:rPr/>
          </w:pPr>
          <w:hyperlink w:anchor="__RefHeading___Toc1365987_388300464">
            <w:r>
              <w:rPr>
                <w:webHidden/>
                <w:rStyle w:val="IndexLink"/>
                <w:rtl w:val="true"/>
              </w:rPr>
              <w:t>الصنف الثاني</w:t>
            </w:r>
            <w:r>
              <w:rPr>
                <w:rStyle w:val="IndexLink"/>
                <w:rtl w:val="true"/>
              </w:rPr>
              <w:t xml:space="preserve">: </w:t>
            </w:r>
            <w:r>
              <w:rPr>
                <w:rStyle w:val="IndexLink"/>
                <w:rtl w:val="true"/>
              </w:rPr>
              <w:t>ما يدلّ على المنع،</w:t>
            </w:r>
            <w:r>
              <w:rPr>
                <w:rStyle w:val="IndexLink"/>
                <w:rtl w:val="true"/>
              </w:rPr>
              <w:tab/>
            </w:r>
            <w:r>
              <w:rPr>
                <w:rStyle w:val="IndexLink"/>
              </w:rPr>
              <w:t>91</w:t>
            </w:r>
          </w:hyperlink>
        </w:p>
        <w:p>
          <w:pPr>
            <w:pStyle w:val="Contents6"/>
            <w:tabs>
              <w:tab w:val="clear" w:pos="7609"/>
              <w:tab w:val="right" w:pos="9026" w:leader="dot"/>
            </w:tabs>
            <w:rPr/>
          </w:pPr>
          <w:hyperlink w:anchor="__RefHeading___Toc1365989_388300464">
            <w:r>
              <w:rPr>
                <w:webHidden/>
                <w:rStyle w:val="IndexLink"/>
                <w:rtl w:val="true"/>
              </w:rPr>
              <w:t>الصنف الثالث</w:t>
            </w:r>
            <w:r>
              <w:rPr>
                <w:rStyle w:val="IndexLink"/>
                <w:rtl w:val="true"/>
              </w:rPr>
              <w:t xml:space="preserve">: </w:t>
            </w:r>
            <w:r>
              <w:rPr>
                <w:rStyle w:val="IndexLink"/>
                <w:rtl w:val="true"/>
              </w:rPr>
              <w:t>ما يدلّ على تقييد الجواز بغسل الموضع،</w:t>
            </w:r>
            <w:r>
              <w:rPr>
                <w:rStyle w:val="IndexLink"/>
                <w:rtl w:val="true"/>
              </w:rPr>
              <w:tab/>
            </w:r>
            <w:r>
              <w:rPr>
                <w:rStyle w:val="IndexLink"/>
              </w:rPr>
              <w:t>92</w:t>
            </w:r>
          </w:hyperlink>
        </w:p>
        <w:p>
          <w:pPr>
            <w:pStyle w:val="Contents3"/>
            <w:tabs>
              <w:tab w:val="clear" w:pos="8459"/>
              <w:tab w:val="right" w:pos="9026" w:leader="dot"/>
            </w:tabs>
            <w:rPr/>
          </w:pPr>
          <w:hyperlink w:anchor="__RefHeading___Toc1365991_388300464">
            <w:r>
              <w:rPr>
                <w:webHidden/>
                <w:rStyle w:val="IndexLink"/>
              </w:rPr>
              <w:t>4</w:t>
            </w:r>
            <w:r>
              <w:rPr>
                <w:rStyle w:val="IndexLink"/>
                <w:rtl w:val="true"/>
              </w:rPr>
              <w:t xml:space="preserve">. </w:t>
            </w:r>
            <w:r>
              <w:rPr>
                <w:rStyle w:val="IndexLink"/>
                <w:rtl w:val="true"/>
              </w:rPr>
              <w:t>حكم المشرك في الذكر الحكيم</w:t>
            </w:r>
            <w:r>
              <w:rPr>
                <w:rStyle w:val="IndexLink"/>
                <w:rtl w:val="true"/>
              </w:rPr>
              <w:tab/>
            </w:r>
            <w:r>
              <w:rPr>
                <w:rStyle w:val="IndexLink"/>
              </w:rPr>
              <w:t>94</w:t>
            </w:r>
          </w:hyperlink>
        </w:p>
        <w:p>
          <w:pPr>
            <w:pStyle w:val="Contents4"/>
            <w:tabs>
              <w:tab w:val="clear" w:pos="8176"/>
              <w:tab w:val="right" w:pos="9026" w:leader="dot"/>
            </w:tabs>
            <w:rPr/>
          </w:pPr>
          <w:hyperlink w:anchor="__RefHeading___Toc1365993_388300464">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365995_388300464">
            <w:r>
              <w:rPr>
                <w:webHidden/>
                <w:rStyle w:val="IndexLink"/>
                <w:rtl w:val="true"/>
              </w:rPr>
              <w:t>المفردات</w:t>
            </w:r>
            <w:r>
              <w:rPr>
                <w:rStyle w:val="IndexLink"/>
                <w:rtl w:val="true"/>
              </w:rPr>
              <w:tab/>
            </w:r>
            <w:r>
              <w:rPr>
                <w:rStyle w:val="IndexLink"/>
              </w:rPr>
              <w:t>94</w:t>
            </w:r>
          </w:hyperlink>
        </w:p>
        <w:p>
          <w:pPr>
            <w:pStyle w:val="Contents4"/>
            <w:tabs>
              <w:tab w:val="clear" w:pos="8176"/>
              <w:tab w:val="right" w:pos="9026" w:leader="dot"/>
            </w:tabs>
            <w:rPr/>
          </w:pPr>
          <w:hyperlink w:anchor="__RefHeading___Toc1365997_388300464">
            <w:r>
              <w:rPr>
                <w:webHidden/>
                <w:rStyle w:val="IndexLink"/>
                <w:rtl w:val="true"/>
              </w:rPr>
              <w:t>التفسير</w:t>
            </w:r>
            <w:r>
              <w:rPr>
                <w:rStyle w:val="IndexLink"/>
                <w:rtl w:val="true"/>
              </w:rPr>
              <w:tab/>
            </w:r>
            <w:r>
              <w:rPr>
                <w:rStyle w:val="IndexLink"/>
              </w:rPr>
              <w:t>95</w:t>
            </w:r>
          </w:hyperlink>
        </w:p>
        <w:p>
          <w:pPr>
            <w:pStyle w:val="Contents5"/>
            <w:tabs>
              <w:tab w:val="clear" w:pos="7892"/>
              <w:tab w:val="right" w:pos="9026" w:leader="dot"/>
            </w:tabs>
            <w:rPr/>
          </w:pPr>
          <w:hyperlink w:anchor="__RefHeading___Toc1365999_388300464">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366001_388300464">
            <w:r>
              <w:rPr>
                <w:webHidden/>
                <w:rStyle w:val="IndexLink"/>
                <w:rtl w:val="true"/>
              </w:rPr>
              <w:t>الأوّل</w:t>
            </w:r>
            <w:r>
              <w:rPr>
                <w:rStyle w:val="IndexLink"/>
                <w:rtl w:val="true"/>
              </w:rPr>
              <w:t xml:space="preserve">: </w:t>
            </w:r>
            <w:r>
              <w:rPr>
                <w:rStyle w:val="IndexLink"/>
                <w:rtl w:val="true"/>
              </w:rPr>
              <w:t>في أصناف الكافرين</w:t>
            </w:r>
            <w:r>
              <w:rPr>
                <w:rStyle w:val="IndexLink"/>
                <w:rtl w:val="true"/>
              </w:rPr>
              <w:tab/>
            </w:r>
            <w:r>
              <w:rPr>
                <w:rStyle w:val="IndexLink"/>
              </w:rPr>
              <w:t>95</w:t>
            </w:r>
          </w:hyperlink>
        </w:p>
        <w:p>
          <w:pPr>
            <w:pStyle w:val="Contents5"/>
            <w:tabs>
              <w:tab w:val="clear" w:pos="7892"/>
              <w:tab w:val="right" w:pos="9026" w:leader="dot"/>
            </w:tabs>
            <w:rPr/>
          </w:pPr>
          <w:hyperlink w:anchor="__RefHeading___Toc1366003_388300464">
            <w:r>
              <w:rPr>
                <w:webHidden/>
                <w:rStyle w:val="IndexLink"/>
                <w:rtl w:val="true"/>
              </w:rPr>
              <w:t>الأمر الثاني</w:t>
            </w:r>
            <w:r>
              <w:rPr>
                <w:rStyle w:val="IndexLink"/>
                <w:rtl w:val="true"/>
              </w:rPr>
              <w:t xml:space="preserve">: </w:t>
            </w:r>
            <w:r>
              <w:rPr>
                <w:rStyle w:val="IndexLink"/>
                <w:rtl w:val="true"/>
              </w:rPr>
              <w:t>في نجاسة المشرك وطهارته</w:t>
            </w:r>
            <w:r>
              <w:rPr>
                <w:rStyle w:val="IndexLink"/>
                <w:rtl w:val="true"/>
              </w:rPr>
              <w:tab/>
            </w:r>
            <w:r>
              <w:rPr>
                <w:rStyle w:val="IndexLink"/>
              </w:rPr>
              <w:t>96</w:t>
            </w:r>
          </w:hyperlink>
        </w:p>
        <w:p>
          <w:pPr>
            <w:pStyle w:val="Contents5"/>
            <w:tabs>
              <w:tab w:val="clear" w:pos="7892"/>
              <w:tab w:val="right" w:pos="9026" w:leader="dot"/>
            </w:tabs>
            <w:rPr/>
          </w:pPr>
          <w:hyperlink w:anchor="__RefHeading___Toc1366005_388300464">
            <w:r>
              <w:rPr>
                <w:webHidden/>
                <w:rStyle w:val="IndexLink"/>
                <w:rtl w:val="true"/>
              </w:rPr>
              <w:t>الثالث</w:t>
            </w:r>
            <w:r>
              <w:rPr>
                <w:rStyle w:val="IndexLink"/>
                <w:rtl w:val="true"/>
              </w:rPr>
              <w:t xml:space="preserve">: </w:t>
            </w:r>
            <w:r>
              <w:rPr>
                <w:rStyle w:val="IndexLink"/>
                <w:rtl w:val="true"/>
              </w:rPr>
              <w:t>القول بالنجاسة الجعلية الاعتبارية</w:t>
            </w:r>
            <w:r>
              <w:rPr>
                <w:rStyle w:val="IndexLink"/>
                <w:rtl w:val="true"/>
              </w:rPr>
              <w:tab/>
            </w:r>
            <w:r>
              <w:rPr>
                <w:rStyle w:val="IndexLink"/>
              </w:rPr>
              <w:t>99</w:t>
            </w:r>
          </w:hyperlink>
        </w:p>
        <w:p>
          <w:pPr>
            <w:pStyle w:val="Contents4"/>
            <w:tabs>
              <w:tab w:val="clear" w:pos="8176"/>
              <w:tab w:val="right" w:pos="9026" w:leader="dot"/>
            </w:tabs>
            <w:rPr/>
          </w:pPr>
          <w:hyperlink w:anchor="__RefHeading___Toc1366007_388300464">
            <w:r>
              <w:rPr>
                <w:webHidden/>
                <w:rStyle w:val="IndexLink"/>
                <w:rtl w:val="true"/>
              </w:rPr>
              <w:t>عرض الآراء على مفاد الآية</w:t>
            </w:r>
            <w:r>
              <w:rPr>
                <w:rStyle w:val="IndexLink"/>
                <w:rtl w:val="true"/>
              </w:rPr>
              <w:tab/>
            </w:r>
            <w:r>
              <w:rPr>
                <w:rStyle w:val="IndexLink"/>
              </w:rPr>
              <w:t>101</w:t>
            </w:r>
          </w:hyperlink>
        </w:p>
        <w:p>
          <w:pPr>
            <w:pStyle w:val="Contents4"/>
            <w:tabs>
              <w:tab w:val="clear" w:pos="8176"/>
              <w:tab w:val="right" w:pos="9026" w:leader="dot"/>
            </w:tabs>
            <w:rPr/>
          </w:pPr>
          <w:hyperlink w:anchor="__RefHeading___Toc1366009_388300464">
            <w:r>
              <w:rPr>
                <w:webHidden/>
                <w:rStyle w:val="IndexLink"/>
                <w:rtl w:val="true"/>
              </w:rPr>
              <w:t>الاحتجاج بالروايات</w:t>
            </w:r>
            <w:r>
              <w:rPr>
                <w:rStyle w:val="IndexLink"/>
                <w:rtl w:val="true"/>
              </w:rPr>
              <w:t>(</w:t>
            </w:r>
            <w:r>
              <w:rPr>
                <w:rStyle w:val="IndexLink"/>
              </w:rPr>
              <w:t>2</w:t>
            </w:r>
            <w:r>
              <w:rPr>
                <w:rStyle w:val="IndexLink"/>
                <w:rtl w:val="true"/>
              </w:rPr>
              <w:t>)</w:t>
              <w:tab/>
            </w:r>
            <w:r>
              <w:rPr>
                <w:rStyle w:val="IndexLink"/>
              </w:rPr>
              <w:t>104</w:t>
            </w:r>
          </w:hyperlink>
        </w:p>
        <w:p>
          <w:pPr>
            <w:pStyle w:val="Contents4"/>
            <w:tabs>
              <w:tab w:val="clear" w:pos="8176"/>
              <w:tab w:val="right" w:pos="9026" w:leader="dot"/>
            </w:tabs>
            <w:rPr/>
          </w:pPr>
          <w:hyperlink w:anchor="__RefHeading___Toc1366011_388300464">
            <w:r>
              <w:rPr>
                <w:webHidden/>
                <w:rStyle w:val="IndexLink"/>
                <w:rtl w:val="true"/>
              </w:rPr>
              <w:t>المنع في الآية مختصّ بالمسجد الحرام</w:t>
            </w:r>
            <w:r>
              <w:rPr>
                <w:rStyle w:val="IndexLink"/>
                <w:rtl w:val="true"/>
              </w:rPr>
              <w:tab/>
            </w:r>
            <w:r>
              <w:rPr>
                <w:rStyle w:val="IndexLink"/>
              </w:rPr>
              <w:t>105</w:t>
            </w:r>
          </w:hyperlink>
        </w:p>
        <w:p>
          <w:pPr>
            <w:pStyle w:val="Contents4"/>
            <w:tabs>
              <w:tab w:val="clear" w:pos="8176"/>
              <w:tab w:val="right" w:pos="9026" w:leader="dot"/>
            </w:tabs>
            <w:rPr/>
          </w:pPr>
          <w:hyperlink w:anchor="__RefHeading___Toc1366013_388300464">
            <w:r>
              <w:rPr>
                <w:webHidden/>
                <w:rStyle w:val="IndexLink"/>
                <w:rtl w:val="true"/>
              </w:rPr>
              <w:t>خوف المسلمين الجُدَد من أمرين</w:t>
            </w:r>
            <w:r>
              <w:rPr>
                <w:rStyle w:val="IndexLink"/>
                <w:rtl w:val="true"/>
              </w:rPr>
              <w:t>:</w:t>
              <w:tab/>
            </w:r>
            <w:r>
              <w:rPr>
                <w:rStyle w:val="IndexLink"/>
              </w:rPr>
              <w:t>106</w:t>
            </w:r>
          </w:hyperlink>
        </w:p>
        <w:p>
          <w:pPr>
            <w:pStyle w:val="Contents3"/>
            <w:tabs>
              <w:tab w:val="clear" w:pos="8459"/>
              <w:tab w:val="right" w:pos="9026" w:leader="dot"/>
            </w:tabs>
            <w:rPr/>
          </w:pPr>
          <w:hyperlink w:anchor="__RefHeading___Toc1366015_388300464">
            <w:r>
              <w:rPr>
                <w:webHidden/>
                <w:rStyle w:val="IndexLink"/>
              </w:rPr>
              <w:t>5</w:t>
            </w:r>
            <w:r>
              <w:rPr>
                <w:rStyle w:val="IndexLink"/>
                <w:rtl w:val="true"/>
              </w:rPr>
              <w:t xml:space="preserve">. </w:t>
            </w:r>
            <w:r>
              <w:rPr>
                <w:rStyle w:val="IndexLink"/>
                <w:rtl w:val="true"/>
              </w:rPr>
              <w:t>حكم الخمر تكليفاً ووضعاً في الذكر الحكيم</w:t>
            </w:r>
            <w:r>
              <w:rPr>
                <w:rStyle w:val="IndexLink"/>
                <w:rtl w:val="true"/>
              </w:rPr>
              <w:tab/>
            </w:r>
            <w:r>
              <w:rPr>
                <w:rStyle w:val="IndexLink"/>
              </w:rPr>
              <w:t>108</w:t>
            </w:r>
          </w:hyperlink>
        </w:p>
        <w:p>
          <w:pPr>
            <w:pStyle w:val="Contents4"/>
            <w:tabs>
              <w:tab w:val="clear" w:pos="8176"/>
              <w:tab w:val="right" w:pos="9026" w:leader="dot"/>
            </w:tabs>
            <w:rPr/>
          </w:pPr>
          <w:hyperlink w:anchor="__RefHeading___Toc1366017_388300464">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366019_388300464">
            <w:r>
              <w:rPr>
                <w:webHidden/>
                <w:rStyle w:val="IndexLink"/>
                <w:rtl w:val="true"/>
              </w:rPr>
              <w:t>المفردات</w:t>
            </w:r>
            <w:r>
              <w:rPr>
                <w:rStyle w:val="IndexLink"/>
                <w:rtl w:val="true"/>
              </w:rPr>
              <w:tab/>
            </w:r>
            <w:r>
              <w:rPr>
                <w:rStyle w:val="IndexLink"/>
              </w:rPr>
              <w:t>108</w:t>
            </w:r>
          </w:hyperlink>
        </w:p>
        <w:p>
          <w:pPr>
            <w:pStyle w:val="Contents4"/>
            <w:tabs>
              <w:tab w:val="clear" w:pos="8176"/>
              <w:tab w:val="right" w:pos="9026" w:leader="dot"/>
            </w:tabs>
            <w:rPr/>
          </w:pPr>
          <w:hyperlink w:anchor="__RefHeading___Toc1366021_388300464">
            <w:r>
              <w:rPr>
                <w:webHidden/>
                <w:rStyle w:val="IndexLink"/>
                <w:rtl w:val="true"/>
              </w:rPr>
              <w:t>التفسير</w:t>
            </w:r>
            <w:r>
              <w:rPr>
                <w:rStyle w:val="IndexLink"/>
                <w:rtl w:val="true"/>
              </w:rPr>
              <w:tab/>
            </w:r>
            <w:r>
              <w:rPr>
                <w:rStyle w:val="IndexLink"/>
              </w:rPr>
              <w:t>111</w:t>
            </w:r>
          </w:hyperlink>
        </w:p>
        <w:p>
          <w:pPr>
            <w:pStyle w:val="Contents4"/>
            <w:tabs>
              <w:tab w:val="clear" w:pos="8176"/>
              <w:tab w:val="right" w:pos="9026" w:leader="dot"/>
            </w:tabs>
            <w:rPr/>
          </w:pPr>
          <w:hyperlink w:anchor="__RefHeading___Toc1366023_388300464">
            <w:r>
              <w:rPr>
                <w:webHidden/>
                <w:rStyle w:val="IndexLink"/>
                <w:rtl w:val="true"/>
              </w:rPr>
              <w:t>نجاسة الخمر</w:t>
            </w:r>
            <w:r>
              <w:rPr>
                <w:rStyle w:val="IndexLink"/>
                <w:rtl w:val="true"/>
              </w:rPr>
              <w:tab/>
            </w:r>
            <w:r>
              <w:rPr>
                <w:rStyle w:val="IndexLink"/>
              </w:rPr>
              <w:t>112</w:t>
            </w:r>
          </w:hyperlink>
        </w:p>
        <w:p>
          <w:pPr>
            <w:pStyle w:val="Contents4"/>
            <w:tabs>
              <w:tab w:val="clear" w:pos="8176"/>
              <w:tab w:val="right" w:pos="9026" w:leader="dot"/>
            </w:tabs>
            <w:rPr/>
          </w:pPr>
          <w:hyperlink w:anchor="__RefHeading___Toc1366025_388300464">
            <w:r>
              <w:rPr>
                <w:webHidden/>
                <w:rStyle w:val="IndexLink"/>
                <w:rtl w:val="true"/>
              </w:rPr>
              <w:t>ما يدلّ على النجاسة</w:t>
            </w:r>
            <w:r>
              <w:rPr>
                <w:rStyle w:val="IndexLink"/>
                <w:rtl w:val="true"/>
              </w:rPr>
              <w:tab/>
            </w:r>
            <w:r>
              <w:rPr>
                <w:rStyle w:val="IndexLink"/>
              </w:rPr>
              <w:t>115</w:t>
            </w:r>
          </w:hyperlink>
        </w:p>
        <w:p>
          <w:pPr>
            <w:pStyle w:val="Contents4"/>
            <w:tabs>
              <w:tab w:val="clear" w:pos="8176"/>
              <w:tab w:val="right" w:pos="9026" w:leader="dot"/>
            </w:tabs>
            <w:rPr/>
          </w:pPr>
          <w:hyperlink w:anchor="__RefHeading___Toc1366027_388300464">
            <w:r>
              <w:rPr>
                <w:webHidden/>
                <w:rStyle w:val="IndexLink"/>
                <w:rtl w:val="true"/>
              </w:rPr>
              <w:t>ما يدلّ على الطهارة</w:t>
            </w:r>
            <w:r>
              <w:rPr>
                <w:rStyle w:val="IndexLink"/>
                <w:rtl w:val="true"/>
              </w:rPr>
              <w:tab/>
            </w:r>
            <w:r>
              <w:rPr>
                <w:rStyle w:val="IndexLink"/>
              </w:rPr>
              <w:t>117</w:t>
            </w:r>
          </w:hyperlink>
        </w:p>
        <w:p>
          <w:pPr>
            <w:pStyle w:val="Contents4"/>
            <w:tabs>
              <w:tab w:val="clear" w:pos="8176"/>
              <w:tab w:val="right" w:pos="9026" w:leader="dot"/>
            </w:tabs>
            <w:rPr/>
          </w:pPr>
          <w:hyperlink w:anchor="__RefHeading___Toc1366029_388300464">
            <w:r>
              <w:rPr>
                <w:webHidden/>
                <w:rStyle w:val="IndexLink"/>
                <w:rtl w:val="true"/>
              </w:rPr>
              <w:t>حكم الكحول الرائجة في الطبابة</w:t>
            </w:r>
            <w:r>
              <w:rPr>
                <w:rStyle w:val="IndexLink"/>
                <w:rtl w:val="true"/>
              </w:rPr>
              <w:tab/>
            </w:r>
            <w:r>
              <w:rPr>
                <w:rStyle w:val="IndexLink"/>
              </w:rPr>
              <w:t>122</w:t>
            </w:r>
          </w:hyperlink>
        </w:p>
        <w:p>
          <w:pPr>
            <w:pStyle w:val="Contents2"/>
            <w:tabs>
              <w:tab w:val="clear" w:pos="8743"/>
              <w:tab w:val="right" w:pos="9026" w:leader="dot"/>
            </w:tabs>
            <w:rPr/>
          </w:pPr>
          <w:hyperlink w:anchor="__RefHeading___Toc1366031_388300464">
            <w:r>
              <w:rPr>
                <w:webHidden/>
                <w:rStyle w:val="IndexLink"/>
                <w:rtl w:val="true"/>
              </w:rPr>
              <w:t>الفصل الثاني</w:t>
            </w:r>
            <w:r>
              <w:rPr>
                <w:rStyle w:val="IndexLink"/>
                <w:rtl w:val="true"/>
              </w:rPr>
              <w:t xml:space="preserve">: </w:t>
            </w:r>
            <w:r>
              <w:rPr>
                <w:rStyle w:val="IndexLink"/>
                <w:rtl w:val="true"/>
              </w:rPr>
              <w:t>أحكام الصلاة في الذكر الحكيم</w:t>
            </w:r>
            <w:r>
              <w:rPr>
                <w:rStyle w:val="IndexLink"/>
                <w:rtl w:val="true"/>
              </w:rPr>
              <w:tab/>
            </w:r>
            <w:r>
              <w:rPr>
                <w:rStyle w:val="IndexLink"/>
              </w:rPr>
              <w:t>124</w:t>
            </w:r>
          </w:hyperlink>
        </w:p>
        <w:p>
          <w:pPr>
            <w:pStyle w:val="Contents3"/>
            <w:tabs>
              <w:tab w:val="clear" w:pos="8459"/>
              <w:tab w:val="right" w:pos="9026" w:leader="dot"/>
            </w:tabs>
            <w:rPr/>
          </w:pPr>
          <w:hyperlink w:anchor="__RefHeading___Toc1366033_388300464">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366035_388300464">
            <w:r>
              <w:rPr>
                <w:webHidden/>
                <w:rStyle w:val="IndexLink"/>
              </w:rPr>
              <w:t>1</w:t>
            </w:r>
            <w:r>
              <w:rPr>
                <w:rStyle w:val="IndexLink"/>
                <w:rtl w:val="true"/>
              </w:rPr>
              <w:t xml:space="preserve">. </w:t>
            </w:r>
            <w:r>
              <w:rPr>
                <w:rStyle w:val="IndexLink"/>
                <w:rtl w:val="true"/>
              </w:rPr>
              <w:t>أوقات الصلاة في الذكر الحكيم</w:t>
            </w:r>
            <w:r>
              <w:rPr>
                <w:rStyle w:val="IndexLink"/>
                <w:rtl w:val="true"/>
              </w:rPr>
              <w:tab/>
            </w:r>
            <w:r>
              <w:rPr>
                <w:rStyle w:val="IndexLink"/>
              </w:rPr>
              <w:t>125</w:t>
            </w:r>
          </w:hyperlink>
        </w:p>
        <w:p>
          <w:pPr>
            <w:pStyle w:val="Contents4"/>
            <w:tabs>
              <w:tab w:val="clear" w:pos="8176"/>
              <w:tab w:val="right" w:pos="9026" w:leader="dot"/>
            </w:tabs>
            <w:rPr/>
          </w:pPr>
          <w:hyperlink w:anchor="__RefHeading___Toc1366037_388300464">
            <w:r>
              <w:rPr>
                <w:webHidden/>
                <w:rStyle w:val="IndexLink"/>
                <w:rtl w:val="true"/>
              </w:rPr>
              <w:t>لزوم الاهتمام بالصلاة في أوقاتها</w:t>
            </w:r>
            <w:r>
              <w:rPr>
                <w:rStyle w:val="IndexLink"/>
                <w:rtl w:val="true"/>
              </w:rPr>
              <w:tab/>
            </w:r>
            <w:r>
              <w:rPr>
                <w:rStyle w:val="IndexLink"/>
              </w:rPr>
              <w:t>125</w:t>
            </w:r>
          </w:hyperlink>
        </w:p>
        <w:p>
          <w:pPr>
            <w:pStyle w:val="Contents4"/>
            <w:tabs>
              <w:tab w:val="clear" w:pos="8176"/>
              <w:tab w:val="right" w:pos="9026" w:leader="dot"/>
            </w:tabs>
            <w:rPr/>
          </w:pPr>
          <w:hyperlink w:anchor="__RefHeading___Toc1366039_388300464">
            <w:r>
              <w:rPr>
                <w:webHidden/>
                <w:rStyle w:val="IndexLink"/>
                <w:rtl w:val="true"/>
              </w:rPr>
              <w:t>مواقيت الصلوات في الذكر الحكيم</w:t>
            </w:r>
            <w:r>
              <w:rPr>
                <w:rStyle w:val="IndexLink"/>
                <w:rtl w:val="true"/>
              </w:rPr>
              <w:tab/>
            </w:r>
            <w:r>
              <w:rPr>
                <w:rStyle w:val="IndexLink"/>
              </w:rPr>
              <w:t>127</w:t>
            </w:r>
          </w:hyperlink>
        </w:p>
        <w:p>
          <w:pPr>
            <w:pStyle w:val="Contents5"/>
            <w:tabs>
              <w:tab w:val="clear" w:pos="7892"/>
              <w:tab w:val="right" w:pos="9026" w:leader="dot"/>
            </w:tabs>
            <w:rPr/>
          </w:pPr>
          <w:hyperlink w:anchor="__RefHeading___Toc1366041_388300464">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366043_388300464">
            <w:r>
              <w:rPr>
                <w:webHidden/>
                <w:rStyle w:val="IndexLink"/>
                <w:rtl w:val="true"/>
              </w:rPr>
              <w:t>الآية الأُولى</w:t>
            </w:r>
            <w:r>
              <w:rPr>
                <w:rStyle w:val="IndexLink"/>
                <w:rtl w:val="true"/>
              </w:rPr>
              <w:t>:</w:t>
              <w:tab/>
            </w:r>
            <w:r>
              <w:rPr>
                <w:rStyle w:val="IndexLink"/>
              </w:rPr>
              <w:t>127</w:t>
            </w:r>
          </w:hyperlink>
        </w:p>
        <w:p>
          <w:pPr>
            <w:pStyle w:val="Contents6"/>
            <w:tabs>
              <w:tab w:val="clear" w:pos="7609"/>
              <w:tab w:val="right" w:pos="9026" w:leader="dot"/>
            </w:tabs>
            <w:rPr/>
          </w:pPr>
          <w:hyperlink w:anchor="__RefHeading___Toc1366045_388300464">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366047_388300464">
            <w:r>
              <w:rPr>
                <w:webHidden/>
                <w:rStyle w:val="IndexLink"/>
                <w:rtl w:val="true"/>
              </w:rPr>
              <w:t>المفردات</w:t>
            </w:r>
            <w:r>
              <w:rPr>
                <w:rStyle w:val="IndexLink"/>
                <w:rtl w:val="true"/>
              </w:rPr>
              <w:tab/>
            </w:r>
            <w:r>
              <w:rPr>
                <w:rStyle w:val="IndexLink"/>
              </w:rPr>
              <w:t>127</w:t>
            </w:r>
          </w:hyperlink>
        </w:p>
        <w:p>
          <w:pPr>
            <w:pStyle w:val="Contents6"/>
            <w:tabs>
              <w:tab w:val="clear" w:pos="7609"/>
              <w:tab w:val="right" w:pos="9026" w:leader="dot"/>
            </w:tabs>
            <w:rPr/>
          </w:pPr>
          <w:hyperlink w:anchor="__RefHeading___Toc1366049_388300464">
            <w:r>
              <w:rPr>
                <w:webHidden/>
                <w:rStyle w:val="IndexLink"/>
                <w:rtl w:val="true"/>
              </w:rPr>
              <w:t>التفسير</w:t>
            </w:r>
            <w:r>
              <w:rPr>
                <w:rStyle w:val="IndexLink"/>
                <w:rtl w:val="true"/>
              </w:rPr>
              <w:tab/>
            </w:r>
            <w:r>
              <w:rPr>
                <w:rStyle w:val="IndexLink"/>
              </w:rPr>
              <w:t>129</w:t>
            </w:r>
          </w:hyperlink>
        </w:p>
        <w:p>
          <w:pPr>
            <w:pStyle w:val="Contents5"/>
            <w:tabs>
              <w:tab w:val="clear" w:pos="7892"/>
              <w:tab w:val="right" w:pos="9026" w:leader="dot"/>
            </w:tabs>
            <w:rPr/>
          </w:pPr>
          <w:hyperlink w:anchor="__RefHeading___Toc1366051_388300464">
            <w:r>
              <w:rPr>
                <w:webHidden/>
                <w:rStyle w:val="IndexLink"/>
                <w:rtl w:val="true"/>
              </w:rPr>
              <w:t>الآية الثانية</w:t>
            </w:r>
            <w:r>
              <w:rPr>
                <w:rStyle w:val="IndexLink"/>
                <w:rtl w:val="true"/>
              </w:rPr>
              <w:t>:</w:t>
              <w:tab/>
            </w:r>
            <w:r>
              <w:rPr>
                <w:rStyle w:val="IndexLink"/>
              </w:rPr>
              <w:t>130</w:t>
            </w:r>
          </w:hyperlink>
        </w:p>
        <w:p>
          <w:pPr>
            <w:pStyle w:val="Contents6"/>
            <w:tabs>
              <w:tab w:val="clear" w:pos="7609"/>
              <w:tab w:val="right" w:pos="9026" w:leader="dot"/>
            </w:tabs>
            <w:rPr/>
          </w:pPr>
          <w:hyperlink w:anchor="__RefHeading___Toc1366053_388300464">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366055_388300464">
            <w:r>
              <w:rPr>
                <w:webHidden/>
                <w:rStyle w:val="IndexLink"/>
                <w:rtl w:val="true"/>
              </w:rPr>
              <w:t>المفردات</w:t>
            </w:r>
            <w:r>
              <w:rPr>
                <w:rStyle w:val="IndexLink"/>
                <w:rtl w:val="true"/>
              </w:rPr>
              <w:tab/>
            </w:r>
            <w:r>
              <w:rPr>
                <w:rStyle w:val="IndexLink"/>
              </w:rPr>
              <w:t>131</w:t>
            </w:r>
          </w:hyperlink>
        </w:p>
        <w:p>
          <w:pPr>
            <w:pStyle w:val="Contents6"/>
            <w:tabs>
              <w:tab w:val="clear" w:pos="7609"/>
              <w:tab w:val="right" w:pos="9026" w:leader="dot"/>
            </w:tabs>
            <w:rPr/>
          </w:pPr>
          <w:hyperlink w:anchor="__RefHeading___Toc1366057_388300464">
            <w:r>
              <w:rPr>
                <w:webHidden/>
                <w:rStyle w:val="IndexLink"/>
                <w:rtl w:val="true"/>
              </w:rPr>
              <w:t>التفسير</w:t>
            </w:r>
            <w:r>
              <w:rPr>
                <w:rStyle w:val="IndexLink"/>
                <w:rtl w:val="true"/>
              </w:rPr>
              <w:tab/>
            </w:r>
            <w:r>
              <w:rPr>
                <w:rStyle w:val="IndexLink"/>
              </w:rPr>
              <w:t>131</w:t>
            </w:r>
          </w:hyperlink>
        </w:p>
        <w:p>
          <w:pPr>
            <w:pStyle w:val="Contents5"/>
            <w:tabs>
              <w:tab w:val="clear" w:pos="7892"/>
              <w:tab w:val="right" w:pos="9026" w:leader="dot"/>
            </w:tabs>
            <w:rPr/>
          </w:pPr>
          <w:hyperlink w:anchor="__RefHeading___Toc1366059_388300464">
            <w:r>
              <w:rPr>
                <w:webHidden/>
                <w:rStyle w:val="IndexLink"/>
                <w:rtl w:val="true"/>
              </w:rPr>
              <w:t>الآية الثالثة</w:t>
            </w:r>
            <w:r>
              <w:rPr>
                <w:rStyle w:val="IndexLink"/>
                <w:rtl w:val="true"/>
              </w:rPr>
              <w:t>:</w:t>
              <w:tab/>
            </w:r>
            <w:r>
              <w:rPr>
                <w:rStyle w:val="IndexLink"/>
              </w:rPr>
              <w:t>132</w:t>
            </w:r>
          </w:hyperlink>
        </w:p>
        <w:p>
          <w:pPr>
            <w:pStyle w:val="Contents5"/>
            <w:tabs>
              <w:tab w:val="clear" w:pos="7892"/>
              <w:tab w:val="right" w:pos="9026" w:leader="dot"/>
            </w:tabs>
            <w:rPr/>
          </w:pPr>
          <w:hyperlink w:anchor="__RefHeading___Toc1366061_388300464">
            <w:r>
              <w:rPr>
                <w:webHidden/>
                <w:rStyle w:val="IndexLink"/>
                <w:rtl w:val="true"/>
              </w:rPr>
              <w:t>الآية الرابعة</w:t>
            </w:r>
            <w:r>
              <w:rPr>
                <w:rStyle w:val="IndexLink"/>
                <w:rtl w:val="true"/>
              </w:rPr>
              <w:t>:</w:t>
              <w:tab/>
            </w:r>
            <w:r>
              <w:rPr>
                <w:rStyle w:val="IndexLink"/>
              </w:rPr>
              <w:t>134</w:t>
            </w:r>
          </w:hyperlink>
        </w:p>
        <w:p>
          <w:pPr>
            <w:pStyle w:val="Contents5"/>
            <w:tabs>
              <w:tab w:val="clear" w:pos="7892"/>
              <w:tab w:val="right" w:pos="9026" w:leader="dot"/>
            </w:tabs>
            <w:rPr/>
          </w:pPr>
          <w:hyperlink w:anchor="__RefHeading___Toc1366063_388300464">
            <w:r>
              <w:rPr>
                <w:webHidden/>
                <w:rStyle w:val="IndexLink"/>
                <w:rtl w:val="true"/>
              </w:rPr>
              <w:t>الآية الخامسة</w:t>
            </w:r>
            <w:r>
              <w:rPr>
                <w:rStyle w:val="IndexLink"/>
                <w:rtl w:val="true"/>
              </w:rPr>
              <w:t>:</w:t>
              <w:tab/>
            </w:r>
            <w:r>
              <w:rPr>
                <w:rStyle w:val="IndexLink"/>
              </w:rPr>
              <w:t>136</w:t>
            </w:r>
          </w:hyperlink>
        </w:p>
        <w:p>
          <w:pPr>
            <w:pStyle w:val="Contents6"/>
            <w:tabs>
              <w:tab w:val="clear" w:pos="7609"/>
              <w:tab w:val="right" w:pos="9026" w:leader="dot"/>
            </w:tabs>
            <w:rPr/>
          </w:pPr>
          <w:hyperlink w:anchor="__RefHeading___Toc1366065_388300464">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366067_388300464">
            <w:r>
              <w:rPr>
                <w:webHidden/>
                <w:rStyle w:val="IndexLink"/>
                <w:rtl w:val="true"/>
              </w:rPr>
              <w:t>مواقيت الصلوات في الروايات</w:t>
            </w:r>
            <w:r>
              <w:rPr>
                <w:rStyle w:val="IndexLink"/>
                <w:rtl w:val="true"/>
              </w:rPr>
              <w:tab/>
            </w:r>
            <w:r>
              <w:rPr>
                <w:rStyle w:val="IndexLink"/>
              </w:rPr>
              <w:t>137</w:t>
            </w:r>
          </w:hyperlink>
        </w:p>
        <w:p>
          <w:pPr>
            <w:pStyle w:val="Contents6"/>
            <w:tabs>
              <w:tab w:val="clear" w:pos="7609"/>
              <w:tab w:val="right" w:pos="9026" w:leader="dot"/>
            </w:tabs>
            <w:rPr/>
          </w:pPr>
          <w:hyperlink w:anchor="__RefHeading___Toc1366069_388300464">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366071_388300464">
            <w:r>
              <w:rPr>
                <w:webHidden/>
                <w:rStyle w:val="IndexLink"/>
                <w:rtl w:val="true"/>
              </w:rPr>
              <w:t>الأوّل</w:t>
            </w:r>
            <w:r>
              <w:rPr>
                <w:rStyle w:val="IndexLink"/>
                <w:rtl w:val="true"/>
              </w:rPr>
              <w:t xml:space="preserve">: </w:t>
            </w:r>
            <w:r>
              <w:rPr>
                <w:rStyle w:val="IndexLink"/>
                <w:rtl w:val="true"/>
              </w:rPr>
              <w:t>زوال الشمس وقت الظهرين وغيبوبتها وقت العشائين</w:t>
            </w:r>
            <w:r>
              <w:rPr>
                <w:rStyle w:val="IndexLink"/>
                <w:rtl w:val="true"/>
              </w:rPr>
              <w:tab/>
            </w:r>
            <w:r>
              <w:rPr>
                <w:rStyle w:val="IndexLink"/>
              </w:rPr>
              <w:t>137</w:t>
            </w:r>
          </w:hyperlink>
        </w:p>
        <w:p>
          <w:pPr>
            <w:pStyle w:val="Contents6"/>
            <w:tabs>
              <w:tab w:val="clear" w:pos="7609"/>
              <w:tab w:val="right" w:pos="9026" w:leader="dot"/>
            </w:tabs>
            <w:rPr/>
          </w:pPr>
          <w:hyperlink w:anchor="__RefHeading___Toc1366073_388300464">
            <w:r>
              <w:rPr>
                <w:webHidden/>
                <w:rStyle w:val="IndexLink"/>
                <w:rtl w:val="true"/>
              </w:rPr>
              <w:t>الصنف الثاني</w:t>
            </w:r>
            <w:r>
              <w:rPr>
                <w:rStyle w:val="IndexLink"/>
                <w:rtl w:val="true"/>
              </w:rPr>
              <w:t xml:space="preserve">: </w:t>
            </w:r>
            <w:r>
              <w:rPr>
                <w:rStyle w:val="IndexLink"/>
                <w:rtl w:val="true"/>
              </w:rPr>
              <w:t>القامة والقامتان آخر وقتي الظهر والعصر</w:t>
            </w:r>
            <w:r>
              <w:rPr>
                <w:rStyle w:val="IndexLink"/>
                <w:rtl w:val="true"/>
              </w:rPr>
              <w:tab/>
            </w:r>
            <w:r>
              <w:rPr>
                <w:rStyle w:val="IndexLink"/>
              </w:rPr>
              <w:t>138</w:t>
            </w:r>
          </w:hyperlink>
        </w:p>
        <w:p>
          <w:pPr>
            <w:pStyle w:val="Contents6"/>
            <w:tabs>
              <w:tab w:val="clear" w:pos="7609"/>
              <w:tab w:val="right" w:pos="9026" w:leader="dot"/>
            </w:tabs>
            <w:rPr/>
          </w:pPr>
          <w:hyperlink w:anchor="__RefHeading___Toc1366075_388300464">
            <w:r>
              <w:rPr>
                <w:webHidden/>
                <w:rStyle w:val="IndexLink"/>
                <w:rtl w:val="true"/>
              </w:rPr>
              <w:t>الصنف الثالث</w:t>
            </w:r>
            <w:r>
              <w:rPr>
                <w:rStyle w:val="IndexLink"/>
                <w:rtl w:val="true"/>
              </w:rPr>
              <w:t xml:space="preserve">: </w:t>
            </w:r>
            <w:r>
              <w:rPr>
                <w:rStyle w:val="IndexLink"/>
                <w:rtl w:val="true"/>
              </w:rPr>
              <w:t>الذراع والذراعان أوّل وقتي الظهر والعصر</w:t>
            </w:r>
            <w:r>
              <w:rPr>
                <w:rStyle w:val="IndexLink"/>
                <w:rtl w:val="true"/>
              </w:rPr>
              <w:tab/>
            </w:r>
            <w:r>
              <w:rPr>
                <w:rStyle w:val="IndexLink"/>
              </w:rPr>
              <w:t>138</w:t>
            </w:r>
          </w:hyperlink>
        </w:p>
        <w:p>
          <w:pPr>
            <w:pStyle w:val="Contents6"/>
            <w:tabs>
              <w:tab w:val="clear" w:pos="7609"/>
              <w:tab w:val="right" w:pos="9026" w:leader="dot"/>
            </w:tabs>
            <w:rPr/>
          </w:pPr>
          <w:hyperlink w:anchor="__RefHeading___Toc1366077_388300464">
            <w:r>
              <w:rPr>
                <w:webHidden/>
                <w:rStyle w:val="IndexLink"/>
                <w:rtl w:val="true"/>
              </w:rPr>
              <w:t>الصنف الرابع</w:t>
            </w:r>
            <w:r>
              <w:rPr>
                <w:rStyle w:val="IndexLink"/>
                <w:rtl w:val="true"/>
              </w:rPr>
              <w:t xml:space="preserve">: </w:t>
            </w:r>
            <w:r>
              <w:rPr>
                <w:rStyle w:val="IndexLink"/>
                <w:rtl w:val="true"/>
              </w:rPr>
              <w:t>القدمان وأربع أقدام أوّل وقتي الظهر والعصر</w:t>
            </w:r>
            <w:r>
              <w:rPr>
                <w:rStyle w:val="IndexLink"/>
                <w:rtl w:val="true"/>
              </w:rPr>
              <w:tab/>
            </w:r>
            <w:r>
              <w:rPr>
                <w:rStyle w:val="IndexLink"/>
              </w:rPr>
              <w:t>139</w:t>
            </w:r>
          </w:hyperlink>
        </w:p>
        <w:p>
          <w:pPr>
            <w:pStyle w:val="Contents6"/>
            <w:tabs>
              <w:tab w:val="clear" w:pos="7609"/>
              <w:tab w:val="right" w:pos="9026" w:leader="dot"/>
            </w:tabs>
            <w:rPr/>
          </w:pPr>
          <w:hyperlink w:anchor="__RefHeading___Toc1366079_388300464">
            <w:r>
              <w:rPr>
                <w:webHidden/>
                <w:rStyle w:val="IndexLink"/>
                <w:rtl w:val="true"/>
              </w:rPr>
              <w:t>الصنف الخامس</w:t>
            </w:r>
            <w:r>
              <w:rPr>
                <w:rStyle w:val="IndexLink"/>
                <w:rtl w:val="true"/>
              </w:rPr>
              <w:t xml:space="preserve">: </w:t>
            </w:r>
            <w:r>
              <w:rPr>
                <w:rStyle w:val="IndexLink"/>
                <w:rtl w:val="true"/>
              </w:rPr>
              <w:t>القدمان وأربع أقدام آخر وقتي الظهر والعصر</w:t>
            </w:r>
            <w:r>
              <w:rPr>
                <w:rStyle w:val="IndexLink"/>
                <w:rtl w:val="true"/>
              </w:rPr>
              <w:tab/>
            </w:r>
            <w:r>
              <w:rPr>
                <w:rStyle w:val="IndexLink"/>
              </w:rPr>
              <w:t>139</w:t>
            </w:r>
          </w:hyperlink>
        </w:p>
        <w:p>
          <w:pPr>
            <w:pStyle w:val="Contents6"/>
            <w:tabs>
              <w:tab w:val="clear" w:pos="7609"/>
              <w:tab w:val="right" w:pos="9026" w:leader="dot"/>
            </w:tabs>
            <w:rPr/>
          </w:pPr>
          <w:hyperlink w:anchor="__RefHeading___Toc1366081_388300464">
            <w:r>
              <w:rPr>
                <w:webHidden/>
                <w:rStyle w:val="IndexLink"/>
                <w:rtl w:val="true"/>
              </w:rPr>
              <w:t>رفع التعارض بين الأصناف الخمسة</w:t>
            </w:r>
            <w:r>
              <w:rPr>
                <w:rStyle w:val="IndexLink"/>
                <w:rtl w:val="true"/>
              </w:rPr>
              <w:tab/>
            </w:r>
            <w:r>
              <w:rPr>
                <w:rStyle w:val="IndexLink"/>
              </w:rPr>
              <w:t>141</w:t>
            </w:r>
          </w:hyperlink>
        </w:p>
        <w:p>
          <w:pPr>
            <w:pStyle w:val="Contents6"/>
            <w:tabs>
              <w:tab w:val="clear" w:pos="7609"/>
              <w:tab w:val="right" w:pos="9026" w:leader="dot"/>
            </w:tabs>
            <w:rPr/>
          </w:pPr>
          <w:hyperlink w:anchor="__RefHeading___Toc1366083_388300464">
            <w:r>
              <w:rPr>
                <w:webHidden/>
                <w:rStyle w:val="IndexLink"/>
                <w:rtl w:val="true"/>
              </w:rPr>
              <w:t>الجمع بين الصلاتين</w:t>
            </w:r>
            <w:r>
              <w:rPr>
                <w:rStyle w:val="IndexLink"/>
                <w:rtl w:val="true"/>
              </w:rPr>
              <w:tab/>
            </w:r>
            <w:r>
              <w:rPr>
                <w:rStyle w:val="IndexLink"/>
              </w:rPr>
              <w:t>144</w:t>
            </w:r>
          </w:hyperlink>
        </w:p>
        <w:p>
          <w:pPr>
            <w:pStyle w:val="Contents6"/>
            <w:tabs>
              <w:tab w:val="clear" w:pos="7609"/>
              <w:tab w:val="right" w:pos="9026" w:leader="dot"/>
            </w:tabs>
            <w:rPr/>
          </w:pPr>
          <w:hyperlink w:anchor="__RefHeading___Toc1366085_388300464">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366087_388300464">
            <w:r>
              <w:rPr>
                <w:webHidden/>
                <w:rStyle w:val="IndexLink"/>
              </w:rPr>
              <w:t>1</w:t>
            </w:r>
            <w:r>
              <w:rPr>
                <w:rStyle w:val="IndexLink"/>
                <w:rtl w:val="true"/>
              </w:rPr>
              <w:t xml:space="preserve">. </w:t>
            </w:r>
            <w:r>
              <w:rPr>
                <w:rStyle w:val="IndexLink"/>
                <w:rtl w:val="true"/>
              </w:rPr>
              <w:t>الجمع بين الصلاتين في عرفة ومزدلفة</w:t>
            </w:r>
            <w:r>
              <w:rPr>
                <w:rStyle w:val="IndexLink"/>
                <w:rtl w:val="true"/>
              </w:rPr>
              <w:tab/>
            </w:r>
            <w:r>
              <w:rPr>
                <w:rStyle w:val="IndexLink"/>
              </w:rPr>
              <w:t>144</w:t>
            </w:r>
          </w:hyperlink>
        </w:p>
        <w:p>
          <w:pPr>
            <w:pStyle w:val="Contents6"/>
            <w:tabs>
              <w:tab w:val="clear" w:pos="7609"/>
              <w:tab w:val="right" w:pos="9026" w:leader="dot"/>
            </w:tabs>
            <w:rPr/>
          </w:pPr>
          <w:hyperlink w:anchor="__RefHeading___Toc1366089_388300464">
            <w:r>
              <w:rPr>
                <w:webHidden/>
                <w:rStyle w:val="IndexLink"/>
              </w:rPr>
              <w:t>2</w:t>
            </w:r>
            <w:r>
              <w:rPr>
                <w:rStyle w:val="IndexLink"/>
                <w:rtl w:val="true"/>
              </w:rPr>
              <w:t xml:space="preserve">. </w:t>
            </w:r>
            <w:r>
              <w:rPr>
                <w:rStyle w:val="IndexLink"/>
                <w:rtl w:val="true"/>
              </w:rPr>
              <w:t>الجمع بين الصلاتين في السفر</w:t>
            </w:r>
            <w:r>
              <w:rPr>
                <w:rStyle w:val="IndexLink"/>
                <w:rtl w:val="true"/>
              </w:rPr>
              <w:tab/>
            </w:r>
            <w:r>
              <w:rPr>
                <w:rStyle w:val="IndexLink"/>
              </w:rPr>
              <w:t>144</w:t>
            </w:r>
          </w:hyperlink>
        </w:p>
        <w:p>
          <w:pPr>
            <w:pStyle w:val="Contents6"/>
            <w:tabs>
              <w:tab w:val="clear" w:pos="7609"/>
              <w:tab w:val="right" w:pos="9026" w:leader="dot"/>
            </w:tabs>
            <w:rPr/>
          </w:pPr>
          <w:hyperlink w:anchor="__RefHeading___Toc1366091_388300464">
            <w:r>
              <w:rPr>
                <w:webHidden/>
                <w:rStyle w:val="IndexLink"/>
              </w:rPr>
              <w:t>3</w:t>
            </w:r>
            <w:r>
              <w:rPr>
                <w:rStyle w:val="IndexLink"/>
                <w:rtl w:val="true"/>
              </w:rPr>
              <w:t xml:space="preserve">. </w:t>
            </w:r>
            <w:r>
              <w:rPr>
                <w:rStyle w:val="IndexLink"/>
                <w:rtl w:val="true"/>
              </w:rPr>
              <w:t>الجمع بين الصلاتين في الحضر لأجل العذر</w:t>
            </w:r>
            <w:r>
              <w:rPr>
                <w:rStyle w:val="IndexLink"/>
                <w:rtl w:val="true"/>
              </w:rPr>
              <w:tab/>
            </w:r>
            <w:r>
              <w:rPr>
                <w:rStyle w:val="IndexLink"/>
              </w:rPr>
              <w:t>145</w:t>
            </w:r>
          </w:hyperlink>
        </w:p>
        <w:p>
          <w:pPr>
            <w:pStyle w:val="Contents6"/>
            <w:tabs>
              <w:tab w:val="clear" w:pos="7609"/>
              <w:tab w:val="right" w:pos="9026" w:leader="dot"/>
            </w:tabs>
            <w:rPr/>
          </w:pPr>
          <w:hyperlink w:anchor="__RefHeading___Toc1366093_388300464">
            <w:r>
              <w:rPr>
                <w:webHidden/>
                <w:rStyle w:val="IndexLink"/>
              </w:rPr>
              <w:t>4</w:t>
            </w:r>
            <w:r>
              <w:rPr>
                <w:rStyle w:val="IndexLink"/>
                <w:rtl w:val="true"/>
              </w:rPr>
              <w:t xml:space="preserve">. </w:t>
            </w:r>
            <w:r>
              <w:rPr>
                <w:rStyle w:val="IndexLink"/>
                <w:rtl w:val="true"/>
              </w:rPr>
              <w:t>الجمع بين الصلاتين في الحضر اختياراً</w:t>
            </w:r>
            <w:r>
              <w:rPr>
                <w:rStyle w:val="IndexLink"/>
                <w:rtl w:val="true"/>
              </w:rPr>
              <w:tab/>
            </w:r>
            <w:r>
              <w:rPr>
                <w:rStyle w:val="IndexLink"/>
              </w:rPr>
              <w:t>145</w:t>
            </w:r>
          </w:hyperlink>
        </w:p>
        <w:p>
          <w:pPr>
            <w:pStyle w:val="Contents3"/>
            <w:tabs>
              <w:tab w:val="clear" w:pos="8459"/>
              <w:tab w:val="right" w:pos="9026" w:leader="dot"/>
            </w:tabs>
            <w:rPr/>
          </w:pPr>
          <w:hyperlink w:anchor="__RefHeading___Toc1366095_388300464">
            <w:r>
              <w:rPr>
                <w:webHidden/>
                <w:rStyle w:val="IndexLink"/>
              </w:rPr>
              <w:t>2</w:t>
            </w:r>
            <w:r>
              <w:rPr>
                <w:rStyle w:val="IndexLink"/>
                <w:rtl w:val="true"/>
              </w:rPr>
              <w:t xml:space="preserve">. </w:t>
            </w:r>
            <w:r>
              <w:rPr>
                <w:rStyle w:val="IndexLink"/>
                <w:rtl w:val="true"/>
              </w:rPr>
              <w:t>استقبال الكعبة في الذكر الحكيم</w:t>
            </w:r>
            <w:r>
              <w:rPr>
                <w:rStyle w:val="IndexLink"/>
                <w:rtl w:val="true"/>
              </w:rPr>
              <w:tab/>
            </w:r>
            <w:r>
              <w:rPr>
                <w:rStyle w:val="IndexLink"/>
              </w:rPr>
              <w:t>147</w:t>
            </w:r>
          </w:hyperlink>
        </w:p>
        <w:p>
          <w:pPr>
            <w:pStyle w:val="Contents4"/>
            <w:tabs>
              <w:tab w:val="clear" w:pos="8176"/>
              <w:tab w:val="right" w:pos="9026" w:leader="dot"/>
            </w:tabs>
            <w:rPr/>
          </w:pPr>
          <w:hyperlink w:anchor="__RefHeading___Toc1366097_388300464">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366099_388300464">
            <w:r>
              <w:rPr>
                <w:webHidden/>
                <w:rStyle w:val="IndexLink"/>
                <w:rtl w:val="true"/>
              </w:rPr>
              <w:t>الآية الأُولى</w:t>
            </w:r>
            <w:r>
              <w:rPr>
                <w:rStyle w:val="IndexLink"/>
                <w:rtl w:val="true"/>
              </w:rPr>
              <w:t>:</w:t>
              <w:tab/>
            </w:r>
            <w:r>
              <w:rPr>
                <w:rStyle w:val="IndexLink"/>
              </w:rPr>
              <w:t>147</w:t>
            </w:r>
          </w:hyperlink>
        </w:p>
        <w:p>
          <w:pPr>
            <w:pStyle w:val="Contents5"/>
            <w:tabs>
              <w:tab w:val="clear" w:pos="7892"/>
              <w:tab w:val="right" w:pos="9026" w:leader="dot"/>
            </w:tabs>
            <w:rPr/>
          </w:pPr>
          <w:hyperlink w:anchor="__RefHeading___Toc1366101_388300464">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366103_388300464">
            <w:r>
              <w:rPr>
                <w:webHidden/>
                <w:rStyle w:val="IndexLink"/>
                <w:rtl w:val="true"/>
              </w:rPr>
              <w:t>المفردات</w:t>
            </w:r>
            <w:r>
              <w:rPr>
                <w:rStyle w:val="IndexLink"/>
                <w:rtl w:val="true"/>
              </w:rPr>
              <w:tab/>
            </w:r>
            <w:r>
              <w:rPr>
                <w:rStyle w:val="IndexLink"/>
              </w:rPr>
              <w:t>148</w:t>
            </w:r>
          </w:hyperlink>
        </w:p>
        <w:p>
          <w:pPr>
            <w:pStyle w:val="Contents5"/>
            <w:tabs>
              <w:tab w:val="clear" w:pos="7892"/>
              <w:tab w:val="right" w:pos="9026" w:leader="dot"/>
            </w:tabs>
            <w:rPr/>
          </w:pPr>
          <w:hyperlink w:anchor="__RefHeading___Toc1366105_388300464">
            <w:r>
              <w:rPr>
                <w:webHidden/>
                <w:rStyle w:val="IndexLink"/>
                <w:rtl w:val="true"/>
              </w:rPr>
              <w:t>التفسير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1366107_388300464">
            <w:r>
              <w:rPr>
                <w:webHidden/>
                <w:rStyle w:val="IndexLink"/>
                <w:rtl w:val="true"/>
              </w:rPr>
              <w:t>الآية الثانية</w:t>
            </w:r>
            <w:r>
              <w:rPr>
                <w:rStyle w:val="IndexLink"/>
                <w:rtl w:val="true"/>
              </w:rPr>
              <w:t>:</w:t>
              <w:tab/>
            </w:r>
            <w:r>
              <w:rPr>
                <w:rStyle w:val="IndexLink"/>
              </w:rPr>
              <w:t>150</w:t>
            </w:r>
          </w:hyperlink>
        </w:p>
        <w:p>
          <w:pPr>
            <w:pStyle w:val="Contents5"/>
            <w:tabs>
              <w:tab w:val="clear" w:pos="7892"/>
              <w:tab w:val="right" w:pos="9026" w:leader="dot"/>
            </w:tabs>
            <w:rPr/>
          </w:pPr>
          <w:hyperlink w:anchor="__RefHeading___Toc1366109_388300464">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366111_388300464">
            <w:r>
              <w:rPr>
                <w:webHidden/>
                <w:rStyle w:val="IndexLink"/>
                <w:rtl w:val="true"/>
              </w:rPr>
              <w:t>المفردات</w:t>
            </w:r>
            <w:r>
              <w:rPr>
                <w:rStyle w:val="IndexLink"/>
                <w:rtl w:val="true"/>
              </w:rPr>
              <w:tab/>
            </w:r>
            <w:r>
              <w:rPr>
                <w:rStyle w:val="IndexLink"/>
              </w:rPr>
              <w:t>151</w:t>
            </w:r>
          </w:hyperlink>
        </w:p>
        <w:p>
          <w:pPr>
            <w:pStyle w:val="Contents5"/>
            <w:tabs>
              <w:tab w:val="clear" w:pos="7892"/>
              <w:tab w:val="right" w:pos="9026" w:leader="dot"/>
            </w:tabs>
            <w:rPr/>
          </w:pPr>
          <w:hyperlink w:anchor="__RefHeading___Toc1366113_388300464">
            <w:r>
              <w:rPr>
                <w:webHidden/>
                <w:rStyle w:val="IndexLink"/>
                <w:rtl w:val="true"/>
              </w:rPr>
              <w:t>التفسير</w:t>
            </w:r>
            <w:r>
              <w:rPr>
                <w:rStyle w:val="IndexLink"/>
                <w:rtl w:val="true"/>
              </w:rPr>
              <w:tab/>
            </w:r>
            <w:r>
              <w:rPr>
                <w:rStyle w:val="IndexLink"/>
              </w:rPr>
              <w:t>151</w:t>
            </w:r>
          </w:hyperlink>
        </w:p>
        <w:p>
          <w:pPr>
            <w:pStyle w:val="Contents5"/>
            <w:tabs>
              <w:tab w:val="clear" w:pos="7892"/>
              <w:tab w:val="right" w:pos="9026" w:leader="dot"/>
            </w:tabs>
            <w:rPr/>
          </w:pPr>
          <w:hyperlink w:anchor="__RefHeading___Toc1366115_388300464">
            <w:r>
              <w:rPr>
                <w:webHidden/>
                <w:rStyle w:val="IndexLink"/>
                <w:rtl w:val="true"/>
              </w:rPr>
              <w:t>ما هو السرّ لجعل بيت المقدس قبلة‌؟</w:t>
            </w:r>
            <w:r>
              <w:rPr>
                <w:rStyle w:val="IndexLink"/>
                <w:rtl w:val="true"/>
              </w:rPr>
              <w:tab/>
            </w:r>
            <w:r>
              <w:rPr>
                <w:rStyle w:val="IndexLink"/>
              </w:rPr>
              <w:t>151</w:t>
            </w:r>
          </w:hyperlink>
        </w:p>
        <w:p>
          <w:pPr>
            <w:pStyle w:val="Contents4"/>
            <w:tabs>
              <w:tab w:val="clear" w:pos="8176"/>
              <w:tab w:val="right" w:pos="9026" w:leader="dot"/>
            </w:tabs>
            <w:rPr/>
          </w:pPr>
          <w:hyperlink w:anchor="__RefHeading___Toc1366117_388300464">
            <w:r>
              <w:rPr>
                <w:webHidden/>
                <w:rStyle w:val="IndexLink"/>
                <w:rtl w:val="true"/>
              </w:rPr>
              <w:t>الآية الثالثة</w:t>
            </w:r>
            <w:r>
              <w:rPr>
                <w:rStyle w:val="IndexLink"/>
                <w:rtl w:val="true"/>
              </w:rPr>
              <w:tab/>
            </w:r>
            <w:r>
              <w:rPr>
                <w:rStyle w:val="IndexLink"/>
              </w:rPr>
              <w:t>154</w:t>
            </w:r>
          </w:hyperlink>
        </w:p>
        <w:p>
          <w:pPr>
            <w:pStyle w:val="Contents5"/>
            <w:tabs>
              <w:tab w:val="clear" w:pos="7892"/>
              <w:tab w:val="right" w:pos="9026" w:leader="dot"/>
            </w:tabs>
            <w:rPr/>
          </w:pPr>
          <w:hyperlink w:anchor="__RefHeading___Toc1366119_388300464">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366121_388300464">
            <w:r>
              <w:rPr>
                <w:webHidden/>
                <w:rStyle w:val="IndexLink"/>
                <w:rtl w:val="true"/>
              </w:rPr>
              <w:t>المفردات</w:t>
            </w:r>
            <w:r>
              <w:rPr>
                <w:rStyle w:val="IndexLink"/>
                <w:rtl w:val="true"/>
              </w:rPr>
              <w:tab/>
            </w:r>
            <w:r>
              <w:rPr>
                <w:rStyle w:val="IndexLink"/>
              </w:rPr>
              <w:t>154</w:t>
            </w:r>
          </w:hyperlink>
        </w:p>
        <w:p>
          <w:pPr>
            <w:pStyle w:val="Contents5"/>
            <w:tabs>
              <w:tab w:val="clear" w:pos="7892"/>
              <w:tab w:val="right" w:pos="9026" w:leader="dot"/>
            </w:tabs>
            <w:rPr/>
          </w:pPr>
          <w:hyperlink w:anchor="__RefHeading___Toc1366123_388300464">
            <w:r>
              <w:rPr>
                <w:webHidden/>
                <w:rStyle w:val="IndexLink"/>
                <w:rtl w:val="true"/>
              </w:rPr>
              <w:t>التفسير</w:t>
            </w:r>
            <w:r>
              <w:rPr>
                <w:rStyle w:val="IndexLink"/>
                <w:rtl w:val="true"/>
              </w:rPr>
              <w:tab/>
            </w:r>
            <w:r>
              <w:rPr>
                <w:rStyle w:val="IndexLink"/>
              </w:rPr>
              <w:t>155</w:t>
            </w:r>
          </w:hyperlink>
        </w:p>
        <w:p>
          <w:pPr>
            <w:pStyle w:val="Contents4"/>
            <w:tabs>
              <w:tab w:val="clear" w:pos="8176"/>
              <w:tab w:val="right" w:pos="9026" w:leader="dot"/>
            </w:tabs>
            <w:rPr/>
          </w:pPr>
          <w:hyperlink w:anchor="__RefHeading___Toc1366125_388300464">
            <w:r>
              <w:rPr>
                <w:webHidden/>
                <w:rStyle w:val="IndexLink"/>
                <w:rtl w:val="true"/>
              </w:rPr>
              <w:t>الآية الرابعة</w:t>
            </w:r>
            <w:r>
              <w:rPr>
                <w:rStyle w:val="IndexLink"/>
                <w:rtl w:val="true"/>
              </w:rPr>
              <w:tab/>
            </w:r>
            <w:r>
              <w:rPr>
                <w:rStyle w:val="IndexLink"/>
              </w:rPr>
              <w:t>157</w:t>
            </w:r>
          </w:hyperlink>
        </w:p>
        <w:p>
          <w:pPr>
            <w:pStyle w:val="Contents4"/>
            <w:tabs>
              <w:tab w:val="clear" w:pos="8176"/>
              <w:tab w:val="right" w:pos="9026" w:leader="dot"/>
            </w:tabs>
            <w:rPr/>
          </w:pPr>
          <w:hyperlink w:anchor="__RefHeading___Toc1366127_388300464">
            <w:r>
              <w:rPr>
                <w:webHidden/>
                <w:rStyle w:val="IndexLink"/>
                <w:rtl w:val="true"/>
              </w:rPr>
              <w:t>الآية الخامسة</w:t>
            </w:r>
            <w:r>
              <w:rPr>
                <w:rStyle w:val="IndexLink"/>
                <w:rtl w:val="true"/>
              </w:rPr>
              <w:tab/>
            </w:r>
            <w:r>
              <w:rPr>
                <w:rStyle w:val="IndexLink"/>
              </w:rPr>
              <w:t>158</w:t>
            </w:r>
          </w:hyperlink>
        </w:p>
        <w:p>
          <w:pPr>
            <w:pStyle w:val="Contents5"/>
            <w:tabs>
              <w:tab w:val="clear" w:pos="7892"/>
              <w:tab w:val="right" w:pos="9026" w:leader="dot"/>
            </w:tabs>
            <w:rPr/>
          </w:pPr>
          <w:hyperlink w:anchor="__RefHeading___Toc1366129_388300464">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366131_388300464">
            <w:r>
              <w:rPr>
                <w:webHidden/>
                <w:rStyle w:val="IndexLink"/>
                <w:rtl w:val="true"/>
              </w:rPr>
              <w:t>التفسير</w:t>
            </w:r>
            <w:r>
              <w:rPr>
                <w:rStyle w:val="IndexLink"/>
                <w:rtl w:val="true"/>
              </w:rPr>
              <w:tab/>
            </w:r>
            <w:r>
              <w:rPr>
                <w:rStyle w:val="IndexLink"/>
              </w:rPr>
              <w:t>159</w:t>
            </w:r>
          </w:hyperlink>
        </w:p>
        <w:p>
          <w:pPr>
            <w:pStyle w:val="Contents5"/>
            <w:tabs>
              <w:tab w:val="clear" w:pos="7892"/>
              <w:tab w:val="right" w:pos="9026" w:leader="dot"/>
            </w:tabs>
            <w:rPr/>
          </w:pPr>
          <w:hyperlink w:anchor="__RefHeading___Toc1366133_388300464">
            <w:r>
              <w:rPr>
                <w:webHidden/>
                <w:rStyle w:val="IndexLink"/>
                <w:rtl w:val="true"/>
              </w:rPr>
              <w:t>ما هو الواجب في الاستقبال‌؟</w:t>
            </w:r>
            <w:r>
              <w:rPr>
                <w:rStyle w:val="IndexLink"/>
                <w:rtl w:val="true"/>
              </w:rPr>
              <w:tab/>
            </w:r>
            <w:r>
              <w:rPr>
                <w:rStyle w:val="IndexLink"/>
              </w:rPr>
              <w:t>160</w:t>
            </w:r>
          </w:hyperlink>
        </w:p>
        <w:p>
          <w:pPr>
            <w:pStyle w:val="Contents5"/>
            <w:tabs>
              <w:tab w:val="clear" w:pos="7892"/>
              <w:tab w:val="right" w:pos="9026" w:leader="dot"/>
            </w:tabs>
            <w:rPr/>
          </w:pPr>
          <w:hyperlink w:anchor="__RefHeading___Toc1366135_388300464">
            <w:r>
              <w:rPr>
                <w:webHidden/>
                <w:rStyle w:val="IndexLink"/>
                <w:rtl w:val="true"/>
              </w:rPr>
              <w:t>كلام المحقّق الأردبيلي في كفاية الجهة</w:t>
            </w:r>
            <w:r>
              <w:rPr>
                <w:rStyle w:val="IndexLink"/>
                <w:rtl w:val="true"/>
              </w:rPr>
              <w:tab/>
            </w:r>
            <w:r>
              <w:rPr>
                <w:rStyle w:val="IndexLink"/>
              </w:rPr>
              <w:t>160</w:t>
            </w:r>
          </w:hyperlink>
        </w:p>
        <w:p>
          <w:pPr>
            <w:pStyle w:val="Contents5"/>
            <w:tabs>
              <w:tab w:val="clear" w:pos="7892"/>
              <w:tab w:val="right" w:pos="9026" w:leader="dot"/>
            </w:tabs>
            <w:rPr/>
          </w:pPr>
          <w:hyperlink w:anchor="__RefHeading___Toc1366137_388300464">
            <w:r>
              <w:rPr>
                <w:webHidden/>
                <w:rStyle w:val="IndexLink"/>
                <w:rtl w:val="true"/>
              </w:rPr>
              <w:t>كفاية استقبال الجهة عند صاحب المدارك</w:t>
            </w:r>
            <w:r>
              <w:rPr>
                <w:rStyle w:val="IndexLink"/>
                <w:rtl w:val="true"/>
              </w:rPr>
              <w:tab/>
            </w:r>
            <w:r>
              <w:rPr>
                <w:rStyle w:val="IndexLink"/>
              </w:rPr>
              <w:t>161</w:t>
            </w:r>
          </w:hyperlink>
        </w:p>
        <w:p>
          <w:pPr>
            <w:pStyle w:val="Contents5"/>
            <w:tabs>
              <w:tab w:val="clear" w:pos="7892"/>
              <w:tab w:val="right" w:pos="9026" w:leader="dot"/>
            </w:tabs>
            <w:rPr/>
          </w:pPr>
          <w:hyperlink w:anchor="__RefHeading___Toc1366139_388300464">
            <w:r>
              <w:rPr>
                <w:webHidden/>
                <w:rStyle w:val="IndexLink"/>
                <w:rtl w:val="true"/>
              </w:rPr>
              <w:t>تأييد صاحب الحدائق كفاية الجهة</w:t>
            </w:r>
            <w:r>
              <w:rPr>
                <w:rStyle w:val="IndexLink"/>
                <w:rtl w:val="true"/>
              </w:rPr>
              <w:tab/>
            </w:r>
            <w:r>
              <w:rPr>
                <w:rStyle w:val="IndexLink"/>
              </w:rPr>
              <w:t>162</w:t>
            </w:r>
          </w:hyperlink>
        </w:p>
        <w:p>
          <w:pPr>
            <w:pStyle w:val="Contents5"/>
            <w:tabs>
              <w:tab w:val="clear" w:pos="7892"/>
              <w:tab w:val="right" w:pos="9026" w:leader="dot"/>
            </w:tabs>
            <w:rPr/>
          </w:pPr>
          <w:hyperlink w:anchor="__RefHeading___Toc1366141_388300464">
            <w:r>
              <w:rPr>
                <w:webHidden/>
                <w:rStyle w:val="IndexLink"/>
                <w:rtl w:val="true"/>
              </w:rPr>
              <w:t>نظرية صاحب الجواهر</w:t>
            </w:r>
            <w:r>
              <w:rPr>
                <w:rStyle w:val="IndexLink"/>
                <w:rtl w:val="true"/>
              </w:rPr>
              <w:tab/>
            </w:r>
            <w:r>
              <w:rPr>
                <w:rStyle w:val="IndexLink"/>
              </w:rPr>
              <w:t>165</w:t>
            </w:r>
          </w:hyperlink>
        </w:p>
        <w:p>
          <w:pPr>
            <w:pStyle w:val="Contents5"/>
            <w:tabs>
              <w:tab w:val="clear" w:pos="7892"/>
              <w:tab w:val="right" w:pos="9026" w:leader="dot"/>
            </w:tabs>
            <w:rPr/>
          </w:pPr>
          <w:hyperlink w:anchor="__RefHeading___Toc1366143_388300464">
            <w:r>
              <w:rPr>
                <w:webHidden/>
                <w:rStyle w:val="IndexLink"/>
                <w:rtl w:val="true"/>
              </w:rPr>
              <w:t>الصف الطويل وكون القبلة عين الكعبة</w:t>
            </w:r>
            <w:r>
              <w:rPr>
                <w:rStyle w:val="IndexLink"/>
                <w:rtl w:val="true"/>
              </w:rPr>
              <w:tab/>
            </w:r>
            <w:r>
              <w:rPr>
                <w:rStyle w:val="IndexLink"/>
              </w:rPr>
              <w:t>167</w:t>
            </w:r>
          </w:hyperlink>
        </w:p>
        <w:p>
          <w:pPr>
            <w:pStyle w:val="Contents5"/>
            <w:tabs>
              <w:tab w:val="clear" w:pos="7892"/>
              <w:tab w:val="right" w:pos="9026" w:leader="dot"/>
            </w:tabs>
            <w:rPr/>
          </w:pPr>
          <w:hyperlink w:anchor="__RefHeading___Toc1366145_388300464">
            <w:r>
              <w:rPr>
                <w:webHidden/>
                <w:rStyle w:val="IndexLink"/>
                <w:rtl w:val="true"/>
              </w:rPr>
              <w:t>مختارنا</w:t>
            </w:r>
            <w:r>
              <w:rPr>
                <w:rStyle w:val="IndexLink"/>
                <w:rtl w:val="true"/>
              </w:rPr>
              <w:tab/>
            </w:r>
            <w:r>
              <w:rPr>
                <w:rStyle w:val="IndexLink"/>
              </w:rPr>
              <w:t>169</w:t>
            </w:r>
          </w:hyperlink>
        </w:p>
        <w:p>
          <w:pPr>
            <w:pStyle w:val="Contents3"/>
            <w:tabs>
              <w:tab w:val="clear" w:pos="8459"/>
              <w:tab w:val="right" w:pos="9026" w:leader="dot"/>
            </w:tabs>
            <w:rPr/>
          </w:pPr>
          <w:hyperlink w:anchor="__RefHeading___Toc1366147_388300464">
            <w:r>
              <w:rPr>
                <w:webHidden/>
                <w:rStyle w:val="IndexLink"/>
              </w:rPr>
              <w:t>3</w:t>
            </w:r>
            <w:r>
              <w:rPr>
                <w:rStyle w:val="IndexLink"/>
                <w:rtl w:val="true"/>
              </w:rPr>
              <w:t xml:space="preserve">. </w:t>
            </w:r>
            <w:r>
              <w:rPr>
                <w:rStyle w:val="IndexLink"/>
                <w:rtl w:val="true"/>
              </w:rPr>
              <w:t>صلاة المسافر في الذكر الحكيم</w:t>
            </w:r>
            <w:r>
              <w:rPr>
                <w:rStyle w:val="IndexLink"/>
                <w:rtl w:val="true"/>
              </w:rPr>
              <w:tab/>
            </w:r>
            <w:r>
              <w:rPr>
                <w:rStyle w:val="IndexLink"/>
              </w:rPr>
              <w:t>170</w:t>
            </w:r>
          </w:hyperlink>
        </w:p>
        <w:p>
          <w:pPr>
            <w:pStyle w:val="Contents4"/>
            <w:tabs>
              <w:tab w:val="clear" w:pos="8176"/>
              <w:tab w:val="right" w:pos="9026" w:leader="dot"/>
            </w:tabs>
            <w:rPr/>
          </w:pPr>
          <w:hyperlink w:anchor="__RefHeading___Toc1366149_388300464">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366151_388300464">
            <w:r>
              <w:rPr>
                <w:webHidden/>
                <w:rStyle w:val="IndexLink"/>
                <w:rtl w:val="true"/>
              </w:rPr>
              <w:t>تفسير مفردات الآية</w:t>
            </w:r>
            <w:r>
              <w:rPr>
                <w:rStyle w:val="IndexLink"/>
                <w:rtl w:val="true"/>
              </w:rPr>
              <w:tab/>
            </w:r>
            <w:r>
              <w:rPr>
                <w:rStyle w:val="IndexLink"/>
              </w:rPr>
              <w:t>172</w:t>
            </w:r>
          </w:hyperlink>
        </w:p>
        <w:p>
          <w:pPr>
            <w:pStyle w:val="Contents4"/>
            <w:tabs>
              <w:tab w:val="clear" w:pos="8176"/>
              <w:tab w:val="right" w:pos="9026" w:leader="dot"/>
            </w:tabs>
            <w:rPr/>
          </w:pPr>
          <w:hyperlink w:anchor="__RefHeading___Toc1366153_388300464">
            <w:r>
              <w:rPr>
                <w:webHidden/>
                <w:rStyle w:val="IndexLink"/>
                <w:rtl w:val="true"/>
              </w:rPr>
              <w:t>أدلّة القول بأنّ القصر عزيمة</w:t>
            </w:r>
            <w:r>
              <w:rPr>
                <w:rStyle w:val="IndexLink"/>
                <w:rtl w:val="true"/>
              </w:rPr>
              <w:tab/>
            </w:r>
            <w:r>
              <w:rPr>
                <w:rStyle w:val="IndexLink"/>
              </w:rPr>
              <w:t>177</w:t>
            </w:r>
          </w:hyperlink>
        </w:p>
        <w:p>
          <w:pPr>
            <w:pStyle w:val="Contents3"/>
            <w:tabs>
              <w:tab w:val="clear" w:pos="8459"/>
              <w:tab w:val="right" w:pos="9026" w:leader="dot"/>
            </w:tabs>
            <w:rPr/>
          </w:pPr>
          <w:hyperlink w:anchor="__RefHeading___Toc1366155_388300464">
            <w:r>
              <w:rPr>
                <w:webHidden/>
                <w:rStyle w:val="IndexLink"/>
              </w:rPr>
              <w:t>4</w:t>
            </w:r>
            <w:r>
              <w:rPr>
                <w:rStyle w:val="IndexLink"/>
                <w:rtl w:val="true"/>
              </w:rPr>
              <w:t xml:space="preserve">. </w:t>
            </w:r>
            <w:r>
              <w:rPr>
                <w:rStyle w:val="IndexLink"/>
                <w:rtl w:val="true"/>
              </w:rPr>
              <w:t>صلاة الخوف في الذكر الحكيم</w:t>
            </w:r>
            <w:r>
              <w:rPr>
                <w:rStyle w:val="IndexLink"/>
                <w:rtl w:val="true"/>
              </w:rPr>
              <w:tab/>
            </w:r>
            <w:r>
              <w:rPr>
                <w:rStyle w:val="IndexLink"/>
              </w:rPr>
              <w:t>182</w:t>
            </w:r>
          </w:hyperlink>
        </w:p>
        <w:p>
          <w:pPr>
            <w:pStyle w:val="Contents4"/>
            <w:tabs>
              <w:tab w:val="clear" w:pos="8176"/>
              <w:tab w:val="right" w:pos="9026" w:leader="dot"/>
            </w:tabs>
            <w:rPr/>
          </w:pPr>
          <w:hyperlink w:anchor="__RefHeading___Toc1366157_388300464">
            <w:r>
              <w:rPr>
                <w:webHidden/>
                <w:rStyle w:val="IndexLink"/>
                <w:rtl w:val="true"/>
              </w:rPr>
              <w:t>الآية الأُولى</w:t>
            </w:r>
            <w:r>
              <w:rPr>
                <w:rStyle w:val="IndexLink"/>
                <w:rtl w:val="true"/>
              </w:rPr>
              <w:t>:</w:t>
              <w:tab/>
            </w:r>
            <w:r>
              <w:rPr>
                <w:rStyle w:val="IndexLink"/>
              </w:rPr>
              <w:t>182</w:t>
            </w:r>
          </w:hyperlink>
        </w:p>
        <w:p>
          <w:pPr>
            <w:pStyle w:val="Contents5"/>
            <w:tabs>
              <w:tab w:val="clear" w:pos="7892"/>
              <w:tab w:val="right" w:pos="9026" w:leader="dot"/>
            </w:tabs>
            <w:rPr/>
          </w:pPr>
          <w:hyperlink w:anchor="__RefHeading___Toc1366159_388300464">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366161_388300464">
            <w:r>
              <w:rPr>
                <w:webHidden/>
                <w:rStyle w:val="IndexLink"/>
                <w:rtl w:val="true"/>
              </w:rPr>
              <w:t>المفردات</w:t>
            </w:r>
            <w:r>
              <w:rPr>
                <w:rStyle w:val="IndexLink"/>
                <w:rtl w:val="true"/>
              </w:rPr>
              <w:tab/>
            </w:r>
            <w:r>
              <w:rPr>
                <w:rStyle w:val="IndexLink"/>
              </w:rPr>
              <w:t>182</w:t>
            </w:r>
          </w:hyperlink>
        </w:p>
        <w:p>
          <w:pPr>
            <w:pStyle w:val="Contents5"/>
            <w:tabs>
              <w:tab w:val="clear" w:pos="7892"/>
              <w:tab w:val="right" w:pos="9026" w:leader="dot"/>
            </w:tabs>
            <w:rPr/>
          </w:pPr>
          <w:hyperlink w:anchor="__RefHeading___Toc1366163_388300464">
            <w:r>
              <w:rPr>
                <w:webHidden/>
                <w:rStyle w:val="IndexLink"/>
                <w:rtl w:val="true"/>
              </w:rPr>
              <w:t>التفسير</w:t>
            </w:r>
            <w:r>
              <w:rPr>
                <w:rStyle w:val="IndexLink"/>
                <w:rtl w:val="true"/>
              </w:rPr>
              <w:tab/>
            </w:r>
            <w:r>
              <w:rPr>
                <w:rStyle w:val="IndexLink"/>
              </w:rPr>
              <w:t>183</w:t>
            </w:r>
          </w:hyperlink>
        </w:p>
        <w:p>
          <w:pPr>
            <w:pStyle w:val="Contents5"/>
            <w:tabs>
              <w:tab w:val="clear" w:pos="7892"/>
              <w:tab w:val="right" w:pos="9026" w:leader="dot"/>
            </w:tabs>
            <w:rPr/>
          </w:pPr>
          <w:hyperlink w:anchor="__RefHeading___Toc1366165_388300464">
            <w:r>
              <w:rPr>
                <w:webHidden/>
                <w:rStyle w:val="IndexLink"/>
                <w:rtl w:val="true"/>
              </w:rPr>
              <w:t>صلاة الخوف ثنائيّة في السفر والحضر</w:t>
            </w:r>
            <w:r>
              <w:rPr>
                <w:rStyle w:val="IndexLink"/>
                <w:rtl w:val="true"/>
              </w:rPr>
              <w:tab/>
            </w:r>
            <w:r>
              <w:rPr>
                <w:rStyle w:val="IndexLink"/>
              </w:rPr>
              <w:t>187</w:t>
            </w:r>
          </w:hyperlink>
        </w:p>
        <w:p>
          <w:pPr>
            <w:pStyle w:val="Contents4"/>
            <w:tabs>
              <w:tab w:val="clear" w:pos="8176"/>
              <w:tab w:val="right" w:pos="9026" w:leader="dot"/>
            </w:tabs>
            <w:rPr/>
          </w:pPr>
          <w:hyperlink w:anchor="__RefHeading___Toc1366167_388300464">
            <w:r>
              <w:rPr>
                <w:webHidden/>
                <w:rStyle w:val="IndexLink"/>
                <w:rtl w:val="true"/>
              </w:rPr>
              <w:t>الآية الثانية</w:t>
            </w:r>
            <w:r>
              <w:rPr>
                <w:rStyle w:val="IndexLink"/>
                <w:rtl w:val="true"/>
              </w:rPr>
              <w:t>:</w:t>
              <w:tab/>
            </w:r>
            <w:r>
              <w:rPr>
                <w:rStyle w:val="IndexLink"/>
              </w:rPr>
              <w:t>187</w:t>
            </w:r>
          </w:hyperlink>
        </w:p>
        <w:p>
          <w:pPr>
            <w:pStyle w:val="Contents5"/>
            <w:tabs>
              <w:tab w:val="clear" w:pos="7892"/>
              <w:tab w:val="right" w:pos="9026" w:leader="dot"/>
            </w:tabs>
            <w:rPr/>
          </w:pPr>
          <w:hyperlink w:anchor="__RefHeading___Toc1366169_388300464">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366171_388300464">
            <w:r>
              <w:rPr>
                <w:webHidden/>
                <w:rStyle w:val="IndexLink"/>
                <w:rtl w:val="true"/>
              </w:rPr>
              <w:t>ذكر اللّه بعد إقامة الصلاة</w:t>
            </w:r>
            <w:r>
              <w:rPr>
                <w:rStyle w:val="IndexLink"/>
                <w:rtl w:val="true"/>
              </w:rPr>
              <w:tab/>
            </w:r>
            <w:r>
              <w:rPr>
                <w:rStyle w:val="IndexLink"/>
              </w:rPr>
              <w:t>188</w:t>
            </w:r>
          </w:hyperlink>
        </w:p>
        <w:p>
          <w:pPr>
            <w:pStyle w:val="Contents3"/>
            <w:tabs>
              <w:tab w:val="clear" w:pos="8459"/>
              <w:tab w:val="right" w:pos="9026" w:leader="dot"/>
            </w:tabs>
            <w:rPr/>
          </w:pPr>
          <w:hyperlink w:anchor="__RefHeading___Toc1366173_388300464">
            <w:r>
              <w:rPr>
                <w:webHidden/>
                <w:rStyle w:val="IndexLink"/>
              </w:rPr>
              <w:t>5</w:t>
            </w:r>
            <w:r>
              <w:rPr>
                <w:rStyle w:val="IndexLink"/>
                <w:rtl w:val="true"/>
              </w:rPr>
              <w:t xml:space="preserve">. </w:t>
            </w:r>
            <w:r>
              <w:rPr>
                <w:rStyle w:val="IndexLink"/>
                <w:rtl w:val="true"/>
              </w:rPr>
              <w:t>صلاة المطاردة في الذكر الحكيم</w:t>
            </w:r>
            <w:r>
              <w:rPr>
                <w:rStyle w:val="IndexLink"/>
                <w:rtl w:val="true"/>
              </w:rPr>
              <w:tab/>
            </w:r>
            <w:r>
              <w:rPr>
                <w:rStyle w:val="IndexLink"/>
              </w:rPr>
              <w:t>189</w:t>
            </w:r>
          </w:hyperlink>
        </w:p>
        <w:p>
          <w:pPr>
            <w:pStyle w:val="Contents4"/>
            <w:tabs>
              <w:tab w:val="clear" w:pos="8176"/>
              <w:tab w:val="right" w:pos="9026" w:leader="dot"/>
            </w:tabs>
            <w:rPr/>
          </w:pPr>
          <w:hyperlink w:anchor="__RefHeading___Toc1366175_388300464">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366177_388300464">
            <w:r>
              <w:rPr>
                <w:webHidden/>
                <w:rStyle w:val="IndexLink"/>
                <w:rtl w:val="true"/>
              </w:rPr>
              <w:t>المفردات</w:t>
            </w:r>
            <w:r>
              <w:rPr>
                <w:rStyle w:val="IndexLink"/>
                <w:rtl w:val="true"/>
              </w:rPr>
              <w:tab/>
            </w:r>
            <w:r>
              <w:rPr>
                <w:rStyle w:val="IndexLink"/>
              </w:rPr>
              <w:t>189</w:t>
            </w:r>
          </w:hyperlink>
        </w:p>
        <w:p>
          <w:pPr>
            <w:pStyle w:val="Contents4"/>
            <w:tabs>
              <w:tab w:val="clear" w:pos="8176"/>
              <w:tab w:val="right" w:pos="9026" w:leader="dot"/>
            </w:tabs>
            <w:rPr/>
          </w:pPr>
          <w:hyperlink w:anchor="__RefHeading___Toc1366179_388300464">
            <w:r>
              <w:rPr>
                <w:webHidden/>
                <w:rStyle w:val="IndexLink"/>
                <w:rtl w:val="true"/>
              </w:rPr>
              <w:t>التفسير</w:t>
            </w:r>
            <w:r>
              <w:rPr>
                <w:rStyle w:val="IndexLink"/>
                <w:rtl w:val="true"/>
              </w:rPr>
              <w:tab/>
            </w:r>
            <w:r>
              <w:rPr>
                <w:rStyle w:val="IndexLink"/>
              </w:rPr>
              <w:t>189</w:t>
            </w:r>
          </w:hyperlink>
        </w:p>
        <w:p>
          <w:pPr>
            <w:pStyle w:val="Contents3"/>
            <w:tabs>
              <w:tab w:val="clear" w:pos="8459"/>
              <w:tab w:val="right" w:pos="9026" w:leader="dot"/>
            </w:tabs>
            <w:rPr/>
          </w:pPr>
          <w:hyperlink w:anchor="__RefHeading___Toc1366181_388300464">
            <w:r>
              <w:rPr>
                <w:webHidden/>
                <w:rStyle w:val="IndexLink"/>
              </w:rPr>
              <w:t>6</w:t>
            </w:r>
            <w:r>
              <w:rPr>
                <w:rStyle w:val="IndexLink"/>
                <w:rtl w:val="true"/>
              </w:rPr>
              <w:t xml:space="preserve">. </w:t>
            </w:r>
            <w:r>
              <w:rPr>
                <w:rStyle w:val="IndexLink"/>
                <w:rtl w:val="true"/>
              </w:rPr>
              <w:t>صلاة الجمعة في الذكر الحكيم</w:t>
            </w:r>
            <w:r>
              <w:rPr>
                <w:rStyle w:val="IndexLink"/>
                <w:rtl w:val="true"/>
              </w:rPr>
              <w:tab/>
            </w:r>
            <w:r>
              <w:rPr>
                <w:rStyle w:val="IndexLink"/>
              </w:rPr>
              <w:t>192</w:t>
            </w:r>
          </w:hyperlink>
        </w:p>
        <w:p>
          <w:pPr>
            <w:pStyle w:val="Contents4"/>
            <w:tabs>
              <w:tab w:val="clear" w:pos="8176"/>
              <w:tab w:val="right" w:pos="9026" w:leader="dot"/>
            </w:tabs>
            <w:rPr/>
          </w:pPr>
          <w:hyperlink w:anchor="__RefHeading___Toc1366183_388300464">
            <w:r>
              <w:rPr>
                <w:webHidden/>
                <w:rStyle w:val="IndexLink"/>
                <w:rtl w:val="true"/>
              </w:rPr>
              <w:t>الآية الأُولى</w:t>
            </w:r>
            <w:r>
              <w:rPr>
                <w:rStyle w:val="IndexLink"/>
                <w:rtl w:val="true"/>
              </w:rPr>
              <w:tab/>
            </w:r>
            <w:r>
              <w:rPr>
                <w:rStyle w:val="IndexLink"/>
              </w:rPr>
              <w:t>192</w:t>
            </w:r>
          </w:hyperlink>
        </w:p>
        <w:p>
          <w:pPr>
            <w:pStyle w:val="Contents5"/>
            <w:tabs>
              <w:tab w:val="clear" w:pos="7892"/>
              <w:tab w:val="right" w:pos="9026" w:leader="dot"/>
            </w:tabs>
            <w:rPr/>
          </w:pPr>
          <w:hyperlink w:anchor="__RefHeading___Toc1366185_388300464">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366187_388300464">
            <w:r>
              <w:rPr>
                <w:webHidden/>
                <w:rStyle w:val="IndexLink"/>
                <w:rtl w:val="true"/>
              </w:rPr>
              <w:t>المفردات</w:t>
            </w:r>
            <w:r>
              <w:rPr>
                <w:rStyle w:val="IndexLink"/>
                <w:rtl w:val="true"/>
              </w:rPr>
              <w:tab/>
            </w:r>
            <w:r>
              <w:rPr>
                <w:rStyle w:val="IndexLink"/>
              </w:rPr>
              <w:t>192</w:t>
            </w:r>
          </w:hyperlink>
        </w:p>
        <w:p>
          <w:pPr>
            <w:pStyle w:val="Contents5"/>
            <w:tabs>
              <w:tab w:val="clear" w:pos="7892"/>
              <w:tab w:val="right" w:pos="9026" w:leader="dot"/>
            </w:tabs>
            <w:rPr/>
          </w:pPr>
          <w:hyperlink w:anchor="__RefHeading___Toc1366189_388300464">
            <w:r>
              <w:rPr>
                <w:webHidden/>
                <w:rStyle w:val="IndexLink"/>
                <w:rtl w:val="true"/>
              </w:rPr>
              <w:t>التفسير</w:t>
            </w:r>
            <w:r>
              <w:rPr>
                <w:rStyle w:val="IndexLink"/>
                <w:rtl w:val="true"/>
              </w:rPr>
              <w:tab/>
            </w:r>
            <w:r>
              <w:rPr>
                <w:rStyle w:val="IndexLink"/>
              </w:rPr>
              <w:t>194</w:t>
            </w:r>
          </w:hyperlink>
        </w:p>
        <w:p>
          <w:pPr>
            <w:pStyle w:val="Contents4"/>
            <w:tabs>
              <w:tab w:val="clear" w:pos="8176"/>
              <w:tab w:val="right" w:pos="9026" w:leader="dot"/>
            </w:tabs>
            <w:rPr/>
          </w:pPr>
          <w:hyperlink w:anchor="__RefHeading___Toc1366191_388300464">
            <w:r>
              <w:rPr>
                <w:webHidden/>
                <w:rStyle w:val="IndexLink"/>
                <w:rtl w:val="true"/>
              </w:rPr>
              <w:t>الآية الثانية</w:t>
            </w:r>
            <w:r>
              <w:rPr>
                <w:rStyle w:val="IndexLink"/>
                <w:rtl w:val="true"/>
              </w:rPr>
              <w:tab/>
            </w:r>
            <w:r>
              <w:rPr>
                <w:rStyle w:val="IndexLink"/>
              </w:rPr>
              <w:t>194</w:t>
            </w:r>
          </w:hyperlink>
        </w:p>
        <w:p>
          <w:pPr>
            <w:pStyle w:val="Contents5"/>
            <w:tabs>
              <w:tab w:val="clear" w:pos="7892"/>
              <w:tab w:val="right" w:pos="9026" w:leader="dot"/>
            </w:tabs>
            <w:rPr/>
          </w:pPr>
          <w:hyperlink w:anchor="__RefHeading___Toc1366193_388300464">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366195_388300464">
            <w:r>
              <w:rPr>
                <w:webHidden/>
                <w:rStyle w:val="IndexLink"/>
                <w:rtl w:val="true"/>
              </w:rPr>
              <w:t>المفردات</w:t>
            </w:r>
            <w:r>
              <w:rPr>
                <w:rStyle w:val="IndexLink"/>
                <w:rtl w:val="true"/>
              </w:rPr>
              <w:tab/>
            </w:r>
            <w:r>
              <w:rPr>
                <w:rStyle w:val="IndexLink"/>
              </w:rPr>
              <w:t>195</w:t>
            </w:r>
          </w:hyperlink>
        </w:p>
        <w:p>
          <w:pPr>
            <w:pStyle w:val="Contents5"/>
            <w:tabs>
              <w:tab w:val="clear" w:pos="7892"/>
              <w:tab w:val="right" w:pos="9026" w:leader="dot"/>
            </w:tabs>
            <w:rPr/>
          </w:pPr>
          <w:hyperlink w:anchor="__RefHeading___Toc1366197_388300464">
            <w:r>
              <w:rPr>
                <w:webHidden/>
                <w:rStyle w:val="IndexLink"/>
                <w:rtl w:val="true"/>
              </w:rPr>
              <w:t>التفسير</w:t>
            </w:r>
            <w:r>
              <w:rPr>
                <w:rStyle w:val="IndexLink"/>
                <w:rtl w:val="true"/>
              </w:rPr>
              <w:tab/>
            </w:r>
            <w:r>
              <w:rPr>
                <w:rStyle w:val="IndexLink"/>
              </w:rPr>
              <w:t>195</w:t>
            </w:r>
          </w:hyperlink>
        </w:p>
        <w:p>
          <w:pPr>
            <w:pStyle w:val="Contents4"/>
            <w:tabs>
              <w:tab w:val="clear" w:pos="8176"/>
              <w:tab w:val="right" w:pos="9026" w:leader="dot"/>
            </w:tabs>
            <w:rPr/>
          </w:pPr>
          <w:hyperlink w:anchor="__RefHeading___Toc1366199_388300464">
            <w:r>
              <w:rPr>
                <w:webHidden/>
                <w:rStyle w:val="IndexLink"/>
                <w:rtl w:val="true"/>
              </w:rPr>
              <w:t>الآية الثالثة</w:t>
            </w:r>
            <w:r>
              <w:rPr>
                <w:rStyle w:val="IndexLink"/>
                <w:rtl w:val="true"/>
              </w:rPr>
              <w:tab/>
            </w:r>
            <w:r>
              <w:rPr>
                <w:rStyle w:val="IndexLink"/>
              </w:rPr>
              <w:t>196</w:t>
            </w:r>
          </w:hyperlink>
        </w:p>
        <w:p>
          <w:pPr>
            <w:pStyle w:val="Contents5"/>
            <w:tabs>
              <w:tab w:val="clear" w:pos="7892"/>
              <w:tab w:val="right" w:pos="9026" w:leader="dot"/>
            </w:tabs>
            <w:rPr/>
          </w:pPr>
          <w:hyperlink w:anchor="__RefHeading___Toc1366201_388300464">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366203_388300464">
            <w:r>
              <w:rPr>
                <w:webHidden/>
                <w:rStyle w:val="IndexLink"/>
                <w:rtl w:val="true"/>
              </w:rPr>
              <w:t>المفردات</w:t>
            </w:r>
            <w:r>
              <w:rPr>
                <w:rStyle w:val="IndexLink"/>
                <w:rtl w:val="true"/>
              </w:rPr>
              <w:tab/>
            </w:r>
            <w:r>
              <w:rPr>
                <w:rStyle w:val="IndexLink"/>
              </w:rPr>
              <w:t>196</w:t>
            </w:r>
          </w:hyperlink>
        </w:p>
        <w:p>
          <w:pPr>
            <w:pStyle w:val="Contents5"/>
            <w:tabs>
              <w:tab w:val="clear" w:pos="7892"/>
              <w:tab w:val="right" w:pos="9026" w:leader="dot"/>
            </w:tabs>
            <w:rPr/>
          </w:pPr>
          <w:hyperlink w:anchor="__RefHeading___Toc1366205_388300464">
            <w:r>
              <w:rPr>
                <w:webHidden/>
                <w:rStyle w:val="IndexLink"/>
                <w:rtl w:val="true"/>
              </w:rPr>
              <w:t>التفسير</w:t>
            </w:r>
            <w:r>
              <w:rPr>
                <w:rStyle w:val="IndexLink"/>
                <w:rtl w:val="true"/>
              </w:rPr>
              <w:tab/>
            </w:r>
            <w:r>
              <w:rPr>
                <w:rStyle w:val="IndexLink"/>
              </w:rPr>
              <w:t>197</w:t>
            </w:r>
          </w:hyperlink>
        </w:p>
        <w:p>
          <w:pPr>
            <w:pStyle w:val="Contents5"/>
            <w:tabs>
              <w:tab w:val="clear" w:pos="7892"/>
              <w:tab w:val="right" w:pos="9026" w:leader="dot"/>
            </w:tabs>
            <w:rPr/>
          </w:pPr>
          <w:hyperlink w:anchor="__RefHeading___Toc1366207_388300464">
            <w:r>
              <w:rPr>
                <w:webHidden/>
                <w:rStyle w:val="IndexLink"/>
                <w:rtl w:val="true"/>
              </w:rPr>
              <w:t>وقت صلاة الجمعة بدءاً ونهاية</w:t>
            </w:r>
            <w:r>
              <w:rPr>
                <w:rStyle w:val="IndexLink"/>
                <w:rtl w:val="true"/>
              </w:rPr>
              <w:tab/>
            </w:r>
            <w:r>
              <w:rPr>
                <w:rStyle w:val="IndexLink"/>
              </w:rPr>
              <w:t>197</w:t>
            </w:r>
          </w:hyperlink>
        </w:p>
        <w:p>
          <w:pPr>
            <w:pStyle w:val="Contents5"/>
            <w:tabs>
              <w:tab w:val="clear" w:pos="7892"/>
              <w:tab w:val="right" w:pos="9026" w:leader="dot"/>
            </w:tabs>
            <w:rPr/>
          </w:pPr>
          <w:hyperlink w:anchor="__RefHeading___Toc1366209_388300464">
            <w:r>
              <w:rPr>
                <w:webHidden/>
                <w:rStyle w:val="IndexLink"/>
                <w:rtl w:val="true"/>
              </w:rPr>
              <w:t>آخر وقت صلاة الجمعة</w:t>
            </w:r>
            <w:r>
              <w:rPr>
                <w:rStyle w:val="IndexLink"/>
                <w:rtl w:val="true"/>
              </w:rPr>
              <w:tab/>
            </w:r>
            <w:r>
              <w:rPr>
                <w:rStyle w:val="IndexLink"/>
              </w:rPr>
              <w:t>199</w:t>
            </w:r>
          </w:hyperlink>
        </w:p>
        <w:p>
          <w:pPr>
            <w:pStyle w:val="Contents5"/>
            <w:tabs>
              <w:tab w:val="clear" w:pos="7892"/>
              <w:tab w:val="right" w:pos="9026" w:leader="dot"/>
            </w:tabs>
            <w:rPr/>
          </w:pPr>
          <w:hyperlink w:anchor="__RefHeading___Toc1366211_388300464">
            <w:r>
              <w:rPr>
                <w:webHidden/>
                <w:rStyle w:val="IndexLink"/>
                <w:rtl w:val="true"/>
              </w:rPr>
              <w:t>كيفية صلاة الجمعة</w:t>
            </w:r>
            <w:r>
              <w:rPr>
                <w:rStyle w:val="IndexLink"/>
                <w:rtl w:val="true"/>
              </w:rPr>
              <w:tab/>
            </w:r>
            <w:r>
              <w:rPr>
                <w:rStyle w:val="IndexLink"/>
              </w:rPr>
              <w:t>201</w:t>
            </w:r>
          </w:hyperlink>
        </w:p>
        <w:p>
          <w:pPr>
            <w:pStyle w:val="Contents5"/>
            <w:tabs>
              <w:tab w:val="clear" w:pos="7892"/>
              <w:tab w:val="right" w:pos="9026" w:leader="dot"/>
            </w:tabs>
            <w:rPr/>
          </w:pPr>
          <w:hyperlink w:anchor="__RefHeading___Toc1366213_388300464">
            <w:r>
              <w:rPr>
                <w:webHidden/>
                <w:rStyle w:val="IndexLink"/>
                <w:rtl w:val="true"/>
              </w:rPr>
              <w:t>فلسفة كون الخطبتين قبل الصلاة</w:t>
            </w:r>
            <w:r>
              <w:rPr>
                <w:rStyle w:val="IndexLink"/>
                <w:rtl w:val="true"/>
              </w:rPr>
              <w:tab/>
            </w:r>
            <w:r>
              <w:rPr>
                <w:rStyle w:val="IndexLink"/>
              </w:rPr>
              <w:t>202</w:t>
            </w:r>
          </w:hyperlink>
        </w:p>
        <w:p>
          <w:pPr>
            <w:pStyle w:val="Contents4"/>
            <w:tabs>
              <w:tab w:val="clear" w:pos="8176"/>
              <w:tab w:val="right" w:pos="9026" w:leader="dot"/>
            </w:tabs>
            <w:rPr/>
          </w:pPr>
          <w:hyperlink w:anchor="__RefHeading___Toc1366215_388300464">
            <w:r>
              <w:rPr>
                <w:webHidden/>
                <w:rStyle w:val="IndexLink"/>
                <w:rtl w:val="true"/>
              </w:rPr>
              <w:t>حكم صلاة الجمعة في عصر الغيبة</w:t>
            </w:r>
            <w:r>
              <w:rPr>
                <w:rStyle w:val="IndexLink"/>
                <w:rtl w:val="true"/>
              </w:rPr>
              <w:tab/>
            </w:r>
            <w:r>
              <w:rPr>
                <w:rStyle w:val="IndexLink"/>
              </w:rPr>
              <w:t>202</w:t>
            </w:r>
          </w:hyperlink>
        </w:p>
        <w:p>
          <w:pPr>
            <w:pStyle w:val="Contents5"/>
            <w:tabs>
              <w:tab w:val="clear" w:pos="7892"/>
              <w:tab w:val="right" w:pos="9026" w:leader="dot"/>
            </w:tabs>
            <w:rPr/>
          </w:pPr>
          <w:hyperlink w:anchor="__RefHeading___Toc1366217_388300464">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366219_388300464">
            <w:r>
              <w:rPr>
                <w:webHidden/>
                <w:rStyle w:val="IndexLink"/>
                <w:rtl w:val="true"/>
              </w:rPr>
              <w:t>[</w:t>
            </w:r>
            <w:r>
              <w:rPr>
                <w:rStyle w:val="IndexLink"/>
                <w:rtl w:val="true"/>
              </w:rPr>
              <w:t>القول</w:t>
            </w:r>
            <w:r>
              <w:rPr>
                <w:rStyle w:val="IndexLink"/>
                <w:rtl w:val="true"/>
              </w:rPr>
              <w:t xml:space="preserve">] </w:t>
            </w:r>
            <w:r>
              <w:rPr>
                <w:rStyle w:val="IndexLink"/>
                <w:rtl w:val="true"/>
              </w:rPr>
              <w:t>الأوّل</w:t>
            </w:r>
            <w:r>
              <w:rPr>
                <w:rStyle w:val="IndexLink"/>
                <w:rtl w:val="true"/>
              </w:rPr>
              <w:t xml:space="preserve">: </w:t>
            </w:r>
            <w:r>
              <w:rPr>
                <w:rStyle w:val="IndexLink"/>
                <w:rtl w:val="true"/>
              </w:rPr>
              <w:t>القول بالتحريم</w:t>
            </w:r>
            <w:r>
              <w:rPr>
                <w:rStyle w:val="IndexLink"/>
                <w:rtl w:val="true"/>
              </w:rPr>
              <w:tab/>
            </w:r>
            <w:r>
              <w:rPr>
                <w:rStyle w:val="IndexLink"/>
              </w:rPr>
              <w:t>203</w:t>
            </w:r>
          </w:hyperlink>
        </w:p>
        <w:p>
          <w:pPr>
            <w:pStyle w:val="Contents6"/>
            <w:tabs>
              <w:tab w:val="clear" w:pos="7609"/>
              <w:tab w:val="right" w:pos="9026" w:leader="dot"/>
            </w:tabs>
            <w:rPr/>
          </w:pPr>
          <w:hyperlink w:anchor="__RefHeading___Toc1366221_388300464">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366223_388300464">
            <w:r>
              <w:rPr>
                <w:webHidden/>
                <w:rStyle w:val="IndexLink"/>
                <w:rtl w:val="true"/>
              </w:rPr>
              <w:t>أدلّة القائلين بشرطية الإمام المعصوم</w:t>
            </w:r>
            <w:r>
              <w:rPr>
                <w:rStyle w:val="IndexLink"/>
                <w:rtl w:val="true"/>
              </w:rPr>
              <w:tab/>
            </w:r>
            <w:r>
              <w:rPr>
                <w:rStyle w:val="IndexLink"/>
              </w:rPr>
              <w:t>206</w:t>
            </w:r>
          </w:hyperlink>
        </w:p>
        <w:p>
          <w:pPr>
            <w:pStyle w:val="Contents6"/>
            <w:tabs>
              <w:tab w:val="clear" w:pos="7609"/>
              <w:tab w:val="right" w:pos="9026" w:leader="dot"/>
            </w:tabs>
            <w:rPr/>
          </w:pPr>
          <w:hyperlink w:anchor="__RefHeading___Toc1366225_388300464">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366227_388300464">
            <w:r>
              <w:rPr>
                <w:webHidden/>
                <w:rStyle w:val="IndexLink"/>
              </w:rPr>
              <w:t>1</w:t>
            </w:r>
            <w:r>
              <w:rPr>
                <w:rStyle w:val="IndexLink"/>
                <w:rtl w:val="true"/>
              </w:rPr>
              <w:t xml:space="preserve">. </w:t>
            </w:r>
            <w:r>
              <w:rPr>
                <w:rStyle w:val="IndexLink"/>
                <w:rtl w:val="true"/>
              </w:rPr>
              <w:t>دعاء الإمام السجاد عليه السلام يوم الأضحى ويوم الجمعة</w:t>
            </w:r>
            <w:r>
              <w:rPr>
                <w:rStyle w:val="IndexLink"/>
                <w:rtl w:val="true"/>
              </w:rPr>
              <w:t>:</w:t>
              <w:tab/>
            </w:r>
            <w:r>
              <w:rPr>
                <w:rStyle w:val="IndexLink"/>
              </w:rPr>
              <w:t>206</w:t>
            </w:r>
          </w:hyperlink>
        </w:p>
        <w:p>
          <w:pPr>
            <w:pStyle w:val="Contents6"/>
            <w:tabs>
              <w:tab w:val="clear" w:pos="7609"/>
              <w:tab w:val="right" w:pos="9026" w:leader="dot"/>
            </w:tabs>
            <w:rPr/>
          </w:pPr>
          <w:hyperlink w:anchor="__RefHeading___Toc1366229_388300464">
            <w:r>
              <w:rPr>
                <w:webHidden/>
                <w:rStyle w:val="IndexLink"/>
              </w:rPr>
              <w:t>2</w:t>
            </w:r>
            <w:r>
              <w:rPr>
                <w:rStyle w:val="IndexLink"/>
                <w:rtl w:val="true"/>
              </w:rPr>
              <w:t xml:space="preserve">. </w:t>
            </w:r>
            <w:r>
              <w:rPr>
                <w:rStyle w:val="IndexLink"/>
                <w:rtl w:val="true"/>
              </w:rPr>
              <w:t>كان زرارة تاركاً لصلاة الجمعة</w:t>
            </w:r>
            <w:r>
              <w:rPr>
                <w:rStyle w:val="IndexLink"/>
                <w:rtl w:val="true"/>
              </w:rPr>
              <w:tab/>
            </w:r>
            <w:r>
              <w:rPr>
                <w:rStyle w:val="IndexLink"/>
              </w:rPr>
              <w:t>208</w:t>
            </w:r>
          </w:hyperlink>
        </w:p>
        <w:p>
          <w:pPr>
            <w:pStyle w:val="Contents6"/>
            <w:tabs>
              <w:tab w:val="clear" w:pos="7609"/>
              <w:tab w:val="right" w:pos="9026" w:leader="dot"/>
            </w:tabs>
            <w:rPr/>
          </w:pPr>
          <w:hyperlink w:anchor="__RefHeading___Toc1366231_388300464">
            <w:r>
              <w:rPr>
                <w:webHidden/>
                <w:rStyle w:val="IndexLink"/>
              </w:rPr>
              <w:t>3</w:t>
            </w:r>
            <w:r>
              <w:rPr>
                <w:rStyle w:val="IndexLink"/>
                <w:rtl w:val="true"/>
              </w:rPr>
              <w:t xml:space="preserve">. </w:t>
            </w:r>
            <w:r>
              <w:rPr>
                <w:rStyle w:val="IndexLink"/>
                <w:rtl w:val="true"/>
              </w:rPr>
              <w:t>إذن الإمام لترك صلاة الجمعة في يوم اجتمع فيه عيدان</w:t>
            </w:r>
            <w:r>
              <w:rPr>
                <w:rStyle w:val="IndexLink"/>
                <w:rtl w:val="true"/>
              </w:rPr>
              <w:tab/>
            </w:r>
            <w:r>
              <w:rPr>
                <w:rStyle w:val="IndexLink"/>
              </w:rPr>
              <w:t>210</w:t>
            </w:r>
          </w:hyperlink>
        </w:p>
        <w:p>
          <w:pPr>
            <w:pStyle w:val="Contents6"/>
            <w:tabs>
              <w:tab w:val="clear" w:pos="7609"/>
              <w:tab w:val="right" w:pos="9026" w:leader="dot"/>
            </w:tabs>
            <w:rPr/>
          </w:pPr>
          <w:hyperlink w:anchor="__RefHeading___Toc1366233_388300464">
            <w:r>
              <w:rPr>
                <w:webHidden/>
                <w:rStyle w:val="IndexLink"/>
              </w:rPr>
              <w:t>4</w:t>
            </w:r>
            <w:r>
              <w:rPr>
                <w:rStyle w:val="IndexLink"/>
                <w:rtl w:val="true"/>
              </w:rPr>
              <w:t xml:space="preserve">. </w:t>
            </w:r>
            <w:r>
              <w:rPr>
                <w:rStyle w:val="IndexLink"/>
                <w:rtl w:val="true"/>
              </w:rPr>
              <w:t>قولهم عليهم السلام لنا الجمعة</w:t>
            </w:r>
            <w:r>
              <w:rPr>
                <w:rStyle w:val="IndexLink"/>
                <w:rtl w:val="true"/>
              </w:rPr>
              <w:tab/>
            </w:r>
            <w:r>
              <w:rPr>
                <w:rStyle w:val="IndexLink"/>
              </w:rPr>
              <w:t>211</w:t>
            </w:r>
          </w:hyperlink>
        </w:p>
        <w:p>
          <w:pPr>
            <w:pStyle w:val="Contents6"/>
            <w:tabs>
              <w:tab w:val="clear" w:pos="7609"/>
              <w:tab w:val="right" w:pos="9026" w:leader="dot"/>
            </w:tabs>
            <w:rPr/>
          </w:pPr>
          <w:hyperlink w:anchor="__RefHeading___Toc1366235_388300464">
            <w:r>
              <w:rPr>
                <w:webHidden/>
                <w:rStyle w:val="IndexLink"/>
              </w:rPr>
              <w:t>5</w:t>
            </w:r>
            <w:r>
              <w:rPr>
                <w:rStyle w:val="IndexLink"/>
                <w:rtl w:val="true"/>
              </w:rPr>
              <w:t xml:space="preserve">. </w:t>
            </w:r>
            <w:r>
              <w:rPr>
                <w:rStyle w:val="IndexLink"/>
                <w:rtl w:val="true"/>
              </w:rPr>
              <w:t>الاستدلال بروايات ضعاف</w:t>
            </w:r>
            <w:r>
              <w:rPr>
                <w:rStyle w:val="IndexLink"/>
                <w:rtl w:val="true"/>
              </w:rPr>
              <w:tab/>
            </w:r>
            <w:r>
              <w:rPr>
                <w:rStyle w:val="IndexLink"/>
              </w:rPr>
              <w:t>211</w:t>
            </w:r>
          </w:hyperlink>
        </w:p>
        <w:p>
          <w:pPr>
            <w:pStyle w:val="Contents5"/>
            <w:tabs>
              <w:tab w:val="clear" w:pos="7892"/>
              <w:tab w:val="right" w:pos="9026" w:leader="dot"/>
            </w:tabs>
            <w:rPr/>
          </w:pPr>
          <w:hyperlink w:anchor="__RefHeading___Toc1366237_388300464">
            <w:r>
              <w:rPr>
                <w:webHidden/>
                <w:rStyle w:val="IndexLink"/>
                <w:rtl w:val="true"/>
              </w:rPr>
              <w:t>[</w:t>
            </w:r>
            <w:r>
              <w:rPr>
                <w:rStyle w:val="IndexLink"/>
                <w:rtl w:val="true"/>
              </w:rPr>
              <w:t>القول</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القول بالتخيير</w:t>
            </w:r>
            <w:r>
              <w:rPr>
                <w:rStyle w:val="IndexLink"/>
                <w:rtl w:val="true"/>
              </w:rPr>
              <w:tab/>
            </w:r>
            <w:r>
              <w:rPr>
                <w:rStyle w:val="IndexLink"/>
              </w:rPr>
              <w:t>215</w:t>
            </w:r>
          </w:hyperlink>
        </w:p>
        <w:p>
          <w:pPr>
            <w:pStyle w:val="Contents6"/>
            <w:tabs>
              <w:tab w:val="clear" w:pos="7609"/>
              <w:tab w:val="right" w:pos="9026" w:leader="dot"/>
            </w:tabs>
            <w:rPr/>
          </w:pPr>
          <w:hyperlink w:anchor="__RefHeading___Toc1366239_388300464">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366241_388300464">
            <w:r>
              <w:rPr>
                <w:webHidden/>
                <w:rStyle w:val="IndexLink"/>
                <w:rtl w:val="true"/>
              </w:rPr>
              <w:t>الأوّل</w:t>
            </w:r>
            <w:r>
              <w:rPr>
                <w:rStyle w:val="IndexLink"/>
                <w:rtl w:val="true"/>
              </w:rPr>
              <w:t xml:space="preserve">: </w:t>
            </w:r>
            <w:r>
              <w:rPr>
                <w:rStyle w:val="IndexLink"/>
                <w:rtl w:val="true"/>
              </w:rPr>
              <w:t>دراسة القول على ضوء القواعد الأوّلية</w:t>
            </w:r>
            <w:r>
              <w:rPr>
                <w:rStyle w:val="IndexLink"/>
                <w:rtl w:val="true"/>
              </w:rPr>
              <w:tab/>
            </w:r>
            <w:r>
              <w:rPr>
                <w:rStyle w:val="IndexLink"/>
              </w:rPr>
              <w:t>216</w:t>
            </w:r>
          </w:hyperlink>
        </w:p>
        <w:p>
          <w:pPr>
            <w:pStyle w:val="Contents6"/>
            <w:tabs>
              <w:tab w:val="clear" w:pos="7609"/>
              <w:tab w:val="right" w:pos="9026" w:leader="dot"/>
            </w:tabs>
            <w:rPr/>
          </w:pPr>
          <w:hyperlink w:anchor="__RefHeading___Toc1366243_388300464">
            <w:r>
              <w:rPr>
                <w:webHidden/>
                <w:rStyle w:val="IndexLink"/>
                <w:rtl w:val="true"/>
              </w:rPr>
              <w:t>المقام الثاني</w:t>
            </w:r>
            <w:r>
              <w:rPr>
                <w:rStyle w:val="IndexLink"/>
                <w:rtl w:val="true"/>
              </w:rPr>
              <w:t xml:space="preserve">: </w:t>
            </w:r>
            <w:r>
              <w:rPr>
                <w:rStyle w:val="IndexLink"/>
                <w:rtl w:val="true"/>
              </w:rPr>
              <w:t>دراسة القول حسب الأدلة الاجتهادية</w:t>
            </w:r>
            <w:r>
              <w:rPr>
                <w:rStyle w:val="IndexLink"/>
                <w:rtl w:val="true"/>
              </w:rPr>
              <w:tab/>
            </w:r>
            <w:r>
              <w:rPr>
                <w:rStyle w:val="IndexLink"/>
              </w:rPr>
              <w:t>218</w:t>
            </w:r>
          </w:hyperlink>
        </w:p>
        <w:p>
          <w:pPr>
            <w:pStyle w:val="Contents6"/>
            <w:tabs>
              <w:tab w:val="clear" w:pos="7609"/>
              <w:tab w:val="right" w:pos="9026" w:leader="dot"/>
            </w:tabs>
            <w:rPr/>
          </w:pPr>
          <w:hyperlink w:anchor="__RefHeading___Toc1366245_388300464">
            <w:r>
              <w:rPr>
                <w:webHidden/>
                <w:rStyle w:val="IndexLink"/>
                <w:rtl w:val="true"/>
              </w:rPr>
              <w:t>الاستدلال على الوجوب التخييري بالاستبعادات</w:t>
            </w:r>
            <w:r>
              <w:rPr>
                <w:rStyle w:val="IndexLink"/>
                <w:rtl w:val="true"/>
              </w:rPr>
              <w:tab/>
            </w:r>
            <w:r>
              <w:rPr>
                <w:rStyle w:val="IndexLink"/>
              </w:rPr>
              <w:t>221</w:t>
            </w:r>
          </w:hyperlink>
        </w:p>
        <w:p>
          <w:pPr>
            <w:pStyle w:val="Contents5"/>
            <w:tabs>
              <w:tab w:val="clear" w:pos="7892"/>
              <w:tab w:val="right" w:pos="9026" w:leader="dot"/>
            </w:tabs>
            <w:rPr/>
          </w:pPr>
          <w:hyperlink w:anchor="__RefHeading___Toc1366247_388300464">
            <w:r>
              <w:rPr>
                <w:webHidden/>
                <w:rStyle w:val="IndexLink"/>
                <w:rtl w:val="true"/>
              </w:rPr>
              <w:t>القول الثالث</w:t>
            </w:r>
            <w:r>
              <w:rPr>
                <w:rStyle w:val="IndexLink"/>
                <w:rtl w:val="true"/>
              </w:rPr>
              <w:t xml:space="preserve">: </w:t>
            </w:r>
            <w:r>
              <w:rPr>
                <w:rStyle w:val="IndexLink"/>
                <w:rtl w:val="true"/>
              </w:rPr>
              <w:t>الوجوب التعييني في عصري الحضور والغيبة</w:t>
            </w:r>
            <w:r>
              <w:rPr>
                <w:rStyle w:val="IndexLink"/>
                <w:rtl w:val="true"/>
              </w:rPr>
              <w:tab/>
            </w:r>
            <w:r>
              <w:rPr>
                <w:rStyle w:val="IndexLink"/>
              </w:rPr>
              <w:t>226</w:t>
            </w:r>
          </w:hyperlink>
        </w:p>
        <w:p>
          <w:pPr>
            <w:pStyle w:val="Contents6"/>
            <w:tabs>
              <w:tab w:val="clear" w:pos="7609"/>
              <w:tab w:val="right" w:pos="9026" w:leader="dot"/>
            </w:tabs>
            <w:rPr/>
          </w:pPr>
          <w:hyperlink w:anchor="__RefHeading___Toc1366249_388300464">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366251_388300464">
            <w:r>
              <w:rPr>
                <w:webHidden/>
                <w:rStyle w:val="IndexLink"/>
                <w:rtl w:val="true"/>
              </w:rPr>
              <w:t>الاستدلال بالروايات</w:t>
            </w:r>
            <w:r>
              <w:rPr>
                <w:rStyle w:val="IndexLink"/>
                <w:rtl w:val="true"/>
              </w:rPr>
              <w:tab/>
            </w:r>
            <w:r>
              <w:rPr>
                <w:rStyle w:val="IndexLink"/>
              </w:rPr>
              <w:t>229</w:t>
            </w:r>
          </w:hyperlink>
        </w:p>
        <w:p>
          <w:pPr>
            <w:pStyle w:val="Contents6"/>
            <w:tabs>
              <w:tab w:val="clear" w:pos="7609"/>
              <w:tab w:val="right" w:pos="9026" w:leader="dot"/>
            </w:tabs>
            <w:rPr/>
          </w:pPr>
          <w:hyperlink w:anchor="__RefHeading___Toc1366253_388300464">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366255_388300464">
            <w:r>
              <w:rPr>
                <w:webHidden/>
                <w:rStyle w:val="IndexLink"/>
                <w:rtl w:val="true"/>
              </w:rPr>
              <w:t>الطائفة الأُولى</w:t>
            </w:r>
            <w:r>
              <w:rPr>
                <w:rStyle w:val="IndexLink"/>
                <w:rtl w:val="true"/>
              </w:rPr>
              <w:t xml:space="preserve">: </w:t>
            </w:r>
            <w:r>
              <w:rPr>
                <w:rStyle w:val="IndexLink"/>
                <w:rtl w:val="true"/>
              </w:rPr>
              <w:t>ما يذكر مَن تجب عليه صلاة الجمعة من دون أن يذكر حضور الإمام</w:t>
            </w:r>
            <w:r>
              <w:rPr>
                <w:rStyle w:val="IndexLink"/>
                <w:rtl w:val="true"/>
              </w:rPr>
              <w:tab/>
            </w:r>
            <w:r>
              <w:rPr>
                <w:rStyle w:val="IndexLink"/>
              </w:rPr>
              <w:t>230</w:t>
            </w:r>
          </w:hyperlink>
        </w:p>
        <w:p>
          <w:pPr>
            <w:pStyle w:val="Contents6"/>
            <w:tabs>
              <w:tab w:val="clear" w:pos="7609"/>
              <w:tab w:val="right" w:pos="9026" w:leader="dot"/>
            </w:tabs>
            <w:rPr/>
          </w:pPr>
          <w:hyperlink w:anchor="__RefHeading___Toc1366257_388300464">
            <w:r>
              <w:rPr>
                <w:webHidden/>
                <w:rStyle w:val="IndexLink"/>
                <w:rtl w:val="true"/>
              </w:rPr>
              <w:t>الطائفة الثانية</w:t>
            </w:r>
            <w:r>
              <w:rPr>
                <w:rStyle w:val="IndexLink"/>
                <w:rtl w:val="true"/>
              </w:rPr>
              <w:t xml:space="preserve">: </w:t>
            </w:r>
            <w:r>
              <w:rPr>
                <w:rStyle w:val="IndexLink"/>
                <w:rtl w:val="true"/>
              </w:rPr>
              <w:t>ما يدلّ على البعث على الإقامة مع عدم كون المقيم هو المعصوم</w:t>
            </w:r>
            <w:r>
              <w:rPr>
                <w:rStyle w:val="IndexLink"/>
                <w:rtl w:val="true"/>
              </w:rPr>
              <w:tab/>
            </w:r>
            <w:r>
              <w:rPr>
                <w:rStyle w:val="IndexLink"/>
              </w:rPr>
              <w:t>234</w:t>
            </w:r>
          </w:hyperlink>
        </w:p>
        <w:p>
          <w:pPr>
            <w:pStyle w:val="Contents6"/>
            <w:tabs>
              <w:tab w:val="clear" w:pos="7609"/>
              <w:tab w:val="right" w:pos="9026" w:leader="dot"/>
            </w:tabs>
            <w:rPr/>
          </w:pPr>
          <w:hyperlink w:anchor="__RefHeading___Toc1366259_388300464">
            <w:r>
              <w:rPr>
                <w:webHidden/>
                <w:rStyle w:val="IndexLink"/>
                <w:rtl w:val="true"/>
              </w:rPr>
              <w:t>الطائفة الثالثة</w:t>
            </w:r>
            <w:r>
              <w:rPr>
                <w:rStyle w:val="IndexLink"/>
                <w:rtl w:val="true"/>
              </w:rPr>
              <w:t xml:space="preserve">: </w:t>
            </w:r>
            <w:r>
              <w:rPr>
                <w:rStyle w:val="IndexLink"/>
                <w:rtl w:val="true"/>
              </w:rPr>
              <w:t>ما يركّز على الوجوب عند العدد المخصوص</w:t>
            </w:r>
            <w:r>
              <w:rPr>
                <w:rStyle w:val="IndexLink"/>
                <w:rtl w:val="true"/>
              </w:rPr>
              <w:tab/>
            </w:r>
            <w:r>
              <w:rPr>
                <w:rStyle w:val="IndexLink"/>
              </w:rPr>
              <w:t>237</w:t>
            </w:r>
          </w:hyperlink>
        </w:p>
        <w:p>
          <w:pPr>
            <w:pStyle w:val="Contents6"/>
            <w:tabs>
              <w:tab w:val="clear" w:pos="7609"/>
              <w:tab w:val="right" w:pos="9026" w:leader="dot"/>
            </w:tabs>
            <w:rPr/>
          </w:pPr>
          <w:hyperlink w:anchor="__RefHeading___Toc1366261_388300464">
            <w:r>
              <w:rPr>
                <w:webHidden/>
                <w:rStyle w:val="IndexLink"/>
                <w:rtl w:val="true"/>
              </w:rPr>
              <w:t>الطائفة الرابعة</w:t>
            </w:r>
            <w:r>
              <w:rPr>
                <w:rStyle w:val="IndexLink"/>
                <w:rtl w:val="true"/>
              </w:rPr>
              <w:t xml:space="preserve">: </w:t>
            </w:r>
            <w:r>
              <w:rPr>
                <w:rStyle w:val="IndexLink"/>
                <w:rtl w:val="true"/>
              </w:rPr>
              <w:t>ما ورد في أنّ الخطيب ليس هو الإمام الأصل</w:t>
            </w:r>
            <w:r>
              <w:rPr>
                <w:rStyle w:val="IndexLink"/>
                <w:rtl w:val="true"/>
              </w:rPr>
              <w:tab/>
            </w:r>
            <w:r>
              <w:rPr>
                <w:rStyle w:val="IndexLink"/>
              </w:rPr>
              <w:t>239</w:t>
            </w:r>
          </w:hyperlink>
        </w:p>
        <w:p>
          <w:pPr>
            <w:pStyle w:val="Contents4"/>
            <w:tabs>
              <w:tab w:val="clear" w:pos="8176"/>
              <w:tab w:val="right" w:pos="9026" w:leader="dot"/>
            </w:tabs>
            <w:rPr/>
          </w:pPr>
          <w:hyperlink w:anchor="__RefHeading___Toc1366263_388300464">
            <w:r>
              <w:rPr>
                <w:webHidden/>
                <w:rStyle w:val="IndexLink"/>
                <w:rtl w:val="true"/>
              </w:rPr>
              <w:t>بقيت هنا أسئلة نطرحها على طاولة البحث</w:t>
            </w:r>
            <w:r>
              <w:rPr>
                <w:rStyle w:val="IndexLink"/>
                <w:rtl w:val="true"/>
              </w:rPr>
              <w:tab/>
            </w:r>
            <w:r>
              <w:rPr>
                <w:rStyle w:val="IndexLink"/>
              </w:rPr>
              <w:t>241</w:t>
            </w:r>
          </w:hyperlink>
        </w:p>
        <w:p>
          <w:pPr>
            <w:pStyle w:val="Contents4"/>
            <w:tabs>
              <w:tab w:val="clear" w:pos="8176"/>
              <w:tab w:val="right" w:pos="9026" w:leader="dot"/>
            </w:tabs>
            <w:rPr/>
          </w:pPr>
          <w:hyperlink w:anchor="__RefHeading___Toc1366265_388300464">
            <w:r>
              <w:rPr>
                <w:webHidden/>
                <w:rStyle w:val="IndexLink"/>
                <w:rtl w:val="true"/>
              </w:rPr>
              <w:t>فرع</w:t>
            </w:r>
            <w:r>
              <w:rPr>
                <w:rStyle w:val="IndexLink"/>
                <w:rtl w:val="true"/>
              </w:rPr>
              <w:t xml:space="preserve">: </w:t>
            </w:r>
            <w:r>
              <w:rPr>
                <w:rStyle w:val="IndexLink"/>
                <w:rtl w:val="true"/>
              </w:rPr>
              <w:t>تعدّد الجمعة في أقلّ من فرسخ</w:t>
            </w:r>
            <w:r>
              <w:rPr>
                <w:rStyle w:val="IndexLink"/>
                <w:rtl w:val="true"/>
              </w:rPr>
              <w:tab/>
            </w:r>
            <w:r>
              <w:rPr>
                <w:rStyle w:val="IndexLink"/>
              </w:rPr>
              <w:t>254</w:t>
            </w:r>
          </w:hyperlink>
        </w:p>
        <w:p>
          <w:pPr>
            <w:pStyle w:val="Contents3"/>
            <w:tabs>
              <w:tab w:val="clear" w:pos="8459"/>
              <w:tab w:val="right" w:pos="9026" w:leader="dot"/>
            </w:tabs>
            <w:rPr/>
          </w:pPr>
          <w:hyperlink w:anchor="__RefHeading___Toc1366267_388300464">
            <w:r>
              <w:rPr>
                <w:webHidden/>
                <w:rStyle w:val="IndexLink"/>
              </w:rPr>
              <w:t>7</w:t>
            </w:r>
            <w:r>
              <w:rPr>
                <w:rStyle w:val="IndexLink"/>
                <w:rtl w:val="true"/>
              </w:rPr>
              <w:t xml:space="preserve">. </w:t>
            </w:r>
            <w:r>
              <w:rPr>
                <w:rStyle w:val="IndexLink"/>
                <w:rtl w:val="true"/>
              </w:rPr>
              <w:t>الجهر والمخافتة في الصلاة</w:t>
            </w:r>
            <w:r>
              <w:rPr>
                <w:rStyle w:val="IndexLink"/>
                <w:rtl w:val="true"/>
              </w:rPr>
              <w:tab/>
            </w:r>
            <w:r>
              <w:rPr>
                <w:rStyle w:val="IndexLink"/>
              </w:rPr>
              <w:t>256</w:t>
            </w:r>
          </w:hyperlink>
        </w:p>
        <w:p>
          <w:pPr>
            <w:pStyle w:val="Contents4"/>
            <w:tabs>
              <w:tab w:val="clear" w:pos="8176"/>
              <w:tab w:val="right" w:pos="9026" w:leader="dot"/>
            </w:tabs>
            <w:rPr/>
          </w:pPr>
          <w:hyperlink w:anchor="__RefHeading___Toc1366269_388300464">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366271_388300464">
            <w:r>
              <w:rPr>
                <w:webHidden/>
                <w:rStyle w:val="IndexLink"/>
                <w:rtl w:val="true"/>
              </w:rPr>
              <w:t>المفردات</w:t>
            </w:r>
            <w:r>
              <w:rPr>
                <w:rStyle w:val="IndexLink"/>
                <w:rtl w:val="true"/>
              </w:rPr>
              <w:tab/>
            </w:r>
            <w:r>
              <w:rPr>
                <w:rStyle w:val="IndexLink"/>
              </w:rPr>
              <w:t>256</w:t>
            </w:r>
          </w:hyperlink>
        </w:p>
        <w:p>
          <w:pPr>
            <w:pStyle w:val="Contents4"/>
            <w:tabs>
              <w:tab w:val="clear" w:pos="8176"/>
              <w:tab w:val="right" w:pos="9026" w:leader="dot"/>
            </w:tabs>
            <w:rPr/>
          </w:pPr>
          <w:hyperlink w:anchor="__RefHeading___Toc1366273_388300464">
            <w:r>
              <w:rPr>
                <w:webHidden/>
                <w:rStyle w:val="IndexLink"/>
                <w:rtl w:val="true"/>
              </w:rPr>
              <w:t>التفسير</w:t>
            </w:r>
            <w:r>
              <w:rPr>
                <w:rStyle w:val="IndexLink"/>
                <w:rtl w:val="true"/>
              </w:rPr>
              <w:tab/>
            </w:r>
            <w:r>
              <w:rPr>
                <w:rStyle w:val="IndexLink"/>
              </w:rPr>
              <w:t>257</w:t>
            </w:r>
          </w:hyperlink>
        </w:p>
        <w:p>
          <w:pPr>
            <w:pStyle w:val="Contents3"/>
            <w:tabs>
              <w:tab w:val="clear" w:pos="8459"/>
              <w:tab w:val="right" w:pos="9026" w:leader="dot"/>
            </w:tabs>
            <w:rPr/>
          </w:pPr>
          <w:hyperlink w:anchor="__RefHeading___Toc1366275_388300464">
            <w:r>
              <w:rPr>
                <w:webHidden/>
                <w:rStyle w:val="IndexLink"/>
              </w:rPr>
              <w:t>8</w:t>
            </w:r>
            <w:r>
              <w:rPr>
                <w:rStyle w:val="IndexLink"/>
                <w:rtl w:val="true"/>
              </w:rPr>
              <w:t xml:space="preserve">. </w:t>
            </w:r>
            <w:r>
              <w:rPr>
                <w:rStyle w:val="IndexLink"/>
                <w:rtl w:val="true"/>
              </w:rPr>
              <w:t>التسليم على النبيّ صلى الله عليه و آله و سلم في التشهّد</w:t>
            </w:r>
            <w:r>
              <w:rPr>
                <w:rStyle w:val="IndexLink"/>
                <w:rtl w:val="true"/>
              </w:rPr>
              <w:tab/>
            </w:r>
            <w:r>
              <w:rPr>
                <w:rStyle w:val="IndexLink"/>
              </w:rPr>
              <w:t>260</w:t>
            </w:r>
          </w:hyperlink>
        </w:p>
        <w:p>
          <w:pPr>
            <w:pStyle w:val="Contents4"/>
            <w:tabs>
              <w:tab w:val="clear" w:pos="8176"/>
              <w:tab w:val="right" w:pos="9026" w:leader="dot"/>
            </w:tabs>
            <w:rPr/>
          </w:pPr>
          <w:hyperlink w:anchor="__RefHeading___Toc1366277_388300464">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366279_388300464">
            <w:r>
              <w:rPr>
                <w:webHidden/>
                <w:rStyle w:val="IndexLink"/>
                <w:rtl w:val="true"/>
              </w:rPr>
              <w:t>المفردات</w:t>
            </w:r>
            <w:r>
              <w:rPr>
                <w:rStyle w:val="IndexLink"/>
                <w:rtl w:val="true"/>
              </w:rPr>
              <w:tab/>
            </w:r>
            <w:r>
              <w:rPr>
                <w:rStyle w:val="IndexLink"/>
              </w:rPr>
              <w:t>260</w:t>
            </w:r>
          </w:hyperlink>
        </w:p>
        <w:p>
          <w:pPr>
            <w:pStyle w:val="Contents4"/>
            <w:tabs>
              <w:tab w:val="clear" w:pos="8176"/>
              <w:tab w:val="right" w:pos="9026" w:leader="dot"/>
            </w:tabs>
            <w:rPr/>
          </w:pPr>
          <w:hyperlink w:anchor="__RefHeading___Toc1366281_388300464">
            <w:r>
              <w:rPr>
                <w:webHidden/>
                <w:rStyle w:val="IndexLink"/>
                <w:rtl w:val="true"/>
              </w:rPr>
              <w:t>الآية دالّة على أنّ النبيّ حيّ‌</w:t>
            </w:r>
            <w:r>
              <w:rPr>
                <w:rStyle w:val="IndexLink"/>
                <w:rtl w:val="true"/>
              </w:rPr>
              <w:tab/>
            </w:r>
            <w:r>
              <w:rPr>
                <w:rStyle w:val="IndexLink"/>
              </w:rPr>
              <w:t>262</w:t>
            </w:r>
          </w:hyperlink>
        </w:p>
        <w:p>
          <w:pPr>
            <w:pStyle w:val="Contents4"/>
            <w:tabs>
              <w:tab w:val="clear" w:pos="8176"/>
              <w:tab w:val="right" w:pos="9026" w:leader="dot"/>
            </w:tabs>
            <w:rPr/>
          </w:pPr>
          <w:hyperlink w:anchor="__RefHeading___Toc1366283_388300464">
            <w:r>
              <w:rPr>
                <w:webHidden/>
                <w:rStyle w:val="IndexLink"/>
                <w:rtl w:val="true"/>
              </w:rPr>
              <w:t>المقام الثاني</w:t>
            </w:r>
            <w:r>
              <w:rPr>
                <w:rStyle w:val="IndexLink"/>
                <w:rtl w:val="true"/>
              </w:rPr>
              <w:t xml:space="preserve">: </w:t>
            </w:r>
            <w:r>
              <w:rPr>
                <w:rStyle w:val="IndexLink"/>
                <w:rtl w:val="true"/>
              </w:rPr>
              <w:t>الصلاة على النبيّ عند ذكر اسمه</w:t>
            </w:r>
            <w:r>
              <w:rPr>
                <w:rStyle w:val="IndexLink"/>
                <w:rtl w:val="true"/>
              </w:rPr>
              <w:tab/>
            </w:r>
            <w:r>
              <w:rPr>
                <w:rStyle w:val="IndexLink"/>
              </w:rPr>
              <w:t>263</w:t>
            </w:r>
          </w:hyperlink>
        </w:p>
        <w:p>
          <w:pPr>
            <w:pStyle w:val="Contents4"/>
            <w:tabs>
              <w:tab w:val="clear" w:pos="8176"/>
              <w:tab w:val="right" w:pos="9026" w:leader="dot"/>
            </w:tabs>
            <w:rPr/>
          </w:pPr>
          <w:hyperlink w:anchor="__RefHeading___Toc1366285_388300464">
            <w:r>
              <w:rPr>
                <w:webHidden/>
                <w:rStyle w:val="IndexLink"/>
                <w:rtl w:val="true"/>
              </w:rPr>
              <w:t>الصلاة على النبيّ صلى الله عليه و آله و سلم إذا لم يذكر الآل فيها</w:t>
            </w:r>
            <w:r>
              <w:rPr>
                <w:rStyle w:val="IndexLink"/>
                <w:rtl w:val="true"/>
              </w:rPr>
              <w:t>:</w:t>
              <w:tab/>
            </w:r>
            <w:r>
              <w:rPr>
                <w:rStyle w:val="IndexLink"/>
              </w:rPr>
              <w:t>265</w:t>
            </w:r>
          </w:hyperlink>
        </w:p>
        <w:p>
          <w:pPr>
            <w:pStyle w:val="Contents4"/>
            <w:tabs>
              <w:tab w:val="clear" w:pos="8176"/>
              <w:tab w:val="right" w:pos="9026" w:leader="dot"/>
            </w:tabs>
            <w:rPr/>
          </w:pPr>
          <w:hyperlink w:anchor="__RefHeading___Toc1366287_388300464">
            <w:r>
              <w:rPr>
                <w:webHidden/>
                <w:rStyle w:val="IndexLink"/>
                <w:rtl w:val="true"/>
              </w:rPr>
              <w:t>ما ذا يراد من الآل‌؟</w:t>
            </w:r>
            <w:r>
              <w:rPr>
                <w:rStyle w:val="IndexLink"/>
                <w:rtl w:val="true"/>
              </w:rPr>
              <w:tab/>
            </w:r>
            <w:r>
              <w:rPr>
                <w:rStyle w:val="IndexLink"/>
              </w:rPr>
              <w:t>267</w:t>
            </w:r>
          </w:hyperlink>
        </w:p>
        <w:p>
          <w:pPr>
            <w:pStyle w:val="Contents3"/>
            <w:tabs>
              <w:tab w:val="clear" w:pos="8459"/>
              <w:tab w:val="right" w:pos="9026" w:leader="dot"/>
            </w:tabs>
            <w:rPr/>
          </w:pPr>
          <w:hyperlink w:anchor="__RefHeading___Toc1366289_388300464">
            <w:r>
              <w:rPr>
                <w:webHidden/>
                <w:rStyle w:val="IndexLink"/>
              </w:rPr>
              <w:t>9</w:t>
            </w:r>
            <w:r>
              <w:rPr>
                <w:rStyle w:val="IndexLink"/>
                <w:rtl w:val="true"/>
              </w:rPr>
              <w:t xml:space="preserve">. </w:t>
            </w:r>
            <w:r>
              <w:rPr>
                <w:rStyle w:val="IndexLink"/>
                <w:rtl w:val="true"/>
              </w:rPr>
              <w:t>الاستماع والإنصات عند قراءة القرآن</w:t>
            </w:r>
            <w:r>
              <w:rPr>
                <w:rStyle w:val="IndexLink"/>
                <w:rtl w:val="true"/>
              </w:rPr>
              <w:tab/>
            </w:r>
            <w:r>
              <w:rPr>
                <w:rStyle w:val="IndexLink"/>
              </w:rPr>
              <w:t>268</w:t>
            </w:r>
          </w:hyperlink>
        </w:p>
        <w:p>
          <w:pPr>
            <w:pStyle w:val="Contents4"/>
            <w:tabs>
              <w:tab w:val="clear" w:pos="8176"/>
              <w:tab w:val="right" w:pos="9026" w:leader="dot"/>
            </w:tabs>
            <w:rPr/>
          </w:pPr>
          <w:hyperlink w:anchor="__RefHeading___Toc1366291_388300464">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366293_388300464">
            <w:r>
              <w:rPr>
                <w:webHidden/>
                <w:rStyle w:val="IndexLink"/>
                <w:rtl w:val="true"/>
              </w:rPr>
              <w:t>المفردات</w:t>
            </w:r>
            <w:r>
              <w:rPr>
                <w:rStyle w:val="IndexLink"/>
                <w:rtl w:val="true"/>
              </w:rPr>
              <w:tab/>
            </w:r>
            <w:r>
              <w:rPr>
                <w:rStyle w:val="IndexLink"/>
              </w:rPr>
              <w:t>268</w:t>
            </w:r>
          </w:hyperlink>
        </w:p>
        <w:p>
          <w:pPr>
            <w:pStyle w:val="Contents4"/>
            <w:tabs>
              <w:tab w:val="clear" w:pos="8176"/>
              <w:tab w:val="right" w:pos="9026" w:leader="dot"/>
            </w:tabs>
            <w:rPr/>
          </w:pPr>
          <w:hyperlink w:anchor="__RefHeading___Toc1366295_388300464">
            <w:r>
              <w:rPr>
                <w:webHidden/>
                <w:rStyle w:val="IndexLink"/>
                <w:rtl w:val="true"/>
              </w:rPr>
              <w:t>التفسير</w:t>
            </w:r>
            <w:r>
              <w:rPr>
                <w:rStyle w:val="IndexLink"/>
                <w:rtl w:val="true"/>
              </w:rPr>
              <w:tab/>
            </w:r>
            <w:r>
              <w:rPr>
                <w:rStyle w:val="IndexLink"/>
              </w:rPr>
              <w:t>269</w:t>
            </w:r>
          </w:hyperlink>
        </w:p>
        <w:p>
          <w:pPr>
            <w:pStyle w:val="Contents4"/>
            <w:tabs>
              <w:tab w:val="clear" w:pos="8176"/>
              <w:tab w:val="right" w:pos="9026" w:leader="dot"/>
            </w:tabs>
            <w:rPr/>
          </w:pPr>
          <w:hyperlink w:anchor="__RefHeading___Toc1366297_388300464">
            <w:r>
              <w:rPr>
                <w:webHidden/>
                <w:rStyle w:val="IndexLink"/>
                <w:rtl w:val="true"/>
              </w:rPr>
              <w:t>اختصاص السكوت بحال الصلاة عند قراءة الإمام</w:t>
            </w:r>
            <w:r>
              <w:rPr>
                <w:rStyle w:val="IndexLink"/>
                <w:rtl w:val="true"/>
              </w:rPr>
              <w:tab/>
            </w:r>
            <w:r>
              <w:rPr>
                <w:rStyle w:val="IndexLink"/>
              </w:rPr>
              <w:t>270</w:t>
            </w:r>
          </w:hyperlink>
        </w:p>
        <w:p>
          <w:pPr>
            <w:pStyle w:val="Contents3"/>
            <w:tabs>
              <w:tab w:val="clear" w:pos="8459"/>
              <w:tab w:val="right" w:pos="9026" w:leader="dot"/>
            </w:tabs>
            <w:rPr/>
          </w:pPr>
          <w:hyperlink w:anchor="__RefHeading___Toc1366299_388300464">
            <w:r>
              <w:rPr>
                <w:webHidden/>
                <w:rStyle w:val="IndexLink"/>
              </w:rPr>
              <w:t>10</w:t>
            </w:r>
            <w:r>
              <w:rPr>
                <w:rStyle w:val="IndexLink"/>
                <w:rtl w:val="true"/>
              </w:rPr>
              <w:t xml:space="preserve">. </w:t>
            </w:r>
            <w:r>
              <w:rPr>
                <w:rStyle w:val="IndexLink"/>
                <w:rtl w:val="true"/>
              </w:rPr>
              <w:t>سجود التلاوة</w:t>
            </w:r>
            <w:r>
              <w:rPr>
                <w:rStyle w:val="IndexLink"/>
                <w:rtl w:val="true"/>
              </w:rPr>
              <w:tab/>
            </w:r>
            <w:r>
              <w:rPr>
                <w:rStyle w:val="IndexLink"/>
              </w:rPr>
              <w:t>273</w:t>
            </w:r>
          </w:hyperlink>
        </w:p>
        <w:p>
          <w:pPr>
            <w:pStyle w:val="Contents4"/>
            <w:tabs>
              <w:tab w:val="clear" w:pos="8176"/>
              <w:tab w:val="right" w:pos="9026" w:leader="dot"/>
            </w:tabs>
            <w:rPr/>
          </w:pPr>
          <w:hyperlink w:anchor="__RefHeading___Toc1366301_388300464">
            <w:r>
              <w:rPr>
                <w:webHidden/>
                <w:rStyle w:val="IndexLink"/>
                <w:rtl w:val="true"/>
              </w:rPr>
              <w:t>الآية الأُولى</w:t>
            </w:r>
            <w:r>
              <w:rPr>
                <w:rStyle w:val="IndexLink"/>
                <w:rtl w:val="true"/>
              </w:rPr>
              <w:tab/>
            </w:r>
            <w:r>
              <w:rPr>
                <w:rStyle w:val="IndexLink"/>
              </w:rPr>
              <w:t>273</w:t>
            </w:r>
          </w:hyperlink>
        </w:p>
        <w:p>
          <w:pPr>
            <w:pStyle w:val="Contents4"/>
            <w:tabs>
              <w:tab w:val="clear" w:pos="8176"/>
              <w:tab w:val="right" w:pos="9026" w:leader="dot"/>
            </w:tabs>
            <w:rPr/>
          </w:pPr>
          <w:hyperlink w:anchor="__RefHeading___Toc1366303_388300464">
            <w:r>
              <w:rPr>
                <w:webHidden/>
                <w:rStyle w:val="IndexLink"/>
                <w:rtl w:val="true"/>
              </w:rPr>
              <w:t>الآية الثانية</w:t>
            </w:r>
            <w:r>
              <w:rPr>
                <w:rStyle w:val="IndexLink"/>
                <w:rtl w:val="true"/>
              </w:rPr>
              <w:tab/>
            </w:r>
            <w:r>
              <w:rPr>
                <w:rStyle w:val="IndexLink"/>
              </w:rPr>
              <w:t>273</w:t>
            </w:r>
          </w:hyperlink>
        </w:p>
        <w:p>
          <w:pPr>
            <w:pStyle w:val="Contents4"/>
            <w:tabs>
              <w:tab w:val="clear" w:pos="8176"/>
              <w:tab w:val="right" w:pos="9026" w:leader="dot"/>
            </w:tabs>
            <w:rPr/>
          </w:pPr>
          <w:hyperlink w:anchor="__RefHeading___Toc1366305_388300464">
            <w:r>
              <w:rPr>
                <w:webHidden/>
                <w:rStyle w:val="IndexLink"/>
                <w:rtl w:val="true"/>
              </w:rPr>
              <w:t>الآية الثالثة</w:t>
            </w:r>
            <w:r>
              <w:rPr>
                <w:rStyle w:val="IndexLink"/>
                <w:rtl w:val="true"/>
              </w:rPr>
              <w:tab/>
            </w:r>
            <w:r>
              <w:rPr>
                <w:rStyle w:val="IndexLink"/>
              </w:rPr>
              <w:t>273</w:t>
            </w:r>
          </w:hyperlink>
        </w:p>
        <w:p>
          <w:pPr>
            <w:pStyle w:val="Contents4"/>
            <w:tabs>
              <w:tab w:val="clear" w:pos="8176"/>
              <w:tab w:val="right" w:pos="9026" w:leader="dot"/>
            </w:tabs>
            <w:rPr/>
          </w:pPr>
          <w:hyperlink w:anchor="__RefHeading___Toc1366307_388300464">
            <w:r>
              <w:rPr>
                <w:webHidden/>
                <w:rStyle w:val="IndexLink"/>
                <w:rtl w:val="true"/>
              </w:rPr>
              <w:t>الآية الرابعة</w:t>
            </w:r>
            <w:r>
              <w:rPr>
                <w:rStyle w:val="IndexLink"/>
                <w:rtl w:val="true"/>
              </w:rPr>
              <w:tab/>
            </w:r>
            <w:r>
              <w:rPr>
                <w:rStyle w:val="IndexLink"/>
              </w:rPr>
              <w:t>274</w:t>
            </w:r>
          </w:hyperlink>
        </w:p>
        <w:p>
          <w:pPr>
            <w:pStyle w:val="Contents4"/>
            <w:tabs>
              <w:tab w:val="clear" w:pos="8176"/>
              <w:tab w:val="right" w:pos="9026" w:leader="dot"/>
            </w:tabs>
            <w:rPr/>
          </w:pPr>
          <w:hyperlink w:anchor="__RefHeading___Toc1366309_388300464">
            <w:r>
              <w:rPr>
                <w:webHidden/>
                <w:rStyle w:val="IndexLink"/>
                <w:rtl w:val="true"/>
              </w:rPr>
              <w:t>حكم سجود التلاوة</w:t>
            </w:r>
            <w:r>
              <w:rPr>
                <w:rStyle w:val="IndexLink"/>
                <w:rtl w:val="true"/>
              </w:rPr>
              <w:tab/>
            </w:r>
            <w:r>
              <w:rPr>
                <w:rStyle w:val="IndexLink"/>
              </w:rPr>
              <w:t>274</w:t>
            </w:r>
          </w:hyperlink>
        </w:p>
        <w:p>
          <w:pPr>
            <w:pStyle w:val="Contents4"/>
            <w:tabs>
              <w:tab w:val="clear" w:pos="8176"/>
              <w:tab w:val="right" w:pos="9026" w:leader="dot"/>
            </w:tabs>
            <w:rPr/>
          </w:pPr>
          <w:hyperlink w:anchor="__RefHeading___Toc1366311_388300464">
            <w:r>
              <w:rPr>
                <w:webHidden/>
                <w:rStyle w:val="IndexLink"/>
                <w:rtl w:val="true"/>
              </w:rPr>
              <w:t>عدم جواز قراءة إحدى سور العزائم في الفريضة</w:t>
            </w:r>
            <w:r>
              <w:rPr>
                <w:rStyle w:val="IndexLink"/>
                <w:rtl w:val="true"/>
              </w:rPr>
              <w:tab/>
            </w:r>
            <w:r>
              <w:rPr>
                <w:rStyle w:val="IndexLink"/>
              </w:rPr>
              <w:t>276</w:t>
            </w:r>
          </w:hyperlink>
        </w:p>
        <w:p>
          <w:pPr>
            <w:pStyle w:val="Contents2"/>
            <w:tabs>
              <w:tab w:val="clear" w:pos="8743"/>
              <w:tab w:val="right" w:pos="9026" w:leader="dot"/>
            </w:tabs>
            <w:rPr/>
          </w:pPr>
          <w:hyperlink w:anchor="__RefHeading___Toc1366313_388300464">
            <w:r>
              <w:rPr>
                <w:webHidden/>
                <w:rStyle w:val="IndexLink"/>
                <w:rtl w:val="true"/>
              </w:rPr>
              <w:t>الفصل الثالث</w:t>
            </w:r>
            <w:r>
              <w:rPr>
                <w:rStyle w:val="IndexLink"/>
                <w:rtl w:val="true"/>
              </w:rPr>
              <w:t xml:space="preserve">: </w:t>
            </w:r>
            <w:r>
              <w:rPr>
                <w:rStyle w:val="IndexLink"/>
                <w:rtl w:val="true"/>
              </w:rPr>
              <w:t>أحكام الصيام في الذكر الحكيم</w:t>
            </w:r>
            <w:r>
              <w:rPr>
                <w:rStyle w:val="IndexLink"/>
                <w:rtl w:val="true"/>
              </w:rPr>
              <w:tab/>
            </w:r>
            <w:r>
              <w:rPr>
                <w:rStyle w:val="IndexLink"/>
              </w:rPr>
              <w:t>277</w:t>
            </w:r>
          </w:hyperlink>
        </w:p>
        <w:p>
          <w:pPr>
            <w:pStyle w:val="Contents3"/>
            <w:tabs>
              <w:tab w:val="clear" w:pos="8459"/>
              <w:tab w:val="right" w:pos="9026" w:leader="dot"/>
            </w:tabs>
            <w:rPr/>
          </w:pPr>
          <w:hyperlink w:anchor="__RefHeading___Toc1366315_388300464">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366317_388300464">
            <w:r>
              <w:rPr>
                <w:webHidden/>
                <w:rStyle w:val="IndexLink"/>
              </w:rPr>
              <w:t>1</w:t>
            </w:r>
            <w:r>
              <w:rPr>
                <w:rStyle w:val="IndexLink"/>
                <w:rtl w:val="true"/>
              </w:rPr>
              <w:t xml:space="preserve">. </w:t>
            </w:r>
            <w:r>
              <w:rPr>
                <w:rStyle w:val="IndexLink"/>
                <w:rtl w:val="true"/>
              </w:rPr>
              <w:t>الصيام فريضة مكتوبة في عامّة الشرائع</w:t>
            </w:r>
            <w:r>
              <w:rPr>
                <w:rStyle w:val="IndexLink"/>
                <w:rtl w:val="true"/>
              </w:rPr>
              <w:tab/>
            </w:r>
            <w:r>
              <w:rPr>
                <w:rStyle w:val="IndexLink"/>
              </w:rPr>
              <w:t>278</w:t>
            </w:r>
          </w:hyperlink>
        </w:p>
        <w:p>
          <w:pPr>
            <w:pStyle w:val="Contents4"/>
            <w:tabs>
              <w:tab w:val="clear" w:pos="8176"/>
              <w:tab w:val="right" w:pos="9026" w:leader="dot"/>
            </w:tabs>
            <w:rPr/>
          </w:pPr>
          <w:hyperlink w:anchor="__RefHeading___Toc1366319_388300464">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366321_388300464">
            <w:r>
              <w:rPr>
                <w:webHidden/>
                <w:rStyle w:val="IndexLink"/>
                <w:rtl w:val="true"/>
              </w:rPr>
              <w:t>الآية الأُولى</w:t>
            </w:r>
            <w:r>
              <w:rPr>
                <w:rStyle w:val="IndexLink"/>
                <w:rtl w:val="true"/>
              </w:rPr>
              <w:tab/>
            </w:r>
            <w:r>
              <w:rPr>
                <w:rStyle w:val="IndexLink"/>
              </w:rPr>
              <w:t>278</w:t>
            </w:r>
          </w:hyperlink>
        </w:p>
        <w:p>
          <w:pPr>
            <w:pStyle w:val="Contents5"/>
            <w:tabs>
              <w:tab w:val="clear" w:pos="7892"/>
              <w:tab w:val="right" w:pos="9026" w:leader="dot"/>
            </w:tabs>
            <w:rPr/>
          </w:pPr>
          <w:hyperlink w:anchor="__RefHeading___Toc1366323_388300464">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366325_388300464">
            <w:r>
              <w:rPr>
                <w:webHidden/>
                <w:rStyle w:val="IndexLink"/>
                <w:rtl w:val="true"/>
              </w:rPr>
              <w:t>المفردات</w:t>
            </w:r>
            <w:r>
              <w:rPr>
                <w:rStyle w:val="IndexLink"/>
                <w:rtl w:val="true"/>
              </w:rPr>
              <w:tab/>
            </w:r>
            <w:r>
              <w:rPr>
                <w:rStyle w:val="IndexLink"/>
              </w:rPr>
              <w:t>278</w:t>
            </w:r>
          </w:hyperlink>
        </w:p>
        <w:p>
          <w:pPr>
            <w:pStyle w:val="Contents5"/>
            <w:tabs>
              <w:tab w:val="clear" w:pos="7892"/>
              <w:tab w:val="right" w:pos="9026" w:leader="dot"/>
            </w:tabs>
            <w:rPr/>
          </w:pPr>
          <w:hyperlink w:anchor="__RefHeading___Toc1366327_388300464">
            <w:r>
              <w:rPr>
                <w:webHidden/>
                <w:rStyle w:val="IndexLink"/>
                <w:rtl w:val="true"/>
              </w:rPr>
              <w:t>التفسير</w:t>
            </w:r>
            <w:r>
              <w:rPr>
                <w:rStyle w:val="IndexLink"/>
                <w:rtl w:val="true"/>
              </w:rPr>
              <w:tab/>
            </w:r>
            <w:r>
              <w:rPr>
                <w:rStyle w:val="IndexLink"/>
              </w:rPr>
              <w:t>279</w:t>
            </w:r>
          </w:hyperlink>
        </w:p>
        <w:p>
          <w:pPr>
            <w:pStyle w:val="Contents4"/>
            <w:tabs>
              <w:tab w:val="clear" w:pos="8176"/>
              <w:tab w:val="right" w:pos="9026" w:leader="dot"/>
            </w:tabs>
            <w:rPr/>
          </w:pPr>
          <w:hyperlink w:anchor="__RefHeading___Toc1366329_388300464">
            <w:r>
              <w:rPr>
                <w:webHidden/>
                <w:rStyle w:val="IndexLink"/>
                <w:rtl w:val="true"/>
              </w:rPr>
              <w:t>تشريع الصوم في أيام معدودة</w:t>
            </w:r>
            <w:r>
              <w:rPr>
                <w:rStyle w:val="IndexLink"/>
                <w:rtl w:val="true"/>
              </w:rPr>
              <w:tab/>
            </w:r>
            <w:r>
              <w:rPr>
                <w:rStyle w:val="IndexLink"/>
              </w:rPr>
              <w:t>279</w:t>
            </w:r>
          </w:hyperlink>
        </w:p>
        <w:p>
          <w:pPr>
            <w:pStyle w:val="Contents4"/>
            <w:tabs>
              <w:tab w:val="clear" w:pos="8176"/>
              <w:tab w:val="right" w:pos="9026" w:leader="dot"/>
            </w:tabs>
            <w:rPr/>
          </w:pPr>
          <w:hyperlink w:anchor="__RefHeading___Toc1366331_388300464">
            <w:r>
              <w:rPr>
                <w:webHidden/>
                <w:rStyle w:val="IndexLink"/>
                <w:rtl w:val="true"/>
              </w:rPr>
              <w:t>بقي هنا أمران</w:t>
            </w:r>
            <w:r>
              <w:rPr>
                <w:rStyle w:val="IndexLink"/>
                <w:rtl w:val="true"/>
              </w:rPr>
              <w:t>:</w:t>
              <w:tab/>
            </w:r>
            <w:r>
              <w:rPr>
                <w:rStyle w:val="IndexLink"/>
              </w:rPr>
              <w:t>280</w:t>
            </w:r>
          </w:hyperlink>
        </w:p>
        <w:p>
          <w:pPr>
            <w:pStyle w:val="Contents3"/>
            <w:tabs>
              <w:tab w:val="clear" w:pos="8459"/>
              <w:tab w:val="right" w:pos="9026" w:leader="dot"/>
            </w:tabs>
            <w:rPr/>
          </w:pPr>
          <w:hyperlink w:anchor="__RefHeading___Toc1366333_388300464">
            <w:r>
              <w:rPr>
                <w:webHidden/>
                <w:rStyle w:val="IndexLink"/>
              </w:rPr>
              <w:t>2</w:t>
            </w:r>
            <w:r>
              <w:rPr>
                <w:rStyle w:val="IndexLink"/>
                <w:rtl w:val="true"/>
              </w:rPr>
              <w:t xml:space="preserve">. </w:t>
            </w:r>
            <w:r>
              <w:rPr>
                <w:rStyle w:val="IndexLink"/>
                <w:rtl w:val="true"/>
              </w:rPr>
              <w:t>الإفطار عزيمة على المريض والمسافر</w:t>
            </w:r>
            <w:r>
              <w:rPr>
                <w:rStyle w:val="IndexLink"/>
                <w:rtl w:val="true"/>
              </w:rPr>
              <w:tab/>
            </w:r>
            <w:r>
              <w:rPr>
                <w:rStyle w:val="IndexLink"/>
              </w:rPr>
              <w:t>283</w:t>
            </w:r>
          </w:hyperlink>
        </w:p>
        <w:p>
          <w:pPr>
            <w:pStyle w:val="Contents4"/>
            <w:tabs>
              <w:tab w:val="clear" w:pos="8176"/>
              <w:tab w:val="right" w:pos="9026" w:leader="dot"/>
            </w:tabs>
            <w:rPr/>
          </w:pPr>
          <w:hyperlink w:anchor="__RefHeading___Toc1366335_388300464">
            <w:r>
              <w:rPr>
                <w:webHidden/>
                <w:rStyle w:val="IndexLink"/>
                <w:rtl w:val="true"/>
              </w:rPr>
              <w:t>الآية الثانية</w:t>
            </w:r>
            <w:r>
              <w:rPr>
                <w:rStyle w:val="IndexLink"/>
                <w:rtl w:val="true"/>
              </w:rPr>
              <w:tab/>
            </w:r>
            <w:r>
              <w:rPr>
                <w:rStyle w:val="IndexLink"/>
              </w:rPr>
              <w:t>283</w:t>
            </w:r>
          </w:hyperlink>
        </w:p>
        <w:p>
          <w:pPr>
            <w:pStyle w:val="Contents5"/>
            <w:tabs>
              <w:tab w:val="clear" w:pos="7892"/>
              <w:tab w:val="right" w:pos="9026" w:leader="dot"/>
            </w:tabs>
            <w:rPr/>
          </w:pPr>
          <w:hyperlink w:anchor="__RefHeading___Toc1366337_388300464">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366339_388300464">
            <w:r>
              <w:rPr>
                <w:webHidden/>
                <w:rStyle w:val="IndexLink"/>
                <w:rtl w:val="true"/>
              </w:rPr>
              <w:t>المفردات</w:t>
            </w:r>
            <w:r>
              <w:rPr>
                <w:rStyle w:val="IndexLink"/>
                <w:rtl w:val="true"/>
              </w:rPr>
              <w:tab/>
            </w:r>
            <w:r>
              <w:rPr>
                <w:rStyle w:val="IndexLink"/>
              </w:rPr>
              <w:t>283</w:t>
            </w:r>
          </w:hyperlink>
        </w:p>
        <w:p>
          <w:pPr>
            <w:pStyle w:val="Contents5"/>
            <w:tabs>
              <w:tab w:val="clear" w:pos="7892"/>
              <w:tab w:val="right" w:pos="9026" w:leader="dot"/>
            </w:tabs>
            <w:rPr/>
          </w:pPr>
          <w:hyperlink w:anchor="__RefHeading___Toc1366341_388300464">
            <w:r>
              <w:rPr>
                <w:webHidden/>
                <w:rStyle w:val="IndexLink"/>
                <w:rtl w:val="true"/>
              </w:rPr>
              <w:t>التفسير</w:t>
            </w:r>
            <w:r>
              <w:rPr>
                <w:rStyle w:val="IndexLink"/>
                <w:rtl w:val="true"/>
              </w:rPr>
              <w:tab/>
            </w:r>
            <w:r>
              <w:rPr>
                <w:rStyle w:val="IndexLink"/>
              </w:rPr>
              <w:t>284</w:t>
            </w:r>
          </w:hyperlink>
        </w:p>
        <w:p>
          <w:pPr>
            <w:pStyle w:val="Contents4"/>
            <w:tabs>
              <w:tab w:val="clear" w:pos="8176"/>
              <w:tab w:val="right" w:pos="9026" w:leader="dot"/>
            </w:tabs>
            <w:rPr/>
          </w:pPr>
          <w:hyperlink w:anchor="__RefHeading___Toc1366343_388300464">
            <w:r>
              <w:rPr>
                <w:webHidden/>
                <w:rStyle w:val="IndexLink"/>
                <w:rtl w:val="true"/>
              </w:rPr>
              <w:t>الموضع الأوّل</w:t>
            </w:r>
            <w:r>
              <w:rPr>
                <w:rStyle w:val="IndexLink"/>
                <w:rtl w:val="true"/>
              </w:rPr>
              <w:t xml:space="preserve">: </w:t>
            </w:r>
            <w:r>
              <w:rPr>
                <w:rStyle w:val="IndexLink"/>
                <w:rtl w:val="true"/>
              </w:rPr>
              <w:t>هل الإفطار في السفر عزيمة أو رخصة‌؟</w:t>
            </w:r>
            <w:r>
              <w:rPr>
                <w:rStyle w:val="IndexLink"/>
                <w:rtl w:val="true"/>
              </w:rPr>
              <w:tab/>
            </w:r>
            <w:r>
              <w:rPr>
                <w:rStyle w:val="IndexLink"/>
              </w:rPr>
              <w:t>287</w:t>
            </w:r>
          </w:hyperlink>
        </w:p>
        <w:p>
          <w:pPr>
            <w:pStyle w:val="Contents5"/>
            <w:tabs>
              <w:tab w:val="clear" w:pos="7892"/>
              <w:tab w:val="right" w:pos="9026" w:leader="dot"/>
            </w:tabs>
            <w:rPr/>
          </w:pPr>
          <w:hyperlink w:anchor="__RefHeading___Toc1366345_388300464">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366347_388300464">
            <w:r>
              <w:rPr>
                <w:webHidden/>
                <w:rStyle w:val="IndexLink"/>
                <w:rtl w:val="true"/>
              </w:rPr>
              <w:t>الأوّل</w:t>
            </w:r>
            <w:r>
              <w:rPr>
                <w:rStyle w:val="IndexLink"/>
                <w:rtl w:val="true"/>
              </w:rPr>
              <w:t xml:space="preserve">: </w:t>
            </w:r>
            <w:r>
              <w:rPr>
                <w:rStyle w:val="IndexLink"/>
                <w:rtl w:val="true"/>
              </w:rPr>
              <w:t>ترتّب الوجوب على العنوانين</w:t>
            </w:r>
            <w:r>
              <w:rPr>
                <w:rStyle w:val="IndexLink"/>
                <w:rtl w:val="true"/>
              </w:rPr>
              <w:tab/>
            </w:r>
            <w:r>
              <w:rPr>
                <w:rStyle w:val="IndexLink"/>
              </w:rPr>
              <w:t>288</w:t>
            </w:r>
          </w:hyperlink>
        </w:p>
        <w:p>
          <w:pPr>
            <w:pStyle w:val="Contents5"/>
            <w:tabs>
              <w:tab w:val="clear" w:pos="7892"/>
              <w:tab w:val="right" w:pos="9026" w:leader="dot"/>
            </w:tabs>
            <w:rPr/>
          </w:pPr>
          <w:hyperlink w:anchor="__RefHeading___Toc1366349_388300464">
            <w:r>
              <w:rPr>
                <w:webHidden/>
                <w:rStyle w:val="IndexLink"/>
                <w:rtl w:val="true"/>
              </w:rPr>
              <w:t>الثاني</w:t>
            </w:r>
            <w:r>
              <w:rPr>
                <w:rStyle w:val="IndexLink"/>
                <w:rtl w:val="true"/>
              </w:rPr>
              <w:t xml:space="preserve">: </w:t>
            </w:r>
            <w:r>
              <w:rPr>
                <w:rStyle w:val="IndexLink"/>
                <w:rtl w:val="true"/>
              </w:rPr>
              <w:t>التقابل بين الجملتين</w:t>
            </w:r>
            <w:r>
              <w:rPr>
                <w:rStyle w:val="IndexLink"/>
                <w:rtl w:val="true"/>
              </w:rPr>
              <w:tab/>
            </w:r>
            <w:r>
              <w:rPr>
                <w:rStyle w:val="IndexLink"/>
              </w:rPr>
              <w:t>289</w:t>
            </w:r>
          </w:hyperlink>
        </w:p>
        <w:p>
          <w:pPr>
            <w:pStyle w:val="Contents5"/>
            <w:tabs>
              <w:tab w:val="clear" w:pos="7892"/>
              <w:tab w:val="right" w:pos="9026" w:leader="dot"/>
            </w:tabs>
            <w:rPr/>
          </w:pPr>
          <w:hyperlink w:anchor="__RefHeading___Toc1366351_388300464">
            <w:r>
              <w:rPr>
                <w:webHidden/>
                <w:rStyle w:val="IndexLink"/>
                <w:rtl w:val="true"/>
              </w:rPr>
              <w:t>الثالث</w:t>
            </w:r>
            <w:r>
              <w:rPr>
                <w:rStyle w:val="IndexLink"/>
                <w:rtl w:val="true"/>
              </w:rPr>
              <w:t xml:space="preserve">: </w:t>
            </w:r>
            <w:r>
              <w:rPr>
                <w:rStyle w:val="IndexLink"/>
                <w:rtl w:val="true"/>
              </w:rPr>
              <w:t>ذكر المريض والمسافر في سياق واحد</w:t>
            </w:r>
            <w:r>
              <w:rPr>
                <w:rStyle w:val="IndexLink"/>
                <w:rtl w:val="true"/>
              </w:rPr>
              <w:tab/>
            </w:r>
            <w:r>
              <w:rPr>
                <w:rStyle w:val="IndexLink"/>
              </w:rPr>
              <w:t>290</w:t>
            </w:r>
          </w:hyperlink>
        </w:p>
        <w:p>
          <w:pPr>
            <w:pStyle w:val="Contents5"/>
            <w:tabs>
              <w:tab w:val="clear" w:pos="7892"/>
              <w:tab w:val="right" w:pos="9026" w:leader="dot"/>
            </w:tabs>
            <w:rPr/>
          </w:pPr>
          <w:hyperlink w:anchor="__RefHeading___Toc1366353_388300464">
            <w:r>
              <w:rPr>
                <w:webHidden/>
                <w:rStyle w:val="IndexLink"/>
                <w:rtl w:val="true"/>
              </w:rPr>
              <w:t>الرابع</w:t>
            </w:r>
            <w:r>
              <w:rPr>
                <w:rStyle w:val="IndexLink"/>
                <w:rtl w:val="true"/>
              </w:rPr>
              <w:t xml:space="preserve">: </w:t>
            </w:r>
            <w:r>
              <w:rPr>
                <w:rStyle w:val="IndexLink"/>
                <w:rtl w:val="true"/>
              </w:rPr>
              <w:t>الواجب من أوّل الأمر هو صيام أيام أُخر</w:t>
            </w:r>
            <w:r>
              <w:rPr>
                <w:rStyle w:val="IndexLink"/>
                <w:rtl w:val="true"/>
              </w:rPr>
              <w:tab/>
            </w:r>
            <w:r>
              <w:rPr>
                <w:rStyle w:val="IndexLink"/>
              </w:rPr>
              <w:t>290</w:t>
            </w:r>
          </w:hyperlink>
        </w:p>
        <w:p>
          <w:pPr>
            <w:pStyle w:val="Contents4"/>
            <w:tabs>
              <w:tab w:val="clear" w:pos="8176"/>
              <w:tab w:val="right" w:pos="9026" w:leader="dot"/>
            </w:tabs>
            <w:rPr/>
          </w:pPr>
          <w:hyperlink w:anchor="__RefHeading___Toc1366355_388300464">
            <w:r>
              <w:rPr>
                <w:webHidden/>
                <w:rStyle w:val="IndexLink"/>
                <w:rtl w:val="true"/>
              </w:rPr>
              <w:t xml:space="preserve">تقدير </w:t>
            </w:r>
            <w:r>
              <w:rPr>
                <w:rStyle w:val="IndexLink"/>
                <w:rtl w:val="true"/>
              </w:rPr>
              <w:t>«</w:t>
            </w:r>
            <w:r>
              <w:rPr>
                <w:rStyle w:val="IndexLink"/>
                <w:rtl w:val="true"/>
              </w:rPr>
              <w:t>فأفطر</w:t>
            </w:r>
            <w:r>
              <w:rPr>
                <w:rStyle w:val="IndexLink"/>
                <w:rtl w:val="true"/>
              </w:rPr>
              <w:t xml:space="preserve">» </w:t>
            </w:r>
            <w:r>
              <w:rPr>
                <w:rStyle w:val="IndexLink"/>
                <w:rtl w:val="true"/>
              </w:rPr>
              <w:t>لتطبيق الآية على المذهب</w:t>
            </w:r>
            <w:r>
              <w:rPr>
                <w:rStyle w:val="IndexLink"/>
                <w:rtl w:val="true"/>
              </w:rPr>
              <w:tab/>
            </w:r>
            <w:r>
              <w:rPr>
                <w:rStyle w:val="IndexLink"/>
              </w:rPr>
              <w:t>291</w:t>
            </w:r>
          </w:hyperlink>
        </w:p>
        <w:p>
          <w:pPr>
            <w:pStyle w:val="Contents4"/>
            <w:tabs>
              <w:tab w:val="clear" w:pos="8176"/>
              <w:tab w:val="right" w:pos="9026" w:leader="dot"/>
            </w:tabs>
            <w:rPr/>
          </w:pPr>
          <w:hyperlink w:anchor="__RefHeading___Toc1366357_388300464">
            <w:r>
              <w:rPr>
                <w:webHidden/>
                <w:rStyle w:val="IndexLink"/>
                <w:rtl w:val="true"/>
              </w:rPr>
              <w:t>الموضع الثاني</w:t>
            </w:r>
            <w:r>
              <w:rPr>
                <w:rStyle w:val="IndexLink"/>
                <w:rtl w:val="true"/>
              </w:rPr>
              <w:t xml:space="preserve">: </w:t>
            </w:r>
            <w:r>
              <w:rPr>
                <w:rStyle w:val="IndexLink"/>
                <w:rtl w:val="true"/>
              </w:rPr>
              <w:t>هل إفطار المطيق عزيمة أو رخصة‌؟</w:t>
            </w:r>
            <w:r>
              <w:rPr>
                <w:rStyle w:val="IndexLink"/>
                <w:rtl w:val="true"/>
              </w:rPr>
              <w:tab/>
            </w:r>
            <w:r>
              <w:rPr>
                <w:rStyle w:val="IndexLink"/>
              </w:rPr>
              <w:t>292</w:t>
            </w:r>
          </w:hyperlink>
        </w:p>
        <w:p>
          <w:pPr>
            <w:pStyle w:val="Contents4"/>
            <w:tabs>
              <w:tab w:val="clear" w:pos="8176"/>
              <w:tab w:val="right" w:pos="9026" w:leader="dot"/>
            </w:tabs>
            <w:rPr/>
          </w:pPr>
          <w:hyperlink w:anchor="__RefHeading___Toc1366359_388300464">
            <w:r>
              <w:rPr>
                <w:webHidden/>
                <w:rStyle w:val="IndexLink"/>
                <w:rtl w:val="true"/>
              </w:rPr>
              <w:t>الروايات تؤيّد أنّ الإفطار عزيمة</w:t>
            </w:r>
            <w:r>
              <w:rPr>
                <w:rStyle w:val="IndexLink"/>
                <w:rtl w:val="true"/>
              </w:rPr>
              <w:tab/>
            </w:r>
            <w:r>
              <w:rPr>
                <w:rStyle w:val="IndexLink"/>
              </w:rPr>
              <w:t>296</w:t>
            </w:r>
          </w:hyperlink>
        </w:p>
        <w:p>
          <w:pPr>
            <w:pStyle w:val="Contents3"/>
            <w:tabs>
              <w:tab w:val="clear" w:pos="8459"/>
              <w:tab w:val="right" w:pos="9026" w:leader="dot"/>
            </w:tabs>
            <w:rPr/>
          </w:pPr>
          <w:hyperlink w:anchor="__RefHeading___Toc1366361_388300464">
            <w:r>
              <w:rPr>
                <w:webHidden/>
                <w:rStyle w:val="IndexLink"/>
              </w:rPr>
              <w:t>3</w:t>
            </w:r>
            <w:r>
              <w:rPr>
                <w:rStyle w:val="IndexLink"/>
                <w:rtl w:val="true"/>
              </w:rPr>
              <w:t xml:space="preserve">. </w:t>
            </w:r>
            <w:r>
              <w:rPr>
                <w:rStyle w:val="IndexLink"/>
                <w:rtl w:val="true"/>
              </w:rPr>
              <w:t>نزول القرآن في شهر رمضان وحكم المريض و المسافر</w:t>
            </w:r>
            <w:r>
              <w:rPr>
                <w:rStyle w:val="IndexLink"/>
                <w:rtl w:val="true"/>
              </w:rPr>
              <w:tab/>
            </w:r>
            <w:r>
              <w:rPr>
                <w:rStyle w:val="IndexLink"/>
              </w:rPr>
              <w:t>298</w:t>
            </w:r>
          </w:hyperlink>
        </w:p>
        <w:p>
          <w:pPr>
            <w:pStyle w:val="Contents4"/>
            <w:tabs>
              <w:tab w:val="clear" w:pos="8176"/>
              <w:tab w:val="right" w:pos="9026" w:leader="dot"/>
            </w:tabs>
            <w:rPr/>
          </w:pPr>
          <w:hyperlink w:anchor="__RefHeading___Toc1366363_388300464">
            <w:r>
              <w:rPr>
                <w:webHidden/>
                <w:rStyle w:val="IndexLink"/>
                <w:rtl w:val="true"/>
              </w:rPr>
              <w:t>الآية الثالثة</w:t>
            </w:r>
            <w:r>
              <w:rPr>
                <w:rStyle w:val="IndexLink"/>
                <w:rtl w:val="true"/>
              </w:rPr>
              <w:tab/>
            </w:r>
            <w:r>
              <w:rPr>
                <w:rStyle w:val="IndexLink"/>
              </w:rPr>
              <w:t>298</w:t>
            </w:r>
          </w:hyperlink>
        </w:p>
        <w:p>
          <w:pPr>
            <w:pStyle w:val="Contents5"/>
            <w:tabs>
              <w:tab w:val="clear" w:pos="7892"/>
              <w:tab w:val="right" w:pos="9026" w:leader="dot"/>
            </w:tabs>
            <w:rPr/>
          </w:pPr>
          <w:hyperlink w:anchor="__RefHeading___Toc1366365_388300464">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366367_388300464">
            <w:r>
              <w:rPr>
                <w:webHidden/>
                <w:rStyle w:val="IndexLink"/>
                <w:rtl w:val="true"/>
              </w:rPr>
              <w:t>المفردات</w:t>
            </w:r>
            <w:r>
              <w:rPr>
                <w:rStyle w:val="IndexLink"/>
                <w:rtl w:val="true"/>
              </w:rPr>
              <w:tab/>
            </w:r>
            <w:r>
              <w:rPr>
                <w:rStyle w:val="IndexLink"/>
              </w:rPr>
              <w:t>298</w:t>
            </w:r>
          </w:hyperlink>
        </w:p>
        <w:p>
          <w:pPr>
            <w:pStyle w:val="Contents5"/>
            <w:tabs>
              <w:tab w:val="clear" w:pos="7892"/>
              <w:tab w:val="right" w:pos="9026" w:leader="dot"/>
            </w:tabs>
            <w:rPr/>
          </w:pPr>
          <w:hyperlink w:anchor="__RefHeading___Toc1366369_388300464">
            <w:r>
              <w:rPr>
                <w:webHidden/>
                <w:rStyle w:val="IndexLink"/>
                <w:rtl w:val="true"/>
              </w:rPr>
              <w:t>التفسير</w:t>
            </w:r>
            <w:r>
              <w:rPr>
                <w:rStyle w:val="IndexLink"/>
                <w:rtl w:val="true"/>
              </w:rPr>
              <w:tab/>
            </w:r>
            <w:r>
              <w:rPr>
                <w:rStyle w:val="IndexLink"/>
              </w:rPr>
              <w:t>299</w:t>
            </w:r>
          </w:hyperlink>
        </w:p>
        <w:p>
          <w:pPr>
            <w:pStyle w:val="Contents4"/>
            <w:tabs>
              <w:tab w:val="clear" w:pos="8176"/>
              <w:tab w:val="right" w:pos="9026" w:leader="dot"/>
            </w:tabs>
            <w:rPr/>
          </w:pPr>
          <w:hyperlink w:anchor="__RefHeading___Toc1366371_388300464">
            <w:r>
              <w:rPr>
                <w:webHidden/>
                <w:rStyle w:val="IndexLink"/>
                <w:rtl w:val="true"/>
              </w:rPr>
              <w:t>الأمر الأوّل</w:t>
            </w:r>
            <w:r>
              <w:rPr>
                <w:rStyle w:val="IndexLink"/>
                <w:rtl w:val="true"/>
              </w:rPr>
              <w:t xml:space="preserve">: </w:t>
            </w:r>
            <w:r>
              <w:rPr>
                <w:rStyle w:val="IndexLink"/>
                <w:rtl w:val="true"/>
              </w:rPr>
              <w:t>تحديد أيام الصيام في شهر رمضان</w:t>
            </w:r>
            <w:r>
              <w:rPr>
                <w:rStyle w:val="IndexLink"/>
                <w:rtl w:val="true"/>
              </w:rPr>
              <w:tab/>
            </w:r>
            <w:r>
              <w:rPr>
                <w:rStyle w:val="IndexLink"/>
              </w:rPr>
              <w:t>299</w:t>
            </w:r>
          </w:hyperlink>
        </w:p>
        <w:p>
          <w:pPr>
            <w:pStyle w:val="Contents4"/>
            <w:tabs>
              <w:tab w:val="clear" w:pos="8176"/>
              <w:tab w:val="right" w:pos="9026" w:leader="dot"/>
            </w:tabs>
            <w:rPr/>
          </w:pPr>
          <w:hyperlink w:anchor="__RefHeading___Toc1366373_388300464">
            <w:r>
              <w:rPr>
                <w:webHidden/>
                <w:rStyle w:val="IndexLink"/>
                <w:rtl w:val="true"/>
              </w:rPr>
              <w:t>الأمر الثاني</w:t>
            </w:r>
            <w:r>
              <w:rPr>
                <w:rStyle w:val="IndexLink"/>
                <w:rtl w:val="true"/>
              </w:rPr>
              <w:t xml:space="preserve">: </w:t>
            </w:r>
            <w:r>
              <w:rPr>
                <w:rStyle w:val="IndexLink"/>
                <w:rtl w:val="true"/>
              </w:rPr>
              <w:t>نزول القرآن في شهر رمضان</w:t>
            </w:r>
            <w:r>
              <w:rPr>
                <w:rStyle w:val="IndexLink"/>
                <w:rtl w:val="true"/>
              </w:rPr>
              <w:tab/>
            </w:r>
            <w:r>
              <w:rPr>
                <w:rStyle w:val="IndexLink"/>
              </w:rPr>
              <w:t>300</w:t>
            </w:r>
          </w:hyperlink>
        </w:p>
        <w:p>
          <w:pPr>
            <w:pStyle w:val="Contents5"/>
            <w:tabs>
              <w:tab w:val="clear" w:pos="7892"/>
              <w:tab w:val="right" w:pos="9026" w:leader="dot"/>
            </w:tabs>
            <w:rPr/>
          </w:pPr>
          <w:hyperlink w:anchor="__RefHeading___Toc1366375_388300464">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366377_388300464">
            <w:r>
              <w:rPr>
                <w:webHidden/>
                <w:rStyle w:val="IndexLink"/>
                <w:rtl w:val="true"/>
              </w:rPr>
              <w:t>الإجابة عن سؤال آخر</w:t>
            </w:r>
            <w:r>
              <w:rPr>
                <w:rStyle w:val="IndexLink"/>
                <w:rtl w:val="true"/>
              </w:rPr>
              <w:tab/>
            </w:r>
            <w:r>
              <w:rPr>
                <w:rStyle w:val="IndexLink"/>
              </w:rPr>
              <w:t>302</w:t>
            </w:r>
          </w:hyperlink>
        </w:p>
        <w:p>
          <w:pPr>
            <w:pStyle w:val="Contents4"/>
            <w:tabs>
              <w:tab w:val="clear" w:pos="8176"/>
              <w:tab w:val="right" w:pos="9026" w:leader="dot"/>
            </w:tabs>
            <w:rPr/>
          </w:pPr>
          <w:hyperlink w:anchor="__RefHeading___Toc1366379_388300464">
            <w:r>
              <w:rPr>
                <w:webHidden/>
                <w:rStyle w:val="IndexLink"/>
                <w:rtl w:val="true"/>
              </w:rPr>
              <w:t>الأمر الثالث</w:t>
            </w:r>
            <w:r>
              <w:rPr>
                <w:rStyle w:val="IndexLink"/>
                <w:rtl w:val="true"/>
              </w:rPr>
              <w:t xml:space="preserve">: </w:t>
            </w:r>
            <w:r>
              <w:rPr>
                <w:rStyle w:val="IndexLink"/>
                <w:rtl w:val="true"/>
              </w:rPr>
              <w:t>اشتمال القرآن على البيّنات والفرقان</w:t>
            </w:r>
            <w:r>
              <w:rPr>
                <w:rStyle w:val="IndexLink"/>
                <w:rtl w:val="true"/>
              </w:rPr>
              <w:tab/>
            </w:r>
            <w:r>
              <w:rPr>
                <w:rStyle w:val="IndexLink"/>
              </w:rPr>
              <w:t>303</w:t>
            </w:r>
          </w:hyperlink>
        </w:p>
        <w:p>
          <w:pPr>
            <w:pStyle w:val="Contents4"/>
            <w:tabs>
              <w:tab w:val="clear" w:pos="8176"/>
              <w:tab w:val="right" w:pos="9026" w:leader="dot"/>
            </w:tabs>
            <w:rPr/>
          </w:pPr>
          <w:hyperlink w:anchor="__RefHeading___Toc1366381_388300464">
            <w:r>
              <w:rPr>
                <w:webHidden/>
                <w:rStyle w:val="IndexLink"/>
                <w:rtl w:val="true"/>
              </w:rPr>
              <w:t>الأمر الرابع</w:t>
            </w:r>
            <w:r>
              <w:rPr>
                <w:rStyle w:val="IndexLink"/>
                <w:rtl w:val="true"/>
              </w:rPr>
              <w:t xml:space="preserve">: </w:t>
            </w:r>
            <w:r>
              <w:rPr>
                <w:rStyle w:val="IndexLink"/>
                <w:rtl w:val="true"/>
              </w:rPr>
              <w:t>مَن شهد الشهر فعليه الصوم</w:t>
            </w:r>
            <w:r>
              <w:rPr>
                <w:rStyle w:val="IndexLink"/>
                <w:rtl w:val="true"/>
              </w:rPr>
              <w:tab/>
            </w:r>
            <w:r>
              <w:rPr>
                <w:rStyle w:val="IndexLink"/>
              </w:rPr>
              <w:t>304</w:t>
            </w:r>
          </w:hyperlink>
        </w:p>
        <w:p>
          <w:pPr>
            <w:pStyle w:val="Contents4"/>
            <w:tabs>
              <w:tab w:val="clear" w:pos="8176"/>
              <w:tab w:val="right" w:pos="9026" w:leader="dot"/>
            </w:tabs>
            <w:rPr/>
          </w:pPr>
          <w:hyperlink w:anchor="__RefHeading___Toc1366383_388300464">
            <w:r>
              <w:rPr>
                <w:webHidden/>
                <w:rStyle w:val="IndexLink"/>
                <w:rtl w:val="true"/>
              </w:rPr>
              <w:t>الأمر الخامس</w:t>
            </w:r>
            <w:r>
              <w:rPr>
                <w:rStyle w:val="IndexLink"/>
                <w:rtl w:val="true"/>
              </w:rPr>
              <w:t xml:space="preserve">: </w:t>
            </w:r>
            <w:r>
              <w:rPr>
                <w:rStyle w:val="IndexLink"/>
                <w:rtl w:val="true"/>
              </w:rPr>
              <w:t>المريض والمسافر يفطران ويصومان في أيام أُخر</w:t>
            </w:r>
            <w:r>
              <w:rPr>
                <w:rStyle w:val="IndexLink"/>
                <w:rtl w:val="true"/>
              </w:rPr>
              <w:tab/>
            </w:r>
            <w:r>
              <w:rPr>
                <w:rStyle w:val="IndexLink"/>
              </w:rPr>
              <w:t>304</w:t>
            </w:r>
          </w:hyperlink>
        </w:p>
        <w:p>
          <w:pPr>
            <w:pStyle w:val="Contents4"/>
            <w:tabs>
              <w:tab w:val="clear" w:pos="8176"/>
              <w:tab w:val="right" w:pos="9026" w:leader="dot"/>
            </w:tabs>
            <w:rPr/>
          </w:pPr>
          <w:hyperlink w:anchor="__RefHeading___Toc1366385_388300464">
            <w:r>
              <w:rPr>
                <w:webHidden/>
                <w:rStyle w:val="IndexLink"/>
                <w:rtl w:val="true"/>
              </w:rPr>
              <w:t>الأمر السادس</w:t>
            </w:r>
            <w:r>
              <w:rPr>
                <w:rStyle w:val="IndexLink"/>
                <w:rtl w:val="true"/>
              </w:rPr>
              <w:t xml:space="preserve">: </w:t>
            </w:r>
            <w:r>
              <w:rPr>
                <w:rStyle w:val="IndexLink"/>
                <w:rtl w:val="true"/>
              </w:rPr>
              <w:t>تعلّق إرادة اللّه في حقّ المكلّفين على اليسر دون العسر</w:t>
            </w:r>
            <w:r>
              <w:rPr>
                <w:rStyle w:val="IndexLink"/>
                <w:rtl w:val="true"/>
              </w:rPr>
              <w:tab/>
            </w:r>
            <w:r>
              <w:rPr>
                <w:rStyle w:val="IndexLink"/>
              </w:rPr>
              <w:t>304</w:t>
            </w:r>
          </w:hyperlink>
        </w:p>
        <w:p>
          <w:pPr>
            <w:pStyle w:val="Contents5"/>
            <w:tabs>
              <w:tab w:val="clear" w:pos="7892"/>
              <w:tab w:val="right" w:pos="9026" w:leader="dot"/>
            </w:tabs>
            <w:rPr/>
          </w:pPr>
          <w:hyperlink w:anchor="__RefHeading___Toc1366387_388300464">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66389_388300464">
            <w:r>
              <w:rPr>
                <w:webHidden/>
                <w:rStyle w:val="IndexLink"/>
                <w:rtl w:val="true"/>
              </w:rPr>
              <w:t>سؤال وإجابة</w:t>
            </w:r>
            <w:r>
              <w:rPr>
                <w:rStyle w:val="IndexLink"/>
                <w:rtl w:val="true"/>
              </w:rPr>
              <w:tab/>
            </w:r>
            <w:r>
              <w:rPr>
                <w:rStyle w:val="IndexLink"/>
              </w:rPr>
              <w:t>305</w:t>
            </w:r>
          </w:hyperlink>
        </w:p>
        <w:p>
          <w:pPr>
            <w:pStyle w:val="Contents4"/>
            <w:tabs>
              <w:tab w:val="clear" w:pos="8176"/>
              <w:tab w:val="right" w:pos="9026" w:leader="dot"/>
            </w:tabs>
            <w:rPr/>
          </w:pPr>
          <w:hyperlink w:anchor="__RefHeading___Toc1366391_388300464">
            <w:r>
              <w:rPr>
                <w:webHidden/>
                <w:rStyle w:val="IndexLink"/>
                <w:rtl w:val="true"/>
              </w:rPr>
              <w:t>الأمر السابع</w:t>
            </w:r>
            <w:r>
              <w:rPr>
                <w:rStyle w:val="IndexLink"/>
                <w:rtl w:val="true"/>
              </w:rPr>
              <w:t xml:space="preserve">: </w:t>
            </w:r>
            <w:r>
              <w:rPr>
                <w:rStyle w:val="IndexLink"/>
                <w:rtl w:val="true"/>
              </w:rPr>
              <w:t>أمره سبحانه بإكمال العدّة والتكبير</w:t>
            </w:r>
            <w:r>
              <w:rPr>
                <w:rStyle w:val="IndexLink"/>
                <w:rtl w:val="true"/>
              </w:rPr>
              <w:tab/>
            </w:r>
            <w:r>
              <w:rPr>
                <w:rStyle w:val="IndexLink"/>
              </w:rPr>
              <w:t>306</w:t>
            </w:r>
          </w:hyperlink>
        </w:p>
        <w:p>
          <w:pPr>
            <w:pStyle w:val="Contents4"/>
            <w:tabs>
              <w:tab w:val="clear" w:pos="8176"/>
              <w:tab w:val="right" w:pos="9026" w:leader="dot"/>
            </w:tabs>
            <w:rPr/>
          </w:pPr>
          <w:hyperlink w:anchor="__RefHeading___Toc1366393_388300464">
            <w:r>
              <w:rPr>
                <w:webHidden/>
                <w:rStyle w:val="IndexLink"/>
                <w:rtl w:val="true"/>
              </w:rPr>
              <w:t>الآثار البنّاءة للصوم</w:t>
            </w:r>
            <w:r>
              <w:rPr>
                <w:rStyle w:val="IndexLink"/>
                <w:rtl w:val="true"/>
              </w:rPr>
              <w:tab/>
            </w:r>
            <w:r>
              <w:rPr>
                <w:rStyle w:val="IndexLink"/>
              </w:rPr>
              <w:t>307</w:t>
            </w:r>
          </w:hyperlink>
        </w:p>
        <w:p>
          <w:pPr>
            <w:pStyle w:val="Contents4"/>
            <w:tabs>
              <w:tab w:val="clear" w:pos="8176"/>
              <w:tab w:val="right" w:pos="9026" w:leader="dot"/>
            </w:tabs>
            <w:rPr/>
          </w:pPr>
          <w:hyperlink w:anchor="__RefHeading___Toc1366395_388300464">
            <w:r>
              <w:rPr>
                <w:webHidden/>
                <w:rStyle w:val="IndexLink"/>
                <w:rtl w:val="true"/>
              </w:rPr>
              <w:t>الآثار الاجتماعية للصوم</w:t>
            </w:r>
            <w:r>
              <w:rPr>
                <w:rStyle w:val="IndexLink"/>
                <w:rtl w:val="true"/>
              </w:rPr>
              <w:tab/>
            </w:r>
            <w:r>
              <w:rPr>
                <w:rStyle w:val="IndexLink"/>
              </w:rPr>
              <w:t>307</w:t>
            </w:r>
          </w:hyperlink>
        </w:p>
        <w:p>
          <w:pPr>
            <w:pStyle w:val="Contents3"/>
            <w:tabs>
              <w:tab w:val="clear" w:pos="8459"/>
              <w:tab w:val="right" w:pos="9026" w:leader="dot"/>
            </w:tabs>
            <w:rPr/>
          </w:pPr>
          <w:hyperlink w:anchor="__RefHeading___Toc1366397_388300464">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 xml:space="preserve">تحليل الرفث إلى النساء في ليالي شهر رمضان </w:t>
            </w:r>
            <w:r>
              <w:rPr>
                <w:rStyle w:val="IndexLink"/>
              </w:rPr>
              <w:t>2</w:t>
            </w:r>
            <w:r>
              <w:rPr>
                <w:rStyle w:val="IndexLink"/>
                <w:rtl w:val="true"/>
              </w:rPr>
              <w:t xml:space="preserve">. </w:t>
            </w:r>
            <w:r>
              <w:rPr>
                <w:rStyle w:val="IndexLink"/>
                <w:rtl w:val="true"/>
              </w:rPr>
              <w:t xml:space="preserve">حد الصوم زماناً </w:t>
            </w:r>
            <w:r>
              <w:rPr>
                <w:rStyle w:val="IndexLink"/>
              </w:rPr>
              <w:t>3</w:t>
            </w:r>
            <w:r>
              <w:rPr>
                <w:rStyle w:val="IndexLink"/>
                <w:rtl w:val="true"/>
              </w:rPr>
              <w:t xml:space="preserve">. </w:t>
            </w:r>
            <w:r>
              <w:rPr>
                <w:rStyle w:val="IndexLink"/>
                <w:rtl w:val="true"/>
              </w:rPr>
              <w:t>حرمة مباشرة النساء في إعتكاف</w:t>
            </w:r>
            <w:r>
              <w:rPr>
                <w:rStyle w:val="IndexLink"/>
                <w:rtl w:val="true"/>
              </w:rPr>
              <w:tab/>
            </w:r>
            <w:r>
              <w:rPr>
                <w:rStyle w:val="IndexLink"/>
              </w:rPr>
              <w:t>309</w:t>
            </w:r>
          </w:hyperlink>
        </w:p>
        <w:p>
          <w:pPr>
            <w:pStyle w:val="Contents4"/>
            <w:tabs>
              <w:tab w:val="clear" w:pos="8176"/>
              <w:tab w:val="right" w:pos="9026" w:leader="dot"/>
            </w:tabs>
            <w:rPr/>
          </w:pPr>
          <w:hyperlink w:anchor="__RefHeading___Toc1366399_388300464">
            <w:r>
              <w:rPr>
                <w:webHidden/>
                <w:rStyle w:val="IndexLink"/>
                <w:rtl w:val="true"/>
              </w:rPr>
              <w:t>الآية الرابعة</w:t>
            </w:r>
            <w:r>
              <w:rPr>
                <w:rStyle w:val="IndexLink"/>
                <w:rtl w:val="true"/>
              </w:rPr>
              <w:tab/>
            </w:r>
            <w:r>
              <w:rPr>
                <w:rStyle w:val="IndexLink"/>
              </w:rPr>
              <w:t>309</w:t>
            </w:r>
          </w:hyperlink>
        </w:p>
        <w:p>
          <w:pPr>
            <w:pStyle w:val="Contents5"/>
            <w:tabs>
              <w:tab w:val="clear" w:pos="7892"/>
              <w:tab w:val="right" w:pos="9026" w:leader="dot"/>
            </w:tabs>
            <w:rPr/>
          </w:pPr>
          <w:hyperlink w:anchor="__RefHeading___Toc1366401_388300464">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366403_388300464">
            <w:r>
              <w:rPr>
                <w:webHidden/>
                <w:rStyle w:val="IndexLink"/>
                <w:rtl w:val="true"/>
              </w:rPr>
              <w:t>المفردات</w:t>
            </w:r>
            <w:r>
              <w:rPr>
                <w:rStyle w:val="IndexLink"/>
                <w:rtl w:val="true"/>
              </w:rPr>
              <w:tab/>
            </w:r>
            <w:r>
              <w:rPr>
                <w:rStyle w:val="IndexLink"/>
              </w:rPr>
              <w:t>310</w:t>
            </w:r>
          </w:hyperlink>
        </w:p>
        <w:p>
          <w:pPr>
            <w:pStyle w:val="Contents5"/>
            <w:tabs>
              <w:tab w:val="clear" w:pos="7892"/>
              <w:tab w:val="right" w:pos="9026" w:leader="dot"/>
            </w:tabs>
            <w:rPr/>
          </w:pPr>
          <w:hyperlink w:anchor="__RefHeading___Toc1366405_388300464">
            <w:r>
              <w:rPr>
                <w:webHidden/>
                <w:rStyle w:val="IndexLink"/>
                <w:rtl w:val="true"/>
              </w:rPr>
              <w:t>التفسير</w:t>
            </w:r>
            <w:r>
              <w:rPr>
                <w:rStyle w:val="IndexLink"/>
                <w:rtl w:val="true"/>
              </w:rPr>
              <w:tab/>
            </w:r>
            <w:r>
              <w:rPr>
                <w:rStyle w:val="IndexLink"/>
              </w:rPr>
              <w:t>313</w:t>
            </w:r>
          </w:hyperlink>
        </w:p>
        <w:p>
          <w:pPr>
            <w:pStyle w:val="Contents4"/>
            <w:tabs>
              <w:tab w:val="clear" w:pos="8176"/>
              <w:tab w:val="right" w:pos="9026" w:leader="dot"/>
            </w:tabs>
            <w:rPr/>
          </w:pPr>
          <w:hyperlink w:anchor="__RefHeading___Toc1366407_388300464">
            <w:r>
              <w:rPr>
                <w:webHidden/>
                <w:rStyle w:val="IndexLink"/>
              </w:rPr>
              <w:t>1</w:t>
            </w:r>
            <w:r>
              <w:rPr>
                <w:rStyle w:val="IndexLink"/>
                <w:rtl w:val="true"/>
              </w:rPr>
              <w:t xml:space="preserve">. </w:t>
            </w:r>
            <w:r>
              <w:rPr>
                <w:rStyle w:val="IndexLink"/>
                <w:rtl w:val="true"/>
              </w:rPr>
              <w:t xml:space="preserve">تحليل الرفث إلى النساء في ليالي شهر رمضان </w:t>
            </w:r>
            <w:r>
              <w:rPr>
                <w:rStyle w:val="IndexLink"/>
              </w:rPr>
              <w:t>2</w:t>
            </w:r>
            <w:r>
              <w:rPr>
                <w:rStyle w:val="IndexLink"/>
                <w:rtl w:val="true"/>
              </w:rPr>
              <w:t xml:space="preserve">. </w:t>
            </w:r>
            <w:r>
              <w:rPr>
                <w:rStyle w:val="IndexLink"/>
                <w:rtl w:val="true"/>
              </w:rPr>
              <w:t xml:space="preserve">حدّ الصوم زماناً </w:t>
            </w:r>
            <w:r>
              <w:rPr>
                <w:rStyle w:val="IndexLink"/>
              </w:rPr>
              <w:t>3</w:t>
            </w:r>
            <w:r>
              <w:rPr>
                <w:rStyle w:val="IndexLink"/>
                <w:rtl w:val="true"/>
              </w:rPr>
              <w:t xml:space="preserve">. </w:t>
            </w:r>
            <w:r>
              <w:rPr>
                <w:rStyle w:val="IndexLink"/>
                <w:rtl w:val="true"/>
              </w:rPr>
              <w:t>حرمة مباشرة النساء في الاعتكاف</w:t>
            </w:r>
            <w:r>
              <w:rPr>
                <w:rStyle w:val="IndexLink"/>
                <w:rtl w:val="true"/>
              </w:rPr>
              <w:tab/>
            </w:r>
            <w:r>
              <w:rPr>
                <w:rStyle w:val="IndexLink"/>
              </w:rPr>
              <w:t>313</w:t>
            </w:r>
          </w:hyperlink>
        </w:p>
        <w:p>
          <w:pPr>
            <w:pStyle w:val="Contents4"/>
            <w:tabs>
              <w:tab w:val="clear" w:pos="8176"/>
              <w:tab w:val="right" w:pos="9026" w:leader="dot"/>
            </w:tabs>
            <w:rPr/>
          </w:pPr>
          <w:hyperlink w:anchor="__RefHeading___Toc1366409_388300464">
            <w:r>
              <w:rPr>
                <w:webHidden/>
                <w:rStyle w:val="IndexLink"/>
              </w:rPr>
              <w:t>4</w:t>
            </w:r>
            <w:r>
              <w:rPr>
                <w:rStyle w:val="IndexLink"/>
                <w:rtl w:val="true"/>
              </w:rPr>
              <w:t xml:space="preserve">. </w:t>
            </w:r>
            <w:r>
              <w:rPr>
                <w:rStyle w:val="IndexLink"/>
                <w:rtl w:val="true"/>
              </w:rPr>
              <w:t>تحليل الرفث إلى النساء في ليالي شهر رمضان</w:t>
            </w:r>
            <w:r>
              <w:rPr>
                <w:rStyle w:val="IndexLink"/>
                <w:rtl w:val="true"/>
              </w:rPr>
              <w:tab/>
            </w:r>
            <w:r>
              <w:rPr>
                <w:rStyle w:val="IndexLink"/>
              </w:rPr>
              <w:t>314</w:t>
            </w:r>
          </w:hyperlink>
        </w:p>
        <w:p>
          <w:pPr>
            <w:pStyle w:val="Contents4"/>
            <w:tabs>
              <w:tab w:val="clear" w:pos="8176"/>
              <w:tab w:val="right" w:pos="9026" w:leader="dot"/>
            </w:tabs>
            <w:rPr/>
          </w:pPr>
          <w:hyperlink w:anchor="__RefHeading___Toc1366411_388300464">
            <w:r>
              <w:rPr>
                <w:webHidden/>
                <w:rStyle w:val="IndexLink"/>
              </w:rPr>
              <w:t>5</w:t>
            </w:r>
            <w:r>
              <w:rPr>
                <w:rStyle w:val="IndexLink"/>
                <w:rtl w:val="true"/>
              </w:rPr>
              <w:t xml:space="preserve">. </w:t>
            </w:r>
            <w:r>
              <w:rPr>
                <w:rStyle w:val="IndexLink"/>
                <w:rtl w:val="true"/>
              </w:rPr>
              <w:t>حدّ الصوم زماناً</w:t>
            </w:r>
            <w:r>
              <w:rPr>
                <w:rStyle w:val="IndexLink"/>
                <w:rtl w:val="true"/>
              </w:rPr>
              <w:tab/>
            </w:r>
            <w:r>
              <w:rPr>
                <w:rStyle w:val="IndexLink"/>
              </w:rPr>
              <w:t>317</w:t>
            </w:r>
          </w:hyperlink>
        </w:p>
        <w:p>
          <w:pPr>
            <w:pStyle w:val="Contents4"/>
            <w:tabs>
              <w:tab w:val="clear" w:pos="8176"/>
              <w:tab w:val="right" w:pos="9026" w:leader="dot"/>
            </w:tabs>
            <w:rPr/>
          </w:pPr>
          <w:hyperlink w:anchor="__RefHeading___Toc1366413_388300464">
            <w:r>
              <w:rPr>
                <w:webHidden/>
                <w:rStyle w:val="IndexLink"/>
              </w:rPr>
              <w:t>6</w:t>
            </w:r>
            <w:r>
              <w:rPr>
                <w:rStyle w:val="IndexLink"/>
                <w:rtl w:val="true"/>
              </w:rPr>
              <w:t xml:space="preserve">. </w:t>
            </w:r>
            <w:r>
              <w:rPr>
                <w:rStyle w:val="IndexLink"/>
                <w:rtl w:val="true"/>
              </w:rPr>
              <w:t>حرمة مباشرة النساء في الإعتكاف</w:t>
            </w:r>
            <w:r>
              <w:rPr>
                <w:rStyle w:val="IndexLink"/>
                <w:rtl w:val="true"/>
              </w:rPr>
              <w:tab/>
            </w:r>
            <w:r>
              <w:rPr>
                <w:rStyle w:val="IndexLink"/>
              </w:rPr>
              <w:t>318</w:t>
            </w:r>
          </w:hyperlink>
        </w:p>
        <w:p>
          <w:pPr>
            <w:pStyle w:val="Contents2"/>
            <w:tabs>
              <w:tab w:val="clear" w:pos="8743"/>
              <w:tab w:val="right" w:pos="9026" w:leader="dot"/>
            </w:tabs>
            <w:rPr/>
          </w:pPr>
          <w:hyperlink w:anchor="__RefHeading___Toc1366415_388300464">
            <w:r>
              <w:rPr>
                <w:webHidden/>
                <w:rStyle w:val="IndexLink"/>
                <w:rtl w:val="true"/>
              </w:rPr>
              <w:t>الفصل الرابع</w:t>
            </w:r>
            <w:r>
              <w:rPr>
                <w:rStyle w:val="IndexLink"/>
                <w:rtl w:val="true"/>
              </w:rPr>
              <w:t xml:space="preserve">: </w:t>
            </w:r>
            <w:r>
              <w:rPr>
                <w:rStyle w:val="IndexLink"/>
                <w:rtl w:val="true"/>
              </w:rPr>
              <w:t>أحكام الزكاة في الذكر الحكيم</w:t>
            </w:r>
            <w:r>
              <w:rPr>
                <w:rStyle w:val="IndexLink"/>
                <w:rtl w:val="true"/>
              </w:rPr>
              <w:tab/>
            </w:r>
            <w:r>
              <w:rPr>
                <w:rStyle w:val="IndexLink"/>
              </w:rPr>
              <w:t>320</w:t>
            </w:r>
          </w:hyperlink>
        </w:p>
        <w:p>
          <w:pPr>
            <w:pStyle w:val="Contents3"/>
            <w:tabs>
              <w:tab w:val="clear" w:pos="8459"/>
              <w:tab w:val="right" w:pos="9026" w:leader="dot"/>
            </w:tabs>
            <w:rPr/>
          </w:pPr>
          <w:hyperlink w:anchor="__RefHeading___Toc1366417_388300464">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366419_388300464">
            <w:r>
              <w:rPr>
                <w:webHidden/>
                <w:rStyle w:val="IndexLink"/>
                <w:rtl w:val="true"/>
              </w:rPr>
              <w:t>أحكام الزكاة</w:t>
            </w:r>
            <w:r>
              <w:rPr>
                <w:rStyle w:val="IndexLink"/>
                <w:rtl w:val="true"/>
              </w:rPr>
              <w:tab/>
            </w:r>
            <w:r>
              <w:rPr>
                <w:rStyle w:val="IndexLink"/>
              </w:rPr>
              <w:t>321</w:t>
            </w:r>
          </w:hyperlink>
        </w:p>
        <w:p>
          <w:pPr>
            <w:pStyle w:val="Contents3"/>
            <w:tabs>
              <w:tab w:val="clear" w:pos="8459"/>
              <w:tab w:val="right" w:pos="9026" w:leader="dot"/>
            </w:tabs>
            <w:rPr/>
          </w:pPr>
          <w:hyperlink w:anchor="__RefHeading___Toc1366421_388300464">
            <w:r>
              <w:rPr>
                <w:webHidden/>
                <w:rStyle w:val="IndexLink"/>
                <w:rtl w:val="true"/>
              </w:rPr>
              <w:t>المنابع المالية للحكومة الإسلامية</w:t>
            </w:r>
            <w:r>
              <w:rPr>
                <w:rStyle w:val="IndexLink"/>
                <w:rtl w:val="true"/>
              </w:rPr>
              <w:tab/>
            </w:r>
            <w:r>
              <w:rPr>
                <w:rStyle w:val="IndexLink"/>
              </w:rPr>
              <w:t>321</w:t>
            </w:r>
          </w:hyperlink>
        </w:p>
        <w:p>
          <w:pPr>
            <w:pStyle w:val="Contents4"/>
            <w:tabs>
              <w:tab w:val="clear" w:pos="8176"/>
              <w:tab w:val="right" w:pos="9026" w:leader="dot"/>
            </w:tabs>
            <w:rPr/>
          </w:pPr>
          <w:hyperlink w:anchor="__RefHeading___Toc1366423_388300464">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366425_388300464">
            <w:r>
              <w:rPr>
                <w:webHidden/>
                <w:rStyle w:val="IndexLink"/>
              </w:rPr>
              <w:t>1</w:t>
            </w:r>
            <w:r>
              <w:rPr>
                <w:rStyle w:val="IndexLink"/>
                <w:rtl w:val="true"/>
              </w:rPr>
              <w:t xml:space="preserve">. </w:t>
            </w:r>
            <w:r>
              <w:rPr>
                <w:rStyle w:val="IndexLink"/>
                <w:rtl w:val="true"/>
              </w:rPr>
              <w:t>الأنفال</w:t>
            </w:r>
            <w:r>
              <w:rPr>
                <w:rStyle w:val="IndexLink"/>
                <w:rtl w:val="true"/>
              </w:rPr>
              <w:tab/>
            </w:r>
            <w:r>
              <w:rPr>
                <w:rStyle w:val="IndexLink"/>
              </w:rPr>
              <w:t>322</w:t>
            </w:r>
          </w:hyperlink>
        </w:p>
        <w:p>
          <w:pPr>
            <w:pStyle w:val="Contents4"/>
            <w:tabs>
              <w:tab w:val="clear" w:pos="8176"/>
              <w:tab w:val="right" w:pos="9026" w:leader="dot"/>
            </w:tabs>
            <w:rPr/>
          </w:pPr>
          <w:hyperlink w:anchor="__RefHeading___Toc1366427_388300464">
            <w:r>
              <w:rPr>
                <w:webHidden/>
                <w:rStyle w:val="IndexLink"/>
              </w:rPr>
              <w:t>2</w:t>
            </w:r>
            <w:r>
              <w:rPr>
                <w:rStyle w:val="IndexLink"/>
                <w:rtl w:val="true"/>
              </w:rPr>
              <w:t xml:space="preserve">. </w:t>
            </w:r>
            <w:r>
              <w:rPr>
                <w:rStyle w:val="IndexLink"/>
                <w:rtl w:val="true"/>
              </w:rPr>
              <w:t>الزكاة</w:t>
            </w:r>
            <w:r>
              <w:rPr>
                <w:rStyle w:val="IndexLink"/>
                <w:rtl w:val="true"/>
              </w:rPr>
              <w:tab/>
            </w:r>
            <w:r>
              <w:rPr>
                <w:rStyle w:val="IndexLink"/>
              </w:rPr>
              <w:t>322</w:t>
            </w:r>
          </w:hyperlink>
        </w:p>
        <w:p>
          <w:pPr>
            <w:pStyle w:val="Contents4"/>
            <w:tabs>
              <w:tab w:val="clear" w:pos="8176"/>
              <w:tab w:val="right" w:pos="9026" w:leader="dot"/>
            </w:tabs>
            <w:rPr/>
          </w:pPr>
          <w:hyperlink w:anchor="__RefHeading___Toc1366429_388300464">
            <w:r>
              <w:rPr>
                <w:webHidden/>
                <w:rStyle w:val="IndexLink"/>
              </w:rPr>
              <w:t>3</w:t>
            </w:r>
            <w:r>
              <w:rPr>
                <w:rStyle w:val="IndexLink"/>
                <w:rtl w:val="true"/>
              </w:rPr>
              <w:t xml:space="preserve">. </w:t>
            </w:r>
            <w:r>
              <w:rPr>
                <w:rStyle w:val="IndexLink"/>
                <w:rtl w:val="true"/>
              </w:rPr>
              <w:t>الغنائم المأخوذة من أهل الحرب قهراً بالقتال</w:t>
            </w:r>
            <w:r>
              <w:rPr>
                <w:rStyle w:val="IndexLink"/>
                <w:rtl w:val="true"/>
              </w:rPr>
              <w:tab/>
            </w:r>
            <w:r>
              <w:rPr>
                <w:rStyle w:val="IndexLink"/>
              </w:rPr>
              <w:t>322</w:t>
            </w:r>
          </w:hyperlink>
        </w:p>
        <w:p>
          <w:pPr>
            <w:pStyle w:val="Contents4"/>
            <w:tabs>
              <w:tab w:val="clear" w:pos="8176"/>
              <w:tab w:val="right" w:pos="9026" w:leader="dot"/>
            </w:tabs>
            <w:rPr/>
          </w:pPr>
          <w:hyperlink w:anchor="__RefHeading___Toc1366431_388300464">
            <w:r>
              <w:rPr>
                <w:webHidden/>
                <w:rStyle w:val="IndexLink"/>
              </w:rPr>
              <w:t>4</w:t>
            </w:r>
            <w:r>
              <w:rPr>
                <w:rStyle w:val="IndexLink"/>
                <w:rtl w:val="true"/>
              </w:rPr>
              <w:t xml:space="preserve">. </w:t>
            </w:r>
            <w:r>
              <w:rPr>
                <w:rStyle w:val="IndexLink"/>
                <w:rtl w:val="true"/>
              </w:rPr>
              <w:t>الخمس</w:t>
            </w:r>
            <w:r>
              <w:rPr>
                <w:rStyle w:val="IndexLink"/>
                <w:rtl w:val="true"/>
              </w:rPr>
              <w:tab/>
            </w:r>
            <w:r>
              <w:rPr>
                <w:rStyle w:val="IndexLink"/>
              </w:rPr>
              <w:t>322</w:t>
            </w:r>
          </w:hyperlink>
        </w:p>
        <w:p>
          <w:pPr>
            <w:pStyle w:val="Contents4"/>
            <w:tabs>
              <w:tab w:val="clear" w:pos="8176"/>
              <w:tab w:val="right" w:pos="9026" w:leader="dot"/>
            </w:tabs>
            <w:rPr/>
          </w:pPr>
          <w:hyperlink w:anchor="__RefHeading___Toc1366433_388300464">
            <w:r>
              <w:rPr>
                <w:webHidden/>
                <w:rStyle w:val="IndexLink"/>
              </w:rPr>
              <w:t>5</w:t>
            </w:r>
            <w:r>
              <w:rPr>
                <w:rStyle w:val="IndexLink"/>
                <w:rtl w:val="true"/>
              </w:rPr>
              <w:t xml:space="preserve">. </w:t>
            </w:r>
            <w:r>
              <w:rPr>
                <w:rStyle w:val="IndexLink"/>
                <w:rtl w:val="true"/>
              </w:rPr>
              <w:t>زكاة الفطرة</w:t>
            </w:r>
            <w:r>
              <w:rPr>
                <w:rStyle w:val="IndexLink"/>
                <w:rtl w:val="true"/>
              </w:rPr>
              <w:tab/>
            </w:r>
            <w:r>
              <w:rPr>
                <w:rStyle w:val="IndexLink"/>
              </w:rPr>
              <w:t>323</w:t>
            </w:r>
          </w:hyperlink>
        </w:p>
        <w:p>
          <w:pPr>
            <w:pStyle w:val="Contents4"/>
            <w:tabs>
              <w:tab w:val="clear" w:pos="8176"/>
              <w:tab w:val="right" w:pos="9026" w:leader="dot"/>
            </w:tabs>
            <w:rPr/>
          </w:pPr>
          <w:hyperlink w:anchor="__RefHeading___Toc1366435_388300464">
            <w:r>
              <w:rPr>
                <w:webHidden/>
                <w:rStyle w:val="IndexLink"/>
              </w:rPr>
              <w:t>6</w:t>
            </w:r>
            <w:r>
              <w:rPr>
                <w:rStyle w:val="IndexLink"/>
                <w:rtl w:val="true"/>
              </w:rPr>
              <w:t xml:space="preserve">. </w:t>
            </w:r>
            <w:r>
              <w:rPr>
                <w:rStyle w:val="IndexLink"/>
                <w:rtl w:val="true"/>
              </w:rPr>
              <w:t>الخراج والمقاسمة</w:t>
            </w:r>
            <w:r>
              <w:rPr>
                <w:rStyle w:val="IndexLink"/>
                <w:rtl w:val="true"/>
              </w:rPr>
              <w:tab/>
            </w:r>
            <w:r>
              <w:rPr>
                <w:rStyle w:val="IndexLink"/>
              </w:rPr>
              <w:t>323</w:t>
            </w:r>
          </w:hyperlink>
        </w:p>
        <w:p>
          <w:pPr>
            <w:pStyle w:val="Contents4"/>
            <w:tabs>
              <w:tab w:val="clear" w:pos="8176"/>
              <w:tab w:val="right" w:pos="9026" w:leader="dot"/>
            </w:tabs>
            <w:rPr/>
          </w:pPr>
          <w:hyperlink w:anchor="__RefHeading___Toc1366437_388300464">
            <w:r>
              <w:rPr>
                <w:webHidden/>
                <w:rStyle w:val="IndexLink"/>
              </w:rPr>
              <w:t>7</w:t>
            </w:r>
            <w:r>
              <w:rPr>
                <w:rStyle w:val="IndexLink"/>
                <w:rtl w:val="true"/>
              </w:rPr>
              <w:t xml:space="preserve">. </w:t>
            </w:r>
            <w:r>
              <w:rPr>
                <w:rStyle w:val="IndexLink"/>
                <w:rtl w:val="true"/>
              </w:rPr>
              <w:t>الجزية</w:t>
            </w:r>
            <w:r>
              <w:rPr>
                <w:rStyle w:val="IndexLink"/>
                <w:rtl w:val="true"/>
              </w:rPr>
              <w:tab/>
            </w:r>
            <w:r>
              <w:rPr>
                <w:rStyle w:val="IndexLink"/>
              </w:rPr>
              <w:t>323</w:t>
            </w:r>
          </w:hyperlink>
        </w:p>
        <w:p>
          <w:pPr>
            <w:pStyle w:val="Contents4"/>
            <w:tabs>
              <w:tab w:val="clear" w:pos="8176"/>
              <w:tab w:val="right" w:pos="9026" w:leader="dot"/>
            </w:tabs>
            <w:rPr/>
          </w:pPr>
          <w:hyperlink w:anchor="__RefHeading___Toc1366439_388300464">
            <w:r>
              <w:rPr>
                <w:webHidden/>
                <w:rStyle w:val="IndexLink"/>
              </w:rPr>
              <w:t>8</w:t>
            </w:r>
            <w:r>
              <w:rPr>
                <w:rStyle w:val="IndexLink"/>
                <w:rtl w:val="true"/>
              </w:rPr>
              <w:t xml:space="preserve">. </w:t>
            </w:r>
            <w:r>
              <w:rPr>
                <w:rStyle w:val="IndexLink"/>
                <w:rtl w:val="true"/>
              </w:rPr>
              <w:t>ضرائب أُخرى</w:t>
            </w:r>
            <w:r>
              <w:rPr>
                <w:rStyle w:val="IndexLink"/>
                <w:rtl w:val="true"/>
              </w:rPr>
              <w:tab/>
            </w:r>
            <w:r>
              <w:rPr>
                <w:rStyle w:val="IndexLink"/>
              </w:rPr>
              <w:t>323</w:t>
            </w:r>
          </w:hyperlink>
        </w:p>
        <w:p>
          <w:pPr>
            <w:pStyle w:val="Contents4"/>
            <w:tabs>
              <w:tab w:val="clear" w:pos="8176"/>
              <w:tab w:val="right" w:pos="9026" w:leader="dot"/>
            </w:tabs>
            <w:rPr/>
          </w:pPr>
          <w:hyperlink w:anchor="__RefHeading___Toc1366441_388300464">
            <w:r>
              <w:rPr>
                <w:webHidden/>
                <w:rStyle w:val="IndexLink"/>
              </w:rPr>
              <w:t>9</w:t>
            </w:r>
            <w:r>
              <w:rPr>
                <w:rStyle w:val="IndexLink"/>
                <w:rtl w:val="true"/>
              </w:rPr>
              <w:t xml:space="preserve">. </w:t>
            </w:r>
            <w:r>
              <w:rPr>
                <w:rStyle w:val="IndexLink"/>
                <w:rtl w:val="true"/>
              </w:rPr>
              <w:t>المظالم</w:t>
            </w:r>
            <w:r>
              <w:rPr>
                <w:rStyle w:val="IndexLink"/>
                <w:rtl w:val="true"/>
              </w:rPr>
              <w:tab/>
            </w:r>
            <w:r>
              <w:rPr>
                <w:rStyle w:val="IndexLink"/>
              </w:rPr>
              <w:t>324</w:t>
            </w:r>
          </w:hyperlink>
        </w:p>
        <w:p>
          <w:pPr>
            <w:pStyle w:val="Contents4"/>
            <w:tabs>
              <w:tab w:val="clear" w:pos="8176"/>
              <w:tab w:val="right" w:pos="9026" w:leader="dot"/>
            </w:tabs>
            <w:rPr/>
          </w:pPr>
          <w:hyperlink w:anchor="__RefHeading___Toc1366443_388300464">
            <w:r>
              <w:rPr>
                <w:webHidden/>
                <w:rStyle w:val="IndexLink"/>
              </w:rPr>
              <w:t>10</w:t>
            </w:r>
            <w:r>
              <w:rPr>
                <w:rStyle w:val="IndexLink"/>
                <w:rtl w:val="true"/>
              </w:rPr>
              <w:t xml:space="preserve">. </w:t>
            </w:r>
            <w:r>
              <w:rPr>
                <w:rStyle w:val="IndexLink"/>
                <w:rtl w:val="true"/>
              </w:rPr>
              <w:t>الكفّارات</w:t>
            </w:r>
            <w:r>
              <w:rPr>
                <w:rStyle w:val="IndexLink"/>
                <w:rtl w:val="true"/>
              </w:rPr>
              <w:tab/>
            </w:r>
            <w:r>
              <w:rPr>
                <w:rStyle w:val="IndexLink"/>
              </w:rPr>
              <w:t>324</w:t>
            </w:r>
          </w:hyperlink>
        </w:p>
        <w:p>
          <w:pPr>
            <w:pStyle w:val="Contents4"/>
            <w:tabs>
              <w:tab w:val="clear" w:pos="8176"/>
              <w:tab w:val="right" w:pos="9026" w:leader="dot"/>
            </w:tabs>
            <w:rPr/>
          </w:pPr>
          <w:hyperlink w:anchor="__RefHeading___Toc1366445_388300464">
            <w:r>
              <w:rPr>
                <w:webHidden/>
                <w:rStyle w:val="IndexLink"/>
              </w:rPr>
              <w:t>11</w:t>
            </w:r>
            <w:r>
              <w:rPr>
                <w:rStyle w:val="IndexLink"/>
                <w:rtl w:val="true"/>
              </w:rPr>
              <w:t xml:space="preserve">. </w:t>
            </w:r>
            <w:r>
              <w:rPr>
                <w:rStyle w:val="IndexLink"/>
                <w:rtl w:val="true"/>
              </w:rPr>
              <w:t>اللقطة</w:t>
            </w:r>
            <w:r>
              <w:rPr>
                <w:rStyle w:val="IndexLink"/>
                <w:rtl w:val="true"/>
              </w:rPr>
              <w:tab/>
            </w:r>
            <w:r>
              <w:rPr>
                <w:rStyle w:val="IndexLink"/>
              </w:rPr>
              <w:t>324</w:t>
            </w:r>
          </w:hyperlink>
        </w:p>
        <w:p>
          <w:pPr>
            <w:pStyle w:val="Contents4"/>
            <w:tabs>
              <w:tab w:val="clear" w:pos="8176"/>
              <w:tab w:val="right" w:pos="9026" w:leader="dot"/>
            </w:tabs>
            <w:rPr/>
          </w:pPr>
          <w:hyperlink w:anchor="__RefHeading___Toc1366447_388300464">
            <w:r>
              <w:rPr>
                <w:webHidden/>
                <w:rStyle w:val="IndexLink"/>
              </w:rPr>
              <w:t>12</w:t>
            </w:r>
            <w:r>
              <w:rPr>
                <w:rStyle w:val="IndexLink"/>
                <w:rtl w:val="true"/>
              </w:rPr>
              <w:t xml:space="preserve">. </w:t>
            </w:r>
            <w:r>
              <w:rPr>
                <w:rStyle w:val="IndexLink"/>
                <w:rtl w:val="true"/>
              </w:rPr>
              <w:t>الأوقاف والوصايا العامة والنذور العامّة</w:t>
            </w:r>
            <w:r>
              <w:rPr>
                <w:rStyle w:val="IndexLink"/>
                <w:rtl w:val="true"/>
              </w:rPr>
              <w:tab/>
            </w:r>
            <w:r>
              <w:rPr>
                <w:rStyle w:val="IndexLink"/>
              </w:rPr>
              <w:t>324</w:t>
            </w:r>
          </w:hyperlink>
        </w:p>
        <w:p>
          <w:pPr>
            <w:pStyle w:val="Contents4"/>
            <w:tabs>
              <w:tab w:val="clear" w:pos="8176"/>
              <w:tab w:val="right" w:pos="9026" w:leader="dot"/>
            </w:tabs>
            <w:rPr/>
          </w:pPr>
          <w:hyperlink w:anchor="__RefHeading___Toc1366449_388300464">
            <w:r>
              <w:rPr>
                <w:webHidden/>
                <w:rStyle w:val="IndexLink"/>
              </w:rPr>
              <w:t>13</w:t>
            </w:r>
            <w:r>
              <w:rPr>
                <w:rStyle w:val="IndexLink"/>
                <w:rtl w:val="true"/>
              </w:rPr>
              <w:t xml:space="preserve">. </w:t>
            </w:r>
            <w:r>
              <w:rPr>
                <w:rStyle w:val="IndexLink"/>
                <w:rtl w:val="true"/>
              </w:rPr>
              <w:t>الضحايا</w:t>
            </w:r>
            <w:r>
              <w:rPr>
                <w:rStyle w:val="IndexLink"/>
                <w:rtl w:val="true"/>
              </w:rPr>
              <w:tab/>
            </w:r>
            <w:r>
              <w:rPr>
                <w:rStyle w:val="IndexLink"/>
              </w:rPr>
              <w:t>324</w:t>
            </w:r>
          </w:hyperlink>
        </w:p>
        <w:p>
          <w:pPr>
            <w:pStyle w:val="Contents4"/>
            <w:tabs>
              <w:tab w:val="clear" w:pos="8176"/>
              <w:tab w:val="right" w:pos="9026" w:leader="dot"/>
            </w:tabs>
            <w:rPr/>
          </w:pPr>
          <w:hyperlink w:anchor="__RefHeading___Toc1366451_388300464">
            <w:r>
              <w:rPr>
                <w:webHidden/>
                <w:rStyle w:val="IndexLink"/>
              </w:rPr>
              <w:t>14</w:t>
            </w:r>
            <w:r>
              <w:rPr>
                <w:rStyle w:val="IndexLink"/>
                <w:rtl w:val="true"/>
              </w:rPr>
              <w:t xml:space="preserve">. </w:t>
            </w:r>
            <w:r>
              <w:rPr>
                <w:rStyle w:val="IndexLink"/>
                <w:rtl w:val="true"/>
              </w:rPr>
              <w:t>توظيف الأموال في المجالات الاقتصادية الكبرى</w:t>
            </w:r>
            <w:r>
              <w:rPr>
                <w:rStyle w:val="IndexLink"/>
                <w:rtl w:val="true"/>
              </w:rPr>
              <w:tab/>
            </w:r>
            <w:r>
              <w:rPr>
                <w:rStyle w:val="IndexLink"/>
              </w:rPr>
              <w:t>324</w:t>
            </w:r>
          </w:hyperlink>
        </w:p>
        <w:p>
          <w:pPr>
            <w:pStyle w:val="Contents3"/>
            <w:tabs>
              <w:tab w:val="clear" w:pos="8459"/>
              <w:tab w:val="right" w:pos="9026" w:leader="dot"/>
            </w:tabs>
            <w:rPr/>
          </w:pPr>
          <w:hyperlink w:anchor="__RefHeading___Toc1366453_388300464">
            <w:r>
              <w:rPr>
                <w:webHidden/>
                <w:rStyle w:val="IndexLink"/>
              </w:rPr>
              <w:t>1</w:t>
            </w:r>
            <w:r>
              <w:rPr>
                <w:rStyle w:val="IndexLink"/>
                <w:rtl w:val="true"/>
              </w:rPr>
              <w:t xml:space="preserve">. </w:t>
            </w:r>
            <w:r>
              <w:rPr>
                <w:rStyle w:val="IndexLink"/>
                <w:rtl w:val="true"/>
              </w:rPr>
              <w:t>وجوب إخراج الزكاة من المال</w:t>
            </w:r>
            <w:r>
              <w:rPr>
                <w:rStyle w:val="IndexLink"/>
                <w:rtl w:val="true"/>
              </w:rPr>
              <w:tab/>
            </w:r>
            <w:r>
              <w:rPr>
                <w:rStyle w:val="IndexLink"/>
              </w:rPr>
              <w:t>326</w:t>
            </w:r>
          </w:hyperlink>
        </w:p>
        <w:p>
          <w:pPr>
            <w:pStyle w:val="Contents4"/>
            <w:tabs>
              <w:tab w:val="clear" w:pos="8176"/>
              <w:tab w:val="right" w:pos="9026" w:leader="dot"/>
            </w:tabs>
            <w:rPr/>
          </w:pPr>
          <w:hyperlink w:anchor="__RefHeading___Toc1366455_388300464">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366457_388300464">
            <w:r>
              <w:rPr>
                <w:webHidden/>
                <w:rStyle w:val="IndexLink"/>
                <w:rtl w:val="true"/>
              </w:rPr>
              <w:t>الآية الأُولى</w:t>
            </w:r>
            <w:r>
              <w:rPr>
                <w:rStyle w:val="IndexLink"/>
                <w:rtl w:val="true"/>
              </w:rPr>
              <w:tab/>
            </w:r>
            <w:r>
              <w:rPr>
                <w:rStyle w:val="IndexLink"/>
              </w:rPr>
              <w:t>326</w:t>
            </w:r>
          </w:hyperlink>
        </w:p>
        <w:p>
          <w:pPr>
            <w:pStyle w:val="Contents5"/>
            <w:tabs>
              <w:tab w:val="clear" w:pos="7892"/>
              <w:tab w:val="right" w:pos="9026" w:leader="dot"/>
            </w:tabs>
            <w:rPr/>
          </w:pPr>
          <w:hyperlink w:anchor="__RefHeading___Toc1366459_388300464">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366461_388300464">
            <w:r>
              <w:rPr>
                <w:webHidden/>
                <w:rStyle w:val="IndexLink"/>
                <w:rtl w:val="true"/>
              </w:rPr>
              <w:t>المفردات</w:t>
            </w:r>
            <w:r>
              <w:rPr>
                <w:rStyle w:val="IndexLink"/>
                <w:rtl w:val="true"/>
              </w:rPr>
              <w:tab/>
            </w:r>
            <w:r>
              <w:rPr>
                <w:rStyle w:val="IndexLink"/>
              </w:rPr>
              <w:t>327</w:t>
            </w:r>
          </w:hyperlink>
        </w:p>
        <w:p>
          <w:pPr>
            <w:pStyle w:val="Contents5"/>
            <w:tabs>
              <w:tab w:val="clear" w:pos="7892"/>
              <w:tab w:val="right" w:pos="9026" w:leader="dot"/>
            </w:tabs>
            <w:rPr/>
          </w:pPr>
          <w:hyperlink w:anchor="__RefHeading___Toc1366463_388300464">
            <w:r>
              <w:rPr>
                <w:webHidden/>
                <w:rStyle w:val="IndexLink"/>
                <w:rtl w:val="true"/>
              </w:rPr>
              <w:t>التفسير</w:t>
            </w:r>
            <w:r>
              <w:rPr>
                <w:rStyle w:val="IndexLink"/>
                <w:rtl w:val="true"/>
              </w:rPr>
              <w:tab/>
            </w:r>
            <w:r>
              <w:rPr>
                <w:rStyle w:val="IndexLink"/>
              </w:rPr>
              <w:t>327</w:t>
            </w:r>
          </w:hyperlink>
        </w:p>
        <w:p>
          <w:pPr>
            <w:pStyle w:val="Contents6"/>
            <w:tabs>
              <w:tab w:val="clear" w:pos="7609"/>
              <w:tab w:val="right" w:pos="9026" w:leader="dot"/>
            </w:tabs>
            <w:rPr/>
          </w:pPr>
          <w:hyperlink w:anchor="__RefHeading___Toc1366465_388300464">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366467_388300464">
            <w:r>
              <w:rPr>
                <w:webHidden/>
                <w:rStyle w:val="IndexLink"/>
                <w:rtl w:val="true"/>
              </w:rPr>
              <w:t>المحور الأوّل</w:t>
            </w:r>
            <w:r>
              <w:rPr>
                <w:rStyle w:val="IndexLink"/>
                <w:rtl w:val="true"/>
              </w:rPr>
              <w:t xml:space="preserve">: </w:t>
            </w:r>
            <w:r>
              <w:rPr>
                <w:rStyle w:val="IndexLink"/>
                <w:rtl w:val="true"/>
              </w:rPr>
              <w:t>الإيمان والعقيدة</w:t>
            </w:r>
            <w:r>
              <w:rPr>
                <w:rStyle w:val="IndexLink"/>
                <w:rtl w:val="true"/>
              </w:rPr>
              <w:tab/>
            </w:r>
            <w:r>
              <w:rPr>
                <w:rStyle w:val="IndexLink"/>
              </w:rPr>
              <w:t>328</w:t>
            </w:r>
          </w:hyperlink>
        </w:p>
        <w:p>
          <w:pPr>
            <w:pStyle w:val="Contents6"/>
            <w:tabs>
              <w:tab w:val="clear" w:pos="7609"/>
              <w:tab w:val="right" w:pos="9026" w:leader="dot"/>
            </w:tabs>
            <w:rPr/>
          </w:pPr>
          <w:hyperlink w:anchor="__RefHeading___Toc1366469_388300464">
            <w:r>
              <w:rPr>
                <w:webHidden/>
                <w:rStyle w:val="IndexLink"/>
                <w:rtl w:val="true"/>
              </w:rPr>
              <w:t>المحور الثاني</w:t>
            </w:r>
            <w:r>
              <w:rPr>
                <w:rStyle w:val="IndexLink"/>
                <w:rtl w:val="true"/>
              </w:rPr>
              <w:t xml:space="preserve">: </w:t>
            </w:r>
            <w:r>
              <w:rPr>
                <w:rStyle w:val="IndexLink"/>
                <w:rtl w:val="true"/>
              </w:rPr>
              <w:t>خدمة المجتمع الإيماني</w:t>
            </w:r>
            <w:r>
              <w:rPr>
                <w:rStyle w:val="IndexLink"/>
                <w:rtl w:val="true"/>
              </w:rPr>
              <w:tab/>
            </w:r>
            <w:r>
              <w:rPr>
                <w:rStyle w:val="IndexLink"/>
              </w:rPr>
              <w:t>329</w:t>
            </w:r>
          </w:hyperlink>
        </w:p>
        <w:p>
          <w:pPr>
            <w:pStyle w:val="Contents3"/>
            <w:tabs>
              <w:tab w:val="clear" w:pos="8459"/>
              <w:tab w:val="right" w:pos="9026" w:leader="dot"/>
            </w:tabs>
            <w:rPr/>
          </w:pPr>
          <w:hyperlink w:anchor="__RefHeading___Toc1366471_388300464">
            <w:r>
              <w:rPr>
                <w:webHidden/>
                <w:rStyle w:val="IndexLink"/>
              </w:rPr>
              <w:t>2</w:t>
            </w:r>
            <w:r>
              <w:rPr>
                <w:rStyle w:val="IndexLink"/>
                <w:rtl w:val="true"/>
              </w:rPr>
              <w:t xml:space="preserve">. </w:t>
            </w:r>
            <w:r>
              <w:rPr>
                <w:rStyle w:val="IndexLink"/>
                <w:rtl w:val="true"/>
              </w:rPr>
              <w:t>حرمة اكتناز العملة قبل إخراج زكاتها</w:t>
            </w:r>
            <w:r>
              <w:rPr>
                <w:rStyle w:val="IndexLink"/>
                <w:rtl w:val="true"/>
              </w:rPr>
              <w:tab/>
            </w:r>
            <w:r>
              <w:rPr>
                <w:rStyle w:val="IndexLink"/>
              </w:rPr>
              <w:t>332</w:t>
            </w:r>
          </w:hyperlink>
        </w:p>
        <w:p>
          <w:pPr>
            <w:pStyle w:val="Contents4"/>
            <w:tabs>
              <w:tab w:val="clear" w:pos="8176"/>
              <w:tab w:val="right" w:pos="9026" w:leader="dot"/>
            </w:tabs>
            <w:rPr/>
          </w:pPr>
          <w:hyperlink w:anchor="__RefHeading___Toc1366473_388300464">
            <w:r>
              <w:rPr>
                <w:webHidden/>
                <w:rStyle w:val="IndexLink"/>
                <w:rtl w:val="true"/>
              </w:rPr>
              <w:t>الآية الثانية</w:t>
            </w:r>
            <w:r>
              <w:rPr>
                <w:rStyle w:val="IndexLink"/>
                <w:rtl w:val="true"/>
              </w:rPr>
              <w:tab/>
            </w:r>
            <w:r>
              <w:rPr>
                <w:rStyle w:val="IndexLink"/>
              </w:rPr>
              <w:t>332</w:t>
            </w:r>
          </w:hyperlink>
        </w:p>
        <w:p>
          <w:pPr>
            <w:pStyle w:val="Contents4"/>
            <w:tabs>
              <w:tab w:val="clear" w:pos="8176"/>
              <w:tab w:val="right" w:pos="9026" w:leader="dot"/>
            </w:tabs>
            <w:rPr/>
          </w:pPr>
          <w:hyperlink w:anchor="__RefHeading___Toc1366475_388300464">
            <w:r>
              <w:rPr>
                <w:webHidden/>
                <w:rStyle w:val="IndexLink"/>
                <w:rtl w:val="true"/>
              </w:rPr>
              <w:t>المفردات</w:t>
            </w:r>
            <w:r>
              <w:rPr>
                <w:rStyle w:val="IndexLink"/>
                <w:rtl w:val="true"/>
              </w:rPr>
              <w:tab/>
            </w:r>
            <w:r>
              <w:rPr>
                <w:rStyle w:val="IndexLink"/>
              </w:rPr>
              <w:t>332</w:t>
            </w:r>
          </w:hyperlink>
        </w:p>
        <w:p>
          <w:pPr>
            <w:pStyle w:val="Contents4"/>
            <w:tabs>
              <w:tab w:val="clear" w:pos="8176"/>
              <w:tab w:val="right" w:pos="9026" w:leader="dot"/>
            </w:tabs>
            <w:rPr/>
          </w:pPr>
          <w:hyperlink w:anchor="__RefHeading___Toc1366477_388300464">
            <w:r>
              <w:rPr>
                <w:webHidden/>
                <w:rStyle w:val="IndexLink"/>
                <w:rtl w:val="true"/>
              </w:rPr>
              <w:t>التفسير</w:t>
            </w:r>
            <w:r>
              <w:rPr>
                <w:rStyle w:val="IndexLink"/>
                <w:rtl w:val="true"/>
              </w:rPr>
              <w:tab/>
            </w:r>
            <w:r>
              <w:rPr>
                <w:rStyle w:val="IndexLink"/>
              </w:rPr>
              <w:t>333</w:t>
            </w:r>
          </w:hyperlink>
        </w:p>
        <w:p>
          <w:pPr>
            <w:pStyle w:val="Contents4"/>
            <w:tabs>
              <w:tab w:val="clear" w:pos="8176"/>
              <w:tab w:val="right" w:pos="9026" w:leader="dot"/>
            </w:tabs>
            <w:rPr/>
          </w:pPr>
          <w:hyperlink w:anchor="__RefHeading___Toc1366479_388300464">
            <w:r>
              <w:rPr>
                <w:webHidden/>
                <w:rStyle w:val="IndexLink"/>
                <w:rtl w:val="true"/>
              </w:rPr>
              <w:t>وصف عمل الأحبار والرهبان</w:t>
            </w:r>
            <w:r>
              <w:rPr>
                <w:rStyle w:val="IndexLink"/>
                <w:rtl w:val="true"/>
              </w:rPr>
              <w:tab/>
            </w:r>
            <w:r>
              <w:rPr>
                <w:rStyle w:val="IndexLink"/>
              </w:rPr>
              <w:t>333</w:t>
            </w:r>
          </w:hyperlink>
        </w:p>
        <w:p>
          <w:pPr>
            <w:pStyle w:val="Contents4"/>
            <w:tabs>
              <w:tab w:val="clear" w:pos="8176"/>
              <w:tab w:val="right" w:pos="9026" w:leader="dot"/>
            </w:tabs>
            <w:rPr/>
          </w:pPr>
          <w:hyperlink w:anchor="__RefHeading___Toc1366481_388300464">
            <w:r>
              <w:rPr>
                <w:webHidden/>
                <w:rStyle w:val="IndexLink"/>
                <w:rtl w:val="true"/>
              </w:rPr>
              <w:t>تحريم اكتناز الذهب والفضة على المسلم والكتابي</w:t>
            </w:r>
            <w:r>
              <w:rPr>
                <w:rStyle w:val="IndexLink"/>
                <w:rtl w:val="true"/>
              </w:rPr>
              <w:tab/>
            </w:r>
            <w:r>
              <w:rPr>
                <w:rStyle w:val="IndexLink"/>
              </w:rPr>
              <w:t>334</w:t>
            </w:r>
          </w:hyperlink>
        </w:p>
        <w:p>
          <w:pPr>
            <w:pStyle w:val="Contents4"/>
            <w:tabs>
              <w:tab w:val="clear" w:pos="8176"/>
              <w:tab w:val="right" w:pos="9026" w:leader="dot"/>
            </w:tabs>
            <w:rPr/>
          </w:pPr>
          <w:hyperlink w:anchor="__RefHeading___Toc1366483_388300464">
            <w:r>
              <w:rPr>
                <w:webHidden/>
                <w:rStyle w:val="IndexLink"/>
                <w:rtl w:val="true"/>
              </w:rPr>
              <w:t>نزاع بين عثمان وأُبيّ في كتابة الواو</w:t>
            </w:r>
            <w:r>
              <w:rPr>
                <w:rStyle w:val="IndexLink"/>
                <w:rtl w:val="true"/>
              </w:rPr>
              <w:tab/>
            </w:r>
            <w:r>
              <w:rPr>
                <w:rStyle w:val="IndexLink"/>
              </w:rPr>
              <w:t>335</w:t>
            </w:r>
          </w:hyperlink>
        </w:p>
        <w:p>
          <w:pPr>
            <w:pStyle w:val="Contents4"/>
            <w:tabs>
              <w:tab w:val="clear" w:pos="8176"/>
              <w:tab w:val="right" w:pos="9026" w:leader="dot"/>
            </w:tabs>
            <w:rPr/>
          </w:pPr>
          <w:hyperlink w:anchor="__RefHeading___Toc1366485_388300464">
            <w:r>
              <w:rPr>
                <w:webHidden/>
                <w:rStyle w:val="IndexLink"/>
                <w:rtl w:val="true"/>
              </w:rPr>
              <w:t>بقيت هنا أُمور</w:t>
            </w:r>
            <w:r>
              <w:rPr>
                <w:rStyle w:val="IndexLink"/>
                <w:rtl w:val="true"/>
              </w:rPr>
              <w:t>:</w:t>
              <w:tab/>
            </w:r>
            <w:r>
              <w:rPr>
                <w:rStyle w:val="IndexLink"/>
              </w:rPr>
              <w:t>337</w:t>
            </w:r>
          </w:hyperlink>
        </w:p>
        <w:p>
          <w:pPr>
            <w:pStyle w:val="Contents3"/>
            <w:tabs>
              <w:tab w:val="clear" w:pos="8459"/>
              <w:tab w:val="right" w:pos="9026" w:leader="dot"/>
            </w:tabs>
            <w:rPr/>
          </w:pPr>
          <w:hyperlink w:anchor="__RefHeading___Toc1366487_388300464">
            <w:r>
              <w:rPr>
                <w:webHidden/>
                <w:rStyle w:val="IndexLink"/>
              </w:rPr>
              <w:t>3</w:t>
            </w:r>
            <w:r>
              <w:rPr>
                <w:rStyle w:val="IndexLink"/>
                <w:rtl w:val="true"/>
              </w:rPr>
              <w:t xml:space="preserve">. </w:t>
            </w:r>
            <w:r>
              <w:rPr>
                <w:rStyle w:val="IndexLink"/>
                <w:rtl w:val="true"/>
              </w:rPr>
              <w:t>وجوب أخذ الزكاة على النبيّ وعلى مَن يقوم مقامه</w:t>
            </w:r>
            <w:r>
              <w:rPr>
                <w:rStyle w:val="IndexLink"/>
                <w:rtl w:val="true"/>
              </w:rPr>
              <w:tab/>
            </w:r>
            <w:r>
              <w:rPr>
                <w:rStyle w:val="IndexLink"/>
              </w:rPr>
              <w:t>340</w:t>
            </w:r>
          </w:hyperlink>
        </w:p>
        <w:p>
          <w:pPr>
            <w:pStyle w:val="Contents4"/>
            <w:tabs>
              <w:tab w:val="clear" w:pos="8176"/>
              <w:tab w:val="right" w:pos="9026" w:leader="dot"/>
            </w:tabs>
            <w:rPr/>
          </w:pPr>
          <w:hyperlink w:anchor="__RefHeading___Toc1366489_388300464">
            <w:r>
              <w:rPr>
                <w:webHidden/>
                <w:rStyle w:val="IndexLink"/>
                <w:rtl w:val="true"/>
              </w:rPr>
              <w:t>الآية الثالثة</w:t>
            </w:r>
            <w:r>
              <w:rPr>
                <w:rStyle w:val="IndexLink"/>
                <w:rtl w:val="true"/>
              </w:rPr>
              <w:tab/>
            </w:r>
            <w:r>
              <w:rPr>
                <w:rStyle w:val="IndexLink"/>
              </w:rPr>
              <w:t>340</w:t>
            </w:r>
          </w:hyperlink>
        </w:p>
        <w:p>
          <w:pPr>
            <w:pStyle w:val="Contents5"/>
            <w:tabs>
              <w:tab w:val="clear" w:pos="7892"/>
              <w:tab w:val="right" w:pos="9026" w:leader="dot"/>
            </w:tabs>
            <w:rPr/>
          </w:pPr>
          <w:hyperlink w:anchor="__RefHeading___Toc1366491_388300464">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366493_388300464">
            <w:r>
              <w:rPr>
                <w:webHidden/>
                <w:rStyle w:val="IndexLink"/>
                <w:rtl w:val="true"/>
              </w:rPr>
              <w:t>المفردات</w:t>
            </w:r>
            <w:r>
              <w:rPr>
                <w:rStyle w:val="IndexLink"/>
                <w:rtl w:val="true"/>
              </w:rPr>
              <w:tab/>
            </w:r>
            <w:r>
              <w:rPr>
                <w:rStyle w:val="IndexLink"/>
              </w:rPr>
              <w:t>340</w:t>
            </w:r>
          </w:hyperlink>
        </w:p>
        <w:p>
          <w:pPr>
            <w:pStyle w:val="Contents5"/>
            <w:tabs>
              <w:tab w:val="clear" w:pos="7892"/>
              <w:tab w:val="right" w:pos="9026" w:leader="dot"/>
            </w:tabs>
            <w:rPr/>
          </w:pPr>
          <w:hyperlink w:anchor="__RefHeading___Toc1366495_388300464">
            <w:r>
              <w:rPr>
                <w:webHidden/>
                <w:rStyle w:val="IndexLink"/>
                <w:rtl w:val="true"/>
              </w:rPr>
              <w:t>التفسير</w:t>
            </w:r>
            <w:r>
              <w:rPr>
                <w:rStyle w:val="IndexLink"/>
                <w:rtl w:val="true"/>
              </w:rPr>
              <w:tab/>
            </w:r>
            <w:r>
              <w:rPr>
                <w:rStyle w:val="IndexLink"/>
              </w:rPr>
              <w:t>340</w:t>
            </w:r>
          </w:hyperlink>
        </w:p>
        <w:p>
          <w:pPr>
            <w:pStyle w:val="Contents4"/>
            <w:tabs>
              <w:tab w:val="clear" w:pos="8176"/>
              <w:tab w:val="right" w:pos="9026" w:leader="dot"/>
            </w:tabs>
            <w:rPr/>
          </w:pPr>
          <w:hyperlink w:anchor="__RefHeading___Toc1366497_388300464">
            <w:r>
              <w:rPr>
                <w:webHidden/>
                <w:rStyle w:val="IndexLink"/>
                <w:rtl w:val="true"/>
              </w:rPr>
              <w:t>جواز الصلاة على المؤمن مفرداً</w:t>
            </w:r>
            <w:r>
              <w:rPr>
                <w:rStyle w:val="IndexLink"/>
                <w:rtl w:val="true"/>
              </w:rPr>
              <w:tab/>
            </w:r>
            <w:r>
              <w:rPr>
                <w:rStyle w:val="IndexLink"/>
              </w:rPr>
              <w:t>343</w:t>
            </w:r>
          </w:hyperlink>
        </w:p>
        <w:p>
          <w:pPr>
            <w:pStyle w:val="Contents4"/>
            <w:tabs>
              <w:tab w:val="clear" w:pos="8176"/>
              <w:tab w:val="right" w:pos="9026" w:leader="dot"/>
            </w:tabs>
            <w:rPr/>
          </w:pPr>
          <w:hyperlink w:anchor="__RefHeading___Toc1366499_388300464">
            <w:r>
              <w:rPr>
                <w:webHidden/>
                <w:rStyle w:val="IndexLink"/>
                <w:rtl w:val="true"/>
              </w:rPr>
              <w:t>قبول التوبة بيد اللّه</w:t>
            </w:r>
            <w:r>
              <w:rPr>
                <w:rStyle w:val="IndexLink"/>
                <w:rtl w:val="true"/>
              </w:rPr>
              <w:tab/>
            </w:r>
            <w:r>
              <w:rPr>
                <w:rStyle w:val="IndexLink"/>
              </w:rPr>
              <w:t>345</w:t>
            </w:r>
          </w:hyperlink>
        </w:p>
        <w:p>
          <w:pPr>
            <w:pStyle w:val="Contents4"/>
            <w:tabs>
              <w:tab w:val="clear" w:pos="8176"/>
              <w:tab w:val="right" w:pos="9026" w:leader="dot"/>
            </w:tabs>
            <w:rPr/>
          </w:pPr>
          <w:hyperlink w:anchor="__RefHeading___Toc1366501_388300464">
            <w:r>
              <w:rPr>
                <w:webHidden/>
                <w:rStyle w:val="IndexLink"/>
                <w:rtl w:val="true"/>
              </w:rPr>
              <w:t>تتمة</w:t>
            </w:r>
            <w:r>
              <w:rPr>
                <w:rStyle w:val="IndexLink"/>
                <w:rtl w:val="true"/>
              </w:rPr>
              <w:tab/>
            </w:r>
            <w:r>
              <w:rPr>
                <w:rStyle w:val="IndexLink"/>
              </w:rPr>
              <w:t>346</w:t>
            </w:r>
          </w:hyperlink>
        </w:p>
        <w:p>
          <w:pPr>
            <w:pStyle w:val="Contents3"/>
            <w:tabs>
              <w:tab w:val="clear" w:pos="8459"/>
              <w:tab w:val="right" w:pos="9026" w:leader="dot"/>
            </w:tabs>
            <w:rPr/>
          </w:pPr>
          <w:hyperlink w:anchor="__RefHeading___Toc1366503_388300464">
            <w:r>
              <w:rPr>
                <w:webHidden/>
                <w:rStyle w:val="IndexLink"/>
              </w:rPr>
              <w:t>4</w:t>
            </w:r>
            <w:r>
              <w:rPr>
                <w:rStyle w:val="IndexLink"/>
                <w:rtl w:val="true"/>
              </w:rPr>
              <w:t xml:space="preserve">. </w:t>
            </w:r>
            <w:r>
              <w:rPr>
                <w:rStyle w:val="IndexLink"/>
                <w:rtl w:val="true"/>
              </w:rPr>
              <w:t>مصارف الزكاة</w:t>
            </w:r>
            <w:r>
              <w:rPr>
                <w:rStyle w:val="IndexLink"/>
                <w:rtl w:val="true"/>
              </w:rPr>
              <w:tab/>
            </w:r>
            <w:r>
              <w:rPr>
                <w:rStyle w:val="IndexLink"/>
              </w:rPr>
              <w:t>349</w:t>
            </w:r>
          </w:hyperlink>
        </w:p>
        <w:p>
          <w:pPr>
            <w:pStyle w:val="Contents4"/>
            <w:tabs>
              <w:tab w:val="clear" w:pos="8176"/>
              <w:tab w:val="right" w:pos="9026" w:leader="dot"/>
            </w:tabs>
            <w:rPr/>
          </w:pPr>
          <w:hyperlink w:anchor="__RefHeading___Toc1366505_388300464">
            <w:r>
              <w:rPr>
                <w:webHidden/>
                <w:rStyle w:val="IndexLink"/>
                <w:rtl w:val="true"/>
              </w:rPr>
              <w:t>الآية الرابعة</w:t>
            </w:r>
            <w:r>
              <w:rPr>
                <w:rStyle w:val="IndexLink"/>
                <w:rtl w:val="true"/>
              </w:rPr>
              <w:tab/>
            </w:r>
            <w:r>
              <w:rPr>
                <w:rStyle w:val="IndexLink"/>
              </w:rPr>
              <w:t>349</w:t>
            </w:r>
          </w:hyperlink>
        </w:p>
        <w:p>
          <w:pPr>
            <w:pStyle w:val="Contents5"/>
            <w:tabs>
              <w:tab w:val="clear" w:pos="7892"/>
              <w:tab w:val="right" w:pos="9026" w:leader="dot"/>
            </w:tabs>
            <w:rPr/>
          </w:pPr>
          <w:hyperlink w:anchor="__RefHeading___Toc1366507_388300464">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366509_388300464">
            <w:r>
              <w:rPr>
                <w:webHidden/>
                <w:rStyle w:val="IndexLink"/>
                <w:rtl w:val="true"/>
              </w:rPr>
              <w:t>المفردات</w:t>
            </w:r>
            <w:r>
              <w:rPr>
                <w:rStyle w:val="IndexLink"/>
                <w:rtl w:val="true"/>
              </w:rPr>
              <w:tab/>
            </w:r>
            <w:r>
              <w:rPr>
                <w:rStyle w:val="IndexLink"/>
              </w:rPr>
              <w:t>349</w:t>
            </w:r>
          </w:hyperlink>
        </w:p>
        <w:p>
          <w:pPr>
            <w:pStyle w:val="Contents5"/>
            <w:tabs>
              <w:tab w:val="clear" w:pos="7892"/>
              <w:tab w:val="right" w:pos="9026" w:leader="dot"/>
            </w:tabs>
            <w:rPr/>
          </w:pPr>
          <w:hyperlink w:anchor="__RefHeading___Toc1366511_388300464">
            <w:r>
              <w:rPr>
                <w:webHidden/>
                <w:rStyle w:val="IndexLink"/>
                <w:rtl w:val="true"/>
              </w:rPr>
              <w:t>التفسير</w:t>
            </w:r>
            <w:r>
              <w:rPr>
                <w:rStyle w:val="IndexLink"/>
                <w:rtl w:val="true"/>
              </w:rPr>
              <w:tab/>
            </w:r>
            <w:r>
              <w:rPr>
                <w:rStyle w:val="IndexLink"/>
              </w:rPr>
              <w:t>350</w:t>
            </w:r>
          </w:hyperlink>
        </w:p>
        <w:p>
          <w:pPr>
            <w:pStyle w:val="Contents4"/>
            <w:tabs>
              <w:tab w:val="clear" w:pos="8176"/>
              <w:tab w:val="right" w:pos="9026" w:leader="dot"/>
            </w:tabs>
            <w:rPr/>
          </w:pPr>
          <w:hyperlink w:anchor="__RefHeading___Toc1366513_388300464">
            <w:r>
              <w:rPr>
                <w:webHidden/>
                <w:rStyle w:val="IndexLink"/>
                <w:rtl w:val="true"/>
              </w:rPr>
              <w:t>بحوث حول الزكاة</w:t>
            </w:r>
            <w:r>
              <w:rPr>
                <w:rStyle w:val="IndexLink"/>
                <w:rtl w:val="true"/>
              </w:rPr>
              <w:tab/>
            </w:r>
            <w:r>
              <w:rPr>
                <w:rStyle w:val="IndexLink"/>
              </w:rPr>
              <w:t>354</w:t>
            </w:r>
          </w:hyperlink>
        </w:p>
        <w:p>
          <w:pPr>
            <w:pStyle w:val="Contents3"/>
            <w:tabs>
              <w:tab w:val="clear" w:pos="8459"/>
              <w:tab w:val="right" w:pos="9026" w:leader="dot"/>
            </w:tabs>
            <w:rPr/>
          </w:pPr>
          <w:hyperlink w:anchor="__RefHeading___Toc1366515_388300464">
            <w:r>
              <w:rPr>
                <w:webHidden/>
                <w:rStyle w:val="IndexLink"/>
              </w:rPr>
              <w:t>5</w:t>
            </w:r>
            <w:r>
              <w:rPr>
                <w:rStyle w:val="IndexLink"/>
                <w:rtl w:val="true"/>
              </w:rPr>
              <w:t xml:space="preserve">. </w:t>
            </w:r>
            <w:r>
              <w:rPr>
                <w:rStyle w:val="IndexLink"/>
                <w:rtl w:val="true"/>
              </w:rPr>
              <w:t>إخراج الطيّب من الأموال للزكاة</w:t>
            </w:r>
            <w:r>
              <w:rPr>
                <w:rStyle w:val="IndexLink"/>
                <w:rtl w:val="true"/>
              </w:rPr>
              <w:tab/>
            </w:r>
            <w:r>
              <w:rPr>
                <w:rStyle w:val="IndexLink"/>
              </w:rPr>
              <w:t>358</w:t>
            </w:r>
          </w:hyperlink>
        </w:p>
        <w:p>
          <w:pPr>
            <w:pStyle w:val="Contents4"/>
            <w:tabs>
              <w:tab w:val="clear" w:pos="8176"/>
              <w:tab w:val="right" w:pos="9026" w:leader="dot"/>
            </w:tabs>
            <w:rPr/>
          </w:pPr>
          <w:hyperlink w:anchor="__RefHeading___Toc1366517_388300464">
            <w:r>
              <w:rPr>
                <w:webHidden/>
                <w:rStyle w:val="IndexLink"/>
                <w:rtl w:val="true"/>
              </w:rPr>
              <w:t>الآية الخامسة</w:t>
            </w:r>
            <w:r>
              <w:rPr>
                <w:rStyle w:val="IndexLink"/>
                <w:rtl w:val="true"/>
              </w:rPr>
              <w:tab/>
            </w:r>
            <w:r>
              <w:rPr>
                <w:rStyle w:val="IndexLink"/>
              </w:rPr>
              <w:t>358</w:t>
            </w:r>
          </w:hyperlink>
        </w:p>
        <w:p>
          <w:pPr>
            <w:pStyle w:val="Contents5"/>
            <w:tabs>
              <w:tab w:val="clear" w:pos="7892"/>
              <w:tab w:val="right" w:pos="9026" w:leader="dot"/>
            </w:tabs>
            <w:rPr/>
          </w:pPr>
          <w:hyperlink w:anchor="__RefHeading___Toc1366519_388300464">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366521_388300464">
            <w:r>
              <w:rPr>
                <w:webHidden/>
                <w:rStyle w:val="IndexLink"/>
                <w:rtl w:val="true"/>
              </w:rPr>
              <w:t>المفردات</w:t>
            </w:r>
            <w:r>
              <w:rPr>
                <w:rStyle w:val="IndexLink"/>
                <w:rtl w:val="true"/>
              </w:rPr>
              <w:tab/>
            </w:r>
            <w:r>
              <w:rPr>
                <w:rStyle w:val="IndexLink"/>
              </w:rPr>
              <w:t>358</w:t>
            </w:r>
          </w:hyperlink>
        </w:p>
        <w:p>
          <w:pPr>
            <w:pStyle w:val="Contents5"/>
            <w:tabs>
              <w:tab w:val="clear" w:pos="7892"/>
              <w:tab w:val="right" w:pos="9026" w:leader="dot"/>
            </w:tabs>
            <w:rPr/>
          </w:pPr>
          <w:hyperlink w:anchor="__RefHeading___Toc1366523_388300464">
            <w:r>
              <w:rPr>
                <w:webHidden/>
                <w:rStyle w:val="IndexLink"/>
                <w:rtl w:val="true"/>
              </w:rPr>
              <w:t>التفسير</w:t>
            </w:r>
            <w:r>
              <w:rPr>
                <w:rStyle w:val="IndexLink"/>
                <w:rtl w:val="true"/>
              </w:rPr>
              <w:tab/>
            </w:r>
            <w:r>
              <w:rPr>
                <w:rStyle w:val="IndexLink"/>
              </w:rPr>
              <w:t>359</w:t>
            </w:r>
          </w:hyperlink>
        </w:p>
        <w:p>
          <w:pPr>
            <w:pStyle w:val="Contents3"/>
            <w:tabs>
              <w:tab w:val="clear" w:pos="8459"/>
              <w:tab w:val="right" w:pos="9026" w:leader="dot"/>
            </w:tabs>
            <w:rPr/>
          </w:pPr>
          <w:hyperlink w:anchor="__RefHeading___Toc1366525_388300464">
            <w:r>
              <w:rPr>
                <w:webHidden/>
                <w:rStyle w:val="IndexLink"/>
              </w:rPr>
              <w:t>6</w:t>
            </w:r>
            <w:r>
              <w:rPr>
                <w:rStyle w:val="IndexLink"/>
                <w:rtl w:val="true"/>
              </w:rPr>
              <w:t xml:space="preserve">. </w:t>
            </w:r>
            <w:r>
              <w:rPr>
                <w:rStyle w:val="IndexLink"/>
                <w:rtl w:val="true"/>
              </w:rPr>
              <w:t>قصد التقرّب إلى اللّه في إعطاء الزكاة</w:t>
            </w:r>
            <w:r>
              <w:rPr>
                <w:rStyle w:val="IndexLink"/>
                <w:rtl w:val="true"/>
              </w:rPr>
              <w:tab/>
            </w:r>
            <w:r>
              <w:rPr>
                <w:rStyle w:val="IndexLink"/>
              </w:rPr>
              <w:t>362</w:t>
            </w:r>
          </w:hyperlink>
        </w:p>
        <w:p>
          <w:pPr>
            <w:pStyle w:val="Contents4"/>
            <w:tabs>
              <w:tab w:val="clear" w:pos="8176"/>
              <w:tab w:val="right" w:pos="9026" w:leader="dot"/>
            </w:tabs>
            <w:rPr/>
          </w:pPr>
          <w:hyperlink w:anchor="__RefHeading___Toc1366527_388300464">
            <w:r>
              <w:rPr>
                <w:webHidden/>
                <w:rStyle w:val="IndexLink"/>
                <w:rtl w:val="true"/>
              </w:rPr>
              <w:t>الآية السادسة</w:t>
            </w:r>
            <w:r>
              <w:rPr>
                <w:rStyle w:val="IndexLink"/>
                <w:rtl w:val="true"/>
              </w:rPr>
              <w:tab/>
            </w:r>
            <w:r>
              <w:rPr>
                <w:rStyle w:val="IndexLink"/>
              </w:rPr>
              <w:t>362</w:t>
            </w:r>
          </w:hyperlink>
        </w:p>
        <w:p>
          <w:pPr>
            <w:pStyle w:val="Contents5"/>
            <w:tabs>
              <w:tab w:val="clear" w:pos="7892"/>
              <w:tab w:val="right" w:pos="9026" w:leader="dot"/>
            </w:tabs>
            <w:rPr/>
          </w:pPr>
          <w:hyperlink w:anchor="__RefHeading___Toc1366529_388300464">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366531_388300464">
            <w:r>
              <w:rPr>
                <w:webHidden/>
                <w:rStyle w:val="IndexLink"/>
                <w:rtl w:val="true"/>
              </w:rPr>
              <w:t>التفسير</w:t>
            </w:r>
            <w:r>
              <w:rPr>
                <w:rStyle w:val="IndexLink"/>
                <w:rtl w:val="true"/>
              </w:rPr>
              <w:tab/>
            </w:r>
            <w:r>
              <w:rPr>
                <w:rStyle w:val="IndexLink"/>
              </w:rPr>
              <w:t>362</w:t>
            </w:r>
          </w:hyperlink>
        </w:p>
        <w:p>
          <w:pPr>
            <w:pStyle w:val="Contents3"/>
            <w:tabs>
              <w:tab w:val="clear" w:pos="8459"/>
              <w:tab w:val="right" w:pos="9026" w:leader="dot"/>
            </w:tabs>
            <w:rPr/>
          </w:pPr>
          <w:hyperlink w:anchor="__RefHeading___Toc1366533_388300464">
            <w:r>
              <w:rPr>
                <w:webHidden/>
                <w:rStyle w:val="IndexLink"/>
              </w:rPr>
              <w:t>7</w:t>
            </w:r>
            <w:r>
              <w:rPr>
                <w:rStyle w:val="IndexLink"/>
                <w:rtl w:val="true"/>
              </w:rPr>
              <w:t xml:space="preserve">. </w:t>
            </w:r>
            <w:r>
              <w:rPr>
                <w:rStyle w:val="IndexLink"/>
                <w:rtl w:val="true"/>
              </w:rPr>
              <w:t>أيّهما أفضل</w:t>
            </w:r>
            <w:r>
              <w:rPr>
                <w:rStyle w:val="IndexLink"/>
                <w:rtl w:val="true"/>
              </w:rPr>
              <w:t xml:space="preserve">: </w:t>
            </w:r>
            <w:r>
              <w:rPr>
                <w:rStyle w:val="IndexLink"/>
                <w:rtl w:val="true"/>
              </w:rPr>
              <w:t>الإبداء بالصدقات أو إخفاؤها؟</w:t>
            </w:r>
            <w:r>
              <w:rPr>
                <w:rStyle w:val="IndexLink"/>
                <w:rtl w:val="true"/>
              </w:rPr>
              <w:tab/>
            </w:r>
            <w:r>
              <w:rPr>
                <w:rStyle w:val="IndexLink"/>
              </w:rPr>
              <w:t>365</w:t>
            </w:r>
          </w:hyperlink>
        </w:p>
        <w:p>
          <w:pPr>
            <w:pStyle w:val="Contents4"/>
            <w:tabs>
              <w:tab w:val="clear" w:pos="8176"/>
              <w:tab w:val="right" w:pos="9026" w:leader="dot"/>
            </w:tabs>
            <w:rPr/>
          </w:pPr>
          <w:hyperlink w:anchor="__RefHeading___Toc1366535_388300464">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366537_388300464">
            <w:r>
              <w:rPr>
                <w:webHidden/>
                <w:rStyle w:val="IndexLink"/>
                <w:rtl w:val="true"/>
              </w:rPr>
              <w:t>الآية السابعة</w:t>
            </w:r>
            <w:r>
              <w:rPr>
                <w:rStyle w:val="IndexLink"/>
                <w:rtl w:val="true"/>
              </w:rPr>
              <w:tab/>
            </w:r>
            <w:r>
              <w:rPr>
                <w:rStyle w:val="IndexLink"/>
              </w:rPr>
              <w:t>365</w:t>
            </w:r>
          </w:hyperlink>
        </w:p>
        <w:p>
          <w:pPr>
            <w:pStyle w:val="Contents5"/>
            <w:tabs>
              <w:tab w:val="clear" w:pos="7892"/>
              <w:tab w:val="right" w:pos="9026" w:leader="dot"/>
            </w:tabs>
            <w:rPr/>
          </w:pPr>
          <w:hyperlink w:anchor="__RefHeading___Toc1366539_388300464">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366541_388300464">
            <w:r>
              <w:rPr>
                <w:webHidden/>
                <w:rStyle w:val="IndexLink"/>
                <w:rtl w:val="true"/>
              </w:rPr>
              <w:t>التفسير</w:t>
            </w:r>
            <w:r>
              <w:rPr>
                <w:rStyle w:val="IndexLink"/>
                <w:rtl w:val="true"/>
              </w:rPr>
              <w:tab/>
            </w:r>
            <w:r>
              <w:rPr>
                <w:rStyle w:val="IndexLink"/>
              </w:rPr>
              <w:t>365</w:t>
            </w:r>
          </w:hyperlink>
        </w:p>
        <w:p>
          <w:pPr>
            <w:pStyle w:val="Contents3"/>
            <w:tabs>
              <w:tab w:val="clear" w:pos="8459"/>
              <w:tab w:val="right" w:pos="9026" w:leader="dot"/>
            </w:tabs>
            <w:rPr/>
          </w:pPr>
          <w:hyperlink w:anchor="__RefHeading___Toc1366543_388300464">
            <w:r>
              <w:rPr>
                <w:webHidden/>
                <w:rStyle w:val="IndexLink"/>
              </w:rPr>
              <w:t>8</w:t>
            </w:r>
            <w:r>
              <w:rPr>
                <w:rStyle w:val="IndexLink"/>
                <w:rtl w:val="true"/>
              </w:rPr>
              <w:t xml:space="preserve">. </w:t>
            </w:r>
            <w:r>
              <w:rPr>
                <w:rStyle w:val="IndexLink"/>
                <w:rtl w:val="true"/>
              </w:rPr>
              <w:t>ما هو اللازم في الإنفاق‌؟</w:t>
            </w:r>
            <w:r>
              <w:rPr>
                <w:rStyle w:val="IndexLink"/>
                <w:rtl w:val="true"/>
              </w:rPr>
              <w:tab/>
            </w:r>
            <w:r>
              <w:rPr>
                <w:rStyle w:val="IndexLink"/>
              </w:rPr>
              <w:t>368</w:t>
            </w:r>
          </w:hyperlink>
        </w:p>
        <w:p>
          <w:pPr>
            <w:pStyle w:val="Contents4"/>
            <w:tabs>
              <w:tab w:val="clear" w:pos="8176"/>
              <w:tab w:val="right" w:pos="9026" w:leader="dot"/>
            </w:tabs>
            <w:rPr/>
          </w:pPr>
          <w:hyperlink w:anchor="__RefHeading___Toc1366545_388300464">
            <w:r>
              <w:rPr>
                <w:webHidden/>
                <w:rStyle w:val="IndexLink"/>
                <w:rtl w:val="true"/>
              </w:rPr>
              <w:t>الآية الثامنة</w:t>
            </w:r>
            <w:r>
              <w:rPr>
                <w:rStyle w:val="IndexLink"/>
                <w:rtl w:val="true"/>
              </w:rPr>
              <w:t>:</w:t>
              <w:tab/>
            </w:r>
            <w:r>
              <w:rPr>
                <w:rStyle w:val="IndexLink"/>
              </w:rPr>
              <w:t>368</w:t>
            </w:r>
          </w:hyperlink>
        </w:p>
        <w:p>
          <w:pPr>
            <w:pStyle w:val="Contents5"/>
            <w:tabs>
              <w:tab w:val="clear" w:pos="7892"/>
              <w:tab w:val="right" w:pos="9026" w:leader="dot"/>
            </w:tabs>
            <w:rPr/>
          </w:pPr>
          <w:hyperlink w:anchor="__RefHeading___Toc1366547_388300464">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366549_388300464">
            <w:r>
              <w:rPr>
                <w:webHidden/>
                <w:rStyle w:val="IndexLink"/>
                <w:rtl w:val="true"/>
              </w:rPr>
              <w:t>المفردات</w:t>
            </w:r>
            <w:r>
              <w:rPr>
                <w:rStyle w:val="IndexLink"/>
                <w:rtl w:val="true"/>
              </w:rPr>
              <w:tab/>
            </w:r>
            <w:r>
              <w:rPr>
                <w:rStyle w:val="IndexLink"/>
              </w:rPr>
              <w:t>368</w:t>
            </w:r>
          </w:hyperlink>
        </w:p>
        <w:p>
          <w:pPr>
            <w:pStyle w:val="Contents5"/>
            <w:tabs>
              <w:tab w:val="clear" w:pos="7892"/>
              <w:tab w:val="right" w:pos="9026" w:leader="dot"/>
            </w:tabs>
            <w:rPr/>
          </w:pPr>
          <w:hyperlink w:anchor="__RefHeading___Toc1366551_388300464">
            <w:r>
              <w:rPr>
                <w:webHidden/>
                <w:rStyle w:val="IndexLink"/>
                <w:rtl w:val="true"/>
              </w:rPr>
              <w:t>التفسير</w:t>
            </w:r>
            <w:r>
              <w:rPr>
                <w:rStyle w:val="IndexLink"/>
                <w:rtl w:val="true"/>
              </w:rPr>
              <w:tab/>
            </w:r>
            <w:r>
              <w:rPr>
                <w:rStyle w:val="IndexLink"/>
              </w:rPr>
              <w:t>369</w:t>
            </w:r>
          </w:hyperlink>
        </w:p>
        <w:p>
          <w:pPr>
            <w:pStyle w:val="Contents3"/>
            <w:tabs>
              <w:tab w:val="clear" w:pos="8459"/>
              <w:tab w:val="right" w:pos="9026" w:leader="dot"/>
            </w:tabs>
            <w:rPr/>
          </w:pPr>
          <w:hyperlink w:anchor="__RefHeading___Toc1366553_388300464">
            <w:r>
              <w:rPr>
                <w:webHidden/>
                <w:rStyle w:val="IndexLink"/>
              </w:rPr>
              <w:t>9</w:t>
            </w:r>
            <w:r>
              <w:rPr>
                <w:rStyle w:val="IndexLink"/>
                <w:rtl w:val="true"/>
              </w:rPr>
              <w:t xml:space="preserve">. </w:t>
            </w:r>
            <w:r>
              <w:rPr>
                <w:rStyle w:val="IndexLink"/>
                <w:rtl w:val="true"/>
              </w:rPr>
              <w:t>المنع عن إتباع الإنفاق بالمنّ والأذى</w:t>
            </w:r>
            <w:r>
              <w:rPr>
                <w:rStyle w:val="IndexLink"/>
                <w:rtl w:val="true"/>
              </w:rPr>
              <w:tab/>
            </w:r>
            <w:r>
              <w:rPr>
                <w:rStyle w:val="IndexLink"/>
              </w:rPr>
              <w:t>370</w:t>
            </w:r>
          </w:hyperlink>
        </w:p>
        <w:p>
          <w:pPr>
            <w:pStyle w:val="Contents4"/>
            <w:tabs>
              <w:tab w:val="clear" w:pos="8176"/>
              <w:tab w:val="right" w:pos="9026" w:leader="dot"/>
            </w:tabs>
            <w:rPr/>
          </w:pPr>
          <w:hyperlink w:anchor="__RefHeading___Toc1366555_388300464">
            <w:r>
              <w:rPr>
                <w:webHidden/>
                <w:rStyle w:val="IndexLink"/>
                <w:rtl w:val="true"/>
              </w:rPr>
              <w:t>الآية التاسعة</w:t>
            </w:r>
            <w:r>
              <w:rPr>
                <w:rStyle w:val="IndexLink"/>
                <w:rtl w:val="true"/>
              </w:rPr>
              <w:t>:</w:t>
              <w:tab/>
            </w:r>
            <w:r>
              <w:rPr>
                <w:rStyle w:val="IndexLink"/>
              </w:rPr>
              <w:t>370</w:t>
            </w:r>
          </w:hyperlink>
        </w:p>
        <w:p>
          <w:pPr>
            <w:pStyle w:val="Contents5"/>
            <w:tabs>
              <w:tab w:val="clear" w:pos="7892"/>
              <w:tab w:val="right" w:pos="9026" w:leader="dot"/>
            </w:tabs>
            <w:rPr/>
          </w:pPr>
          <w:hyperlink w:anchor="__RefHeading___Toc1366557_388300464">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366559_388300464">
            <w:r>
              <w:rPr>
                <w:webHidden/>
                <w:rStyle w:val="IndexLink"/>
                <w:rtl w:val="true"/>
              </w:rPr>
              <w:t>المفردات</w:t>
            </w:r>
            <w:r>
              <w:rPr>
                <w:rStyle w:val="IndexLink"/>
                <w:rtl w:val="true"/>
              </w:rPr>
              <w:tab/>
            </w:r>
            <w:r>
              <w:rPr>
                <w:rStyle w:val="IndexLink"/>
              </w:rPr>
              <w:t>370</w:t>
            </w:r>
          </w:hyperlink>
        </w:p>
        <w:p>
          <w:pPr>
            <w:pStyle w:val="Contents5"/>
            <w:tabs>
              <w:tab w:val="clear" w:pos="7892"/>
              <w:tab w:val="right" w:pos="9026" w:leader="dot"/>
            </w:tabs>
            <w:rPr/>
          </w:pPr>
          <w:hyperlink w:anchor="__RefHeading___Toc1366561_388300464">
            <w:r>
              <w:rPr>
                <w:webHidden/>
                <w:rStyle w:val="IndexLink"/>
                <w:rtl w:val="true"/>
              </w:rPr>
              <w:t>التفسير</w:t>
            </w:r>
            <w:r>
              <w:rPr>
                <w:rStyle w:val="IndexLink"/>
                <w:rtl w:val="true"/>
              </w:rPr>
              <w:tab/>
            </w:r>
            <w:r>
              <w:rPr>
                <w:rStyle w:val="IndexLink"/>
              </w:rPr>
              <w:t>371</w:t>
            </w:r>
          </w:hyperlink>
        </w:p>
        <w:p>
          <w:pPr>
            <w:pStyle w:val="Contents2"/>
            <w:tabs>
              <w:tab w:val="clear" w:pos="8743"/>
              <w:tab w:val="right" w:pos="9026" w:leader="dot"/>
            </w:tabs>
            <w:rPr/>
          </w:pPr>
          <w:hyperlink w:anchor="__RefHeading___Toc1366563_388300464">
            <w:r>
              <w:rPr>
                <w:webHidden/>
                <w:rStyle w:val="IndexLink"/>
                <w:rtl w:val="true"/>
              </w:rPr>
              <w:t>الفصل الخامس</w:t>
            </w:r>
            <w:r>
              <w:rPr>
                <w:rStyle w:val="IndexLink"/>
                <w:rtl w:val="true"/>
              </w:rPr>
              <w:t xml:space="preserve">: </w:t>
            </w:r>
            <w:r>
              <w:rPr>
                <w:rStyle w:val="IndexLink"/>
                <w:rtl w:val="true"/>
              </w:rPr>
              <w:t>أحكام الخمس والأنفال والفيء في الذكر الحكيم</w:t>
            </w:r>
            <w:r>
              <w:rPr>
                <w:rStyle w:val="IndexLink"/>
                <w:rtl w:val="true"/>
              </w:rPr>
              <w:tab/>
            </w:r>
            <w:r>
              <w:rPr>
                <w:rStyle w:val="IndexLink"/>
              </w:rPr>
              <w:t>373</w:t>
            </w:r>
          </w:hyperlink>
        </w:p>
        <w:p>
          <w:pPr>
            <w:pStyle w:val="Contents3"/>
            <w:tabs>
              <w:tab w:val="clear" w:pos="8459"/>
              <w:tab w:val="right" w:pos="9026" w:leader="dot"/>
            </w:tabs>
            <w:rPr/>
          </w:pPr>
          <w:hyperlink w:anchor="__RefHeading___Toc1366565_388300464">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366567_388300464">
            <w:r>
              <w:rPr>
                <w:webHidden/>
                <w:rStyle w:val="IndexLink"/>
              </w:rPr>
              <w:t>1</w:t>
            </w:r>
            <w:r>
              <w:rPr>
                <w:rStyle w:val="IndexLink"/>
                <w:rtl w:val="true"/>
              </w:rPr>
              <w:t xml:space="preserve">. </w:t>
            </w:r>
            <w:r>
              <w:rPr>
                <w:rStyle w:val="IndexLink"/>
                <w:rtl w:val="true"/>
              </w:rPr>
              <w:t>ما هو المراد من الأنفال‌؟</w:t>
            </w:r>
            <w:r>
              <w:rPr>
                <w:rStyle w:val="IndexLink"/>
                <w:rtl w:val="true"/>
              </w:rPr>
              <w:tab/>
            </w:r>
            <w:r>
              <w:rPr>
                <w:rStyle w:val="IndexLink"/>
              </w:rPr>
              <w:t>375</w:t>
            </w:r>
          </w:hyperlink>
        </w:p>
        <w:p>
          <w:pPr>
            <w:pStyle w:val="Contents4"/>
            <w:tabs>
              <w:tab w:val="clear" w:pos="8176"/>
              <w:tab w:val="right" w:pos="9026" w:leader="dot"/>
            </w:tabs>
            <w:rPr/>
          </w:pPr>
          <w:hyperlink w:anchor="__RefHeading___Toc1366569_388300464">
            <w:r>
              <w:rPr>
                <w:webHidden/>
                <w:rStyle w:val="IndexLink"/>
                <w:rtl w:val="true"/>
              </w:rPr>
              <w:t>الآية الأُولى</w:t>
            </w:r>
            <w:r>
              <w:rPr>
                <w:rStyle w:val="IndexLink"/>
                <w:rtl w:val="true"/>
              </w:rPr>
              <w:tab/>
            </w:r>
            <w:r>
              <w:rPr>
                <w:rStyle w:val="IndexLink"/>
              </w:rPr>
              <w:t>375</w:t>
            </w:r>
          </w:hyperlink>
        </w:p>
        <w:p>
          <w:pPr>
            <w:pStyle w:val="Contents5"/>
            <w:tabs>
              <w:tab w:val="clear" w:pos="7892"/>
              <w:tab w:val="right" w:pos="9026" w:leader="dot"/>
            </w:tabs>
            <w:rPr/>
          </w:pPr>
          <w:hyperlink w:anchor="__RefHeading___Toc1366571_388300464">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366573_388300464">
            <w:r>
              <w:rPr>
                <w:webHidden/>
                <w:rStyle w:val="IndexLink"/>
                <w:rtl w:val="true"/>
              </w:rPr>
              <w:t>المفردات</w:t>
            </w:r>
            <w:r>
              <w:rPr>
                <w:rStyle w:val="IndexLink"/>
                <w:rtl w:val="true"/>
              </w:rPr>
              <w:tab/>
            </w:r>
            <w:r>
              <w:rPr>
                <w:rStyle w:val="IndexLink"/>
              </w:rPr>
              <w:t>375</w:t>
            </w:r>
          </w:hyperlink>
        </w:p>
        <w:p>
          <w:pPr>
            <w:pStyle w:val="Contents5"/>
            <w:tabs>
              <w:tab w:val="clear" w:pos="7892"/>
              <w:tab w:val="right" w:pos="9026" w:leader="dot"/>
            </w:tabs>
            <w:rPr/>
          </w:pPr>
          <w:hyperlink w:anchor="__RefHeading___Toc1366575_388300464">
            <w:r>
              <w:rPr>
                <w:webHidden/>
                <w:rStyle w:val="IndexLink"/>
                <w:rtl w:val="true"/>
              </w:rPr>
              <w:t>التفسير</w:t>
            </w:r>
            <w:r>
              <w:rPr>
                <w:rStyle w:val="IndexLink"/>
                <w:rtl w:val="true"/>
              </w:rPr>
              <w:tab/>
            </w:r>
            <w:r>
              <w:rPr>
                <w:rStyle w:val="IndexLink"/>
              </w:rPr>
              <w:t>376</w:t>
            </w:r>
          </w:hyperlink>
        </w:p>
        <w:p>
          <w:pPr>
            <w:pStyle w:val="Contents4"/>
            <w:tabs>
              <w:tab w:val="clear" w:pos="8176"/>
              <w:tab w:val="right" w:pos="9026" w:leader="dot"/>
            </w:tabs>
            <w:rPr/>
          </w:pPr>
          <w:hyperlink w:anchor="__RefHeading___Toc1366577_388300464">
            <w:r>
              <w:rPr>
                <w:webHidden/>
                <w:rStyle w:val="IndexLink"/>
                <w:rtl w:val="true"/>
              </w:rPr>
              <w:t>ما هو المراد من الأنفال‌؟</w:t>
            </w:r>
            <w:r>
              <w:rPr>
                <w:rStyle w:val="IndexLink"/>
                <w:rtl w:val="true"/>
              </w:rPr>
              <w:tab/>
            </w:r>
            <w:r>
              <w:rPr>
                <w:rStyle w:val="IndexLink"/>
              </w:rPr>
              <w:t>377</w:t>
            </w:r>
          </w:hyperlink>
        </w:p>
        <w:p>
          <w:pPr>
            <w:pStyle w:val="Contents3"/>
            <w:tabs>
              <w:tab w:val="clear" w:pos="8459"/>
              <w:tab w:val="right" w:pos="9026" w:leader="dot"/>
            </w:tabs>
            <w:rPr/>
          </w:pPr>
          <w:hyperlink w:anchor="__RefHeading___Toc1366579_388300464">
            <w:r>
              <w:rPr>
                <w:webHidden/>
                <w:rStyle w:val="IndexLink"/>
              </w:rPr>
              <w:t>2</w:t>
            </w:r>
            <w:r>
              <w:rPr>
                <w:rStyle w:val="IndexLink"/>
                <w:rtl w:val="true"/>
              </w:rPr>
              <w:t xml:space="preserve">. </w:t>
            </w:r>
            <w:r>
              <w:rPr>
                <w:rStyle w:val="IndexLink"/>
                <w:rtl w:val="true"/>
              </w:rPr>
              <w:t>في الأسرى وأخذ الفدية</w:t>
            </w:r>
            <w:r>
              <w:rPr>
                <w:rStyle w:val="IndexLink"/>
                <w:rtl w:val="true"/>
              </w:rPr>
              <w:tab/>
            </w:r>
            <w:r>
              <w:rPr>
                <w:rStyle w:val="IndexLink"/>
              </w:rPr>
              <w:t>379</w:t>
            </w:r>
          </w:hyperlink>
        </w:p>
        <w:p>
          <w:pPr>
            <w:pStyle w:val="Contents4"/>
            <w:tabs>
              <w:tab w:val="clear" w:pos="8176"/>
              <w:tab w:val="right" w:pos="9026" w:leader="dot"/>
            </w:tabs>
            <w:rPr/>
          </w:pPr>
          <w:hyperlink w:anchor="__RefHeading___Toc1366581_388300464">
            <w:r>
              <w:rPr>
                <w:webHidden/>
                <w:rStyle w:val="IndexLink"/>
                <w:rtl w:val="true"/>
              </w:rPr>
              <w:t>الآيتان</w:t>
            </w:r>
            <w:r>
              <w:rPr>
                <w:rStyle w:val="IndexLink"/>
                <w:rtl w:val="true"/>
              </w:rPr>
              <w:t xml:space="preserve">: </w:t>
            </w:r>
            <w:r>
              <w:rPr>
                <w:rStyle w:val="IndexLink"/>
                <w:rtl w:val="true"/>
              </w:rPr>
              <w:t>الثانية والثالثة</w:t>
            </w:r>
            <w:r>
              <w:rPr>
                <w:rStyle w:val="IndexLink"/>
                <w:rtl w:val="true"/>
              </w:rPr>
              <w:tab/>
            </w:r>
            <w:r>
              <w:rPr>
                <w:rStyle w:val="IndexLink"/>
              </w:rPr>
              <w:t>379</w:t>
            </w:r>
          </w:hyperlink>
        </w:p>
        <w:p>
          <w:pPr>
            <w:pStyle w:val="Contents5"/>
            <w:tabs>
              <w:tab w:val="clear" w:pos="7892"/>
              <w:tab w:val="right" w:pos="9026" w:leader="dot"/>
            </w:tabs>
            <w:rPr/>
          </w:pPr>
          <w:hyperlink w:anchor="__RefHeading___Toc1366583_388300464">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366585_388300464">
            <w:r>
              <w:rPr>
                <w:webHidden/>
                <w:rStyle w:val="IndexLink"/>
                <w:rtl w:val="true"/>
              </w:rPr>
              <w:t>المفردات</w:t>
            </w:r>
            <w:r>
              <w:rPr>
                <w:rStyle w:val="IndexLink"/>
                <w:rtl w:val="true"/>
              </w:rPr>
              <w:tab/>
            </w:r>
            <w:r>
              <w:rPr>
                <w:rStyle w:val="IndexLink"/>
              </w:rPr>
              <w:t>379</w:t>
            </w:r>
          </w:hyperlink>
        </w:p>
        <w:p>
          <w:pPr>
            <w:pStyle w:val="Contents5"/>
            <w:tabs>
              <w:tab w:val="clear" w:pos="7892"/>
              <w:tab w:val="right" w:pos="9026" w:leader="dot"/>
            </w:tabs>
            <w:rPr/>
          </w:pPr>
          <w:hyperlink w:anchor="__RefHeading___Toc1366587_388300464">
            <w:r>
              <w:rPr>
                <w:webHidden/>
                <w:rStyle w:val="IndexLink"/>
                <w:rtl w:val="true"/>
              </w:rPr>
              <w:t>التفسير</w:t>
            </w:r>
            <w:r>
              <w:rPr>
                <w:rStyle w:val="IndexLink"/>
                <w:rtl w:val="true"/>
              </w:rPr>
              <w:tab/>
            </w:r>
            <w:r>
              <w:rPr>
                <w:rStyle w:val="IndexLink"/>
              </w:rPr>
              <w:t>380</w:t>
            </w:r>
          </w:hyperlink>
        </w:p>
        <w:p>
          <w:pPr>
            <w:pStyle w:val="Contents3"/>
            <w:tabs>
              <w:tab w:val="clear" w:pos="8459"/>
              <w:tab w:val="right" w:pos="9026" w:leader="dot"/>
            </w:tabs>
            <w:rPr/>
          </w:pPr>
          <w:hyperlink w:anchor="__RefHeading___Toc1366589_388300464">
            <w:r>
              <w:rPr>
                <w:webHidden/>
                <w:rStyle w:val="IndexLink"/>
              </w:rPr>
              <w:t>3</w:t>
            </w:r>
            <w:r>
              <w:rPr>
                <w:rStyle w:val="IndexLink"/>
                <w:rtl w:val="true"/>
              </w:rPr>
              <w:t xml:space="preserve">. </w:t>
            </w:r>
            <w:r>
              <w:rPr>
                <w:rStyle w:val="IndexLink"/>
                <w:rtl w:val="true"/>
              </w:rPr>
              <w:t>الخمس في الغنائم</w:t>
            </w:r>
            <w:r>
              <w:rPr>
                <w:rStyle w:val="IndexLink"/>
                <w:rtl w:val="true"/>
              </w:rPr>
              <w:tab/>
            </w:r>
            <w:r>
              <w:rPr>
                <w:rStyle w:val="IndexLink"/>
              </w:rPr>
              <w:t>382</w:t>
            </w:r>
          </w:hyperlink>
        </w:p>
        <w:p>
          <w:pPr>
            <w:pStyle w:val="Contents4"/>
            <w:tabs>
              <w:tab w:val="clear" w:pos="8176"/>
              <w:tab w:val="right" w:pos="9026" w:leader="dot"/>
            </w:tabs>
            <w:rPr/>
          </w:pPr>
          <w:hyperlink w:anchor="__RefHeading___Toc1366591_388300464">
            <w:r>
              <w:rPr>
                <w:webHidden/>
                <w:rStyle w:val="IndexLink"/>
                <w:rtl w:val="true"/>
              </w:rPr>
              <w:t>الآية الرابعة</w:t>
            </w:r>
            <w:r>
              <w:rPr>
                <w:rStyle w:val="IndexLink"/>
                <w:rtl w:val="true"/>
              </w:rPr>
              <w:t>:</w:t>
              <w:tab/>
            </w:r>
            <w:r>
              <w:rPr>
                <w:rStyle w:val="IndexLink"/>
              </w:rPr>
              <w:t>382</w:t>
            </w:r>
          </w:hyperlink>
        </w:p>
        <w:p>
          <w:pPr>
            <w:pStyle w:val="Contents5"/>
            <w:tabs>
              <w:tab w:val="clear" w:pos="7892"/>
              <w:tab w:val="right" w:pos="9026" w:leader="dot"/>
            </w:tabs>
            <w:rPr/>
          </w:pPr>
          <w:hyperlink w:anchor="__RefHeading___Toc1366593_388300464">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366595_388300464">
            <w:r>
              <w:rPr>
                <w:webHidden/>
                <w:rStyle w:val="IndexLink"/>
                <w:rtl w:val="true"/>
              </w:rPr>
              <w:t>المفردات</w:t>
            </w:r>
            <w:r>
              <w:rPr>
                <w:rStyle w:val="IndexLink"/>
                <w:rtl w:val="true"/>
              </w:rPr>
              <w:tab/>
            </w:r>
            <w:r>
              <w:rPr>
                <w:rStyle w:val="IndexLink"/>
              </w:rPr>
              <w:t>382</w:t>
            </w:r>
          </w:hyperlink>
        </w:p>
        <w:p>
          <w:pPr>
            <w:pStyle w:val="Contents5"/>
            <w:tabs>
              <w:tab w:val="clear" w:pos="7892"/>
              <w:tab w:val="right" w:pos="9026" w:leader="dot"/>
            </w:tabs>
            <w:rPr/>
          </w:pPr>
          <w:hyperlink w:anchor="__RefHeading___Toc1366597_388300464">
            <w:r>
              <w:rPr>
                <w:webHidden/>
                <w:rStyle w:val="IndexLink"/>
                <w:rtl w:val="true"/>
              </w:rPr>
              <w:t>التفسير</w:t>
            </w:r>
            <w:r>
              <w:rPr>
                <w:rStyle w:val="IndexLink"/>
                <w:rtl w:val="true"/>
              </w:rPr>
              <w:tab/>
            </w:r>
            <w:r>
              <w:rPr>
                <w:rStyle w:val="IndexLink"/>
              </w:rPr>
              <w:t>383</w:t>
            </w:r>
          </w:hyperlink>
        </w:p>
        <w:p>
          <w:pPr>
            <w:pStyle w:val="Contents4"/>
            <w:tabs>
              <w:tab w:val="clear" w:pos="8176"/>
              <w:tab w:val="right" w:pos="9026" w:leader="dot"/>
            </w:tabs>
            <w:rPr/>
          </w:pPr>
          <w:hyperlink w:anchor="__RefHeading___Toc1366599_388300464">
            <w:r>
              <w:rPr>
                <w:webHidden/>
                <w:rStyle w:val="IndexLink"/>
                <w:rtl w:val="true"/>
              </w:rPr>
              <w:t>الأمر الأوّل</w:t>
            </w:r>
            <w:r>
              <w:rPr>
                <w:rStyle w:val="IndexLink"/>
                <w:rtl w:val="true"/>
              </w:rPr>
              <w:t xml:space="preserve">: </w:t>
            </w:r>
            <w:r>
              <w:rPr>
                <w:rStyle w:val="IndexLink"/>
                <w:rtl w:val="true"/>
              </w:rPr>
              <w:t>ما هو المراد من الغنيمة في الآية‌؟</w:t>
            </w:r>
            <w:r>
              <w:rPr>
                <w:rStyle w:val="IndexLink"/>
                <w:rtl w:val="true"/>
              </w:rPr>
              <w:tab/>
            </w:r>
            <w:r>
              <w:rPr>
                <w:rStyle w:val="IndexLink"/>
              </w:rPr>
              <w:t>386</w:t>
            </w:r>
          </w:hyperlink>
        </w:p>
        <w:p>
          <w:pPr>
            <w:pStyle w:val="Contents5"/>
            <w:tabs>
              <w:tab w:val="clear" w:pos="7892"/>
              <w:tab w:val="right" w:pos="9026" w:leader="dot"/>
            </w:tabs>
            <w:rPr/>
          </w:pPr>
          <w:hyperlink w:anchor="__RefHeading___Toc1366601_388300464">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366603_388300464">
            <w:r>
              <w:rPr>
                <w:webHidden/>
                <w:rStyle w:val="IndexLink"/>
                <w:rtl w:val="true"/>
              </w:rPr>
              <w:t>أوّلاً</w:t>
            </w:r>
            <w:r>
              <w:rPr>
                <w:rStyle w:val="IndexLink"/>
                <w:rtl w:val="true"/>
              </w:rPr>
              <w:t xml:space="preserve">: </w:t>
            </w:r>
            <w:r>
              <w:rPr>
                <w:rStyle w:val="IndexLink"/>
                <w:rtl w:val="true"/>
              </w:rPr>
              <w:t>الغنيمة في معاجم اللغة</w:t>
            </w:r>
            <w:r>
              <w:rPr>
                <w:rStyle w:val="IndexLink"/>
                <w:rtl w:val="true"/>
              </w:rPr>
              <w:tab/>
            </w:r>
            <w:r>
              <w:rPr>
                <w:rStyle w:val="IndexLink"/>
              </w:rPr>
              <w:t>386</w:t>
            </w:r>
          </w:hyperlink>
        </w:p>
        <w:p>
          <w:pPr>
            <w:pStyle w:val="Contents5"/>
            <w:tabs>
              <w:tab w:val="clear" w:pos="7892"/>
              <w:tab w:val="right" w:pos="9026" w:leader="dot"/>
            </w:tabs>
            <w:rPr/>
          </w:pPr>
          <w:hyperlink w:anchor="__RefHeading___Toc1366605_388300464">
            <w:r>
              <w:rPr>
                <w:webHidden/>
                <w:rStyle w:val="IndexLink"/>
                <w:rtl w:val="true"/>
              </w:rPr>
              <w:t>ثانياً</w:t>
            </w:r>
            <w:r>
              <w:rPr>
                <w:rStyle w:val="IndexLink"/>
                <w:rtl w:val="true"/>
              </w:rPr>
              <w:t xml:space="preserve">: </w:t>
            </w:r>
            <w:r>
              <w:rPr>
                <w:rStyle w:val="IndexLink"/>
                <w:rtl w:val="true"/>
              </w:rPr>
              <w:t>الغنيمة في الكتاب والسنّة</w:t>
            </w:r>
            <w:r>
              <w:rPr>
                <w:rStyle w:val="IndexLink"/>
                <w:rtl w:val="true"/>
              </w:rPr>
              <w:tab/>
            </w:r>
            <w:r>
              <w:rPr>
                <w:rStyle w:val="IndexLink"/>
              </w:rPr>
              <w:t>387</w:t>
            </w:r>
          </w:hyperlink>
        </w:p>
        <w:p>
          <w:pPr>
            <w:pStyle w:val="Contents4"/>
            <w:tabs>
              <w:tab w:val="clear" w:pos="8176"/>
              <w:tab w:val="right" w:pos="9026" w:leader="dot"/>
            </w:tabs>
            <w:rPr/>
          </w:pPr>
          <w:hyperlink w:anchor="__RefHeading___Toc1366607_388300464">
            <w:r>
              <w:rPr>
                <w:webHidden/>
                <w:rStyle w:val="IndexLink"/>
                <w:rtl w:val="true"/>
              </w:rPr>
              <w:t>ورود الخمس في أرباح المكاسب في الحديث النبوي</w:t>
            </w:r>
            <w:r>
              <w:rPr>
                <w:rStyle w:val="IndexLink"/>
                <w:rtl w:val="true"/>
              </w:rPr>
              <w:tab/>
            </w:r>
            <w:r>
              <w:rPr>
                <w:rStyle w:val="IndexLink"/>
              </w:rPr>
              <w:t>389</w:t>
            </w:r>
          </w:hyperlink>
        </w:p>
        <w:p>
          <w:pPr>
            <w:pStyle w:val="Contents4"/>
            <w:tabs>
              <w:tab w:val="clear" w:pos="8176"/>
              <w:tab w:val="right" w:pos="9026" w:leader="dot"/>
            </w:tabs>
            <w:rPr/>
          </w:pPr>
          <w:hyperlink w:anchor="__RefHeading___Toc1366609_388300464">
            <w:r>
              <w:rPr>
                <w:webHidden/>
                <w:rStyle w:val="IndexLink"/>
                <w:rtl w:val="true"/>
              </w:rPr>
              <w:t>الأمر الثاني</w:t>
            </w:r>
            <w:r>
              <w:rPr>
                <w:rStyle w:val="IndexLink"/>
                <w:rtl w:val="true"/>
              </w:rPr>
              <w:t xml:space="preserve">: </w:t>
            </w:r>
            <w:r>
              <w:rPr>
                <w:rStyle w:val="IndexLink"/>
                <w:rtl w:val="true"/>
              </w:rPr>
              <w:t>في قسمة الخمس</w:t>
            </w:r>
            <w:r>
              <w:rPr>
                <w:rStyle w:val="IndexLink"/>
                <w:rtl w:val="true"/>
              </w:rPr>
              <w:tab/>
            </w:r>
            <w:r>
              <w:rPr>
                <w:rStyle w:val="IndexLink"/>
              </w:rPr>
              <w:t>391</w:t>
            </w:r>
          </w:hyperlink>
        </w:p>
        <w:p>
          <w:pPr>
            <w:pStyle w:val="Contents4"/>
            <w:tabs>
              <w:tab w:val="clear" w:pos="8176"/>
              <w:tab w:val="right" w:pos="9026" w:leader="dot"/>
            </w:tabs>
            <w:rPr/>
          </w:pPr>
          <w:hyperlink w:anchor="__RefHeading___Toc1366611_388300464">
            <w:r>
              <w:rPr>
                <w:webHidden/>
                <w:rStyle w:val="IndexLink"/>
                <w:rtl w:val="true"/>
              </w:rPr>
              <w:t>الأمر الثالث</w:t>
            </w:r>
            <w:r>
              <w:rPr>
                <w:rStyle w:val="IndexLink"/>
                <w:rtl w:val="true"/>
              </w:rPr>
              <w:t xml:space="preserve">: </w:t>
            </w:r>
            <w:r>
              <w:rPr>
                <w:rStyle w:val="IndexLink"/>
                <w:rtl w:val="true"/>
              </w:rPr>
              <w:t>إسقاط حقّ ذي القربى بعد رحيل الرسول صلى الله عليه و آله و سلم</w:t>
            </w:r>
            <w:r>
              <w:rPr>
                <w:rStyle w:val="IndexLink"/>
                <w:rtl w:val="true"/>
              </w:rPr>
              <w:tab/>
            </w:r>
            <w:r>
              <w:rPr>
                <w:rStyle w:val="IndexLink"/>
              </w:rPr>
              <w:t>393</w:t>
            </w:r>
          </w:hyperlink>
        </w:p>
        <w:p>
          <w:pPr>
            <w:pStyle w:val="Contents5"/>
            <w:tabs>
              <w:tab w:val="clear" w:pos="7892"/>
              <w:tab w:val="right" w:pos="9026" w:leader="dot"/>
            </w:tabs>
            <w:rPr/>
          </w:pPr>
          <w:hyperlink w:anchor="__RefHeading___Toc1366613_388300464">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366615_388300464">
            <w:r>
              <w:rPr>
                <w:webHidden/>
                <w:rStyle w:val="IndexLink"/>
                <w:rtl w:val="true"/>
              </w:rPr>
              <w:t>إتمام</w:t>
            </w:r>
            <w:r>
              <w:rPr>
                <w:rStyle w:val="IndexLink"/>
                <w:rtl w:val="true"/>
              </w:rPr>
              <w:tab/>
            </w:r>
            <w:r>
              <w:rPr>
                <w:rStyle w:val="IndexLink"/>
              </w:rPr>
              <w:t>394</w:t>
            </w:r>
          </w:hyperlink>
        </w:p>
        <w:p>
          <w:pPr>
            <w:pStyle w:val="Contents4"/>
            <w:tabs>
              <w:tab w:val="clear" w:pos="8176"/>
              <w:tab w:val="right" w:pos="9026" w:leader="dot"/>
            </w:tabs>
            <w:rPr/>
          </w:pPr>
          <w:hyperlink w:anchor="__RefHeading___Toc1366617_388300464">
            <w:r>
              <w:rPr>
                <w:webHidden/>
                <w:rStyle w:val="IndexLink"/>
                <w:rtl w:val="true"/>
              </w:rPr>
              <w:t>الأمر الرابع</w:t>
            </w:r>
            <w:r>
              <w:rPr>
                <w:rStyle w:val="IndexLink"/>
                <w:rtl w:val="true"/>
              </w:rPr>
              <w:t>: [</w:t>
            </w:r>
            <w:r>
              <w:rPr>
                <w:rStyle w:val="IndexLink"/>
                <w:rtl w:val="true"/>
              </w:rPr>
              <w:t>تخصيص خمس الغنائم للنبي وآله ليس تفرقة عنصرية</w:t>
            </w:r>
            <w:r>
              <w:rPr>
                <w:rStyle w:val="IndexLink"/>
                <w:rtl w:val="true"/>
              </w:rPr>
              <w:t>]</w:t>
              <w:tab/>
            </w:r>
            <w:r>
              <w:rPr>
                <w:rStyle w:val="IndexLink"/>
              </w:rPr>
              <w:t>395</w:t>
            </w:r>
          </w:hyperlink>
        </w:p>
        <w:p>
          <w:pPr>
            <w:pStyle w:val="Contents4"/>
            <w:tabs>
              <w:tab w:val="clear" w:pos="8176"/>
              <w:tab w:val="right" w:pos="9026" w:leader="dot"/>
            </w:tabs>
            <w:rPr/>
          </w:pPr>
          <w:hyperlink w:anchor="__RefHeading___Toc1366619_388300464">
            <w:r>
              <w:rPr>
                <w:webHidden/>
                <w:rStyle w:val="IndexLink"/>
                <w:rtl w:val="true"/>
              </w:rPr>
              <w:t>الأمر الخامس</w:t>
            </w:r>
            <w:r>
              <w:rPr>
                <w:rStyle w:val="IndexLink"/>
                <w:rtl w:val="true"/>
              </w:rPr>
              <w:t xml:space="preserve">: </w:t>
            </w:r>
            <w:r>
              <w:rPr>
                <w:rStyle w:val="IndexLink"/>
                <w:rtl w:val="true"/>
              </w:rPr>
              <w:t>ما هو المقصود من تحليل الخمس‌؟</w:t>
            </w:r>
            <w:r>
              <w:rPr>
                <w:rStyle w:val="IndexLink"/>
                <w:rtl w:val="true"/>
              </w:rPr>
              <w:tab/>
            </w:r>
            <w:r>
              <w:rPr>
                <w:rStyle w:val="IndexLink"/>
              </w:rPr>
              <w:t>396</w:t>
            </w:r>
          </w:hyperlink>
        </w:p>
        <w:p>
          <w:pPr>
            <w:pStyle w:val="Contents5"/>
            <w:tabs>
              <w:tab w:val="clear" w:pos="7892"/>
              <w:tab w:val="right" w:pos="9026" w:leader="dot"/>
            </w:tabs>
            <w:rPr/>
          </w:pPr>
          <w:hyperlink w:anchor="__RefHeading___Toc1366621_388300464">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366623_388300464">
            <w:r>
              <w:rPr>
                <w:webHidden/>
                <w:rStyle w:val="IndexLink"/>
                <w:rtl w:val="true"/>
              </w:rPr>
              <w:t>القسم الأوّل</w:t>
            </w:r>
            <w:r>
              <w:rPr>
                <w:rStyle w:val="IndexLink"/>
                <w:rtl w:val="true"/>
              </w:rPr>
              <w:t xml:space="preserve">: </w:t>
            </w:r>
            <w:r>
              <w:rPr>
                <w:rStyle w:val="IndexLink"/>
                <w:rtl w:val="true"/>
              </w:rPr>
              <w:t>تحليل خمس الغنائم</w:t>
            </w:r>
            <w:r>
              <w:rPr>
                <w:rStyle w:val="IndexLink"/>
                <w:rtl w:val="true"/>
              </w:rPr>
              <w:tab/>
            </w:r>
            <w:r>
              <w:rPr>
                <w:rStyle w:val="IndexLink"/>
              </w:rPr>
              <w:t>397</w:t>
            </w:r>
          </w:hyperlink>
        </w:p>
        <w:p>
          <w:pPr>
            <w:pStyle w:val="Contents5"/>
            <w:tabs>
              <w:tab w:val="clear" w:pos="7892"/>
              <w:tab w:val="right" w:pos="9026" w:leader="dot"/>
            </w:tabs>
            <w:rPr/>
          </w:pPr>
          <w:hyperlink w:anchor="__RefHeading___Toc1366625_388300464">
            <w:r>
              <w:rPr>
                <w:webHidden/>
                <w:rStyle w:val="IndexLink"/>
                <w:rtl w:val="true"/>
              </w:rPr>
              <w:t>القسم الثاني</w:t>
            </w:r>
            <w:r>
              <w:rPr>
                <w:rStyle w:val="IndexLink"/>
                <w:rtl w:val="true"/>
              </w:rPr>
              <w:t xml:space="preserve">: </w:t>
            </w:r>
            <w:r>
              <w:rPr>
                <w:rStyle w:val="IndexLink"/>
                <w:rtl w:val="true"/>
              </w:rPr>
              <w:t>تحليل الخمس لمَن ضاق عليه معاشه</w:t>
            </w:r>
            <w:r>
              <w:rPr>
                <w:rStyle w:val="IndexLink"/>
                <w:rtl w:val="true"/>
              </w:rPr>
              <w:tab/>
            </w:r>
            <w:r>
              <w:rPr>
                <w:rStyle w:val="IndexLink"/>
              </w:rPr>
              <w:t>398</w:t>
            </w:r>
          </w:hyperlink>
        </w:p>
        <w:p>
          <w:pPr>
            <w:pStyle w:val="Contents5"/>
            <w:tabs>
              <w:tab w:val="clear" w:pos="7892"/>
              <w:tab w:val="right" w:pos="9026" w:leader="dot"/>
            </w:tabs>
            <w:rPr/>
          </w:pPr>
          <w:hyperlink w:anchor="__RefHeading___Toc1366627_388300464">
            <w:r>
              <w:rPr>
                <w:webHidden/>
                <w:rStyle w:val="IndexLink"/>
                <w:rtl w:val="true"/>
              </w:rPr>
              <w:t>القسم الثالث</w:t>
            </w:r>
            <w:r>
              <w:rPr>
                <w:rStyle w:val="IndexLink"/>
                <w:rtl w:val="true"/>
              </w:rPr>
              <w:t xml:space="preserve">: </w:t>
            </w:r>
            <w:r>
              <w:rPr>
                <w:rStyle w:val="IndexLink"/>
                <w:rtl w:val="true"/>
              </w:rPr>
              <w:t>تحليل ما ينتقل إلى الشيعة من غير المخمس</w:t>
            </w:r>
            <w:r>
              <w:rPr>
                <w:rStyle w:val="IndexLink"/>
                <w:rtl w:val="true"/>
              </w:rPr>
              <w:tab/>
            </w:r>
            <w:r>
              <w:rPr>
                <w:rStyle w:val="IndexLink"/>
              </w:rPr>
              <w:t>398</w:t>
            </w:r>
          </w:hyperlink>
        </w:p>
        <w:p>
          <w:pPr>
            <w:pStyle w:val="Contents5"/>
            <w:tabs>
              <w:tab w:val="clear" w:pos="7892"/>
              <w:tab w:val="right" w:pos="9026" w:leader="dot"/>
            </w:tabs>
            <w:rPr/>
          </w:pPr>
          <w:hyperlink w:anchor="__RefHeading___Toc1366629_388300464">
            <w:r>
              <w:rPr>
                <w:webHidden/>
                <w:rStyle w:val="IndexLink"/>
                <w:rtl w:val="true"/>
              </w:rPr>
              <w:t>القسم الرابع</w:t>
            </w:r>
            <w:r>
              <w:rPr>
                <w:rStyle w:val="IndexLink"/>
                <w:rtl w:val="true"/>
              </w:rPr>
              <w:t xml:space="preserve">: </w:t>
            </w:r>
            <w:r>
              <w:rPr>
                <w:rStyle w:val="IndexLink"/>
                <w:rtl w:val="true"/>
              </w:rPr>
              <w:t>تحليل الأنفال</w:t>
            </w:r>
            <w:r>
              <w:rPr>
                <w:rStyle w:val="IndexLink"/>
                <w:rtl w:val="true"/>
              </w:rPr>
              <w:tab/>
            </w:r>
            <w:r>
              <w:rPr>
                <w:rStyle w:val="IndexLink"/>
              </w:rPr>
              <w:t>399</w:t>
            </w:r>
          </w:hyperlink>
        </w:p>
        <w:p>
          <w:pPr>
            <w:pStyle w:val="Contents4"/>
            <w:tabs>
              <w:tab w:val="clear" w:pos="8176"/>
              <w:tab w:val="right" w:pos="9026" w:leader="dot"/>
            </w:tabs>
            <w:rPr/>
          </w:pPr>
          <w:hyperlink w:anchor="__RefHeading___Toc1366631_388300464">
            <w:r>
              <w:rPr>
                <w:webHidden/>
                <w:rStyle w:val="IndexLink"/>
                <w:rtl w:val="true"/>
              </w:rPr>
              <w:t>الأمر السادس</w:t>
            </w:r>
            <w:r>
              <w:rPr>
                <w:rStyle w:val="IndexLink"/>
                <w:rtl w:val="true"/>
              </w:rPr>
              <w:tab/>
            </w:r>
            <w:r>
              <w:rPr>
                <w:rStyle w:val="IndexLink"/>
              </w:rPr>
              <w:t>400</w:t>
            </w:r>
          </w:hyperlink>
        </w:p>
        <w:p>
          <w:pPr>
            <w:pStyle w:val="Contents3"/>
            <w:tabs>
              <w:tab w:val="clear" w:pos="8459"/>
              <w:tab w:val="right" w:pos="9026" w:leader="dot"/>
            </w:tabs>
            <w:rPr/>
          </w:pPr>
          <w:hyperlink w:anchor="__RefHeading___Toc1366633_388300464">
            <w:r>
              <w:rPr>
                <w:webHidden/>
                <w:rStyle w:val="IndexLink"/>
              </w:rPr>
              <w:t>4</w:t>
            </w:r>
            <w:r>
              <w:rPr>
                <w:rStyle w:val="IndexLink"/>
                <w:rtl w:val="true"/>
              </w:rPr>
              <w:t xml:space="preserve">. </w:t>
            </w:r>
            <w:r>
              <w:rPr>
                <w:rStyle w:val="IndexLink"/>
                <w:rtl w:val="true"/>
              </w:rPr>
              <w:t>أحكام الأنفال والفيء في الذكر الحكيم</w:t>
            </w:r>
            <w:r>
              <w:rPr>
                <w:rStyle w:val="IndexLink"/>
                <w:rtl w:val="true"/>
              </w:rPr>
              <w:tab/>
            </w:r>
            <w:r>
              <w:rPr>
                <w:rStyle w:val="IndexLink"/>
              </w:rPr>
              <w:t>402</w:t>
            </w:r>
          </w:hyperlink>
        </w:p>
        <w:p>
          <w:pPr>
            <w:pStyle w:val="Contents4"/>
            <w:tabs>
              <w:tab w:val="clear" w:pos="8176"/>
              <w:tab w:val="right" w:pos="9026" w:leader="dot"/>
            </w:tabs>
            <w:rPr/>
          </w:pPr>
          <w:hyperlink w:anchor="__RefHeading___Toc1366635_388300464">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366637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402</w:t>
            </w:r>
          </w:hyperlink>
        </w:p>
        <w:p>
          <w:pPr>
            <w:pStyle w:val="Contents4"/>
            <w:tabs>
              <w:tab w:val="clear" w:pos="8176"/>
              <w:tab w:val="right" w:pos="9026" w:leader="dot"/>
            </w:tabs>
            <w:rPr/>
          </w:pPr>
          <w:hyperlink w:anchor="__RefHeading___Toc1366639_388300464">
            <w:r>
              <w:rPr>
                <w:webHidden/>
                <w:rStyle w:val="IndexLink"/>
                <w:rtl w:val="true"/>
              </w:rPr>
              <w:t>المفردات</w:t>
            </w:r>
            <w:r>
              <w:rPr>
                <w:rStyle w:val="IndexLink"/>
                <w:rtl w:val="true"/>
              </w:rPr>
              <w:tab/>
            </w:r>
            <w:r>
              <w:rPr>
                <w:rStyle w:val="IndexLink"/>
              </w:rPr>
              <w:t>402</w:t>
            </w:r>
          </w:hyperlink>
        </w:p>
        <w:p>
          <w:pPr>
            <w:pStyle w:val="Contents4"/>
            <w:tabs>
              <w:tab w:val="clear" w:pos="8176"/>
              <w:tab w:val="right" w:pos="9026" w:leader="dot"/>
            </w:tabs>
            <w:rPr/>
          </w:pPr>
          <w:hyperlink w:anchor="__RefHeading___Toc1366641_388300464">
            <w:r>
              <w:rPr>
                <w:webHidden/>
                <w:rStyle w:val="IndexLink"/>
                <w:rtl w:val="true"/>
              </w:rPr>
              <w:t>التفسير</w:t>
            </w:r>
            <w:r>
              <w:rPr>
                <w:rStyle w:val="IndexLink"/>
                <w:rtl w:val="true"/>
              </w:rPr>
              <w:tab/>
            </w:r>
            <w:r>
              <w:rPr>
                <w:rStyle w:val="IndexLink"/>
              </w:rPr>
              <w:t>403</w:t>
            </w:r>
          </w:hyperlink>
        </w:p>
        <w:p>
          <w:pPr>
            <w:pStyle w:val="Contents4"/>
            <w:tabs>
              <w:tab w:val="clear" w:pos="8176"/>
              <w:tab w:val="right" w:pos="9026" w:leader="dot"/>
            </w:tabs>
            <w:rPr/>
          </w:pPr>
          <w:hyperlink w:anchor="__RefHeading___Toc1366643_388300464">
            <w:r>
              <w:rPr>
                <w:webHidden/>
                <w:rStyle w:val="IndexLink"/>
                <w:rtl w:val="true"/>
              </w:rPr>
              <w:t>الآيتان</w:t>
            </w:r>
            <w:r>
              <w:rPr>
                <w:rStyle w:val="IndexLink"/>
                <w:rtl w:val="true"/>
              </w:rPr>
              <w:t xml:space="preserve">: </w:t>
            </w:r>
            <w:r>
              <w:rPr>
                <w:rStyle w:val="IndexLink"/>
                <w:rtl w:val="true"/>
              </w:rPr>
              <w:t>الثالثة والرابعة</w:t>
            </w:r>
            <w:r>
              <w:rPr>
                <w:rStyle w:val="IndexLink"/>
                <w:rtl w:val="true"/>
              </w:rPr>
              <w:tab/>
            </w:r>
            <w:r>
              <w:rPr>
                <w:rStyle w:val="IndexLink"/>
              </w:rPr>
              <w:t>405</w:t>
            </w:r>
          </w:hyperlink>
        </w:p>
        <w:p>
          <w:pPr>
            <w:pStyle w:val="Contents4"/>
            <w:tabs>
              <w:tab w:val="clear" w:pos="8176"/>
              <w:tab w:val="right" w:pos="9026" w:leader="dot"/>
            </w:tabs>
            <w:rPr/>
          </w:pPr>
          <w:hyperlink w:anchor="__RefHeading___Toc1366645_388300464">
            <w:r>
              <w:rPr>
                <w:webHidden/>
                <w:rStyle w:val="IndexLink"/>
                <w:rtl w:val="true"/>
              </w:rPr>
              <w:t>المفردات</w:t>
            </w:r>
            <w:r>
              <w:rPr>
                <w:rStyle w:val="IndexLink"/>
                <w:rtl w:val="true"/>
              </w:rPr>
              <w:tab/>
            </w:r>
            <w:r>
              <w:rPr>
                <w:rStyle w:val="IndexLink"/>
              </w:rPr>
              <w:t>406</w:t>
            </w:r>
          </w:hyperlink>
        </w:p>
        <w:p>
          <w:pPr>
            <w:pStyle w:val="Contents4"/>
            <w:tabs>
              <w:tab w:val="clear" w:pos="8176"/>
              <w:tab w:val="right" w:pos="9026" w:leader="dot"/>
            </w:tabs>
            <w:rPr/>
          </w:pPr>
          <w:hyperlink w:anchor="__RefHeading___Toc1366647_388300464">
            <w:r>
              <w:rPr>
                <w:webHidden/>
                <w:rStyle w:val="IndexLink"/>
                <w:rtl w:val="true"/>
              </w:rPr>
              <w:t>التفسير</w:t>
            </w:r>
            <w:r>
              <w:rPr>
                <w:rStyle w:val="IndexLink"/>
                <w:rtl w:val="true"/>
              </w:rPr>
              <w:tab/>
            </w:r>
            <w:r>
              <w:rPr>
                <w:rStyle w:val="IndexLink"/>
              </w:rPr>
              <w:t>407</w:t>
            </w:r>
          </w:hyperlink>
        </w:p>
        <w:p>
          <w:pPr>
            <w:pStyle w:val="Contents4"/>
            <w:tabs>
              <w:tab w:val="clear" w:pos="8176"/>
              <w:tab w:val="right" w:pos="9026" w:leader="dot"/>
            </w:tabs>
            <w:rPr/>
          </w:pPr>
          <w:hyperlink w:anchor="__RefHeading___Toc1366649_388300464">
            <w:r>
              <w:rPr>
                <w:webHidden/>
                <w:rStyle w:val="IndexLink"/>
                <w:rtl w:val="true"/>
              </w:rPr>
              <w:t>الآيتان</w:t>
            </w:r>
            <w:r>
              <w:rPr>
                <w:rStyle w:val="IndexLink"/>
                <w:rtl w:val="true"/>
              </w:rPr>
              <w:t xml:space="preserve">: </w:t>
            </w:r>
            <w:r>
              <w:rPr>
                <w:rStyle w:val="IndexLink"/>
                <w:rtl w:val="true"/>
              </w:rPr>
              <w:t>الخامسة والسادسة</w:t>
            </w:r>
            <w:r>
              <w:rPr>
                <w:rStyle w:val="IndexLink"/>
                <w:rtl w:val="true"/>
              </w:rPr>
              <w:tab/>
            </w:r>
            <w:r>
              <w:rPr>
                <w:rStyle w:val="IndexLink"/>
              </w:rPr>
              <w:t>409</w:t>
            </w:r>
          </w:hyperlink>
        </w:p>
        <w:p>
          <w:pPr>
            <w:pStyle w:val="Contents4"/>
            <w:tabs>
              <w:tab w:val="clear" w:pos="8176"/>
              <w:tab w:val="right" w:pos="9026" w:leader="dot"/>
            </w:tabs>
            <w:rPr/>
          </w:pPr>
          <w:hyperlink w:anchor="__RefHeading___Toc1366651_388300464">
            <w:r>
              <w:rPr>
                <w:webHidden/>
                <w:rStyle w:val="IndexLink"/>
                <w:rtl w:val="true"/>
              </w:rPr>
              <w:t>المفردات</w:t>
            </w:r>
            <w:r>
              <w:rPr>
                <w:rStyle w:val="IndexLink"/>
                <w:rtl w:val="true"/>
              </w:rPr>
              <w:tab/>
            </w:r>
            <w:r>
              <w:rPr>
                <w:rStyle w:val="IndexLink"/>
              </w:rPr>
              <w:t>410</w:t>
            </w:r>
          </w:hyperlink>
        </w:p>
        <w:p>
          <w:pPr>
            <w:pStyle w:val="Contents4"/>
            <w:tabs>
              <w:tab w:val="clear" w:pos="8176"/>
              <w:tab w:val="right" w:pos="9026" w:leader="dot"/>
            </w:tabs>
            <w:rPr/>
          </w:pPr>
          <w:hyperlink w:anchor="__RefHeading___Toc1366653_388300464">
            <w:r>
              <w:rPr>
                <w:webHidden/>
                <w:rStyle w:val="IndexLink"/>
                <w:rtl w:val="true"/>
              </w:rPr>
              <w:t>التفسير</w:t>
            </w:r>
            <w:r>
              <w:rPr>
                <w:rStyle w:val="IndexLink"/>
                <w:rtl w:val="true"/>
              </w:rPr>
              <w:tab/>
            </w:r>
            <w:r>
              <w:rPr>
                <w:rStyle w:val="IndexLink"/>
              </w:rPr>
              <w:t>411</w:t>
            </w:r>
          </w:hyperlink>
        </w:p>
        <w:p>
          <w:pPr>
            <w:pStyle w:val="Contents4"/>
            <w:tabs>
              <w:tab w:val="clear" w:pos="8176"/>
              <w:tab w:val="right" w:pos="9026" w:leader="dot"/>
            </w:tabs>
            <w:rPr/>
          </w:pPr>
          <w:hyperlink w:anchor="__RefHeading___Toc1366655_388300464">
            <w:r>
              <w:rPr>
                <w:webHidden/>
                <w:rStyle w:val="IndexLink"/>
                <w:rtl w:val="true"/>
              </w:rPr>
              <w:t>أوصاف الأنصار</w:t>
            </w:r>
            <w:r>
              <w:rPr>
                <w:rStyle w:val="IndexLink"/>
                <w:rtl w:val="true"/>
              </w:rPr>
              <w:tab/>
            </w:r>
            <w:r>
              <w:rPr>
                <w:rStyle w:val="IndexLink"/>
              </w:rPr>
              <w:t>412</w:t>
            </w:r>
          </w:hyperlink>
        </w:p>
        <w:p>
          <w:pPr>
            <w:pStyle w:val="Contents2"/>
            <w:tabs>
              <w:tab w:val="clear" w:pos="8743"/>
              <w:tab w:val="right" w:pos="9026" w:leader="dot"/>
            </w:tabs>
            <w:rPr/>
          </w:pPr>
          <w:hyperlink w:anchor="__RefHeading___Toc1366657_388300464">
            <w:r>
              <w:rPr>
                <w:webHidden/>
                <w:rStyle w:val="IndexLink"/>
                <w:rtl w:val="true"/>
              </w:rPr>
              <w:t>الفصل السادس</w:t>
            </w:r>
            <w:r>
              <w:rPr>
                <w:rStyle w:val="IndexLink"/>
                <w:rtl w:val="true"/>
              </w:rPr>
              <w:t xml:space="preserve">: </w:t>
            </w:r>
            <w:r>
              <w:rPr>
                <w:rStyle w:val="IndexLink"/>
                <w:rtl w:val="true"/>
              </w:rPr>
              <w:t>فريضة الحجّ في الذكر الحكيم</w:t>
            </w:r>
            <w:r>
              <w:rPr>
                <w:rStyle w:val="IndexLink"/>
                <w:rtl w:val="true"/>
              </w:rPr>
              <w:tab/>
            </w:r>
            <w:r>
              <w:rPr>
                <w:rStyle w:val="IndexLink"/>
              </w:rPr>
              <w:t>414</w:t>
            </w:r>
          </w:hyperlink>
        </w:p>
        <w:p>
          <w:pPr>
            <w:pStyle w:val="Contents3"/>
            <w:tabs>
              <w:tab w:val="clear" w:pos="8459"/>
              <w:tab w:val="right" w:pos="9026" w:leader="dot"/>
            </w:tabs>
            <w:rPr/>
          </w:pPr>
          <w:hyperlink w:anchor="__RefHeading___Toc1366659_388300464">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366661_388300464">
            <w:r>
              <w:rPr>
                <w:webHidden/>
                <w:rStyle w:val="IndexLink"/>
                <w:rtl w:val="true"/>
              </w:rPr>
              <w:t>تمهيد الحجّ لغة واصطلاحاً</w:t>
            </w:r>
            <w:r>
              <w:rPr>
                <w:rStyle w:val="IndexLink"/>
                <w:rtl w:val="true"/>
              </w:rPr>
              <w:tab/>
            </w:r>
            <w:r>
              <w:rPr>
                <w:rStyle w:val="IndexLink"/>
              </w:rPr>
              <w:t>415</w:t>
            </w:r>
          </w:hyperlink>
        </w:p>
        <w:p>
          <w:pPr>
            <w:pStyle w:val="Contents4"/>
            <w:tabs>
              <w:tab w:val="clear" w:pos="8176"/>
              <w:tab w:val="right" w:pos="9026" w:leader="dot"/>
            </w:tabs>
            <w:rPr/>
          </w:pPr>
          <w:hyperlink w:anchor="__RefHeading___Toc1366663_388300464">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366665_388300464">
            <w:r>
              <w:rPr>
                <w:webHidden/>
                <w:rStyle w:val="IndexLink"/>
                <w:rtl w:val="true"/>
              </w:rPr>
              <w:t>الحجّ من أركان الدين</w:t>
            </w:r>
            <w:r>
              <w:rPr>
                <w:rStyle w:val="IndexLink"/>
                <w:rtl w:val="true"/>
              </w:rPr>
              <w:tab/>
            </w:r>
            <w:r>
              <w:rPr>
                <w:rStyle w:val="IndexLink"/>
              </w:rPr>
              <w:t>416</w:t>
            </w:r>
          </w:hyperlink>
        </w:p>
        <w:p>
          <w:pPr>
            <w:pStyle w:val="Contents3"/>
            <w:tabs>
              <w:tab w:val="clear" w:pos="8459"/>
              <w:tab w:val="right" w:pos="9026" w:leader="dot"/>
            </w:tabs>
            <w:rPr/>
          </w:pPr>
          <w:hyperlink w:anchor="__RefHeading___Toc1366667_388300464">
            <w:r>
              <w:rPr>
                <w:webHidden/>
                <w:rStyle w:val="IndexLink"/>
              </w:rPr>
              <w:t>1</w:t>
            </w:r>
            <w:r>
              <w:rPr>
                <w:rStyle w:val="IndexLink"/>
                <w:rtl w:val="true"/>
              </w:rPr>
              <w:t xml:space="preserve">. </w:t>
            </w:r>
            <w:r>
              <w:rPr>
                <w:rStyle w:val="IndexLink"/>
                <w:rtl w:val="true"/>
              </w:rPr>
              <w:t>في وجوب الحجّ على المستطيع فوراً</w:t>
            </w:r>
            <w:r>
              <w:rPr>
                <w:rStyle w:val="IndexLink"/>
                <w:rtl w:val="true"/>
              </w:rPr>
              <w:tab/>
            </w:r>
            <w:r>
              <w:rPr>
                <w:rStyle w:val="IndexLink"/>
              </w:rPr>
              <w:t>419</w:t>
            </w:r>
          </w:hyperlink>
        </w:p>
        <w:p>
          <w:pPr>
            <w:pStyle w:val="Contents4"/>
            <w:tabs>
              <w:tab w:val="clear" w:pos="8176"/>
              <w:tab w:val="right" w:pos="9026" w:leader="dot"/>
            </w:tabs>
            <w:rPr/>
          </w:pPr>
          <w:hyperlink w:anchor="__RefHeading___Toc1366669_388300464">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366671_388300464">
            <w:r>
              <w:rPr>
                <w:webHidden/>
                <w:rStyle w:val="IndexLink"/>
                <w:rtl w:val="true"/>
              </w:rPr>
              <w:t>الآية الأُولى</w:t>
            </w:r>
            <w:r>
              <w:rPr>
                <w:rStyle w:val="IndexLink"/>
                <w:rtl w:val="true"/>
              </w:rPr>
              <w:tab/>
            </w:r>
            <w:r>
              <w:rPr>
                <w:rStyle w:val="IndexLink"/>
              </w:rPr>
              <w:t>419</w:t>
            </w:r>
          </w:hyperlink>
        </w:p>
        <w:p>
          <w:pPr>
            <w:pStyle w:val="Contents5"/>
            <w:tabs>
              <w:tab w:val="clear" w:pos="7892"/>
              <w:tab w:val="right" w:pos="9026" w:leader="dot"/>
            </w:tabs>
            <w:rPr/>
          </w:pPr>
          <w:hyperlink w:anchor="__RefHeading___Toc1366673_388300464">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366675_388300464">
            <w:r>
              <w:rPr>
                <w:webHidden/>
                <w:rStyle w:val="IndexLink"/>
                <w:rtl w:val="true"/>
              </w:rPr>
              <w:t>المفردات</w:t>
            </w:r>
            <w:r>
              <w:rPr>
                <w:rStyle w:val="IndexLink"/>
                <w:rtl w:val="true"/>
              </w:rPr>
              <w:tab/>
            </w:r>
            <w:r>
              <w:rPr>
                <w:rStyle w:val="IndexLink"/>
              </w:rPr>
              <w:t>419</w:t>
            </w:r>
          </w:hyperlink>
        </w:p>
        <w:p>
          <w:pPr>
            <w:pStyle w:val="Contents5"/>
            <w:tabs>
              <w:tab w:val="clear" w:pos="7892"/>
              <w:tab w:val="right" w:pos="9026" w:leader="dot"/>
            </w:tabs>
            <w:rPr/>
          </w:pPr>
          <w:hyperlink w:anchor="__RefHeading___Toc1366677_388300464">
            <w:r>
              <w:rPr>
                <w:webHidden/>
                <w:rStyle w:val="IndexLink"/>
                <w:rtl w:val="true"/>
              </w:rPr>
              <w:t>التفسير</w:t>
            </w:r>
            <w:r>
              <w:rPr>
                <w:rStyle w:val="IndexLink"/>
                <w:rtl w:val="true"/>
              </w:rPr>
              <w:tab/>
            </w:r>
            <w:r>
              <w:rPr>
                <w:rStyle w:val="IndexLink"/>
              </w:rPr>
              <w:t>420</w:t>
            </w:r>
          </w:hyperlink>
        </w:p>
        <w:p>
          <w:pPr>
            <w:pStyle w:val="Contents4"/>
            <w:tabs>
              <w:tab w:val="clear" w:pos="8176"/>
              <w:tab w:val="right" w:pos="9026" w:leader="dot"/>
            </w:tabs>
            <w:rPr/>
          </w:pPr>
          <w:hyperlink w:anchor="__RefHeading___Toc1366679_388300464">
            <w:r>
              <w:rPr>
                <w:webHidden/>
                <w:rStyle w:val="IndexLink"/>
                <w:rtl w:val="true"/>
              </w:rPr>
              <w:t>الآية الثانية</w:t>
            </w:r>
            <w:r>
              <w:rPr>
                <w:rStyle w:val="IndexLink"/>
                <w:rtl w:val="true"/>
              </w:rPr>
              <w:tab/>
            </w:r>
            <w:r>
              <w:rPr>
                <w:rStyle w:val="IndexLink"/>
              </w:rPr>
              <w:t>422</w:t>
            </w:r>
          </w:hyperlink>
        </w:p>
        <w:p>
          <w:pPr>
            <w:pStyle w:val="Contents5"/>
            <w:tabs>
              <w:tab w:val="clear" w:pos="7892"/>
              <w:tab w:val="right" w:pos="9026" w:leader="dot"/>
            </w:tabs>
            <w:rPr/>
          </w:pPr>
          <w:hyperlink w:anchor="__RefHeading___Toc1366681_388300464">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366683_388300464">
            <w:r>
              <w:rPr>
                <w:webHidden/>
                <w:rStyle w:val="IndexLink"/>
                <w:rtl w:val="true"/>
              </w:rPr>
              <w:t>المفردات</w:t>
            </w:r>
            <w:r>
              <w:rPr>
                <w:rStyle w:val="IndexLink"/>
                <w:rtl w:val="true"/>
              </w:rPr>
              <w:tab/>
            </w:r>
            <w:r>
              <w:rPr>
                <w:rStyle w:val="IndexLink"/>
              </w:rPr>
              <w:t>422</w:t>
            </w:r>
          </w:hyperlink>
        </w:p>
        <w:p>
          <w:pPr>
            <w:pStyle w:val="Contents5"/>
            <w:tabs>
              <w:tab w:val="clear" w:pos="7892"/>
              <w:tab w:val="right" w:pos="9026" w:leader="dot"/>
            </w:tabs>
            <w:rPr/>
          </w:pPr>
          <w:hyperlink w:anchor="__RefHeading___Toc1366685_388300464">
            <w:r>
              <w:rPr>
                <w:webHidden/>
                <w:rStyle w:val="IndexLink"/>
                <w:rtl w:val="true"/>
              </w:rPr>
              <w:t>التفسير</w:t>
            </w:r>
            <w:r>
              <w:rPr>
                <w:rStyle w:val="IndexLink"/>
                <w:rtl w:val="true"/>
              </w:rPr>
              <w:tab/>
            </w:r>
            <w:r>
              <w:rPr>
                <w:rStyle w:val="IndexLink"/>
              </w:rPr>
              <w:t>422</w:t>
            </w:r>
          </w:hyperlink>
        </w:p>
        <w:p>
          <w:pPr>
            <w:pStyle w:val="Contents5"/>
            <w:tabs>
              <w:tab w:val="clear" w:pos="7892"/>
              <w:tab w:val="right" w:pos="9026" w:leader="dot"/>
            </w:tabs>
            <w:rPr/>
          </w:pPr>
          <w:hyperlink w:anchor="__RefHeading___Toc1366687_388300464">
            <w:r>
              <w:rPr>
                <w:webHidden/>
                <w:rStyle w:val="IndexLink"/>
                <w:rtl w:val="true"/>
              </w:rPr>
              <w:t>الاستطاعة الشرعية شرط الوجوب</w:t>
            </w:r>
            <w:r>
              <w:rPr>
                <w:rStyle w:val="IndexLink"/>
                <w:rtl w:val="true"/>
              </w:rPr>
              <w:tab/>
            </w:r>
            <w:r>
              <w:rPr>
                <w:rStyle w:val="IndexLink"/>
              </w:rPr>
              <w:t>424</w:t>
            </w:r>
          </w:hyperlink>
        </w:p>
        <w:p>
          <w:pPr>
            <w:pStyle w:val="Contents5"/>
            <w:tabs>
              <w:tab w:val="clear" w:pos="7892"/>
              <w:tab w:val="right" w:pos="9026" w:leader="dot"/>
            </w:tabs>
            <w:rPr/>
          </w:pPr>
          <w:hyperlink w:anchor="__RefHeading___Toc1366689_388300464">
            <w:r>
              <w:rPr>
                <w:webHidden/>
                <w:rStyle w:val="IndexLink"/>
                <w:rtl w:val="true"/>
              </w:rPr>
              <w:t>وجوب الحجّ مرّة واحدة في العمر</w:t>
            </w:r>
            <w:r>
              <w:rPr>
                <w:rStyle w:val="IndexLink"/>
                <w:rtl w:val="true"/>
              </w:rPr>
              <w:tab/>
            </w:r>
            <w:r>
              <w:rPr>
                <w:rStyle w:val="IndexLink"/>
              </w:rPr>
              <w:t>426</w:t>
            </w:r>
          </w:hyperlink>
        </w:p>
        <w:p>
          <w:pPr>
            <w:pStyle w:val="Contents4"/>
            <w:tabs>
              <w:tab w:val="clear" w:pos="8176"/>
              <w:tab w:val="right" w:pos="9026" w:leader="dot"/>
            </w:tabs>
            <w:rPr/>
          </w:pPr>
          <w:hyperlink w:anchor="__RefHeading___Toc1366691_388300464">
            <w:r>
              <w:rPr>
                <w:webHidden/>
                <w:rStyle w:val="IndexLink"/>
                <w:rtl w:val="true"/>
              </w:rPr>
              <w:t>الآية الثالثة</w:t>
            </w:r>
            <w:r>
              <w:rPr>
                <w:rStyle w:val="IndexLink"/>
                <w:rtl w:val="true"/>
              </w:rPr>
              <w:tab/>
            </w:r>
            <w:r>
              <w:rPr>
                <w:rStyle w:val="IndexLink"/>
              </w:rPr>
              <w:t>427</w:t>
            </w:r>
          </w:hyperlink>
        </w:p>
        <w:p>
          <w:pPr>
            <w:pStyle w:val="Contents5"/>
            <w:tabs>
              <w:tab w:val="clear" w:pos="7892"/>
              <w:tab w:val="right" w:pos="9026" w:leader="dot"/>
            </w:tabs>
            <w:rPr/>
          </w:pPr>
          <w:hyperlink w:anchor="__RefHeading___Toc1366693_388300464">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366695_388300464">
            <w:r>
              <w:rPr>
                <w:webHidden/>
                <w:rStyle w:val="IndexLink"/>
                <w:rtl w:val="true"/>
              </w:rPr>
              <w:t>المفردات</w:t>
            </w:r>
            <w:r>
              <w:rPr>
                <w:rStyle w:val="IndexLink"/>
                <w:rtl w:val="true"/>
              </w:rPr>
              <w:tab/>
            </w:r>
            <w:r>
              <w:rPr>
                <w:rStyle w:val="IndexLink"/>
              </w:rPr>
              <w:t>427</w:t>
            </w:r>
          </w:hyperlink>
        </w:p>
        <w:p>
          <w:pPr>
            <w:pStyle w:val="Contents5"/>
            <w:tabs>
              <w:tab w:val="clear" w:pos="7892"/>
              <w:tab w:val="right" w:pos="9026" w:leader="dot"/>
            </w:tabs>
            <w:rPr/>
          </w:pPr>
          <w:hyperlink w:anchor="__RefHeading___Toc1366697_388300464">
            <w:r>
              <w:rPr>
                <w:webHidden/>
                <w:rStyle w:val="IndexLink"/>
                <w:rtl w:val="true"/>
              </w:rPr>
              <w:t>التفسير</w:t>
            </w:r>
            <w:r>
              <w:rPr>
                <w:rStyle w:val="IndexLink"/>
                <w:rtl w:val="true"/>
              </w:rPr>
              <w:tab/>
            </w:r>
            <w:r>
              <w:rPr>
                <w:rStyle w:val="IndexLink"/>
              </w:rPr>
              <w:t>427</w:t>
            </w:r>
          </w:hyperlink>
        </w:p>
        <w:p>
          <w:pPr>
            <w:pStyle w:val="Contents3"/>
            <w:tabs>
              <w:tab w:val="clear" w:pos="8459"/>
              <w:tab w:val="right" w:pos="9026" w:leader="dot"/>
            </w:tabs>
            <w:rPr/>
          </w:pPr>
          <w:hyperlink w:anchor="__RefHeading___Toc1366699_388300464">
            <w:r>
              <w:rPr>
                <w:webHidden/>
                <w:rStyle w:val="IndexLink"/>
              </w:rPr>
              <w:t>2</w:t>
            </w:r>
            <w:r>
              <w:rPr>
                <w:rStyle w:val="IndexLink"/>
                <w:rtl w:val="true"/>
              </w:rPr>
              <w:t xml:space="preserve">. </w:t>
            </w:r>
            <w:r>
              <w:rPr>
                <w:rStyle w:val="IndexLink"/>
                <w:rtl w:val="true"/>
              </w:rPr>
              <w:t>أقسام الحج وحجّ التمتع باقٍ على تشريعه</w:t>
            </w:r>
            <w:r>
              <w:rPr>
                <w:rStyle w:val="IndexLink"/>
                <w:rtl w:val="true"/>
              </w:rPr>
              <w:tab/>
            </w:r>
            <w:r>
              <w:rPr>
                <w:rStyle w:val="IndexLink"/>
              </w:rPr>
              <w:t>429</w:t>
            </w:r>
          </w:hyperlink>
        </w:p>
        <w:p>
          <w:pPr>
            <w:pStyle w:val="Contents4"/>
            <w:tabs>
              <w:tab w:val="clear" w:pos="8176"/>
              <w:tab w:val="right" w:pos="9026" w:leader="dot"/>
            </w:tabs>
            <w:rPr/>
          </w:pPr>
          <w:hyperlink w:anchor="__RefHeading___Toc1366701_388300464">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366703_388300464">
            <w:r>
              <w:rPr>
                <w:webHidden/>
                <w:rStyle w:val="IndexLink"/>
                <w:rtl w:val="true"/>
              </w:rPr>
              <w:t>أعمال العمرة والحجّ في حجّ التمتّع</w:t>
            </w:r>
            <w:r>
              <w:rPr>
                <w:rStyle w:val="IndexLink"/>
                <w:rtl w:val="true"/>
              </w:rPr>
              <w:tab/>
            </w:r>
            <w:r>
              <w:rPr>
                <w:rStyle w:val="IndexLink"/>
              </w:rPr>
              <w:t>431</w:t>
            </w:r>
          </w:hyperlink>
        </w:p>
        <w:p>
          <w:pPr>
            <w:pStyle w:val="Contents4"/>
            <w:tabs>
              <w:tab w:val="clear" w:pos="8176"/>
              <w:tab w:val="right" w:pos="9026" w:leader="dot"/>
            </w:tabs>
            <w:rPr/>
          </w:pPr>
          <w:hyperlink w:anchor="__RefHeading___Toc1366705_388300464">
            <w:r>
              <w:rPr>
                <w:webHidden/>
                <w:rStyle w:val="IndexLink"/>
                <w:rtl w:val="true"/>
              </w:rPr>
              <w:t>أعمال حجّ الإفراد والقران</w:t>
            </w:r>
            <w:r>
              <w:rPr>
                <w:rStyle w:val="IndexLink"/>
                <w:rtl w:val="true"/>
              </w:rPr>
              <w:tab/>
            </w:r>
            <w:r>
              <w:rPr>
                <w:rStyle w:val="IndexLink"/>
              </w:rPr>
              <w:t>432</w:t>
            </w:r>
          </w:hyperlink>
        </w:p>
        <w:p>
          <w:pPr>
            <w:pStyle w:val="Contents4"/>
            <w:tabs>
              <w:tab w:val="clear" w:pos="8176"/>
              <w:tab w:val="right" w:pos="9026" w:leader="dot"/>
            </w:tabs>
            <w:rPr/>
          </w:pPr>
          <w:hyperlink w:anchor="__RefHeading___Toc1366707_388300464">
            <w:r>
              <w:rPr>
                <w:webHidden/>
                <w:rStyle w:val="IndexLink"/>
                <w:rtl w:val="true"/>
              </w:rPr>
              <w:t>ميقات عمرة المفرد والقارن</w:t>
            </w:r>
            <w:r>
              <w:rPr>
                <w:rStyle w:val="IndexLink"/>
                <w:rtl w:val="true"/>
              </w:rPr>
              <w:tab/>
            </w:r>
            <w:r>
              <w:rPr>
                <w:rStyle w:val="IndexLink"/>
              </w:rPr>
              <w:t>436</w:t>
            </w:r>
          </w:hyperlink>
        </w:p>
        <w:p>
          <w:pPr>
            <w:pStyle w:val="Contents4"/>
            <w:tabs>
              <w:tab w:val="clear" w:pos="8176"/>
              <w:tab w:val="right" w:pos="9026" w:leader="dot"/>
            </w:tabs>
            <w:rPr/>
          </w:pPr>
          <w:hyperlink w:anchor="__RefHeading___Toc1366709_388300464">
            <w:r>
              <w:rPr>
                <w:webHidden/>
                <w:rStyle w:val="IndexLink"/>
                <w:rtl w:val="true"/>
              </w:rPr>
              <w:t>ميقات العمرة المفردة</w:t>
            </w:r>
            <w:r>
              <w:rPr>
                <w:rStyle w:val="IndexLink"/>
                <w:rtl w:val="true"/>
              </w:rPr>
              <w:tab/>
            </w:r>
            <w:r>
              <w:rPr>
                <w:rStyle w:val="IndexLink"/>
              </w:rPr>
              <w:t>437</w:t>
            </w:r>
          </w:hyperlink>
        </w:p>
        <w:p>
          <w:pPr>
            <w:pStyle w:val="Contents4"/>
            <w:tabs>
              <w:tab w:val="clear" w:pos="8176"/>
              <w:tab w:val="right" w:pos="9026" w:leader="dot"/>
            </w:tabs>
            <w:rPr/>
          </w:pPr>
          <w:hyperlink w:anchor="__RefHeading___Toc1366711_388300464">
            <w:r>
              <w:rPr>
                <w:webHidden/>
                <w:rStyle w:val="IndexLink"/>
                <w:rtl w:val="true"/>
              </w:rPr>
              <w:t xml:space="preserve">الفرق بين العمرتين </w:t>
            </w:r>
            <w:r>
              <w:rPr>
                <w:rStyle w:val="IndexLink"/>
                <w:rtl w:val="true"/>
              </w:rPr>
              <w:t>(</w:t>
            </w:r>
            <w:r>
              <w:rPr>
                <w:rStyle w:val="IndexLink"/>
                <w:rtl w:val="true"/>
              </w:rPr>
              <w:t>المفردة وعمرة التمتّع</w:t>
            </w:r>
            <w:r>
              <w:rPr>
                <w:rStyle w:val="IndexLink"/>
                <w:rtl w:val="true"/>
              </w:rPr>
              <w:t>)</w:t>
              <w:tab/>
            </w:r>
            <w:r>
              <w:rPr>
                <w:rStyle w:val="IndexLink"/>
              </w:rPr>
              <w:t>437</w:t>
            </w:r>
          </w:hyperlink>
        </w:p>
        <w:p>
          <w:pPr>
            <w:pStyle w:val="Contents3"/>
            <w:tabs>
              <w:tab w:val="clear" w:pos="8459"/>
              <w:tab w:val="right" w:pos="9026" w:leader="dot"/>
            </w:tabs>
            <w:rPr/>
          </w:pPr>
          <w:hyperlink w:anchor="__RefHeading___Toc1366713_388300464">
            <w:r>
              <w:rPr>
                <w:webHidden/>
                <w:rStyle w:val="IndexLink"/>
              </w:rPr>
              <w:t>3</w:t>
            </w:r>
            <w:r>
              <w:rPr>
                <w:rStyle w:val="IndexLink"/>
                <w:rtl w:val="true"/>
              </w:rPr>
              <w:t xml:space="preserve">. </w:t>
            </w:r>
            <w:r>
              <w:rPr>
                <w:rStyle w:val="IndexLink"/>
                <w:rtl w:val="true"/>
              </w:rPr>
              <w:t>أعمال العمرة في الذكر الحكيم</w:t>
            </w:r>
            <w:r>
              <w:rPr>
                <w:rStyle w:val="IndexLink"/>
                <w:rtl w:val="true"/>
              </w:rPr>
              <w:tab/>
            </w:r>
            <w:r>
              <w:rPr>
                <w:rStyle w:val="IndexLink"/>
              </w:rPr>
              <w:t>438</w:t>
            </w:r>
          </w:hyperlink>
        </w:p>
        <w:p>
          <w:pPr>
            <w:pStyle w:val="Contents4"/>
            <w:tabs>
              <w:tab w:val="clear" w:pos="8176"/>
              <w:tab w:val="right" w:pos="9026" w:leader="dot"/>
            </w:tabs>
            <w:rPr/>
          </w:pPr>
          <w:hyperlink w:anchor="__RefHeading___Toc1366715_388300464">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366717_388300464">
            <w:r>
              <w:rPr>
                <w:webHidden/>
                <w:rStyle w:val="IndexLink"/>
                <w:rtl w:val="true"/>
              </w:rPr>
              <w:t>تفسير الاتمام بإفراد العمرة عن الحجّ إنكار لحجّ التمتّع</w:t>
            </w:r>
            <w:r>
              <w:rPr>
                <w:rStyle w:val="IndexLink"/>
                <w:rtl w:val="true"/>
              </w:rPr>
              <w:tab/>
            </w:r>
            <w:r>
              <w:rPr>
                <w:rStyle w:val="IndexLink"/>
              </w:rPr>
              <w:t>439</w:t>
            </w:r>
          </w:hyperlink>
        </w:p>
        <w:p>
          <w:pPr>
            <w:pStyle w:val="Contents4"/>
            <w:tabs>
              <w:tab w:val="clear" w:pos="8176"/>
              <w:tab w:val="right" w:pos="9026" w:leader="dot"/>
            </w:tabs>
            <w:rPr/>
          </w:pPr>
          <w:hyperlink w:anchor="__RefHeading___Toc1366719_388300464">
            <w:r>
              <w:rPr>
                <w:webHidden/>
                <w:rStyle w:val="IndexLink"/>
                <w:rtl w:val="true"/>
              </w:rPr>
              <w:t>المفردات</w:t>
            </w:r>
            <w:r>
              <w:rPr>
                <w:rStyle w:val="IndexLink"/>
                <w:rtl w:val="true"/>
              </w:rPr>
              <w:tab/>
            </w:r>
            <w:r>
              <w:rPr>
                <w:rStyle w:val="IndexLink"/>
              </w:rPr>
              <w:t>441</w:t>
            </w:r>
          </w:hyperlink>
        </w:p>
        <w:p>
          <w:pPr>
            <w:pStyle w:val="Contents4"/>
            <w:tabs>
              <w:tab w:val="clear" w:pos="8176"/>
              <w:tab w:val="right" w:pos="9026" w:leader="dot"/>
            </w:tabs>
            <w:rPr/>
          </w:pPr>
          <w:hyperlink w:anchor="__RefHeading___Toc1366721_388300464">
            <w:r>
              <w:rPr>
                <w:webHidden/>
                <w:rStyle w:val="IndexLink"/>
                <w:rtl w:val="true"/>
              </w:rPr>
              <w:t>تمهيد</w:t>
            </w:r>
            <w:r>
              <w:rPr>
                <w:rStyle w:val="IndexLink"/>
                <w:rtl w:val="true"/>
              </w:rPr>
              <w:tab/>
            </w:r>
            <w:r>
              <w:rPr>
                <w:rStyle w:val="IndexLink"/>
              </w:rPr>
              <w:t>443</w:t>
            </w:r>
          </w:hyperlink>
        </w:p>
        <w:p>
          <w:pPr>
            <w:pStyle w:val="Contents4"/>
            <w:tabs>
              <w:tab w:val="clear" w:pos="8176"/>
              <w:tab w:val="right" w:pos="9026" w:leader="dot"/>
            </w:tabs>
            <w:rPr/>
          </w:pPr>
          <w:hyperlink w:anchor="__RefHeading___Toc1366723_388300464">
            <w:r>
              <w:rPr>
                <w:webHidden/>
                <w:rStyle w:val="IndexLink"/>
                <w:rtl w:val="true"/>
              </w:rPr>
              <w:t>التفسير</w:t>
            </w:r>
            <w:r>
              <w:rPr>
                <w:rStyle w:val="IndexLink"/>
                <w:rtl w:val="true"/>
              </w:rPr>
              <w:tab/>
            </w:r>
            <w:r>
              <w:rPr>
                <w:rStyle w:val="IndexLink"/>
              </w:rPr>
              <w:t>444</w:t>
            </w:r>
          </w:hyperlink>
        </w:p>
        <w:p>
          <w:pPr>
            <w:pStyle w:val="Contents3"/>
            <w:tabs>
              <w:tab w:val="clear" w:pos="8459"/>
              <w:tab w:val="right" w:pos="9026" w:leader="dot"/>
            </w:tabs>
            <w:rPr/>
          </w:pPr>
          <w:hyperlink w:anchor="__RefHeading___Toc1366725_388300464">
            <w:r>
              <w:rPr>
                <w:webHidden/>
                <w:rStyle w:val="IndexLink"/>
              </w:rPr>
              <w:t>4</w:t>
            </w:r>
            <w:r>
              <w:rPr>
                <w:rStyle w:val="IndexLink"/>
                <w:rtl w:val="true"/>
              </w:rPr>
              <w:t xml:space="preserve">. </w:t>
            </w:r>
            <w:r>
              <w:rPr>
                <w:rStyle w:val="IndexLink"/>
                <w:rtl w:val="true"/>
              </w:rPr>
              <w:t>أعمال الحجّ‌</w:t>
            </w:r>
            <w:r>
              <w:rPr>
                <w:rStyle w:val="IndexLink"/>
                <w:rtl w:val="true"/>
              </w:rPr>
              <w:tab/>
            </w:r>
            <w:r>
              <w:rPr>
                <w:rStyle w:val="IndexLink"/>
              </w:rPr>
              <w:t>449</w:t>
            </w:r>
          </w:hyperlink>
        </w:p>
        <w:p>
          <w:pPr>
            <w:pStyle w:val="Contents4"/>
            <w:tabs>
              <w:tab w:val="clear" w:pos="8176"/>
              <w:tab w:val="right" w:pos="9026" w:leader="dot"/>
            </w:tabs>
            <w:rPr/>
          </w:pPr>
          <w:hyperlink w:anchor="__RefHeading___Toc1366727_388300464">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366729_388300464">
            <w:r>
              <w:rPr>
                <w:webHidden/>
                <w:rStyle w:val="IndexLink"/>
                <w:rtl w:val="true"/>
              </w:rPr>
              <w:t>الآية الأُولى</w:t>
            </w:r>
            <w:r>
              <w:rPr>
                <w:rStyle w:val="IndexLink"/>
                <w:rtl w:val="true"/>
              </w:rPr>
              <w:tab/>
            </w:r>
            <w:r>
              <w:rPr>
                <w:rStyle w:val="IndexLink"/>
              </w:rPr>
              <w:t>449</w:t>
            </w:r>
          </w:hyperlink>
        </w:p>
        <w:p>
          <w:pPr>
            <w:pStyle w:val="Contents5"/>
            <w:tabs>
              <w:tab w:val="clear" w:pos="7892"/>
              <w:tab w:val="right" w:pos="9026" w:leader="dot"/>
            </w:tabs>
            <w:rPr/>
          </w:pPr>
          <w:hyperlink w:anchor="__RefHeading___Toc1366731_388300464">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366733_388300464">
            <w:r>
              <w:rPr>
                <w:webHidden/>
                <w:rStyle w:val="IndexLink"/>
                <w:rtl w:val="true"/>
              </w:rPr>
              <w:t>المفردات</w:t>
            </w:r>
            <w:r>
              <w:rPr>
                <w:rStyle w:val="IndexLink"/>
                <w:rtl w:val="true"/>
              </w:rPr>
              <w:tab/>
            </w:r>
            <w:r>
              <w:rPr>
                <w:rStyle w:val="IndexLink"/>
              </w:rPr>
              <w:t>450</w:t>
            </w:r>
          </w:hyperlink>
        </w:p>
        <w:p>
          <w:pPr>
            <w:pStyle w:val="Contents5"/>
            <w:tabs>
              <w:tab w:val="clear" w:pos="7892"/>
              <w:tab w:val="right" w:pos="9026" w:leader="dot"/>
            </w:tabs>
            <w:rPr/>
          </w:pPr>
          <w:hyperlink w:anchor="__RefHeading___Toc1366735_388300464">
            <w:r>
              <w:rPr>
                <w:webHidden/>
                <w:rStyle w:val="IndexLink"/>
                <w:rtl w:val="true"/>
              </w:rPr>
              <w:t>التفسير</w:t>
            </w:r>
            <w:r>
              <w:rPr>
                <w:rStyle w:val="IndexLink"/>
                <w:rtl w:val="true"/>
              </w:rPr>
              <w:tab/>
            </w:r>
            <w:r>
              <w:rPr>
                <w:rStyle w:val="IndexLink"/>
              </w:rPr>
              <w:t>450</w:t>
            </w:r>
          </w:hyperlink>
        </w:p>
        <w:p>
          <w:pPr>
            <w:pStyle w:val="Contents4"/>
            <w:tabs>
              <w:tab w:val="clear" w:pos="8176"/>
              <w:tab w:val="right" w:pos="9026" w:leader="dot"/>
            </w:tabs>
            <w:rPr/>
          </w:pPr>
          <w:hyperlink w:anchor="__RefHeading___Toc1366737_388300464">
            <w:r>
              <w:rPr>
                <w:webHidden/>
                <w:rStyle w:val="IndexLink"/>
                <w:rtl w:val="true"/>
              </w:rPr>
              <w:t>الآية الثانية</w:t>
            </w:r>
            <w:r>
              <w:rPr>
                <w:rStyle w:val="IndexLink"/>
                <w:rtl w:val="true"/>
              </w:rPr>
              <w:tab/>
            </w:r>
            <w:r>
              <w:rPr>
                <w:rStyle w:val="IndexLink"/>
              </w:rPr>
              <w:t>452</w:t>
            </w:r>
          </w:hyperlink>
        </w:p>
        <w:p>
          <w:pPr>
            <w:pStyle w:val="Contents5"/>
            <w:tabs>
              <w:tab w:val="clear" w:pos="7892"/>
              <w:tab w:val="right" w:pos="9026" w:leader="dot"/>
            </w:tabs>
            <w:rPr/>
          </w:pPr>
          <w:hyperlink w:anchor="__RefHeading___Toc1366739_388300464">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366741_388300464">
            <w:r>
              <w:rPr>
                <w:webHidden/>
                <w:rStyle w:val="IndexLink"/>
                <w:rtl w:val="true"/>
              </w:rPr>
              <w:t>الإفاضة من عرفات إلى المشعر الحرام</w:t>
            </w:r>
            <w:r>
              <w:rPr>
                <w:rStyle w:val="IndexLink"/>
                <w:rtl w:val="true"/>
              </w:rPr>
              <w:tab/>
            </w:r>
            <w:r>
              <w:rPr>
                <w:rStyle w:val="IndexLink"/>
              </w:rPr>
              <w:t>453</w:t>
            </w:r>
          </w:hyperlink>
        </w:p>
        <w:p>
          <w:pPr>
            <w:pStyle w:val="Contents4"/>
            <w:tabs>
              <w:tab w:val="clear" w:pos="8176"/>
              <w:tab w:val="right" w:pos="9026" w:leader="dot"/>
            </w:tabs>
            <w:rPr/>
          </w:pPr>
          <w:hyperlink w:anchor="__RefHeading___Toc1366743_388300464">
            <w:r>
              <w:rPr>
                <w:webHidden/>
                <w:rStyle w:val="IndexLink"/>
                <w:rtl w:val="true"/>
              </w:rPr>
              <w:t>الآية الثالثة</w:t>
            </w:r>
            <w:r>
              <w:rPr>
                <w:rStyle w:val="IndexLink"/>
                <w:rtl w:val="true"/>
              </w:rPr>
              <w:tab/>
            </w:r>
            <w:r>
              <w:rPr>
                <w:rStyle w:val="IndexLink"/>
              </w:rPr>
              <w:t>454</w:t>
            </w:r>
          </w:hyperlink>
        </w:p>
        <w:p>
          <w:pPr>
            <w:pStyle w:val="Contents5"/>
            <w:tabs>
              <w:tab w:val="clear" w:pos="7892"/>
              <w:tab w:val="right" w:pos="9026" w:leader="dot"/>
            </w:tabs>
            <w:rPr/>
          </w:pPr>
          <w:hyperlink w:anchor="__RefHeading___Toc1366745_388300464">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366747_388300464">
            <w:r>
              <w:rPr>
                <w:webHidden/>
                <w:rStyle w:val="IndexLink"/>
                <w:rtl w:val="true"/>
              </w:rPr>
              <w:t>من أعمال منى الرمي وذكر اللّه في أيام معدودات</w:t>
            </w:r>
            <w:r>
              <w:rPr>
                <w:rStyle w:val="IndexLink"/>
                <w:rtl w:val="true"/>
              </w:rPr>
              <w:tab/>
            </w:r>
            <w:r>
              <w:rPr>
                <w:rStyle w:val="IndexLink"/>
              </w:rPr>
              <w:t>454</w:t>
            </w:r>
          </w:hyperlink>
        </w:p>
        <w:p>
          <w:pPr>
            <w:pStyle w:val="Contents5"/>
            <w:tabs>
              <w:tab w:val="clear" w:pos="7892"/>
              <w:tab w:val="right" w:pos="9026" w:leader="dot"/>
            </w:tabs>
            <w:rPr/>
          </w:pPr>
          <w:hyperlink w:anchor="__RefHeading___Toc1366749_388300464">
            <w:r>
              <w:rPr>
                <w:webHidden/>
                <w:rStyle w:val="IndexLink"/>
                <w:rtl w:val="true"/>
              </w:rPr>
              <w:t>التخيير في النفر بين الثاني عشر والثالث عشر</w:t>
            </w:r>
            <w:r>
              <w:rPr>
                <w:rStyle w:val="IndexLink"/>
                <w:rtl w:val="true"/>
              </w:rPr>
              <w:tab/>
            </w:r>
            <w:r>
              <w:rPr>
                <w:rStyle w:val="IndexLink"/>
              </w:rPr>
              <w:t>457</w:t>
            </w:r>
          </w:hyperlink>
        </w:p>
        <w:p>
          <w:pPr>
            <w:pStyle w:val="Contents4"/>
            <w:tabs>
              <w:tab w:val="clear" w:pos="8176"/>
              <w:tab w:val="right" w:pos="9026" w:leader="dot"/>
            </w:tabs>
            <w:rPr/>
          </w:pPr>
          <w:hyperlink w:anchor="__RefHeading___Toc1366751_388300464">
            <w:r>
              <w:rPr>
                <w:webHidden/>
                <w:rStyle w:val="IndexLink"/>
                <w:rtl w:val="true"/>
              </w:rPr>
              <w:t>الآية الرابعة</w:t>
            </w:r>
            <w:r>
              <w:rPr>
                <w:rStyle w:val="IndexLink"/>
                <w:rtl w:val="true"/>
              </w:rPr>
              <w:tab/>
            </w:r>
            <w:r>
              <w:rPr>
                <w:rStyle w:val="IndexLink"/>
              </w:rPr>
              <w:t>458</w:t>
            </w:r>
          </w:hyperlink>
        </w:p>
        <w:p>
          <w:pPr>
            <w:pStyle w:val="Contents5"/>
            <w:tabs>
              <w:tab w:val="clear" w:pos="7892"/>
              <w:tab w:val="right" w:pos="9026" w:leader="dot"/>
            </w:tabs>
            <w:rPr/>
          </w:pPr>
          <w:hyperlink w:anchor="__RefHeading___Toc1366753_388300464">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366755_388300464">
            <w:r>
              <w:rPr>
                <w:webHidden/>
                <w:rStyle w:val="IndexLink"/>
                <w:rtl w:val="true"/>
              </w:rPr>
              <w:t>المفردات</w:t>
            </w:r>
            <w:r>
              <w:rPr>
                <w:rStyle w:val="IndexLink"/>
                <w:rtl w:val="true"/>
              </w:rPr>
              <w:tab/>
            </w:r>
            <w:r>
              <w:rPr>
                <w:rStyle w:val="IndexLink"/>
              </w:rPr>
              <w:t>458</w:t>
            </w:r>
          </w:hyperlink>
        </w:p>
        <w:p>
          <w:pPr>
            <w:pStyle w:val="Contents5"/>
            <w:tabs>
              <w:tab w:val="clear" w:pos="7892"/>
              <w:tab w:val="right" w:pos="9026" w:leader="dot"/>
            </w:tabs>
            <w:rPr/>
          </w:pPr>
          <w:hyperlink w:anchor="__RefHeading___Toc1366757_388300464">
            <w:r>
              <w:rPr>
                <w:webHidden/>
                <w:rStyle w:val="IndexLink"/>
                <w:rtl w:val="true"/>
              </w:rPr>
              <w:t>التفسير</w:t>
            </w:r>
            <w:r>
              <w:rPr>
                <w:rStyle w:val="IndexLink"/>
                <w:rtl w:val="true"/>
              </w:rPr>
              <w:tab/>
            </w:r>
            <w:r>
              <w:rPr>
                <w:rStyle w:val="IndexLink"/>
              </w:rPr>
              <w:t>458</w:t>
            </w:r>
          </w:hyperlink>
        </w:p>
        <w:p>
          <w:pPr>
            <w:pStyle w:val="Contents5"/>
            <w:tabs>
              <w:tab w:val="clear" w:pos="7892"/>
              <w:tab w:val="right" w:pos="9026" w:leader="dot"/>
            </w:tabs>
            <w:rPr/>
          </w:pPr>
          <w:hyperlink w:anchor="__RefHeading___Toc1366759_388300464">
            <w:r>
              <w:rPr>
                <w:webHidden/>
                <w:rStyle w:val="IndexLink"/>
                <w:rtl w:val="true"/>
              </w:rPr>
              <w:t>من أعمال منى‌</w:t>
            </w:r>
            <w:r>
              <w:rPr>
                <w:rStyle w:val="IndexLink"/>
                <w:rtl w:val="true"/>
              </w:rPr>
              <w:t xml:space="preserve">: </w:t>
            </w:r>
            <w:r>
              <w:rPr>
                <w:rStyle w:val="IndexLink"/>
                <w:rtl w:val="true"/>
              </w:rPr>
              <w:t>الهدي والذبيحة وإطعام البائس والفقير</w:t>
            </w:r>
            <w:r>
              <w:rPr>
                <w:rStyle w:val="IndexLink"/>
                <w:rtl w:val="true"/>
              </w:rPr>
              <w:tab/>
            </w:r>
            <w:r>
              <w:rPr>
                <w:rStyle w:val="IndexLink"/>
              </w:rPr>
              <w:t>458</w:t>
            </w:r>
          </w:hyperlink>
        </w:p>
        <w:p>
          <w:pPr>
            <w:pStyle w:val="Contents5"/>
            <w:tabs>
              <w:tab w:val="clear" w:pos="7892"/>
              <w:tab w:val="right" w:pos="9026" w:leader="dot"/>
            </w:tabs>
            <w:rPr/>
          </w:pPr>
          <w:hyperlink w:anchor="__RefHeading___Toc1366761_388300464">
            <w:r>
              <w:rPr>
                <w:webHidden/>
                <w:rStyle w:val="IndexLink"/>
                <w:rtl w:val="true"/>
              </w:rPr>
              <w:t>نسخ ما عليه المشركون عند الذبح والنحر</w:t>
            </w:r>
            <w:r>
              <w:rPr>
                <w:rStyle w:val="IndexLink"/>
                <w:rtl w:val="true"/>
              </w:rPr>
              <w:tab/>
            </w:r>
            <w:r>
              <w:rPr>
                <w:rStyle w:val="IndexLink"/>
              </w:rPr>
              <w:t>459</w:t>
            </w:r>
          </w:hyperlink>
        </w:p>
        <w:p>
          <w:pPr>
            <w:pStyle w:val="Contents4"/>
            <w:tabs>
              <w:tab w:val="clear" w:pos="8176"/>
              <w:tab w:val="right" w:pos="9026" w:leader="dot"/>
            </w:tabs>
            <w:rPr/>
          </w:pPr>
          <w:hyperlink w:anchor="__RefHeading___Toc1366763_388300464">
            <w:r>
              <w:rPr>
                <w:webHidden/>
                <w:rStyle w:val="IndexLink"/>
                <w:rtl w:val="true"/>
              </w:rPr>
              <w:t>الآية الخامسة</w:t>
            </w:r>
            <w:r>
              <w:rPr>
                <w:rStyle w:val="IndexLink"/>
                <w:rtl w:val="true"/>
              </w:rPr>
              <w:tab/>
            </w:r>
            <w:r>
              <w:rPr>
                <w:rStyle w:val="IndexLink"/>
              </w:rPr>
              <w:t>460</w:t>
            </w:r>
          </w:hyperlink>
        </w:p>
        <w:p>
          <w:pPr>
            <w:pStyle w:val="Contents5"/>
            <w:tabs>
              <w:tab w:val="clear" w:pos="7892"/>
              <w:tab w:val="right" w:pos="9026" w:leader="dot"/>
            </w:tabs>
            <w:rPr/>
          </w:pPr>
          <w:hyperlink w:anchor="__RefHeading___Toc1366765_388300464">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366767_388300464">
            <w:r>
              <w:rPr>
                <w:webHidden/>
                <w:rStyle w:val="IndexLink"/>
                <w:rtl w:val="true"/>
              </w:rPr>
              <w:t>المفردات</w:t>
            </w:r>
            <w:r>
              <w:rPr>
                <w:rStyle w:val="IndexLink"/>
                <w:rtl w:val="true"/>
              </w:rPr>
              <w:tab/>
            </w:r>
            <w:r>
              <w:rPr>
                <w:rStyle w:val="IndexLink"/>
              </w:rPr>
              <w:t>460</w:t>
            </w:r>
          </w:hyperlink>
        </w:p>
        <w:p>
          <w:pPr>
            <w:pStyle w:val="Contents5"/>
            <w:tabs>
              <w:tab w:val="clear" w:pos="7892"/>
              <w:tab w:val="right" w:pos="9026" w:leader="dot"/>
            </w:tabs>
            <w:rPr/>
          </w:pPr>
          <w:hyperlink w:anchor="__RefHeading___Toc1366769_388300464">
            <w:r>
              <w:rPr>
                <w:webHidden/>
                <w:rStyle w:val="IndexLink"/>
                <w:rtl w:val="true"/>
              </w:rPr>
              <w:t>التفسير</w:t>
            </w:r>
            <w:r>
              <w:rPr>
                <w:rStyle w:val="IndexLink"/>
                <w:rtl w:val="true"/>
              </w:rPr>
              <w:tab/>
            </w:r>
            <w:r>
              <w:rPr>
                <w:rStyle w:val="IndexLink"/>
              </w:rPr>
              <w:t>460</w:t>
            </w:r>
          </w:hyperlink>
        </w:p>
        <w:p>
          <w:pPr>
            <w:pStyle w:val="Contents6"/>
            <w:tabs>
              <w:tab w:val="clear" w:pos="7609"/>
              <w:tab w:val="right" w:pos="9026" w:leader="dot"/>
            </w:tabs>
            <w:rPr/>
          </w:pPr>
          <w:hyperlink w:anchor="__RefHeading___Toc1366771_388300464">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1366773_388300464">
            <w:r>
              <w:rPr>
                <w:webHidden/>
                <w:rStyle w:val="IndexLink"/>
              </w:rPr>
              <w:t>1</w:t>
            </w:r>
            <w:r>
              <w:rPr>
                <w:rStyle w:val="IndexLink"/>
                <w:rtl w:val="true"/>
              </w:rPr>
              <w:t xml:space="preserve">. </w:t>
            </w:r>
            <w:r>
              <w:rPr>
                <w:rStyle w:val="IndexLink"/>
                <w:rtl w:val="true"/>
              </w:rPr>
              <w:t>القضاء على التفث</w:t>
            </w:r>
            <w:r>
              <w:rPr>
                <w:rStyle w:val="IndexLink"/>
                <w:rtl w:val="true"/>
              </w:rPr>
              <w:tab/>
            </w:r>
            <w:r>
              <w:rPr>
                <w:rStyle w:val="IndexLink"/>
              </w:rPr>
              <w:t>460</w:t>
            </w:r>
          </w:hyperlink>
        </w:p>
        <w:p>
          <w:pPr>
            <w:pStyle w:val="Contents6"/>
            <w:tabs>
              <w:tab w:val="clear" w:pos="7609"/>
              <w:tab w:val="right" w:pos="9026" w:leader="dot"/>
            </w:tabs>
            <w:rPr/>
          </w:pPr>
          <w:hyperlink w:anchor="__RefHeading___Toc1366775_388300464">
            <w:r>
              <w:rPr>
                <w:webHidden/>
                <w:rStyle w:val="IndexLink"/>
              </w:rPr>
              <w:t>2</w:t>
            </w:r>
            <w:r>
              <w:rPr>
                <w:rStyle w:val="IndexLink"/>
                <w:rtl w:val="true"/>
              </w:rPr>
              <w:t xml:space="preserve">. </w:t>
            </w:r>
            <w:r>
              <w:rPr>
                <w:rStyle w:val="IndexLink"/>
                <w:rtl w:val="true"/>
              </w:rPr>
              <w:t>لزوم الوفاء بالنذور</w:t>
            </w:r>
            <w:r>
              <w:rPr>
                <w:rStyle w:val="IndexLink"/>
                <w:rtl w:val="true"/>
              </w:rPr>
              <w:tab/>
            </w:r>
            <w:r>
              <w:rPr>
                <w:rStyle w:val="IndexLink"/>
              </w:rPr>
              <w:t>461</w:t>
            </w:r>
          </w:hyperlink>
        </w:p>
        <w:p>
          <w:pPr>
            <w:pStyle w:val="Contents4"/>
            <w:tabs>
              <w:tab w:val="clear" w:pos="8176"/>
              <w:tab w:val="right" w:pos="9026" w:leader="dot"/>
            </w:tabs>
            <w:rPr/>
          </w:pPr>
          <w:hyperlink w:anchor="__RefHeading___Toc1366777_388300464">
            <w:r>
              <w:rPr>
                <w:webHidden/>
                <w:rStyle w:val="IndexLink"/>
                <w:rtl w:val="true"/>
              </w:rPr>
              <w:t>الآيتان</w:t>
            </w:r>
            <w:r>
              <w:rPr>
                <w:rStyle w:val="IndexLink"/>
                <w:rtl w:val="true"/>
              </w:rPr>
              <w:t xml:space="preserve">: </w:t>
            </w:r>
            <w:r>
              <w:rPr>
                <w:rStyle w:val="IndexLink"/>
                <w:rtl w:val="true"/>
              </w:rPr>
              <w:t>السادسة والسابعة</w:t>
            </w:r>
            <w:r>
              <w:rPr>
                <w:rStyle w:val="IndexLink"/>
                <w:rtl w:val="true"/>
              </w:rPr>
              <w:tab/>
            </w:r>
            <w:r>
              <w:rPr>
                <w:rStyle w:val="IndexLink"/>
              </w:rPr>
              <w:t>461</w:t>
            </w:r>
          </w:hyperlink>
        </w:p>
        <w:p>
          <w:pPr>
            <w:pStyle w:val="Contents5"/>
            <w:tabs>
              <w:tab w:val="clear" w:pos="7892"/>
              <w:tab w:val="right" w:pos="9026" w:leader="dot"/>
            </w:tabs>
            <w:rPr/>
          </w:pPr>
          <w:hyperlink w:anchor="__RefHeading___Toc1366779_388300464">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366781_388300464">
            <w:r>
              <w:rPr>
                <w:webHidden/>
                <w:rStyle w:val="IndexLink"/>
                <w:rtl w:val="true"/>
              </w:rPr>
              <w:t>المفردات</w:t>
            </w:r>
            <w:r>
              <w:rPr>
                <w:rStyle w:val="IndexLink"/>
                <w:rtl w:val="true"/>
              </w:rPr>
              <w:tab/>
            </w:r>
            <w:r>
              <w:rPr>
                <w:rStyle w:val="IndexLink"/>
              </w:rPr>
              <w:t>462</w:t>
            </w:r>
          </w:hyperlink>
        </w:p>
        <w:p>
          <w:pPr>
            <w:pStyle w:val="Contents5"/>
            <w:tabs>
              <w:tab w:val="clear" w:pos="7892"/>
              <w:tab w:val="right" w:pos="9026" w:leader="dot"/>
            </w:tabs>
            <w:rPr/>
          </w:pPr>
          <w:hyperlink w:anchor="__RefHeading___Toc1366783_388300464">
            <w:r>
              <w:rPr>
                <w:webHidden/>
                <w:rStyle w:val="IndexLink"/>
                <w:rtl w:val="true"/>
              </w:rPr>
              <w:t>التفسير</w:t>
            </w:r>
            <w:r>
              <w:rPr>
                <w:rStyle w:val="IndexLink"/>
                <w:rtl w:val="true"/>
              </w:rPr>
              <w:tab/>
            </w:r>
            <w:r>
              <w:rPr>
                <w:rStyle w:val="IndexLink"/>
              </w:rPr>
              <w:t>462</w:t>
            </w:r>
          </w:hyperlink>
        </w:p>
        <w:p>
          <w:pPr>
            <w:pStyle w:val="Contents5"/>
            <w:tabs>
              <w:tab w:val="clear" w:pos="7892"/>
              <w:tab w:val="right" w:pos="9026" w:leader="dot"/>
            </w:tabs>
            <w:rPr/>
          </w:pPr>
          <w:hyperlink w:anchor="__RefHeading___Toc1366785_388300464">
            <w:r>
              <w:rPr>
                <w:webHidden/>
                <w:rStyle w:val="IndexLink"/>
                <w:rtl w:val="true"/>
              </w:rPr>
              <w:t>آداب ذبح البُدن وتقسيم لحمها إلى ثلاثة أقسام</w:t>
            </w:r>
            <w:r>
              <w:rPr>
                <w:rStyle w:val="IndexLink"/>
                <w:rtl w:val="true"/>
              </w:rPr>
              <w:tab/>
            </w:r>
            <w:r>
              <w:rPr>
                <w:rStyle w:val="IndexLink"/>
              </w:rPr>
              <w:t>462</w:t>
            </w:r>
          </w:hyperlink>
        </w:p>
        <w:p>
          <w:pPr>
            <w:pStyle w:val="Contents5"/>
            <w:tabs>
              <w:tab w:val="clear" w:pos="7892"/>
              <w:tab w:val="right" w:pos="9026" w:leader="dot"/>
            </w:tabs>
            <w:rPr/>
          </w:pPr>
          <w:hyperlink w:anchor="__RefHeading___Toc1366787_388300464">
            <w:r>
              <w:rPr>
                <w:webHidden/>
                <w:rStyle w:val="IndexLink"/>
                <w:rtl w:val="true"/>
              </w:rPr>
              <w:t>إبطال عادات الجاهلية</w:t>
            </w:r>
            <w:r>
              <w:rPr>
                <w:rStyle w:val="IndexLink"/>
                <w:rtl w:val="true"/>
              </w:rPr>
              <w:tab/>
            </w:r>
            <w:r>
              <w:rPr>
                <w:rStyle w:val="IndexLink"/>
              </w:rPr>
              <w:t>463</w:t>
            </w:r>
          </w:hyperlink>
        </w:p>
        <w:p>
          <w:pPr>
            <w:pStyle w:val="Contents4"/>
            <w:tabs>
              <w:tab w:val="clear" w:pos="8176"/>
              <w:tab w:val="right" w:pos="9026" w:leader="dot"/>
            </w:tabs>
            <w:rPr/>
          </w:pPr>
          <w:hyperlink w:anchor="__RefHeading___Toc1366789_388300464">
            <w:r>
              <w:rPr>
                <w:webHidden/>
                <w:rStyle w:val="IndexLink"/>
                <w:rtl w:val="true"/>
              </w:rPr>
              <w:t>الآية</w:t>
            </w:r>
            <w:r>
              <w:rPr>
                <w:rStyle w:val="IndexLink"/>
                <w:rtl w:val="true"/>
              </w:rPr>
              <w:t xml:space="preserve">: </w:t>
            </w:r>
            <w:r>
              <w:rPr>
                <w:rStyle w:val="IndexLink"/>
                <w:rtl w:val="true"/>
              </w:rPr>
              <w:t>الثامنة</w:t>
            </w:r>
            <w:r>
              <w:rPr>
                <w:rStyle w:val="IndexLink"/>
                <w:rtl w:val="true"/>
              </w:rPr>
              <w:tab/>
            </w:r>
            <w:r>
              <w:rPr>
                <w:rStyle w:val="IndexLink"/>
              </w:rPr>
              <w:t>464</w:t>
            </w:r>
          </w:hyperlink>
        </w:p>
        <w:p>
          <w:pPr>
            <w:pStyle w:val="Contents5"/>
            <w:tabs>
              <w:tab w:val="clear" w:pos="7892"/>
              <w:tab w:val="right" w:pos="9026" w:leader="dot"/>
            </w:tabs>
            <w:rPr/>
          </w:pPr>
          <w:hyperlink w:anchor="__RefHeading___Toc1366791_388300464">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366793_388300464">
            <w:r>
              <w:rPr>
                <w:webHidden/>
                <w:rStyle w:val="IndexLink"/>
                <w:rtl w:val="true"/>
              </w:rPr>
              <w:t>المفردات</w:t>
            </w:r>
            <w:r>
              <w:rPr>
                <w:rStyle w:val="IndexLink"/>
                <w:rtl w:val="true"/>
              </w:rPr>
              <w:tab/>
            </w:r>
            <w:r>
              <w:rPr>
                <w:rStyle w:val="IndexLink"/>
              </w:rPr>
              <w:t>464</w:t>
            </w:r>
          </w:hyperlink>
        </w:p>
        <w:p>
          <w:pPr>
            <w:pStyle w:val="Contents5"/>
            <w:tabs>
              <w:tab w:val="clear" w:pos="7892"/>
              <w:tab w:val="right" w:pos="9026" w:leader="dot"/>
            </w:tabs>
            <w:rPr/>
          </w:pPr>
          <w:hyperlink w:anchor="__RefHeading___Toc1366795_388300464">
            <w:r>
              <w:rPr>
                <w:webHidden/>
                <w:rStyle w:val="IndexLink"/>
                <w:rtl w:val="true"/>
              </w:rPr>
              <w:t>التفسير</w:t>
            </w:r>
            <w:r>
              <w:rPr>
                <w:rStyle w:val="IndexLink"/>
                <w:rtl w:val="true"/>
              </w:rPr>
              <w:tab/>
            </w:r>
            <w:r>
              <w:rPr>
                <w:rStyle w:val="IndexLink"/>
              </w:rPr>
              <w:t>466</w:t>
            </w:r>
          </w:hyperlink>
        </w:p>
        <w:p>
          <w:pPr>
            <w:pStyle w:val="Contents5"/>
            <w:tabs>
              <w:tab w:val="clear" w:pos="7892"/>
              <w:tab w:val="right" w:pos="9026" w:leader="dot"/>
            </w:tabs>
            <w:rPr/>
          </w:pPr>
          <w:hyperlink w:anchor="__RefHeading___Toc1366797_388300464">
            <w:r>
              <w:rPr>
                <w:webHidden/>
                <w:rStyle w:val="IndexLink"/>
                <w:rtl w:val="true"/>
              </w:rPr>
              <w:t>الذهاب إلى مكّة لأداء فرائضها</w:t>
            </w:r>
            <w:r>
              <w:rPr>
                <w:rStyle w:val="IndexLink"/>
                <w:rtl w:val="true"/>
              </w:rPr>
              <w:tab/>
            </w:r>
            <w:r>
              <w:rPr>
                <w:rStyle w:val="IndexLink"/>
              </w:rPr>
              <w:t>466</w:t>
            </w:r>
          </w:hyperlink>
        </w:p>
        <w:p>
          <w:pPr>
            <w:pStyle w:val="Contents3"/>
            <w:tabs>
              <w:tab w:val="clear" w:pos="8459"/>
              <w:tab w:val="right" w:pos="9026" w:leader="dot"/>
            </w:tabs>
            <w:rPr/>
          </w:pPr>
          <w:hyperlink w:anchor="__RefHeading___Toc1366799_388300464">
            <w:r>
              <w:rPr>
                <w:webHidden/>
                <w:rStyle w:val="IndexLink"/>
              </w:rPr>
              <w:t>5</w:t>
            </w:r>
            <w:r>
              <w:rPr>
                <w:rStyle w:val="IndexLink"/>
                <w:rtl w:val="true"/>
              </w:rPr>
              <w:t xml:space="preserve">. </w:t>
            </w:r>
            <w:r>
              <w:rPr>
                <w:rStyle w:val="IndexLink"/>
                <w:rtl w:val="true"/>
              </w:rPr>
              <w:t>لزوم ذكر اللّه بدل التفاخر بالآباء في منى‌</w:t>
            </w:r>
            <w:r>
              <w:rPr>
                <w:rStyle w:val="IndexLink"/>
                <w:rtl w:val="true"/>
              </w:rPr>
              <w:tab/>
            </w:r>
            <w:r>
              <w:rPr>
                <w:rStyle w:val="IndexLink"/>
              </w:rPr>
              <w:t>471</w:t>
            </w:r>
          </w:hyperlink>
        </w:p>
        <w:p>
          <w:pPr>
            <w:pStyle w:val="Contents4"/>
            <w:tabs>
              <w:tab w:val="clear" w:pos="8176"/>
              <w:tab w:val="right" w:pos="9026" w:leader="dot"/>
            </w:tabs>
            <w:rPr/>
          </w:pPr>
          <w:hyperlink w:anchor="__RefHeading___Toc1366801_388300464">
            <w:r>
              <w:rPr>
                <w:webHidden/>
                <w:rStyle w:val="IndexLink"/>
                <w:rtl w:val="true"/>
              </w:rPr>
              <w:t>الآيات</w:t>
            </w:r>
            <w:r>
              <w:rPr>
                <w:rStyle w:val="IndexLink"/>
                <w:rtl w:val="true"/>
              </w:rPr>
              <w:t xml:space="preserve">: </w:t>
            </w:r>
            <w:r>
              <w:rPr>
                <w:rStyle w:val="IndexLink"/>
                <w:rtl w:val="true"/>
              </w:rPr>
              <w:t>الأُولى والثانية و الثالثة</w:t>
            </w:r>
            <w:r>
              <w:rPr>
                <w:rStyle w:val="IndexLink"/>
                <w:rtl w:val="true"/>
              </w:rPr>
              <w:tab/>
            </w:r>
            <w:r>
              <w:rPr>
                <w:rStyle w:val="IndexLink"/>
              </w:rPr>
              <w:t>471</w:t>
            </w:r>
          </w:hyperlink>
        </w:p>
        <w:p>
          <w:pPr>
            <w:pStyle w:val="Contents5"/>
            <w:tabs>
              <w:tab w:val="clear" w:pos="7892"/>
              <w:tab w:val="right" w:pos="9026" w:leader="dot"/>
            </w:tabs>
            <w:rPr/>
          </w:pPr>
          <w:hyperlink w:anchor="__RefHeading___Toc1366803_388300464">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366805_388300464">
            <w:r>
              <w:rPr>
                <w:webHidden/>
                <w:rStyle w:val="IndexLink"/>
                <w:rtl w:val="true"/>
              </w:rPr>
              <w:t>المفردات</w:t>
            </w:r>
            <w:r>
              <w:rPr>
                <w:rStyle w:val="IndexLink"/>
                <w:rtl w:val="true"/>
              </w:rPr>
              <w:tab/>
            </w:r>
            <w:r>
              <w:rPr>
                <w:rStyle w:val="IndexLink"/>
              </w:rPr>
              <w:t>471</w:t>
            </w:r>
          </w:hyperlink>
        </w:p>
        <w:p>
          <w:pPr>
            <w:pStyle w:val="Contents5"/>
            <w:tabs>
              <w:tab w:val="clear" w:pos="7892"/>
              <w:tab w:val="right" w:pos="9026" w:leader="dot"/>
            </w:tabs>
            <w:rPr/>
          </w:pPr>
          <w:hyperlink w:anchor="__RefHeading___Toc1366807_388300464">
            <w:r>
              <w:rPr>
                <w:webHidden/>
                <w:rStyle w:val="IndexLink"/>
                <w:rtl w:val="true"/>
              </w:rPr>
              <w:t>التفسير</w:t>
            </w:r>
            <w:r>
              <w:rPr>
                <w:rStyle w:val="IndexLink"/>
                <w:rtl w:val="true"/>
              </w:rPr>
              <w:tab/>
            </w:r>
            <w:r>
              <w:rPr>
                <w:rStyle w:val="IndexLink"/>
              </w:rPr>
              <w:t>472</w:t>
            </w:r>
          </w:hyperlink>
        </w:p>
        <w:p>
          <w:pPr>
            <w:pStyle w:val="Contents5"/>
            <w:tabs>
              <w:tab w:val="clear" w:pos="7892"/>
              <w:tab w:val="right" w:pos="9026" w:leader="dot"/>
            </w:tabs>
            <w:rPr/>
          </w:pPr>
          <w:hyperlink w:anchor="__RefHeading___Toc1366809_388300464">
            <w:r>
              <w:rPr>
                <w:webHidden/>
                <w:rStyle w:val="IndexLink"/>
                <w:rtl w:val="true"/>
              </w:rPr>
              <w:t>إبطال سنّة الجاهلية</w:t>
            </w:r>
            <w:r>
              <w:rPr>
                <w:rStyle w:val="IndexLink"/>
                <w:rtl w:val="true"/>
              </w:rPr>
              <w:t xml:space="preserve">: </w:t>
            </w:r>
            <w:r>
              <w:rPr>
                <w:rStyle w:val="IndexLink"/>
                <w:rtl w:val="true"/>
              </w:rPr>
              <w:t>التفاخر بالآباء</w:t>
            </w:r>
            <w:r>
              <w:rPr>
                <w:rStyle w:val="IndexLink"/>
                <w:rtl w:val="true"/>
              </w:rPr>
              <w:tab/>
            </w:r>
            <w:r>
              <w:rPr>
                <w:rStyle w:val="IndexLink"/>
              </w:rPr>
              <w:t>472</w:t>
            </w:r>
          </w:hyperlink>
        </w:p>
        <w:p>
          <w:pPr>
            <w:pStyle w:val="Contents5"/>
            <w:tabs>
              <w:tab w:val="clear" w:pos="7892"/>
              <w:tab w:val="right" w:pos="9026" w:leader="dot"/>
            </w:tabs>
            <w:rPr/>
          </w:pPr>
          <w:hyperlink w:anchor="__RefHeading___Toc1366811_388300464">
            <w:r>
              <w:rPr>
                <w:webHidden/>
                <w:rStyle w:val="IndexLink"/>
                <w:rtl w:val="true"/>
              </w:rPr>
              <w:t>تقسيم الحجيج إلى نوعين</w:t>
            </w:r>
            <w:r>
              <w:rPr>
                <w:rStyle w:val="IndexLink"/>
                <w:rtl w:val="true"/>
              </w:rPr>
              <w:tab/>
            </w:r>
            <w:r>
              <w:rPr>
                <w:rStyle w:val="IndexLink"/>
              </w:rPr>
              <w:t>473</w:t>
            </w:r>
          </w:hyperlink>
        </w:p>
        <w:p>
          <w:pPr>
            <w:pStyle w:val="Contents3"/>
            <w:tabs>
              <w:tab w:val="clear" w:pos="8459"/>
              <w:tab w:val="right" w:pos="9026" w:leader="dot"/>
            </w:tabs>
            <w:rPr/>
          </w:pPr>
          <w:hyperlink w:anchor="__RefHeading___Toc1366813_388300464">
            <w:r>
              <w:rPr>
                <w:webHidden/>
                <w:rStyle w:val="IndexLink"/>
              </w:rPr>
              <w:t>6</w:t>
            </w:r>
            <w:r>
              <w:rPr>
                <w:rStyle w:val="IndexLink"/>
                <w:rtl w:val="true"/>
              </w:rPr>
              <w:t xml:space="preserve">. </w:t>
            </w:r>
            <w:r>
              <w:rPr>
                <w:rStyle w:val="IndexLink"/>
                <w:rtl w:val="true"/>
              </w:rPr>
              <w:t>حكم المُحْصَر والمصدود</w:t>
            </w:r>
            <w:r>
              <w:rPr>
                <w:rStyle w:val="IndexLink"/>
                <w:rtl w:val="true"/>
              </w:rPr>
              <w:tab/>
            </w:r>
            <w:r>
              <w:rPr>
                <w:rStyle w:val="IndexLink"/>
              </w:rPr>
              <w:t>475</w:t>
            </w:r>
          </w:hyperlink>
        </w:p>
        <w:p>
          <w:pPr>
            <w:pStyle w:val="Contents4"/>
            <w:tabs>
              <w:tab w:val="clear" w:pos="8176"/>
              <w:tab w:val="right" w:pos="9026" w:leader="dot"/>
            </w:tabs>
            <w:rPr/>
          </w:pPr>
          <w:hyperlink w:anchor="__RefHeading___Toc1366815_388300464">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366817_388300464">
            <w:r>
              <w:rPr>
                <w:webHidden/>
                <w:rStyle w:val="IndexLink"/>
                <w:rtl w:val="true"/>
              </w:rPr>
              <w:t>المفردات</w:t>
            </w:r>
            <w:r>
              <w:rPr>
                <w:rStyle w:val="IndexLink"/>
                <w:rtl w:val="true"/>
              </w:rPr>
              <w:tab/>
            </w:r>
            <w:r>
              <w:rPr>
                <w:rStyle w:val="IndexLink"/>
              </w:rPr>
              <w:t>475</w:t>
            </w:r>
          </w:hyperlink>
        </w:p>
        <w:p>
          <w:pPr>
            <w:pStyle w:val="Contents4"/>
            <w:tabs>
              <w:tab w:val="clear" w:pos="8176"/>
              <w:tab w:val="right" w:pos="9026" w:leader="dot"/>
            </w:tabs>
            <w:rPr/>
          </w:pPr>
          <w:hyperlink w:anchor="__RefHeading___Toc1366819_388300464">
            <w:r>
              <w:rPr>
                <w:webHidden/>
                <w:rStyle w:val="IndexLink"/>
                <w:rtl w:val="true"/>
              </w:rPr>
              <w:t>التفسير</w:t>
            </w:r>
            <w:r>
              <w:rPr>
                <w:rStyle w:val="IndexLink"/>
                <w:rtl w:val="true"/>
              </w:rPr>
              <w:tab/>
            </w:r>
            <w:r>
              <w:rPr>
                <w:rStyle w:val="IndexLink"/>
              </w:rPr>
              <w:t>476</w:t>
            </w:r>
          </w:hyperlink>
        </w:p>
        <w:p>
          <w:pPr>
            <w:pStyle w:val="Contents5"/>
            <w:tabs>
              <w:tab w:val="clear" w:pos="7892"/>
              <w:tab w:val="right" w:pos="9026" w:leader="dot"/>
            </w:tabs>
            <w:rPr/>
          </w:pPr>
          <w:hyperlink w:anchor="__RefHeading___Toc1366821_388300464">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366823_388300464">
            <w:r>
              <w:rPr>
                <w:webHidden/>
                <w:rStyle w:val="IndexLink"/>
              </w:rPr>
              <w:t>1</w:t>
            </w:r>
            <w:r>
              <w:rPr>
                <w:rStyle w:val="IndexLink"/>
                <w:rtl w:val="true"/>
              </w:rPr>
              <w:t xml:space="preserve">. </w:t>
            </w:r>
            <w:r>
              <w:rPr>
                <w:rStyle w:val="IndexLink"/>
                <w:rtl w:val="true"/>
              </w:rPr>
              <w:t>إتمام الحجّ والعمرة وإكمالهما</w:t>
            </w:r>
            <w:r>
              <w:rPr>
                <w:rStyle w:val="IndexLink"/>
                <w:rtl w:val="true"/>
              </w:rPr>
              <w:tab/>
            </w:r>
            <w:r>
              <w:rPr>
                <w:rStyle w:val="IndexLink"/>
              </w:rPr>
              <w:t>476</w:t>
            </w:r>
          </w:hyperlink>
        </w:p>
        <w:p>
          <w:pPr>
            <w:pStyle w:val="Contents5"/>
            <w:tabs>
              <w:tab w:val="clear" w:pos="7892"/>
              <w:tab w:val="right" w:pos="9026" w:leader="dot"/>
            </w:tabs>
            <w:rPr/>
          </w:pPr>
          <w:hyperlink w:anchor="__RefHeading___Toc1366825_388300464">
            <w:r>
              <w:rPr>
                <w:webHidden/>
                <w:rStyle w:val="IndexLink"/>
              </w:rPr>
              <w:t>2</w:t>
            </w:r>
            <w:r>
              <w:rPr>
                <w:rStyle w:val="IndexLink"/>
                <w:rtl w:val="true"/>
              </w:rPr>
              <w:t xml:space="preserve">. </w:t>
            </w:r>
            <w:r>
              <w:rPr>
                <w:rStyle w:val="IndexLink"/>
                <w:rtl w:val="true"/>
              </w:rPr>
              <w:t>كيفية خروج المحصر عن الإحرام</w:t>
            </w:r>
            <w:r>
              <w:rPr>
                <w:rStyle w:val="IndexLink"/>
                <w:rtl w:val="true"/>
              </w:rPr>
              <w:tab/>
            </w:r>
            <w:r>
              <w:rPr>
                <w:rStyle w:val="IndexLink"/>
              </w:rPr>
              <w:t>477</w:t>
            </w:r>
          </w:hyperlink>
        </w:p>
        <w:p>
          <w:pPr>
            <w:pStyle w:val="Contents5"/>
            <w:tabs>
              <w:tab w:val="clear" w:pos="7892"/>
              <w:tab w:val="right" w:pos="9026" w:leader="dot"/>
            </w:tabs>
            <w:rPr/>
          </w:pPr>
          <w:hyperlink w:anchor="__RefHeading___Toc1366827_388300464">
            <w:r>
              <w:rPr>
                <w:webHidden/>
                <w:rStyle w:val="IndexLink"/>
              </w:rPr>
              <w:t>3</w:t>
            </w:r>
            <w:r>
              <w:rPr>
                <w:rStyle w:val="IndexLink"/>
                <w:rtl w:val="true"/>
              </w:rPr>
              <w:t xml:space="preserve">. </w:t>
            </w:r>
            <w:r>
              <w:rPr>
                <w:rStyle w:val="IndexLink"/>
                <w:rtl w:val="true"/>
              </w:rPr>
              <w:t>لا يتحلّل قبل الذبح</w:t>
            </w:r>
            <w:r>
              <w:rPr>
                <w:rStyle w:val="IndexLink"/>
                <w:rtl w:val="true"/>
              </w:rPr>
              <w:tab/>
            </w:r>
            <w:r>
              <w:rPr>
                <w:rStyle w:val="IndexLink"/>
              </w:rPr>
              <w:t>477</w:t>
            </w:r>
          </w:hyperlink>
        </w:p>
        <w:p>
          <w:pPr>
            <w:pStyle w:val="Contents5"/>
            <w:tabs>
              <w:tab w:val="clear" w:pos="7892"/>
              <w:tab w:val="right" w:pos="9026" w:leader="dot"/>
            </w:tabs>
            <w:rPr/>
          </w:pPr>
          <w:hyperlink w:anchor="__RefHeading___Toc1366829_388300464">
            <w:r>
              <w:rPr>
                <w:webHidden/>
                <w:rStyle w:val="IndexLink"/>
              </w:rPr>
              <w:t>4</w:t>
            </w:r>
            <w:r>
              <w:rPr>
                <w:rStyle w:val="IndexLink"/>
                <w:rtl w:val="true"/>
              </w:rPr>
              <w:t xml:space="preserve">. </w:t>
            </w:r>
            <w:r>
              <w:rPr>
                <w:rStyle w:val="IndexLink"/>
                <w:rtl w:val="true"/>
              </w:rPr>
              <w:t>حكم المريض ومَن برأسه أذى</w:t>
            </w:r>
            <w:r>
              <w:rPr>
                <w:rStyle w:val="IndexLink"/>
                <w:rtl w:val="true"/>
              </w:rPr>
              <w:tab/>
            </w:r>
            <w:r>
              <w:rPr>
                <w:rStyle w:val="IndexLink"/>
              </w:rPr>
              <w:t>478</w:t>
            </w:r>
          </w:hyperlink>
        </w:p>
        <w:p>
          <w:pPr>
            <w:pStyle w:val="Contents5"/>
            <w:tabs>
              <w:tab w:val="clear" w:pos="7892"/>
              <w:tab w:val="right" w:pos="9026" w:leader="dot"/>
            </w:tabs>
            <w:rPr/>
          </w:pPr>
          <w:hyperlink w:anchor="__RefHeading___Toc1366831_388300464">
            <w:r>
              <w:rPr>
                <w:webHidden/>
                <w:rStyle w:val="IndexLink"/>
              </w:rPr>
              <w:t>5</w:t>
            </w:r>
            <w:r>
              <w:rPr>
                <w:rStyle w:val="IndexLink"/>
                <w:rtl w:val="true"/>
              </w:rPr>
              <w:t xml:space="preserve">. </w:t>
            </w:r>
            <w:r>
              <w:rPr>
                <w:rStyle w:val="IndexLink"/>
                <w:rtl w:val="true"/>
              </w:rPr>
              <w:t>التمتع بالعمرة إلى الحج</w:t>
            </w:r>
            <w:r>
              <w:rPr>
                <w:rStyle w:val="IndexLink"/>
                <w:rtl w:val="true"/>
              </w:rPr>
              <w:tab/>
            </w:r>
            <w:r>
              <w:rPr>
                <w:rStyle w:val="IndexLink"/>
              </w:rPr>
              <w:t>478</w:t>
            </w:r>
          </w:hyperlink>
        </w:p>
        <w:p>
          <w:pPr>
            <w:pStyle w:val="Contents5"/>
            <w:tabs>
              <w:tab w:val="clear" w:pos="7892"/>
              <w:tab w:val="right" w:pos="9026" w:leader="dot"/>
            </w:tabs>
            <w:rPr/>
          </w:pPr>
          <w:hyperlink w:anchor="__RefHeading___Toc1366833_388300464">
            <w:r>
              <w:rPr>
                <w:webHidden/>
                <w:rStyle w:val="IndexLink"/>
              </w:rPr>
              <w:t>6</w:t>
            </w:r>
            <w:r>
              <w:rPr>
                <w:rStyle w:val="IndexLink"/>
                <w:rtl w:val="true"/>
              </w:rPr>
              <w:t xml:space="preserve">. </w:t>
            </w:r>
            <w:r>
              <w:rPr>
                <w:rStyle w:val="IndexLink"/>
                <w:rtl w:val="true"/>
              </w:rPr>
              <w:t>حكم الفاقد للهدي</w:t>
            </w:r>
            <w:r>
              <w:rPr>
                <w:rStyle w:val="IndexLink"/>
                <w:rtl w:val="true"/>
              </w:rPr>
              <w:tab/>
            </w:r>
            <w:r>
              <w:rPr>
                <w:rStyle w:val="IndexLink"/>
              </w:rPr>
              <w:t>479</w:t>
            </w:r>
          </w:hyperlink>
        </w:p>
        <w:p>
          <w:pPr>
            <w:pStyle w:val="Contents5"/>
            <w:tabs>
              <w:tab w:val="clear" w:pos="7892"/>
              <w:tab w:val="right" w:pos="9026" w:leader="dot"/>
            </w:tabs>
            <w:rPr/>
          </w:pPr>
          <w:hyperlink w:anchor="__RefHeading___Toc1366835_388300464">
            <w:r>
              <w:rPr>
                <w:webHidden/>
                <w:rStyle w:val="IndexLink"/>
              </w:rPr>
              <w:t>7</w:t>
            </w:r>
            <w:r>
              <w:rPr>
                <w:rStyle w:val="IndexLink"/>
                <w:rtl w:val="true"/>
              </w:rPr>
              <w:t xml:space="preserve">. </w:t>
            </w:r>
            <w:r>
              <w:rPr>
                <w:rStyle w:val="IndexLink"/>
                <w:rtl w:val="true"/>
              </w:rPr>
              <w:t>التمتع بالعمرة إلى الحجّ وظيفة الآفاقي</w:t>
            </w:r>
            <w:r>
              <w:rPr>
                <w:rStyle w:val="IndexLink"/>
                <w:rtl w:val="true"/>
              </w:rPr>
              <w:tab/>
            </w:r>
            <w:r>
              <w:rPr>
                <w:rStyle w:val="IndexLink"/>
              </w:rPr>
              <w:t>479</w:t>
            </w:r>
          </w:hyperlink>
        </w:p>
        <w:p>
          <w:pPr>
            <w:pStyle w:val="Contents3"/>
            <w:tabs>
              <w:tab w:val="clear" w:pos="8459"/>
              <w:tab w:val="right" w:pos="9026" w:leader="dot"/>
            </w:tabs>
            <w:rPr/>
          </w:pPr>
          <w:hyperlink w:anchor="__RefHeading___Toc1366837_388300464">
            <w:r>
              <w:rPr>
                <w:webHidden/>
                <w:rStyle w:val="IndexLink"/>
              </w:rPr>
              <w:t>7</w:t>
            </w:r>
            <w:r>
              <w:rPr>
                <w:rStyle w:val="IndexLink"/>
                <w:rtl w:val="true"/>
              </w:rPr>
              <w:t xml:space="preserve">. </w:t>
            </w:r>
            <w:r>
              <w:rPr>
                <w:rStyle w:val="IndexLink"/>
                <w:rtl w:val="true"/>
              </w:rPr>
              <w:t>زمان الحجّ وتحريم أُمور ثلاثة</w:t>
            </w:r>
            <w:r>
              <w:rPr>
                <w:rStyle w:val="IndexLink"/>
                <w:rtl w:val="true"/>
              </w:rPr>
              <w:tab/>
            </w:r>
            <w:r>
              <w:rPr>
                <w:rStyle w:val="IndexLink"/>
              </w:rPr>
              <w:t>481</w:t>
            </w:r>
          </w:hyperlink>
        </w:p>
        <w:p>
          <w:pPr>
            <w:pStyle w:val="Contents4"/>
            <w:tabs>
              <w:tab w:val="clear" w:pos="8176"/>
              <w:tab w:val="right" w:pos="9026" w:leader="dot"/>
            </w:tabs>
            <w:rPr/>
          </w:pPr>
          <w:hyperlink w:anchor="__RefHeading___Toc1366839_388300464">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366841_388300464">
            <w:r>
              <w:rPr>
                <w:webHidden/>
                <w:rStyle w:val="IndexLink"/>
                <w:rtl w:val="true"/>
              </w:rPr>
              <w:t>المفردات</w:t>
            </w:r>
            <w:r>
              <w:rPr>
                <w:rStyle w:val="IndexLink"/>
                <w:rtl w:val="true"/>
              </w:rPr>
              <w:tab/>
            </w:r>
            <w:r>
              <w:rPr>
                <w:rStyle w:val="IndexLink"/>
              </w:rPr>
              <w:t>481</w:t>
            </w:r>
          </w:hyperlink>
        </w:p>
        <w:p>
          <w:pPr>
            <w:pStyle w:val="Contents4"/>
            <w:tabs>
              <w:tab w:val="clear" w:pos="8176"/>
              <w:tab w:val="right" w:pos="9026" w:leader="dot"/>
            </w:tabs>
            <w:rPr/>
          </w:pPr>
          <w:hyperlink w:anchor="__RefHeading___Toc1366843_388300464">
            <w:r>
              <w:rPr>
                <w:webHidden/>
                <w:rStyle w:val="IndexLink"/>
                <w:rtl w:val="true"/>
              </w:rPr>
              <w:t>التفسير</w:t>
            </w:r>
            <w:r>
              <w:rPr>
                <w:rStyle w:val="IndexLink"/>
                <w:rtl w:val="true"/>
              </w:rPr>
              <w:tab/>
            </w:r>
            <w:r>
              <w:rPr>
                <w:rStyle w:val="IndexLink"/>
              </w:rPr>
              <w:t>482</w:t>
            </w:r>
          </w:hyperlink>
        </w:p>
        <w:p>
          <w:pPr>
            <w:pStyle w:val="Contents3"/>
            <w:tabs>
              <w:tab w:val="clear" w:pos="8459"/>
              <w:tab w:val="right" w:pos="9026" w:leader="dot"/>
            </w:tabs>
            <w:rPr/>
          </w:pPr>
          <w:hyperlink w:anchor="__RefHeading___Toc1366845_388300464">
            <w:r>
              <w:rPr>
                <w:webHidden/>
                <w:rStyle w:val="IndexLink"/>
              </w:rPr>
              <w:t>8</w:t>
            </w:r>
            <w:r>
              <w:rPr>
                <w:rStyle w:val="IndexLink"/>
                <w:rtl w:val="true"/>
              </w:rPr>
              <w:t xml:space="preserve">. </w:t>
            </w:r>
            <w:r>
              <w:rPr>
                <w:rStyle w:val="IndexLink"/>
                <w:rtl w:val="true"/>
              </w:rPr>
              <w:t>الابتلاء بالصيد قتلاً واصطياداً وأحكامه</w:t>
            </w:r>
            <w:r>
              <w:rPr>
                <w:rStyle w:val="IndexLink"/>
                <w:rtl w:val="true"/>
              </w:rPr>
              <w:tab/>
            </w:r>
            <w:r>
              <w:rPr>
                <w:rStyle w:val="IndexLink"/>
              </w:rPr>
              <w:t>484</w:t>
            </w:r>
          </w:hyperlink>
        </w:p>
        <w:p>
          <w:pPr>
            <w:pStyle w:val="Contents4"/>
            <w:tabs>
              <w:tab w:val="clear" w:pos="8176"/>
              <w:tab w:val="right" w:pos="9026" w:leader="dot"/>
            </w:tabs>
            <w:rPr/>
          </w:pPr>
          <w:hyperlink w:anchor="__RefHeading___Toc1366847_388300464">
            <w:r>
              <w:rPr>
                <w:webHidden/>
                <w:rStyle w:val="IndexLink"/>
                <w:rtl w:val="true"/>
              </w:rPr>
              <w:t>الآية الأُولى</w:t>
            </w:r>
            <w:r>
              <w:rPr>
                <w:rStyle w:val="IndexLink"/>
                <w:rtl w:val="true"/>
              </w:rPr>
              <w:tab/>
            </w:r>
            <w:r>
              <w:rPr>
                <w:rStyle w:val="IndexLink"/>
              </w:rPr>
              <w:t>484</w:t>
            </w:r>
          </w:hyperlink>
        </w:p>
        <w:p>
          <w:pPr>
            <w:pStyle w:val="Contents5"/>
            <w:tabs>
              <w:tab w:val="clear" w:pos="7892"/>
              <w:tab w:val="right" w:pos="9026" w:leader="dot"/>
            </w:tabs>
            <w:rPr/>
          </w:pPr>
          <w:hyperlink w:anchor="__RefHeading___Toc1366849_388300464">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366851_388300464">
            <w:r>
              <w:rPr>
                <w:webHidden/>
                <w:rStyle w:val="IndexLink"/>
                <w:rtl w:val="true"/>
              </w:rPr>
              <w:t>المفردات</w:t>
            </w:r>
            <w:r>
              <w:rPr>
                <w:rStyle w:val="IndexLink"/>
                <w:rtl w:val="true"/>
              </w:rPr>
              <w:tab/>
            </w:r>
            <w:r>
              <w:rPr>
                <w:rStyle w:val="IndexLink"/>
              </w:rPr>
              <w:t>484</w:t>
            </w:r>
          </w:hyperlink>
        </w:p>
        <w:p>
          <w:pPr>
            <w:pStyle w:val="Contents5"/>
            <w:tabs>
              <w:tab w:val="clear" w:pos="7892"/>
              <w:tab w:val="right" w:pos="9026" w:leader="dot"/>
            </w:tabs>
            <w:rPr/>
          </w:pPr>
          <w:hyperlink w:anchor="__RefHeading___Toc1366853_388300464">
            <w:r>
              <w:rPr>
                <w:webHidden/>
                <w:rStyle w:val="IndexLink"/>
                <w:rtl w:val="true"/>
              </w:rPr>
              <w:t>التفسير</w:t>
            </w:r>
            <w:r>
              <w:rPr>
                <w:rStyle w:val="IndexLink"/>
                <w:rtl w:val="true"/>
              </w:rPr>
              <w:tab/>
            </w:r>
            <w:r>
              <w:rPr>
                <w:rStyle w:val="IndexLink"/>
              </w:rPr>
              <w:t>485</w:t>
            </w:r>
          </w:hyperlink>
        </w:p>
        <w:p>
          <w:pPr>
            <w:pStyle w:val="Contents5"/>
            <w:tabs>
              <w:tab w:val="clear" w:pos="7892"/>
              <w:tab w:val="right" w:pos="9026" w:leader="dot"/>
            </w:tabs>
            <w:rPr/>
          </w:pPr>
          <w:hyperlink w:anchor="__RefHeading___Toc1366855_388300464">
            <w:r>
              <w:rPr>
                <w:webHidden/>
                <w:rStyle w:val="IndexLink"/>
                <w:rtl w:val="true"/>
              </w:rPr>
              <w:t>الابتلاء سنّة من سنن اللّه في عباده</w:t>
            </w:r>
            <w:r>
              <w:rPr>
                <w:rStyle w:val="IndexLink"/>
                <w:rtl w:val="true"/>
              </w:rPr>
              <w:tab/>
            </w:r>
            <w:r>
              <w:rPr>
                <w:rStyle w:val="IndexLink"/>
              </w:rPr>
              <w:t>485</w:t>
            </w:r>
          </w:hyperlink>
        </w:p>
        <w:p>
          <w:pPr>
            <w:pStyle w:val="Contents5"/>
            <w:tabs>
              <w:tab w:val="clear" w:pos="7892"/>
              <w:tab w:val="right" w:pos="9026" w:leader="dot"/>
            </w:tabs>
            <w:rPr/>
          </w:pPr>
          <w:hyperlink w:anchor="__RefHeading___Toc1366857_388300464">
            <w:r>
              <w:rPr>
                <w:webHidden/>
                <w:rStyle w:val="IndexLink"/>
                <w:rtl w:val="true"/>
              </w:rPr>
              <w:t>ما هي الغاية من ابتلاء العباد؟</w:t>
            </w:r>
            <w:r>
              <w:rPr>
                <w:rStyle w:val="IndexLink"/>
                <w:rtl w:val="true"/>
              </w:rPr>
              <w:tab/>
            </w:r>
            <w:r>
              <w:rPr>
                <w:rStyle w:val="IndexLink"/>
              </w:rPr>
              <w:t>487</w:t>
            </w:r>
          </w:hyperlink>
        </w:p>
        <w:p>
          <w:pPr>
            <w:pStyle w:val="Contents5"/>
            <w:tabs>
              <w:tab w:val="clear" w:pos="7892"/>
              <w:tab w:val="right" w:pos="9026" w:leader="dot"/>
            </w:tabs>
            <w:rPr/>
          </w:pPr>
          <w:hyperlink w:anchor="__RefHeading___Toc1366859_388300464">
            <w:r>
              <w:rPr>
                <w:webHidden/>
                <w:rStyle w:val="IndexLink"/>
                <w:rtl w:val="true"/>
              </w:rPr>
              <w:t>ما هو المراد من الخوف بالغيب‌؟</w:t>
            </w:r>
            <w:r>
              <w:rPr>
                <w:rStyle w:val="IndexLink"/>
                <w:rtl w:val="true"/>
              </w:rPr>
              <w:tab/>
            </w:r>
            <w:r>
              <w:rPr>
                <w:rStyle w:val="IndexLink"/>
              </w:rPr>
              <w:t>488</w:t>
            </w:r>
          </w:hyperlink>
        </w:p>
        <w:p>
          <w:pPr>
            <w:pStyle w:val="Contents4"/>
            <w:tabs>
              <w:tab w:val="clear" w:pos="8176"/>
              <w:tab w:val="right" w:pos="9026" w:leader="dot"/>
            </w:tabs>
            <w:rPr/>
          </w:pPr>
          <w:hyperlink w:anchor="__RefHeading___Toc1366861_388300464">
            <w:r>
              <w:rPr>
                <w:webHidden/>
                <w:rStyle w:val="IndexLink"/>
                <w:rtl w:val="true"/>
              </w:rPr>
              <w:t>الآية الثانية</w:t>
            </w:r>
            <w:r>
              <w:rPr>
                <w:rStyle w:val="IndexLink"/>
                <w:rtl w:val="true"/>
              </w:rPr>
              <w:tab/>
            </w:r>
            <w:r>
              <w:rPr>
                <w:rStyle w:val="IndexLink"/>
              </w:rPr>
              <w:t>489</w:t>
            </w:r>
          </w:hyperlink>
        </w:p>
        <w:p>
          <w:pPr>
            <w:pStyle w:val="Contents5"/>
            <w:tabs>
              <w:tab w:val="clear" w:pos="7892"/>
              <w:tab w:val="right" w:pos="9026" w:leader="dot"/>
            </w:tabs>
            <w:rPr/>
          </w:pPr>
          <w:hyperlink w:anchor="__RefHeading___Toc1366863_388300464">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366865_388300464">
            <w:r>
              <w:rPr>
                <w:webHidden/>
                <w:rStyle w:val="IndexLink"/>
                <w:rtl w:val="true"/>
              </w:rPr>
              <w:t>المفردات</w:t>
            </w:r>
            <w:r>
              <w:rPr>
                <w:rStyle w:val="IndexLink"/>
                <w:rtl w:val="true"/>
              </w:rPr>
              <w:tab/>
            </w:r>
            <w:r>
              <w:rPr>
                <w:rStyle w:val="IndexLink"/>
              </w:rPr>
              <w:t>490</w:t>
            </w:r>
          </w:hyperlink>
        </w:p>
        <w:p>
          <w:pPr>
            <w:pStyle w:val="Contents5"/>
            <w:tabs>
              <w:tab w:val="clear" w:pos="7892"/>
              <w:tab w:val="right" w:pos="9026" w:leader="dot"/>
            </w:tabs>
            <w:rPr/>
          </w:pPr>
          <w:hyperlink w:anchor="__RefHeading___Toc1366867_388300464">
            <w:r>
              <w:rPr>
                <w:webHidden/>
                <w:rStyle w:val="IndexLink"/>
                <w:rtl w:val="true"/>
              </w:rPr>
              <w:t>التفسير</w:t>
            </w:r>
            <w:r>
              <w:rPr>
                <w:rStyle w:val="IndexLink"/>
                <w:rtl w:val="true"/>
              </w:rPr>
              <w:tab/>
            </w:r>
            <w:r>
              <w:rPr>
                <w:rStyle w:val="IndexLink"/>
              </w:rPr>
              <w:t>490</w:t>
            </w:r>
          </w:hyperlink>
        </w:p>
        <w:p>
          <w:pPr>
            <w:pStyle w:val="Contents5"/>
            <w:tabs>
              <w:tab w:val="clear" w:pos="7892"/>
              <w:tab w:val="right" w:pos="9026" w:leader="dot"/>
            </w:tabs>
            <w:rPr/>
          </w:pPr>
          <w:hyperlink w:anchor="__RefHeading___Toc1366869_388300464">
            <w:r>
              <w:rPr>
                <w:webHidden/>
                <w:rStyle w:val="IndexLink"/>
                <w:rtl w:val="true"/>
              </w:rPr>
              <w:t>حرمة قتل الصيد وكفّارته</w:t>
            </w:r>
            <w:r>
              <w:rPr>
                <w:rStyle w:val="IndexLink"/>
                <w:rtl w:val="true"/>
              </w:rPr>
              <w:tab/>
            </w:r>
            <w:r>
              <w:rPr>
                <w:rStyle w:val="IndexLink"/>
              </w:rPr>
              <w:t>490</w:t>
            </w:r>
          </w:hyperlink>
        </w:p>
        <w:p>
          <w:pPr>
            <w:pStyle w:val="Contents5"/>
            <w:tabs>
              <w:tab w:val="clear" w:pos="7892"/>
              <w:tab w:val="right" w:pos="9026" w:leader="dot"/>
            </w:tabs>
            <w:rPr/>
          </w:pPr>
          <w:hyperlink w:anchor="__RefHeading___Toc1366871_388300464">
            <w:r>
              <w:rPr>
                <w:webHidden/>
                <w:rStyle w:val="IndexLink"/>
                <w:rtl w:val="true"/>
              </w:rPr>
              <w:t>حرمة الإعانة على الاصطياد</w:t>
            </w:r>
            <w:r>
              <w:rPr>
                <w:rStyle w:val="IndexLink"/>
                <w:rtl w:val="true"/>
              </w:rPr>
              <w:tab/>
            </w:r>
            <w:r>
              <w:rPr>
                <w:rStyle w:val="IndexLink"/>
              </w:rPr>
              <w:t>495</w:t>
            </w:r>
          </w:hyperlink>
        </w:p>
        <w:p>
          <w:pPr>
            <w:pStyle w:val="Contents4"/>
            <w:tabs>
              <w:tab w:val="clear" w:pos="8176"/>
              <w:tab w:val="right" w:pos="9026" w:leader="dot"/>
            </w:tabs>
            <w:rPr/>
          </w:pPr>
          <w:hyperlink w:anchor="__RefHeading___Toc1366873_388300464">
            <w:r>
              <w:rPr>
                <w:webHidden/>
                <w:rStyle w:val="IndexLink"/>
                <w:rtl w:val="true"/>
              </w:rPr>
              <w:t>الآية</w:t>
            </w:r>
            <w:r>
              <w:rPr>
                <w:rStyle w:val="IndexLink"/>
                <w:rtl w:val="true"/>
              </w:rPr>
              <w:t xml:space="preserve">: </w:t>
            </w:r>
            <w:r>
              <w:rPr>
                <w:rStyle w:val="IndexLink"/>
                <w:rtl w:val="true"/>
              </w:rPr>
              <w:t>الثالثة</w:t>
            </w:r>
            <w:r>
              <w:rPr>
                <w:rStyle w:val="IndexLink"/>
                <w:rtl w:val="true"/>
              </w:rPr>
              <w:tab/>
            </w:r>
            <w:r>
              <w:rPr>
                <w:rStyle w:val="IndexLink"/>
              </w:rPr>
              <w:t>496</w:t>
            </w:r>
          </w:hyperlink>
        </w:p>
        <w:p>
          <w:pPr>
            <w:pStyle w:val="Contents5"/>
            <w:tabs>
              <w:tab w:val="clear" w:pos="7892"/>
              <w:tab w:val="right" w:pos="9026" w:leader="dot"/>
            </w:tabs>
            <w:rPr/>
          </w:pPr>
          <w:hyperlink w:anchor="__RefHeading___Toc1366875_388300464">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366877_388300464">
            <w:r>
              <w:rPr>
                <w:webHidden/>
                <w:rStyle w:val="IndexLink"/>
                <w:rtl w:val="true"/>
              </w:rPr>
              <w:t>المفردات</w:t>
            </w:r>
            <w:r>
              <w:rPr>
                <w:rStyle w:val="IndexLink"/>
                <w:rtl w:val="true"/>
              </w:rPr>
              <w:tab/>
            </w:r>
            <w:r>
              <w:rPr>
                <w:rStyle w:val="IndexLink"/>
              </w:rPr>
              <w:t>496</w:t>
            </w:r>
          </w:hyperlink>
        </w:p>
        <w:p>
          <w:pPr>
            <w:pStyle w:val="Contents5"/>
            <w:tabs>
              <w:tab w:val="clear" w:pos="7892"/>
              <w:tab w:val="right" w:pos="9026" w:leader="dot"/>
            </w:tabs>
            <w:rPr/>
          </w:pPr>
          <w:hyperlink w:anchor="__RefHeading___Toc1366879_388300464">
            <w:r>
              <w:rPr>
                <w:webHidden/>
                <w:rStyle w:val="IndexLink"/>
                <w:rtl w:val="true"/>
              </w:rPr>
              <w:t>التفسير</w:t>
            </w:r>
            <w:r>
              <w:rPr>
                <w:rStyle w:val="IndexLink"/>
                <w:rtl w:val="true"/>
              </w:rPr>
              <w:tab/>
            </w:r>
            <w:r>
              <w:rPr>
                <w:rStyle w:val="IndexLink"/>
              </w:rPr>
              <w:t>497</w:t>
            </w:r>
          </w:hyperlink>
        </w:p>
        <w:p>
          <w:pPr>
            <w:pStyle w:val="Contents3"/>
            <w:tabs>
              <w:tab w:val="clear" w:pos="8459"/>
              <w:tab w:val="right" w:pos="9026" w:leader="dot"/>
            </w:tabs>
            <w:rPr/>
          </w:pPr>
          <w:hyperlink w:anchor="__RefHeading___Toc1366881_388300464">
            <w:r>
              <w:rPr>
                <w:webHidden/>
                <w:rStyle w:val="IndexLink"/>
              </w:rPr>
              <w:t>9</w:t>
            </w:r>
            <w:r>
              <w:rPr>
                <w:rStyle w:val="IndexLink"/>
                <w:rtl w:val="true"/>
              </w:rPr>
              <w:t xml:space="preserve">. </w:t>
            </w:r>
            <w:r>
              <w:rPr>
                <w:rStyle w:val="IndexLink"/>
                <w:rtl w:val="true"/>
              </w:rPr>
              <w:t>الأُمور الأربعة التي جُعلت قياماً للناس</w:t>
            </w:r>
            <w:r>
              <w:rPr>
                <w:rStyle w:val="IndexLink"/>
                <w:rtl w:val="true"/>
              </w:rPr>
              <w:tab/>
            </w:r>
            <w:r>
              <w:rPr>
                <w:rStyle w:val="IndexLink"/>
              </w:rPr>
              <w:t>499</w:t>
            </w:r>
          </w:hyperlink>
        </w:p>
        <w:p>
          <w:pPr>
            <w:pStyle w:val="Contents4"/>
            <w:tabs>
              <w:tab w:val="clear" w:pos="8176"/>
              <w:tab w:val="right" w:pos="9026" w:leader="dot"/>
            </w:tabs>
            <w:rPr/>
          </w:pPr>
          <w:hyperlink w:anchor="__RefHeading___Toc1366883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499</w:t>
            </w:r>
          </w:hyperlink>
        </w:p>
        <w:p>
          <w:pPr>
            <w:pStyle w:val="Contents5"/>
            <w:tabs>
              <w:tab w:val="clear" w:pos="7892"/>
              <w:tab w:val="right" w:pos="9026" w:leader="dot"/>
            </w:tabs>
            <w:rPr/>
          </w:pPr>
          <w:hyperlink w:anchor="__RefHeading___Toc1366885_388300464">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1366887_388300464">
            <w:r>
              <w:rPr>
                <w:webHidden/>
                <w:rStyle w:val="IndexLink"/>
                <w:rtl w:val="true"/>
              </w:rPr>
              <w:t>المفردات</w:t>
            </w:r>
            <w:r>
              <w:rPr>
                <w:rStyle w:val="IndexLink"/>
                <w:rtl w:val="true"/>
              </w:rPr>
              <w:tab/>
            </w:r>
            <w:r>
              <w:rPr>
                <w:rStyle w:val="IndexLink"/>
              </w:rPr>
              <w:t>499</w:t>
            </w:r>
          </w:hyperlink>
        </w:p>
        <w:p>
          <w:pPr>
            <w:pStyle w:val="Contents5"/>
            <w:tabs>
              <w:tab w:val="clear" w:pos="7892"/>
              <w:tab w:val="right" w:pos="9026" w:leader="dot"/>
            </w:tabs>
            <w:rPr/>
          </w:pPr>
          <w:hyperlink w:anchor="__RefHeading___Toc1366889_388300464">
            <w:r>
              <w:rPr>
                <w:webHidden/>
                <w:rStyle w:val="IndexLink"/>
                <w:rtl w:val="true"/>
              </w:rPr>
              <w:t>التفسير</w:t>
            </w:r>
            <w:r>
              <w:rPr>
                <w:rStyle w:val="IndexLink"/>
                <w:rtl w:val="true"/>
              </w:rPr>
              <w:tab/>
            </w:r>
            <w:r>
              <w:rPr>
                <w:rStyle w:val="IndexLink"/>
              </w:rPr>
              <w:t>500</w:t>
            </w:r>
          </w:hyperlink>
        </w:p>
        <w:p>
          <w:pPr>
            <w:pStyle w:val="Contents4"/>
            <w:tabs>
              <w:tab w:val="clear" w:pos="8176"/>
              <w:tab w:val="right" w:pos="9026" w:leader="dot"/>
            </w:tabs>
            <w:rPr/>
          </w:pPr>
          <w:hyperlink w:anchor="__RefHeading___Toc1366891_388300464">
            <w:r>
              <w:rPr>
                <w:webHidden/>
                <w:rStyle w:val="IndexLink"/>
                <w:rtl w:val="true"/>
              </w:rPr>
              <w:t>كون الكعبة قياماً للناس</w:t>
            </w:r>
            <w:r>
              <w:rPr>
                <w:rStyle w:val="IndexLink"/>
                <w:rtl w:val="true"/>
              </w:rPr>
              <w:tab/>
            </w:r>
            <w:r>
              <w:rPr>
                <w:rStyle w:val="IndexLink"/>
              </w:rPr>
              <w:t>500</w:t>
            </w:r>
          </w:hyperlink>
        </w:p>
        <w:p>
          <w:pPr>
            <w:pStyle w:val="Contents3"/>
            <w:tabs>
              <w:tab w:val="clear" w:pos="8459"/>
              <w:tab w:val="right" w:pos="9026" w:leader="dot"/>
            </w:tabs>
            <w:rPr/>
          </w:pPr>
          <w:hyperlink w:anchor="__RefHeading___Toc1366893_388300464">
            <w:r>
              <w:rPr>
                <w:webHidden/>
                <w:rStyle w:val="IndexLink"/>
              </w:rPr>
              <w:t>10</w:t>
            </w:r>
            <w:r>
              <w:rPr>
                <w:rStyle w:val="IndexLink"/>
                <w:rtl w:val="true"/>
              </w:rPr>
              <w:t xml:space="preserve">. </w:t>
            </w:r>
            <w:r>
              <w:rPr>
                <w:rStyle w:val="IndexLink"/>
                <w:rtl w:val="true"/>
              </w:rPr>
              <w:t>تكريم شعائر اللّه والشهر الحرام</w:t>
            </w:r>
            <w:r>
              <w:rPr>
                <w:rStyle w:val="IndexLink"/>
                <w:rtl w:val="true"/>
              </w:rPr>
              <w:tab/>
            </w:r>
            <w:r>
              <w:rPr>
                <w:rStyle w:val="IndexLink"/>
              </w:rPr>
              <w:t>506</w:t>
            </w:r>
          </w:hyperlink>
        </w:p>
        <w:p>
          <w:pPr>
            <w:pStyle w:val="Contents4"/>
            <w:tabs>
              <w:tab w:val="clear" w:pos="8176"/>
              <w:tab w:val="right" w:pos="9026" w:leader="dot"/>
            </w:tabs>
            <w:rPr/>
          </w:pPr>
          <w:hyperlink w:anchor="__RefHeading___Toc1366895_388300464">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1366897_388300464">
            <w:r>
              <w:rPr>
                <w:webHidden/>
                <w:rStyle w:val="IndexLink"/>
                <w:rtl w:val="true"/>
              </w:rPr>
              <w:t>المفردات</w:t>
            </w:r>
            <w:r>
              <w:rPr>
                <w:rStyle w:val="IndexLink"/>
                <w:rtl w:val="true"/>
              </w:rPr>
              <w:tab/>
            </w:r>
            <w:r>
              <w:rPr>
                <w:rStyle w:val="IndexLink"/>
              </w:rPr>
              <w:t>506</w:t>
            </w:r>
          </w:hyperlink>
        </w:p>
        <w:p>
          <w:pPr>
            <w:pStyle w:val="Contents4"/>
            <w:tabs>
              <w:tab w:val="clear" w:pos="8176"/>
              <w:tab w:val="right" w:pos="9026" w:leader="dot"/>
            </w:tabs>
            <w:rPr/>
          </w:pPr>
          <w:hyperlink w:anchor="__RefHeading___Toc1366899_388300464">
            <w:r>
              <w:rPr>
                <w:webHidden/>
                <w:rStyle w:val="IndexLink"/>
                <w:rtl w:val="true"/>
              </w:rPr>
              <w:t>التفسير</w:t>
            </w:r>
            <w:r>
              <w:rPr>
                <w:rStyle w:val="IndexLink"/>
                <w:rtl w:val="true"/>
              </w:rPr>
              <w:tab/>
            </w:r>
            <w:r>
              <w:rPr>
                <w:rStyle w:val="IndexLink"/>
              </w:rPr>
              <w:t>508</w:t>
            </w:r>
          </w:hyperlink>
        </w:p>
        <w:p>
          <w:pPr>
            <w:pStyle w:val="Contents3"/>
            <w:tabs>
              <w:tab w:val="clear" w:pos="8459"/>
              <w:tab w:val="right" w:pos="9026" w:leader="dot"/>
            </w:tabs>
            <w:rPr/>
          </w:pPr>
          <w:hyperlink w:anchor="__RefHeading___Toc1366901_388300464">
            <w:r>
              <w:rPr>
                <w:webHidden/>
                <w:rStyle w:val="IndexLink"/>
              </w:rPr>
              <w:t>11</w:t>
            </w:r>
            <w:r>
              <w:rPr>
                <w:rStyle w:val="IndexLink"/>
                <w:rtl w:val="true"/>
              </w:rPr>
              <w:t xml:space="preserve">. </w:t>
            </w:r>
            <w:r>
              <w:rPr>
                <w:rStyle w:val="IndexLink"/>
                <w:rtl w:val="true"/>
              </w:rPr>
              <w:t>حكم الصدّ عن سبيل اللّه والمسجد الحرام وتعظيم حرمات اللّه</w:t>
            </w:r>
            <w:r>
              <w:rPr>
                <w:rStyle w:val="IndexLink"/>
                <w:rtl w:val="true"/>
              </w:rPr>
              <w:tab/>
            </w:r>
            <w:r>
              <w:rPr>
                <w:rStyle w:val="IndexLink"/>
              </w:rPr>
              <w:t>514</w:t>
            </w:r>
          </w:hyperlink>
        </w:p>
        <w:p>
          <w:pPr>
            <w:pStyle w:val="Contents4"/>
            <w:tabs>
              <w:tab w:val="clear" w:pos="8176"/>
              <w:tab w:val="right" w:pos="9026" w:leader="dot"/>
            </w:tabs>
            <w:rPr/>
          </w:pPr>
          <w:hyperlink w:anchor="__RefHeading___Toc1366903_388300464">
            <w:r>
              <w:rPr>
                <w:webHidden/>
                <w:rStyle w:val="IndexLink"/>
                <w:rtl w:val="true"/>
              </w:rPr>
              <w:t>الآية الأُولى</w:t>
            </w:r>
            <w:r>
              <w:rPr>
                <w:rStyle w:val="IndexLink"/>
                <w:rtl w:val="true"/>
              </w:rPr>
              <w:tab/>
            </w:r>
            <w:r>
              <w:rPr>
                <w:rStyle w:val="IndexLink"/>
              </w:rPr>
              <w:t>514</w:t>
            </w:r>
          </w:hyperlink>
        </w:p>
        <w:p>
          <w:pPr>
            <w:pStyle w:val="Contents5"/>
            <w:tabs>
              <w:tab w:val="clear" w:pos="7892"/>
              <w:tab w:val="right" w:pos="9026" w:leader="dot"/>
            </w:tabs>
            <w:rPr/>
          </w:pPr>
          <w:hyperlink w:anchor="__RefHeading___Toc1366905_388300464">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366907_388300464">
            <w:r>
              <w:rPr>
                <w:webHidden/>
                <w:rStyle w:val="IndexLink"/>
                <w:rtl w:val="true"/>
              </w:rPr>
              <w:t>المفردات</w:t>
            </w:r>
            <w:r>
              <w:rPr>
                <w:rStyle w:val="IndexLink"/>
                <w:rtl w:val="true"/>
              </w:rPr>
              <w:tab/>
            </w:r>
            <w:r>
              <w:rPr>
                <w:rStyle w:val="IndexLink"/>
              </w:rPr>
              <w:t>514</w:t>
            </w:r>
          </w:hyperlink>
        </w:p>
        <w:p>
          <w:pPr>
            <w:pStyle w:val="Contents5"/>
            <w:tabs>
              <w:tab w:val="clear" w:pos="7892"/>
              <w:tab w:val="right" w:pos="9026" w:leader="dot"/>
            </w:tabs>
            <w:rPr/>
          </w:pPr>
          <w:hyperlink w:anchor="__RefHeading___Toc1366909_388300464">
            <w:r>
              <w:rPr>
                <w:webHidden/>
                <w:rStyle w:val="IndexLink"/>
                <w:rtl w:val="true"/>
              </w:rPr>
              <w:t>التفسير</w:t>
            </w:r>
            <w:r>
              <w:rPr>
                <w:rStyle w:val="IndexLink"/>
                <w:rtl w:val="true"/>
              </w:rPr>
              <w:tab/>
            </w:r>
            <w:r>
              <w:rPr>
                <w:rStyle w:val="IndexLink"/>
              </w:rPr>
              <w:t>515</w:t>
            </w:r>
          </w:hyperlink>
        </w:p>
        <w:p>
          <w:pPr>
            <w:pStyle w:val="Contents4"/>
            <w:tabs>
              <w:tab w:val="clear" w:pos="8176"/>
              <w:tab w:val="right" w:pos="9026" w:leader="dot"/>
            </w:tabs>
            <w:rPr/>
          </w:pPr>
          <w:hyperlink w:anchor="__RefHeading___Toc1366911_388300464">
            <w:r>
              <w:rPr>
                <w:webHidden/>
                <w:rStyle w:val="IndexLink"/>
                <w:rtl w:val="true"/>
              </w:rPr>
              <w:t>الآية</w:t>
            </w:r>
            <w:r>
              <w:rPr>
                <w:rStyle w:val="IndexLink"/>
                <w:rtl w:val="true"/>
              </w:rPr>
              <w:t xml:space="preserve">: </w:t>
            </w:r>
            <w:r>
              <w:rPr>
                <w:rStyle w:val="IndexLink"/>
                <w:rtl w:val="true"/>
              </w:rPr>
              <w:t>الثانية</w:t>
            </w:r>
            <w:r>
              <w:rPr>
                <w:rStyle w:val="IndexLink"/>
                <w:rtl w:val="true"/>
              </w:rPr>
              <w:tab/>
            </w:r>
            <w:r>
              <w:rPr>
                <w:rStyle w:val="IndexLink"/>
              </w:rPr>
              <w:t>517</w:t>
            </w:r>
          </w:hyperlink>
        </w:p>
        <w:p>
          <w:pPr>
            <w:pStyle w:val="Contents5"/>
            <w:tabs>
              <w:tab w:val="clear" w:pos="7892"/>
              <w:tab w:val="right" w:pos="9026" w:leader="dot"/>
            </w:tabs>
            <w:rPr/>
          </w:pPr>
          <w:hyperlink w:anchor="__RefHeading___Toc1366913_388300464">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366915_388300464">
            <w:r>
              <w:rPr>
                <w:webHidden/>
                <w:rStyle w:val="IndexLink"/>
                <w:rtl w:val="true"/>
              </w:rPr>
              <w:t>المفردات</w:t>
            </w:r>
            <w:r>
              <w:rPr>
                <w:rStyle w:val="IndexLink"/>
                <w:rtl w:val="true"/>
              </w:rPr>
              <w:tab/>
            </w:r>
            <w:r>
              <w:rPr>
                <w:rStyle w:val="IndexLink"/>
              </w:rPr>
              <w:t>518</w:t>
            </w:r>
          </w:hyperlink>
        </w:p>
        <w:p>
          <w:pPr>
            <w:pStyle w:val="Contents5"/>
            <w:tabs>
              <w:tab w:val="clear" w:pos="7892"/>
              <w:tab w:val="right" w:pos="9026" w:leader="dot"/>
            </w:tabs>
            <w:rPr/>
          </w:pPr>
          <w:hyperlink w:anchor="__RefHeading___Toc1366917_388300464">
            <w:r>
              <w:rPr>
                <w:webHidden/>
                <w:rStyle w:val="IndexLink"/>
                <w:rtl w:val="true"/>
              </w:rPr>
              <w:t>التفسير</w:t>
            </w:r>
            <w:r>
              <w:rPr>
                <w:rStyle w:val="IndexLink"/>
                <w:rtl w:val="true"/>
              </w:rPr>
              <w:tab/>
            </w:r>
            <w:r>
              <w:rPr>
                <w:rStyle w:val="IndexLink"/>
              </w:rPr>
              <w:t>518</w:t>
            </w:r>
          </w:hyperlink>
        </w:p>
        <w:p>
          <w:pPr>
            <w:pStyle w:val="Contents4"/>
            <w:tabs>
              <w:tab w:val="clear" w:pos="8176"/>
              <w:tab w:val="right" w:pos="9026" w:leader="dot"/>
            </w:tabs>
            <w:rPr/>
          </w:pPr>
          <w:hyperlink w:anchor="__RefHeading___Toc1366919_388300464">
            <w:r>
              <w:rPr>
                <w:webHidden/>
                <w:rStyle w:val="IndexLink"/>
                <w:rtl w:val="true"/>
              </w:rPr>
              <w:t>تخصيص أمرين مهمّين بالذكر</w:t>
            </w:r>
            <w:r>
              <w:rPr>
                <w:rStyle w:val="IndexLink"/>
                <w:rtl w:val="true"/>
              </w:rPr>
              <w:tab/>
            </w:r>
            <w:r>
              <w:rPr>
                <w:rStyle w:val="IndexLink"/>
              </w:rPr>
              <w:t>519</w:t>
            </w:r>
          </w:hyperlink>
        </w:p>
        <w:p>
          <w:pPr>
            <w:pStyle w:val="Contents2"/>
            <w:tabs>
              <w:tab w:val="clear" w:pos="8743"/>
              <w:tab w:val="right" w:pos="9026" w:leader="dot"/>
            </w:tabs>
            <w:rPr/>
          </w:pPr>
          <w:hyperlink w:anchor="__RefHeading___Toc1366921_388300464">
            <w:r>
              <w:rPr>
                <w:webHidden/>
                <w:rStyle w:val="IndexLink"/>
                <w:rtl w:val="true"/>
              </w:rPr>
              <w:t>فهرس المحتويات</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2_141058"/>
      <w:bookmarkStart w:id="1" w:name="pg14912_141058"/>
      <w:bookmarkEnd w:id="1"/>
    </w:p>
    <w:p>
      <w:pPr>
        <w:pStyle w:val="Heading2"/>
        <w:numPr>
          <w:ilvl w:val="1"/>
          <w:numId w:val="1"/>
        </w:numPr>
        <w:rPr/>
      </w:pPr>
      <w:bookmarkStart w:id="2" w:name="pg14912_141058"/>
      <w:bookmarkStart w:id="3" w:name="__RefHeading___Toc1365853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Sobhani Tabrizi, Jafar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الطاف‌الرحمن فی فقه‌القرآن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‭978-964-357-628-8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‫‬‭978-964-357-634-9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‫‬‭978-964-357-645-5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دراسه‌الآیات‌الوارده لبیان احکام‌الطهاره والصلاه والصیام والزکاه والانفال والفیء والخمس 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دراسه‌الآیات‌الوارده لبیان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والأمربالمعروف والنهی عن‌المنکر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والمکاسب‌المحرمة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العقود‌الشرعیة والایقاعات والأحکام‌النکاح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eastAsia="Times New Roman" w:cs="Times New Roman" w:ascii="Times New Roman" w:hAnsi="Times New Roman"/>
          <w:color w:val="111111"/>
          <w:sz w:val="28"/>
          <w:szCs w:val="28"/>
          <w:lang w:val="en-US" w:bidi="en-US"/>
        </w:rPr>
        <w:t>Qur'an -- Law and legislation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Qur'an -- *Legislative hermeneutics -- Shiite</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eastAsia="Times New Roman" w:cs="Times New Roman" w:ascii="Times New Roman" w:hAnsi="Times New Roman"/>
          <w:color w:val="111111"/>
          <w:sz w:val="28"/>
          <w:szCs w:val="28"/>
          <w:lang w:val="en-US" w:bidi="en-US"/>
        </w:rPr>
        <w:t>Qur'an -- Qur'anic sciences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۹۹</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۵۷۸۱۰۱۵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5855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ألطاف الرحمن</w:t>
      </w:r>
    </w:p>
    <w:p>
      <w:pPr>
        <w:pStyle w:val="BookText"/>
        <w:rPr/>
      </w:pPr>
      <w:r>
        <w:rPr>
          <w:rFonts w:ascii="Amiri" w:hAnsi="Amiri" w:eastAsia="Amiri" w:cs="Amiri"/>
          <w:color w:val="111111"/>
          <w:sz w:val="28"/>
          <w:sz w:val="28"/>
          <w:szCs w:val="28"/>
          <w:rtl w:val="true"/>
          <w:lang w:bidi="ar-SA"/>
        </w:rPr>
        <w:t>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ألطاف الرحمن</w:t>
      </w:r>
    </w:p>
    <w:p>
      <w:pPr>
        <w:pStyle w:val="BookText"/>
        <w:rPr/>
      </w:pPr>
      <w:r>
        <w:rPr>
          <w:rFonts w:ascii="Amiri" w:hAnsi="Amiri" w:eastAsia="Amiri" w:cs="Amiri"/>
          <w:color w:val="111111"/>
          <w:sz w:val="28"/>
          <w:sz w:val="28"/>
          <w:szCs w:val="28"/>
          <w:rtl w:val="true"/>
          <w:lang w:bidi="ar-SA"/>
        </w:rPr>
        <w:t>في فقه القرآن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في دراسة الآيات الواردة لبيان أحكام الطهارة والصلاة</w:t>
      </w:r>
    </w:p>
    <w:p>
      <w:pPr>
        <w:pStyle w:val="BookText"/>
        <w:rPr/>
      </w:pPr>
      <w:r>
        <w:rPr>
          <w:rFonts w:ascii="Amiri" w:hAnsi="Amiri" w:eastAsia="Amiri" w:cs="Amiri"/>
          <w:color w:val="111111"/>
          <w:sz w:val="28"/>
          <w:sz w:val="28"/>
          <w:szCs w:val="28"/>
          <w:rtl w:val="true"/>
          <w:lang w:bidi="ar-SA"/>
        </w:rPr>
        <w:t>والصيام والزكاة والأنفال والفيء والخمس والحجّ‌</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ألطاف الرحمن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1-627-357-964-978 ISBN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2VOL.SET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628-357-964-978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الآيات الواردة لبيان أحكام الطهارة والصلاة والصيام والزكاة والأنفال والفيء والخمس والحجّ‌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موسسۀ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174/297</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 الرحمن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جعفر السبحاني التبريزي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http://www.Tohid.ir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bookmarkStart w:id="7" w:name="pg14912_141064"/>
    </w:p>
    <w:p>
      <w:pPr>
        <w:pStyle w:val="Heading2"/>
        <w:numPr>
          <w:ilvl w:val="1"/>
          <w:numId w:val="1"/>
        </w:numPr>
        <w:rPr/>
      </w:pPr>
      <w:bookmarkStart w:id="8" w:name="__RefHeading___Toc1365857_388300464"/>
      <w:bookmarkStart w:id="9" w:name="_Toc3"/>
      <w:bookmarkEnd w:id="7"/>
      <w:bookmarkEnd w:id="8"/>
      <w:r>
        <w:rPr>
          <w:rtl w:val="true"/>
        </w:rPr>
        <w:t>تقديم</w:t>
      </w:r>
      <w:bookmarkEnd w:id="9"/>
    </w:p>
    <w:p>
      <w:pPr>
        <w:pStyle w:val="Heading3"/>
        <w:numPr>
          <w:ilvl w:val="2"/>
          <w:numId w:val="1"/>
        </w:numPr>
        <w:rPr/>
      </w:pPr>
      <w:bookmarkStart w:id="10" w:name="__RefHeading___Toc1365859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أنزل القرآن فيه تبيان لكلّ شيء؛ والصلاة والسلام على مَن بعثه ليبيّن للناس ما أُنزل إليهم،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وعلى آله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وَلَجَأُ أَمْرِهِ‌، وَعَيْبَةُ عِلْمِهِ‌، وَمَوْئِلُ حُكْمِهِ‌، وَكُهُوفُ كُتُبِهِ‌، وَجِبَالُ دِينِهِ‌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صلاة دائمة متواترة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فالقرآن الكريم الحجر الأساس للتشريع الإسلامي، ويُعدّ الدعامة الأُولى واللبنة الأساسية في بناء الحضارة الإسلامية لا سيّما الجانب الاعتقادي والفقهي والأخلاقي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الذي يهمّنا هنا هو الجانب الفقهي، والذي زوّد المسلمين بالتشريع حقبة زمنية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للتشريع القرآني ملامح نشير إلى بعضها</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365861_388300464"/>
      <w:bookmarkStart w:id="13" w:name="_Toc5"/>
      <w:bookmarkEnd w:id="12"/>
      <w:r>
        <w:rPr/>
        <w:t>1</w:t>
      </w:r>
      <w:r>
        <w:rPr>
          <w:rtl w:val="true"/>
        </w:rPr>
        <w:t xml:space="preserve">. </w:t>
      </w:r>
      <w:r>
        <w:rPr>
          <w:rtl w:val="true"/>
        </w:rPr>
        <w:t>التشريع تدريجياً</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الآيات القرآنية نجوماً، على خلاف الكتب السماوية الأُخرى فإنّها نزلت جملة واحدة</w:t>
      </w:r>
      <w:r>
        <w:rPr>
          <w:rFonts w:eastAsia="Amiri" w:cs="Amiri" w:ascii="Amiri" w:hAnsi="Amiri"/>
          <w:color w:val="111111"/>
          <w:sz w:val="28"/>
          <w:szCs w:val="28"/>
          <w:rtl w:val="true"/>
          <w:lang w:bidi="ar-SA"/>
        </w:rPr>
        <w:t>.</w:t>
      </w:r>
      <w:bookmarkStart w:id="14" w:name="pg14912_141065"/>
    </w:p>
    <w:p>
      <w:pPr>
        <w:pStyle w:val="BookText"/>
        <w:rPr/>
      </w:pPr>
      <w:bookmarkEnd w:id="14"/>
      <w:r>
        <w:rPr>
          <w:rFonts w:ascii="Amiri" w:hAnsi="Amiri" w:eastAsia="Amiri" w:cs="Amiri"/>
          <w:color w:val="111111"/>
          <w:sz w:val="28"/>
          <w:sz w:val="28"/>
          <w:szCs w:val="28"/>
          <w:rtl w:val="true"/>
          <w:lang w:bidi="ar-SA"/>
        </w:rPr>
        <w:t>إنّ السبب لكون التشريع تدريجياً هو مسايرة القرآن للحوادث المستجدة التي كانت تحصل في حياة المسلمين الفردية والاجتماعية، وكانت الأحداث تأتي تباعاً واحداً بعد الآخر</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65863_388300464"/>
      <w:bookmarkStart w:id="16" w:name="_Toc6"/>
      <w:bookmarkEnd w:id="15"/>
      <w:r>
        <w:rPr/>
        <w:t>2</w:t>
      </w:r>
      <w:r>
        <w:rPr>
          <w:rtl w:val="true"/>
        </w:rPr>
        <w:t xml:space="preserve">. </w:t>
      </w:r>
      <w:r>
        <w:rPr>
          <w:rtl w:val="true"/>
        </w:rPr>
        <w:t>الاقتصار على الأحكام الكلّيّة</w:t>
      </w:r>
      <w:bookmarkEnd w:id="16"/>
    </w:p>
    <w:p>
      <w:pPr>
        <w:pStyle w:val="BookText"/>
        <w:rPr/>
      </w:pPr>
      <w:r>
        <w:rPr>
          <w:rFonts w:ascii="Amiri" w:hAnsi="Amiri" w:eastAsia="Amiri" w:cs="Amiri"/>
          <w:color w:val="111111"/>
          <w:sz w:val="28"/>
          <w:sz w:val="28"/>
          <w:szCs w:val="28"/>
          <w:rtl w:val="true"/>
          <w:lang w:bidi="ar-SA"/>
        </w:rPr>
        <w:t>يتميّز التشريع القرآني في مجال العبادات والمعاملات وغيرها بعرض أُصول كلّيّة تترك تفاصيلها إلى السنّة الشريفة؛ لأنّ القرآن هو الدستور العام للمسلمين، فطبيعة الحال تقتضي ترك التفاصيل إلى السُّنّة، ومع اقتصاره على الأُصول، قلّما يتّفق في مورد لم يستمد من آية قرآنية، فكانت آيات الأحكام مع قلّتها لها مادة حيوية تعين الفقيه على التطرق إلى كافة الأبواب الفقهية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365865_388300464"/>
      <w:bookmarkStart w:id="18" w:name="_Toc7"/>
      <w:bookmarkEnd w:id="17"/>
      <w:r>
        <w:rPr/>
        <w:t>3</w:t>
      </w:r>
      <w:r>
        <w:rPr>
          <w:rtl w:val="true"/>
        </w:rPr>
        <w:t xml:space="preserve">. </w:t>
      </w:r>
      <w:r>
        <w:rPr>
          <w:rtl w:val="true"/>
        </w:rPr>
        <w:t>مرونة التشريع</w:t>
      </w:r>
      <w:bookmarkEnd w:id="18"/>
    </w:p>
    <w:p>
      <w:pPr>
        <w:pStyle w:val="BookText"/>
        <w:rPr/>
      </w:pPr>
      <w:r>
        <w:rPr>
          <w:rFonts w:ascii="Amiri" w:hAnsi="Amiri" w:eastAsia="Amiri" w:cs="Amiri"/>
          <w:color w:val="111111"/>
          <w:sz w:val="28"/>
          <w:sz w:val="28"/>
          <w:szCs w:val="28"/>
          <w:rtl w:val="true"/>
          <w:lang w:bidi="ar-SA"/>
        </w:rPr>
        <w:t>إنّ من ملامح التشريع القرآني مرونته وقابليته للانطباق على جميع الحضارات الإنسانية؛ وما ذلك إلّالأنّه جاء بتشريعات خاصّة لها دور التحديد والرقابة على سائر تشريعاته، ولهذا أعطى للدين مرونة ومنعطفاً جديداً يتمشّى مع عامّة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بذلك في بيان الملامح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دراستنا في هذا الكتاب حول الآيات التي تتضمّن تشريعاً كلّيّاً حول العبادات والمعاملات والسياسات وغيرها، عسى أن يكون مفيداً للقارئين ومصباحاً ينير الدرب للطالبين،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19" w:name="pg14912_141066"/>
    </w:p>
    <w:p>
      <w:pPr>
        <w:pStyle w:val="Heading2"/>
        <w:numPr>
          <w:ilvl w:val="1"/>
          <w:numId w:val="1"/>
        </w:numPr>
        <w:rPr/>
      </w:pPr>
      <w:bookmarkStart w:id="20" w:name="__RefHeading___Toc1365867_388300464"/>
      <w:bookmarkStart w:id="21" w:name="_Toc8"/>
      <w:bookmarkEnd w:id="19"/>
      <w:bookmarkEnd w:id="20"/>
      <w:r>
        <w:rPr>
          <w:rtl w:val="true"/>
        </w:rPr>
        <w:t>تمهيد</w:t>
      </w:r>
      <w:bookmarkEnd w:id="21"/>
    </w:p>
    <w:p>
      <w:pPr>
        <w:pStyle w:val="BookText"/>
        <w:rPr/>
      </w:pPr>
      <w:r>
        <w:rPr>
          <w:rFonts w:ascii="Amiri" w:hAnsi="Amiri" w:eastAsia="Amiri" w:cs="Amiri"/>
          <w:color w:val="111111"/>
          <w:sz w:val="28"/>
          <w:sz w:val="28"/>
          <w:szCs w:val="28"/>
          <w:rtl w:val="true"/>
          <w:lang w:bidi="ar-SA"/>
        </w:rPr>
        <w:t>قسّم المفسّرون الآيات القرآنية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والأُصول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والأُصول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وأخبار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 ما يرجع إلى العقل النظري، والمدرك به ما يرجع إلى واقع الأُمور من حيث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يرجع إلى العقل العملي، والمدرك به عبارة عمّا يجب أن يفعل أو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الذي يبحث عن أحوال الأُمم السالفة وقصصهم وما جرى عليهم من قضاء اللّه سبحانه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يهمنا في المقام هو القسم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المتكفّلة لبيان شأن الأفعال من حيث لزوم الإتيان بها أو تركها، إيجاباً أو تفضيلاً، وهي ما يعبّر عنه بالأحكام الشرعية، وقد قام العديد من علماء الفريقين بإفراد التأليف في هذا الصدد، فأقدم تأليف للشيعة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محمد بن</w:t>
      </w:r>
      <w:bookmarkStart w:id="22" w:name="pg14912_141067"/>
    </w:p>
    <w:p>
      <w:pPr>
        <w:pStyle w:val="BookText"/>
        <w:rPr/>
      </w:pPr>
      <w:bookmarkEnd w:id="22"/>
      <w:r>
        <w:rPr>
          <w:rFonts w:ascii="Amiri" w:hAnsi="Amiri" w:eastAsia="Amiri" w:cs="Amiri"/>
          <w:color w:val="111111"/>
          <w:sz w:val="28"/>
          <w:sz w:val="28"/>
          <w:szCs w:val="28"/>
          <w:rtl w:val="true"/>
          <w:lang w:bidi="ar-SA"/>
        </w:rPr>
        <w:t xml:space="preserve">السائب بن بشر الكلبي من أصحاب أبي جعفر الباقر وأبي عبد اللّه الصادق عليهما السلام، والّذي توفّي عام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توالى التأليف من عصره إلى يومنا هذا، فذكر الباحث الكبير الشيخ آقا بزرگ الطهراني في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يناهز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 هذا المضمار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وما ذكره من العناوين يرجع إلى عصر المؤلّف، وقد قام بعده غير واحد من العلماء بالتأليف حول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 الجميع</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365869_388300464"/>
      <w:bookmarkStart w:id="24" w:name="_Toc9"/>
      <w:bookmarkEnd w:id="23"/>
      <w:r>
        <w:rPr>
          <w:rtl w:val="true"/>
        </w:rPr>
        <w:t>كم هو عدد آيات الأحكام‌؟</w:t>
      </w:r>
      <w:bookmarkEnd w:id="24"/>
    </w:p>
    <w:p>
      <w:pPr>
        <w:pStyle w:val="BookText"/>
        <w:rPr/>
      </w:pPr>
      <w:r>
        <w:rPr>
          <w:rFonts w:ascii="Amiri" w:hAnsi="Amiri" w:eastAsia="Amiri" w:cs="Amiri"/>
          <w:color w:val="111111"/>
          <w:sz w:val="28"/>
          <w:sz w:val="28"/>
          <w:szCs w:val="28"/>
          <w:rtl w:val="true"/>
          <w:lang w:bidi="ar-SA"/>
        </w:rPr>
        <w:t xml:space="preserve">اختلف المؤلّفون في هذا الفن في عدد الآيات الواردة فيه، والمشهور أنّها تبلغ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حتّى أنّ الشيخ فخر الدين أحمد بن متوّج البحراني تلميذ فخر المحقّقين الّذي توفّي عام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تفسير خمسمائة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وشرحه نجله بما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الهداية في تفسير خمسمائة آية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هذا هو المشهور غير أنّ بعض الباحثين من المتأخّرين قلّلوا عدد هذه الآيات، قائلين بأنّها لا تتجاوز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عبدالوهاب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السنّة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العبادات بأنواعها نحو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الأحوال الشخصية من زواج وطلاق وإرث ووصية وحجر وغيرها نحو سبعين آية</w:t>
      </w:r>
      <w:r>
        <w:rPr>
          <w:rFonts w:eastAsia="Amiri" w:cs="Amiri" w:ascii="Amiri" w:hAnsi="Amiri"/>
          <w:color w:val="111111"/>
          <w:sz w:val="28"/>
          <w:szCs w:val="28"/>
          <w:rtl w:val="true"/>
          <w:lang w:bidi="ar-SA"/>
        </w:rPr>
        <w:t>.</w:t>
      </w:r>
      <w:bookmarkStart w:id="25" w:name="pg14912_141068"/>
    </w:p>
    <w:p>
      <w:pPr>
        <w:pStyle w:val="BookText"/>
        <w:rPr/>
      </w:pPr>
      <w:bookmarkEnd w:id="25"/>
      <w:r>
        <w:rPr>
          <w:rFonts w:ascii="Amiri" w:hAnsi="Amiri" w:eastAsia="Amiri" w:cs="Amiri"/>
          <w:color w:val="111111"/>
          <w:sz w:val="28"/>
          <w:sz w:val="28"/>
          <w:szCs w:val="28"/>
          <w:rtl w:val="true"/>
          <w:lang w:bidi="ar-SA"/>
        </w:rPr>
        <w:t>وفي المجموعة المدنية من بيع وإجارة ورهن وشركة وتجارة ومداينة وغيرها نحو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المجموعة الجنائية من عقوبات وتحقيق جنايات نحو ثلاثين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القضاء والشهادة وما يتعلّق بها نحو عشرين آية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ولعلّ نظره إلى الآيات الصريحة في الأحكام الّتي لا تحتاج إلى الدقّة والتفكير</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365871_388300464"/>
      <w:bookmarkStart w:id="27" w:name="_Toc10"/>
      <w:bookmarkEnd w:id="26"/>
      <w:r>
        <w:rPr>
          <w:rtl w:val="true"/>
        </w:rPr>
        <w:t>تحديد عدد الآيات غير مفيد</w:t>
      </w:r>
      <w:bookmarkEnd w:id="27"/>
    </w:p>
    <w:p>
      <w:pPr>
        <w:pStyle w:val="Heading3"/>
        <w:numPr>
          <w:ilvl w:val="2"/>
          <w:numId w:val="1"/>
        </w:numPr>
        <w:rPr/>
      </w:pPr>
      <w:bookmarkStart w:id="28" w:name="__RefHeading___Toc1365873_388300464"/>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والّذي أظن أنّ تحديد عدد آيات الأحكام أمر غير مفيد، لا يصل الباحث فيه إلى نتيجة قطعية؛ وذلك لأنّ عدد آياتها يختلف حسب ذوق الفقيه ودرايته، فربّ فقيه يلتقط من آية حكماً شرعياً ربّما غفل عنه فقيه آخر، وما ذلك إلّالأنّ سعة آفاق دلالته على مقاصده تسبّب ذلك، كيف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w:t>
      </w:r>
      <w:r>
        <w:rPr>
          <w:rStyle w:val="FootnoteAnchor"/>
          <w:rtl w:val="true"/>
        </w:rPr>
        <w:footnoteReference w:id="7"/>
      </w:r>
      <w:r>
        <w:rPr>
          <w:rFonts w:ascii="Amiri" w:hAnsi="Amiri" w:eastAsia="Amiri" w:cs="Amiri"/>
          <w:color w:val="111111"/>
          <w:sz w:val="28"/>
          <w:sz w:val="28"/>
          <w:szCs w:val="28"/>
          <w:rtl w:val="true"/>
          <w:lang w:bidi="ar-SA"/>
        </w:rPr>
        <w:t>والذي يدلّ على ما نقول به، الأمران التاليان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365875_388300464"/>
      <w:bookmarkStart w:id="31" w:name="_Toc12"/>
      <w:bookmarkEnd w:id="30"/>
      <w:r>
        <w:rPr/>
        <w:t>1</w:t>
      </w:r>
      <w:r>
        <w:rPr>
          <w:rtl w:val="true"/>
        </w:rPr>
        <w:t xml:space="preserve">. </w:t>
      </w:r>
      <w:r>
        <w:rPr>
          <w:rtl w:val="true"/>
        </w:rPr>
        <w:t>الذمّي الّذي نقض حكم الذمّة</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 قبله،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ثلاثة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المتوكلّ إلى الإمام الهادي عليه السلام يسأله، فلمّا قرأ الكتاب،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الفقهاء ذلك، فكتب إليه يسأله عن العلّة‌؟ 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w:t>
      </w:r>
      <w:r>
        <w:rPr>
          <w:rStyle w:val="FootnoteAnchor"/>
          <w:rtl w:val="true"/>
        </w:rPr>
        <w:footnoteReference w:id="8"/>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تجد أنّ الإمام الهادي عليه السلام استنبط حكم الموضوع من آية مباركة لا يذكرها الفقهاء في عداد آيات الأحكام، لعدم صراحتها في الموضوع، غير أنّ الإمام لوقوفه على سعة دلالة القرآن، استنبط حكم الموضوع من تلك الآية، وكم لها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القارئ الكريم جمع الروايات الّتي استشهد بها أئمة أهل البيت على مقاصدهم استشهاداً تعليمياً لا تعبّدياً، لوقف على سعة آفاق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سمعنا عن بعض مشايخنا أنَّ من العلماء مَن استنبط من سورة المسد أكثر من عشرة أحكام فرعية، كما استنبطوا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عدداً من الأحكام، الّتي منها جعل منفعة الحر مهراً، حيث جعل شعيب عليه السلام رعي الغنم مهراً لبنته، يقول صاحب الجواهر في شرح قول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العقد على منفعة الحر، كتعليم الصنعة والسورة من القرآن، وكلّ عمل 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يصحّ العقد على إجارة الزوج نفسه وفاقاً للمشهور</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بمثل هذه الآية يتوقّف على كون الشرائع السابقةر</w:t>
      </w:r>
      <w:r>
        <w:rPr>
          <w:rFonts w:eastAsia="Amiri" w:cs="Amiri" w:ascii="Amiri" w:hAnsi="Amiri"/>
          <w:color w:val="111111"/>
          <w:sz w:val="28"/>
          <w:szCs w:val="28"/>
          <w:rtl w:val="true"/>
          <w:lang w:bidi="ar-SA"/>
        </w:rPr>
        <w:t>.</w:t>
      </w:r>
      <w:bookmarkStart w:id="32" w:name="pg14912_141070"/>
    </w:p>
    <w:p>
      <w:pPr>
        <w:pStyle w:val="BookText"/>
        <w:rPr/>
      </w:pPr>
      <w:bookmarkEnd w:id="32"/>
      <w:r>
        <w:rPr>
          <w:rFonts w:ascii="Amiri" w:hAnsi="Amiri" w:eastAsia="Amiri" w:cs="Amiri"/>
          <w:color w:val="111111"/>
          <w:sz w:val="28"/>
          <w:sz w:val="28"/>
          <w:szCs w:val="28"/>
          <w:rtl w:val="true"/>
          <w:lang w:bidi="ar-SA"/>
        </w:rPr>
        <w:t>حجّة علينا، إمّا مستقلّة أو بمعونة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كتاب هداية، فعامّة ما ورد فيه حجّة علينا، سواء أكان الوارد في الشرائع السابقة أم في شريعتنا، وليس القرآن كتاب قصّة يسرد شيئاً دون أن يفيدنا 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تستنبط من الآية أحكام أُخرى غير خالية من النظر، نظير عدم لزوم تعيين المعقودة حين العقد، أو جواز جعل المهر مجملاً بين الأقل والأكثر، أو جواز تصرّف الولي في مهر البنت، غير أنّ استنباط هذه الأحكام الثلاثة من الآية مورد تأمّل، كما هو واضح للمتدبّر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ينقل عن بعض الناس شيئاً غير صحيح لكن يستدركه بالإنكار حتّى لا يُتلقّى شيئاً صحيحاً، كما ينقل عن إيمان فرعون في أُخريات حياته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يتوهّم القارئ أنّ الإيمان في هذه اللحظات يكون مؤثّراً في سعادة الإنسان، فلرد هذا التوهّم جاء البيان القرآني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365877_388300464"/>
      <w:bookmarkStart w:id="34" w:name="_Toc13"/>
      <w:bookmarkEnd w:id="33"/>
      <w:r>
        <w:rPr/>
        <w:t>2</w:t>
      </w:r>
      <w:r>
        <w:rPr>
          <w:rtl w:val="true"/>
        </w:rPr>
        <w:t xml:space="preserve">. </w:t>
      </w:r>
      <w:r>
        <w:rPr>
          <w:rtl w:val="true"/>
        </w:rPr>
        <w:t>موضوعات خفيّت عن المؤلّفين</w:t>
      </w:r>
      <w:bookmarkEnd w:id="34"/>
    </w:p>
    <w:p>
      <w:pPr>
        <w:pStyle w:val="Heading4"/>
        <w:numPr>
          <w:ilvl w:val="3"/>
          <w:numId w:val="1"/>
        </w:numPr>
        <w:rPr/>
      </w:pPr>
      <w:bookmarkStart w:id="35" w:name="__RefHeading___Toc1365879_388300464"/>
      <w:bookmarkStart w:id="36" w:name="_Toc14"/>
      <w:bookmarkEnd w:id="35"/>
      <w:r>
        <w:rPr>
          <w:rtl w:val="true"/>
        </w:rPr>
        <w:t>اشارة</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أنّ تحديد عدد آيات الأحكام أمر غير مفيد، أنّه قد وردت في الذكر الحكيم موضوعات عديدة لها أحكام واضحة، لكن المؤلّفين فيها غفلوا</w:t>
      </w:r>
      <w:bookmarkStart w:id="37" w:name="pg14912_141071"/>
    </w:p>
    <w:p>
      <w:pPr>
        <w:pStyle w:val="BookText"/>
        <w:rPr/>
      </w:pPr>
      <w:bookmarkEnd w:id="37"/>
      <w:r>
        <w:rPr>
          <w:rFonts w:ascii="Amiri" w:hAnsi="Amiri" w:eastAsia="Amiri" w:cs="Amiri"/>
          <w:color w:val="111111"/>
          <w:sz w:val="28"/>
          <w:sz w:val="28"/>
          <w:szCs w:val="28"/>
          <w:rtl w:val="true"/>
          <w:lang w:bidi="ar-SA"/>
        </w:rPr>
        <w:t>عن عنوانها، وبالتالي تركوا دراسة آياتها، وها نحن نشير إلى بعض هذه العناوين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65881_388300464"/>
      <w:bookmarkStart w:id="39" w:name="_Toc15"/>
      <w:bookmarkEnd w:id="38"/>
      <w:r>
        <w:rPr/>
        <w:t>1</w:t>
      </w:r>
      <w:r>
        <w:rPr>
          <w:rtl w:val="true"/>
        </w:rPr>
        <w:t xml:space="preserve">. </w:t>
      </w:r>
      <w:r>
        <w:rPr>
          <w:rtl w:val="true"/>
        </w:rPr>
        <w:t>البدعة</w:t>
      </w:r>
      <w:bookmarkEnd w:id="39"/>
    </w:p>
    <w:p>
      <w:pPr>
        <w:pStyle w:val="BookText"/>
        <w:rPr/>
      </w:pPr>
      <w:r>
        <w:rPr>
          <w:rFonts w:ascii="Amiri" w:hAnsi="Amiri" w:eastAsia="Amiri" w:cs="Amiri"/>
          <w:color w:val="111111"/>
          <w:sz w:val="28"/>
          <w:sz w:val="28"/>
          <w:szCs w:val="28"/>
          <w:rtl w:val="true"/>
          <w:lang w:bidi="ar-SA"/>
        </w:rPr>
        <w:t>إنّ البدعة من الموضوعات الّتي وردت فيها آيات متعدّدة ولكن لا نجد لها عنواناً فيما أُلّف حول آيات الأحكام،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w:t>
      </w:r>
      <w:r>
        <w:rPr>
          <w:rFonts w:eastAsia="Amiri" w:cs="Amiri" w:ascii="Amiri" w:hAnsi="Amiri"/>
          <w:color w:val="111111"/>
          <w:sz w:val="28"/>
          <w:szCs w:val="28"/>
          <w:rtl w:val="true"/>
          <w:lang w:bidi="ar-SA"/>
        </w:rPr>
        <w:t>) .</w:t>
      </w:r>
      <w:r>
        <w:rPr>
          <w:rStyle w:val="FootnoteAnchor"/>
          <w:rtl w:val="true"/>
        </w:rPr>
        <w:footnoteReference w:id="15"/>
      </w:r>
    </w:p>
    <w:p>
      <w:pPr>
        <w:pStyle w:val="Heading4"/>
        <w:numPr>
          <w:ilvl w:val="3"/>
          <w:numId w:val="1"/>
        </w:numPr>
        <w:rPr/>
      </w:pPr>
      <w:bookmarkStart w:id="40" w:name="__RefHeading___Toc1365883_388300464"/>
      <w:bookmarkStart w:id="41" w:name="_Toc16"/>
      <w:bookmarkEnd w:id="40"/>
      <w:r>
        <w:rPr/>
        <w:t>2</w:t>
      </w:r>
      <w:r>
        <w:rPr>
          <w:rtl w:val="true"/>
        </w:rPr>
        <w:t xml:space="preserve">. </w:t>
      </w:r>
      <w:r>
        <w:rPr>
          <w:rtl w:val="true"/>
        </w:rPr>
        <w:t>الإسراف والتبذير</w:t>
      </w:r>
      <w:bookmarkEnd w:id="41"/>
    </w:p>
    <w:p>
      <w:pPr>
        <w:pStyle w:val="BookText"/>
        <w:rPr/>
      </w:pPr>
      <w:r>
        <w:rPr>
          <w:rFonts w:ascii="Amiri" w:hAnsi="Amiri" w:eastAsia="Amiri" w:cs="Amiri"/>
          <w:color w:val="111111"/>
          <w:sz w:val="28"/>
          <w:sz w:val="28"/>
          <w:szCs w:val="28"/>
          <w:rtl w:val="true"/>
          <w:lang w:bidi="ar-SA"/>
        </w:rPr>
        <w:t>إنّ الإسراف والتبذير من الموضوعات الّتي ورد حكمها في القرآن الكريم ولم نقف على من عنونهما 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 .</w:t>
      </w:r>
      <w:r>
        <w:rPr>
          <w:rStyle w:val="FootnoteAnchor"/>
          <w:rtl w:val="true"/>
        </w:rPr>
        <w:footnoteReference w:id="18"/>
      </w:r>
    </w:p>
    <w:p>
      <w:pPr>
        <w:pStyle w:val="Heading4"/>
        <w:numPr>
          <w:ilvl w:val="3"/>
          <w:numId w:val="1"/>
        </w:numPr>
        <w:rPr/>
      </w:pPr>
      <w:bookmarkStart w:id="42" w:name="__RefHeading___Toc1365885_388300464"/>
      <w:bookmarkStart w:id="43" w:name="_Toc17"/>
      <w:bookmarkEnd w:id="42"/>
      <w:r>
        <w:rPr/>
        <w:t>3</w:t>
      </w:r>
      <w:r>
        <w:rPr>
          <w:rtl w:val="true"/>
        </w:rPr>
        <w:t xml:space="preserve">. </w:t>
      </w:r>
      <w:r>
        <w:rPr>
          <w:rtl w:val="true"/>
        </w:rPr>
        <w:t>التكفير</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التكفير الّذي صار في زماننا هذا مشكلة عظيمة هو من الموضوعات</w:t>
      </w:r>
      <w:bookmarkStart w:id="44" w:name="pg14912_141072"/>
    </w:p>
    <w:p>
      <w:pPr>
        <w:pStyle w:val="BookText"/>
        <w:rPr/>
      </w:pPr>
      <w:bookmarkEnd w:id="44"/>
      <w:r>
        <w:rPr>
          <w:rFonts w:ascii="Amiri" w:hAnsi="Amiri" w:eastAsia="Amiri" w:cs="Amiri"/>
          <w:color w:val="111111"/>
          <w:sz w:val="28"/>
          <w:sz w:val="28"/>
          <w:szCs w:val="28"/>
          <w:rtl w:val="true"/>
          <w:lang w:bidi="ar-SA"/>
        </w:rPr>
        <w:t>الّتي وردت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w:t>
      </w:r>
      <w:r>
        <w:rPr>
          <w:rFonts w:eastAsia="Amiri" w:cs="Amiri" w:ascii="Amiri" w:hAnsi="Amiri"/>
          <w:color w:val="111111"/>
          <w:sz w:val="28"/>
          <w:szCs w:val="28"/>
          <w:rtl w:val="true"/>
          <w:lang w:bidi="ar-SA"/>
        </w:rPr>
        <w:t>) .</w:t>
      </w:r>
      <w:r>
        <w:rPr>
          <w:rStyle w:val="FootnoteAnchor"/>
          <w:rtl w:val="true"/>
        </w:rPr>
        <w:footnoteReference w:id="19"/>
      </w:r>
    </w:p>
    <w:p>
      <w:pPr>
        <w:pStyle w:val="Heading4"/>
        <w:numPr>
          <w:ilvl w:val="3"/>
          <w:numId w:val="1"/>
        </w:numPr>
        <w:rPr/>
      </w:pPr>
      <w:bookmarkStart w:id="45" w:name="__RefHeading___Toc1365887_388300464"/>
      <w:bookmarkStart w:id="46" w:name="_Toc18"/>
      <w:bookmarkEnd w:id="45"/>
      <w:r>
        <w:rPr/>
        <w:t>4</w:t>
      </w:r>
      <w:r>
        <w:rPr>
          <w:rtl w:val="true"/>
        </w:rPr>
        <w:t xml:space="preserve">. </w:t>
      </w:r>
      <w:r>
        <w:rPr>
          <w:rtl w:val="true"/>
        </w:rPr>
        <w:t>التعزير</w:t>
      </w:r>
      <w:bookmarkEnd w:id="46"/>
    </w:p>
    <w:p>
      <w:pPr>
        <w:pStyle w:val="BookText"/>
        <w:rPr/>
      </w:pPr>
      <w:r>
        <w:rPr>
          <w:rFonts w:ascii="Amiri" w:hAnsi="Amiri" w:eastAsia="Amiri" w:cs="Amiri"/>
          <w:color w:val="111111"/>
          <w:sz w:val="28"/>
          <w:sz w:val="28"/>
          <w:szCs w:val="28"/>
          <w:rtl w:val="true"/>
          <w:lang w:bidi="ar-SA"/>
        </w:rPr>
        <w:t>إنّ التعزير أحد الأساليب الّتي يحكم بها القاضي، وهو من الموضوعات الّتي ورد فيها بعض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 وَ اِضْرِبُوهُنَّ‌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الزاني والزانية، فعلى الحاكم إيذاؤهما تعزيراً، لا حدّاً، لأنّ حدّ الزاني والزانية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ربما توصف الآية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يدلّ على أنّ عدد آيات الأحكام أكثر ممّا ذكروا هو أنّ الآيات الواردة حول الجهاد كثيرة من حيث العدد، غير أنّ المؤلّفين في آيات الأحكام يبحثون عن أُمّهات الآيات الّتي تكون مبدأً لاستنباط الحكم</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365889_388300464"/>
      <w:bookmarkStart w:id="48" w:name="_Toc19"/>
      <w:bookmarkEnd w:id="47"/>
      <w:r>
        <w:rPr>
          <w:rtl w:val="true"/>
        </w:rPr>
        <w:t>اختلاف المناهج في تفسير آيات الأحكام</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الدارج عند أهل السنّة هو دراسة آيات الأحكام حسب ترتيب السور القرآنية، فما ورد في سورة البقرة يبحث فيها حتّى تتم دراسة آيات السورة، ثم</w:t>
      </w:r>
      <w:bookmarkStart w:id="49" w:name="pg14912_141073"/>
    </w:p>
    <w:p>
      <w:pPr>
        <w:pStyle w:val="BookText"/>
        <w:rPr/>
      </w:pPr>
      <w:bookmarkEnd w:id="49"/>
      <w:r>
        <w:rPr>
          <w:rFonts w:ascii="Amiri" w:hAnsi="Amiri" w:eastAsia="Amiri" w:cs="Amiri"/>
          <w:color w:val="111111"/>
          <w:sz w:val="28"/>
          <w:sz w:val="28"/>
          <w:szCs w:val="28"/>
          <w:rtl w:val="true"/>
          <w:lang w:bidi="ar-SA"/>
        </w:rPr>
        <w:t>يبدأون بدراسة ما ورد في سورة آل عمران، وعليه درج الجصّاص في كتابه، ومَن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المنهج عند الشيعة غير ذلك، فهم يدرسون جميع الآيات الواردة في موضوع واحد من السور المختلفة في باب، ثم ينتقلون إلى موضوع آخر مثل ما تقدّم، مثلاً يُدرس جميع ما يرجع إلى الوضوء والغسل والتيمم الّتي يجمعها عنوان واحد، مرّة واحدة، وهذا أنسب بالوقوف على مقاصد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واجب على مَن يتأهّل للاجتهاد أن يحصي آيات الأحكام في القرآن، و يجمع آيات كلّنوع منها بحيث يكون بين يديه كلّ آيات القرآن في الطلاق، وكلّ آياته في الإرث، وكلّ آياته في البيع، وكلّ آياته في العقوبات، وهكذا، ثمّ يدرس هذه الآيات دراسة عميقة ويقف على أسباب نزولها، وعلى ما ورد في تفسيرها من السنّة، ومن آثار للصحابة أو التابعين، وعلى ما فسّرها به المفسّرون، ويقف على ما تدلّ عليه نصوصها، وما تدلّ عليه ظواهرها، وعلى المحكم منها، والمنسوخ وما نسخه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أوجبه الأُستاذ وهو جعل آيات كلّ باب على حدة ودراستها، قد قام بتحقيقه علماء الشيعة قبل قرون</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365891_388300464"/>
      <w:bookmarkStart w:id="51" w:name="_Toc20"/>
      <w:bookmarkEnd w:id="50"/>
      <w:r>
        <w:rPr>
          <w:rtl w:val="true"/>
        </w:rPr>
        <w:t>الكتب المشهورة المؤلّفة في آيات الأحكام عند الفريقين</w:t>
      </w:r>
      <w:bookmarkEnd w:id="5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من الباحث الكبير الشيخ آقا بزرگ الطهراني أنّه قد أُلّف في آيات الأحكام ما يناهز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غير أنّا نشير هنا إلى أشهر هذه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أبي عبد اللّه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الشهيد الأوّل، طبع في جزأين،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بن محمد المعروف بالمحقّق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غير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الجواد الكاظمي، المتوفّى أواسط القرن الحادي عشر، وقد فرغ من تأليفه عام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في أربعة أجزاء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 في بيان آيات الأحكام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أحمد بن الشيخ إسماعيل بن الشيخ عبد النبي الجزائري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ألّفه أهل السنّة، فهو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إدريس الشافعي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بكر أحمد بن علي الرازي الحنفي المعروف بالجصّاص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وأُعيد طبعه بالأُوفست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كتاب قيّم استفاد منه أكثر من تأخّر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بن محمد الطبري المعروف بالكياهراسي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جزأين، نشرته دار الكتب العلمية، ببيروت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عبد اللّه المعروف بابن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دار المعرفة، بيروت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وقدّم له علي محمد البجاوي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علي السايس، وقد جمع مادته من أُمّهات كتب التفسير والحديث والفقه، وقد أُعيد طبعه في دار ابن كثير و دار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ألّفه علماء الفريقين حول آيات الأحكام؛ ونحن نقتصر هنا بتفسير الآيات التي تضمّنت بيان حكم شرعي فقهي، وأمّا الآيات التي جاءت فيها أسماء العبادات</w:t>
      </w:r>
      <w:r>
        <w:rPr>
          <w:rStyle w:val="FootnoteAnchor"/>
          <w:rtl w:val="true"/>
        </w:rPr>
        <w:footnoteReference w:id="23"/>
      </w:r>
      <w:r>
        <w:rPr>
          <w:rFonts w:ascii="Amiri" w:hAnsi="Amiri" w:eastAsia="Amiri" w:cs="Amiri"/>
          <w:color w:val="111111"/>
          <w:sz w:val="28"/>
          <w:sz w:val="28"/>
          <w:szCs w:val="28"/>
          <w:rtl w:val="true"/>
          <w:lang w:bidi="ar-SA"/>
        </w:rPr>
        <w:t>والمعاملات والحثّ عليهما وبيان آثارهما فلا نستعرضها روماً للاختصار، وقد ذكرنا ذلك ليكون عذراً عن قلّة عدد الآيات التي سندرسها في هذا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ونبدأ بما ورد حول الطهارة بإذن اللّه تبارك وتعالى</w:t>
      </w:r>
      <w:r>
        <w:rPr>
          <w:rFonts w:eastAsia="Amiri" w:cs="Amiri" w:ascii="Amiri" w:hAnsi="Amiri"/>
          <w:color w:val="111111"/>
          <w:sz w:val="28"/>
          <w:szCs w:val="28"/>
          <w:rtl w:val="true"/>
          <w:lang w:bidi="ar-SA"/>
        </w:rPr>
        <w:t>.).</w:t>
      </w:r>
      <w:bookmarkStart w:id="52" w:name="pg14912_141076"/>
    </w:p>
    <w:p>
      <w:pPr>
        <w:pStyle w:val="Heading2"/>
        <w:numPr>
          <w:ilvl w:val="1"/>
          <w:numId w:val="1"/>
        </w:numPr>
        <w:rPr/>
      </w:pPr>
      <w:bookmarkStart w:id="53" w:name="__RefHeading___Toc1365893_388300464"/>
      <w:bookmarkStart w:id="54" w:name="_Toc21"/>
      <w:bookmarkEnd w:id="52"/>
      <w:bookmarkEnd w:id="53"/>
      <w:r>
        <w:rPr>
          <w:rtl w:val="true"/>
        </w:rPr>
        <w:t>الفصل الأوّل</w:t>
      </w:r>
      <w:r>
        <w:rPr>
          <w:rtl w:val="true"/>
        </w:rPr>
        <w:t xml:space="preserve">: </w:t>
      </w:r>
      <w:r>
        <w:rPr>
          <w:rtl w:val="true"/>
        </w:rPr>
        <w:t>أحكام الطهارة في الذكر الحكيم</w:t>
      </w:r>
      <w:bookmarkEnd w:id="54"/>
    </w:p>
    <w:p>
      <w:pPr>
        <w:pStyle w:val="Heading3"/>
        <w:numPr>
          <w:ilvl w:val="2"/>
          <w:numId w:val="1"/>
        </w:numPr>
        <w:rPr/>
      </w:pPr>
      <w:bookmarkStart w:id="55" w:name="__RefHeading___Toc1365895_388300464"/>
      <w:bookmarkStart w:id="56" w:name="_Toc22"/>
      <w:bookmarkEnd w:id="55"/>
      <w:r>
        <w:rPr>
          <w:rtl w:val="true"/>
        </w:rPr>
        <w:t>اشارة</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الوضوء والغسل والتيمّم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التيمّم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الحائض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المشرك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الخمر تكليفاً ووضعاً في الذكر الحكيم</w:t>
      </w:r>
      <w:r>
        <w:rPr>
          <w:rFonts w:eastAsia="Amiri" w:cs="Amiri" w:ascii="Amiri" w:hAnsi="Amiri"/>
          <w:color w:val="111111"/>
          <w:sz w:val="28"/>
          <w:szCs w:val="28"/>
          <w:rtl w:val="true"/>
          <w:lang w:bidi="ar-SA"/>
        </w:rPr>
        <w:t>.</w:t>
      </w:r>
      <w:bookmarkStart w:id="57" w:name="pg14912_141078"/>
    </w:p>
    <w:p>
      <w:pPr>
        <w:pStyle w:val="BookText"/>
        <w:rPr/>
      </w:pPr>
      <w:bookmarkEnd w:id="57"/>
      <w:r>
        <w:rPr>
          <w:rFonts w:ascii="Amiri" w:hAnsi="Amiri" w:eastAsia="Amiri" w:cs="Amiri"/>
          <w:color w:val="111111"/>
          <w:sz w:val="28"/>
          <w:sz w:val="28"/>
          <w:szCs w:val="28"/>
          <w:rtl w:val="true"/>
          <w:lang w:bidi="ar-SA"/>
        </w:rPr>
        <w:t>أحكام الطهارة</w:t>
      </w:r>
    </w:p>
    <w:p>
      <w:pPr>
        <w:pStyle w:val="Heading3"/>
        <w:numPr>
          <w:ilvl w:val="2"/>
          <w:numId w:val="1"/>
        </w:numPr>
        <w:rPr/>
      </w:pPr>
      <w:bookmarkStart w:id="58" w:name="__RefHeading___Toc1365897_388300464"/>
      <w:bookmarkStart w:id="59" w:name="_Toc23"/>
      <w:bookmarkEnd w:id="58"/>
      <w:r>
        <w:rPr/>
        <w:t>1</w:t>
      </w:r>
      <w:r>
        <w:rPr>
          <w:rtl w:val="true"/>
        </w:rPr>
        <w:t xml:space="preserve">. </w:t>
      </w:r>
      <w:r>
        <w:rPr>
          <w:rtl w:val="true"/>
        </w:rPr>
        <w:t>آية الوضوء والغسل والتيمّم</w:t>
      </w:r>
      <w:bookmarkEnd w:id="59"/>
    </w:p>
    <w:p>
      <w:pPr>
        <w:pStyle w:val="Heading4"/>
        <w:numPr>
          <w:ilvl w:val="3"/>
          <w:numId w:val="1"/>
        </w:numPr>
        <w:rPr/>
      </w:pPr>
      <w:bookmarkStart w:id="60" w:name="__RefHeading___Toc1365899_388300464"/>
      <w:bookmarkStart w:id="61" w:name="_Toc24"/>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 .</w:t>
      </w:r>
      <w:r>
        <w:rPr>
          <w:rStyle w:val="FootnoteAnchor"/>
          <w:rtl w:val="true"/>
        </w:rPr>
        <w:footnoteReference w:id="24"/>
      </w:r>
    </w:p>
    <w:p>
      <w:pPr>
        <w:pStyle w:val="Heading4"/>
        <w:numPr>
          <w:ilvl w:val="3"/>
          <w:numId w:val="1"/>
        </w:numPr>
        <w:rPr/>
      </w:pPr>
      <w:bookmarkStart w:id="62" w:name="__RefHeading___Toc1365901_388300464"/>
      <w:bookmarkStart w:id="63" w:name="_Toc25"/>
      <w:bookmarkEnd w:id="62"/>
      <w:r>
        <w:rPr>
          <w:rtl w:val="true"/>
        </w:rPr>
        <w:t>المفردات</w:t>
      </w:r>
      <w:bookmarkEnd w:id="63"/>
    </w:p>
    <w:p>
      <w:pPr>
        <w:pStyle w:val="BookText"/>
        <w:rPr/>
      </w:pPr>
      <w:r>
        <w:rPr>
          <w:rFonts w:ascii="Amiri" w:hAnsi="Amiri" w:eastAsia="Amiri" w:cs="Amiri"/>
          <w:color w:val="111111"/>
          <w:sz w:val="28"/>
          <w:sz w:val="28"/>
          <w:szCs w:val="28"/>
          <w:rtl w:val="true"/>
          <w:lang w:bidi="ar-SA"/>
        </w:rPr>
        <w:t>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القيام إلى الصلاة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مرفق، وهو من الرفق بمعنى اليُسر في الأُمور، والسهولة في</w:t>
      </w:r>
    </w:p>
    <w:p>
      <w:pPr>
        <w:pStyle w:val="BookText"/>
        <w:rPr/>
      </w:pPr>
      <w:r>
        <w:rPr>
          <w:rFonts w:ascii="Amiri" w:hAnsi="Amiri" w:eastAsia="Amiri" w:cs="Amiri"/>
          <w:color w:val="111111"/>
          <w:sz w:val="28"/>
          <w:sz w:val="28"/>
          <w:szCs w:val="28"/>
          <w:rtl w:val="true"/>
          <w:lang w:bidi="ar-SA"/>
        </w:rPr>
        <w:t xml:space="preserve">التوصّل إليها، وخلافه العنف، وإنّما أُطلق على مفصل الذراع بالعضد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يستريح في الاتّكاء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ارتفق الرجل إذا اتّكأ على مرفقه في جلوسه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وهنا وجه آخر وهو أنّ المرفق يُريح الأمر بين الذراع والعضد، حيث يسهل الحركة في القبض والانبساط، ولولاه لما أمكنت الحركة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قبّة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المفصل بين الساق والقدم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العظمان الناتئان عند مفصل الساق من الجانبين، وسيأتي تحقيقه، كما سيأتي احتمال رابع غير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المنخفض، وأُريد به هنا قضاء الحاجة من المخرجين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من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وجه الأرض صعيداً لأنّه نهاية ما يصعد إليه من باطن الأرض</w:t>
      </w:r>
      <w:r>
        <w:rPr>
          <w:rStyle w:val="FootnoteAnchor"/>
          <w:rtl w:val="true"/>
        </w:rPr>
        <w:footnoteReference w:id="26"/>
      </w:r>
      <w:r>
        <w:rPr>
          <w:rFonts w:ascii="Amiri" w:hAnsi="Amiri" w:eastAsia="Amiri" w:cs="Amiri"/>
          <w:color w:val="111111"/>
          <w:sz w:val="28"/>
          <w:sz w:val="28"/>
          <w:szCs w:val="28"/>
          <w:rtl w:val="true"/>
          <w:lang w:bidi="ar-SA"/>
        </w:rPr>
        <w:t>، وسيأتي ما هو المراد عند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الآية حكم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وغسل الجنابة، والتيمّم، كما أنّ آية سورة النساء تتضمّن بيان سبب الغسل والتيمّم دون الوضوء،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4" w:name="pg14912_141080"/>
    </w:p>
    <w:p>
      <w:pPr>
        <w:pStyle w:val="BookText"/>
        <w:rPr/>
      </w:pPr>
      <w:bookmarkEnd w:id="64"/>
      <w:r>
        <w:rPr>
          <w:rFonts w:ascii="Amiri" w:hAnsi="Amiri" w:eastAsia="Amiri" w:cs="Amiri"/>
          <w:color w:val="111111"/>
          <w:sz w:val="28"/>
          <w:sz w:val="28"/>
          <w:szCs w:val="28"/>
          <w:rtl w:val="true"/>
          <w:lang w:bidi="ar-SA"/>
        </w:rPr>
        <w:t>فَامْسَحُوا بِوُجُوهِكُمْ وَ أَيْدِيكُمْ إِنَّ اَللّهَ كانَ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والسورتان مدنيّتان، والفرق بينهما بالإيجاز والتفصيل، فما في سورة المائدة أوضح بياناً وأوسع مفاداً حيث تعرّض لحكم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هنا سؤال وهو أنّ الصلاة فرضت ليلة المعراج والنبيّ صلى الله عليه و آله و سلم بَعدُ لم يهاجر، وهو والمؤمنون يصلّون مع الوضوء في الفترة المكّيّة وقسماً في الفترة المدنية قبل نزول هاتين الآيتين، فمن أين علم المسلمون لزوم تحصيل الطهارة للصلاة‌؟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علّمهم كيفية الصلاة وما تتوقّف عليه، فتعليم الوضوء كان بالسنّة قبل نزول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تدلّ على وجود الملازمة بين الصلاة والطهارة، بأحد الوجوه الثلاثة، إمّا الوضوء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الغسل، ويدل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بالغسل، أو التيمّم عند عدم وجدان الماء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ذلك فيجب تبيين دلالة الآية على كلّ واحد من الوجوه الثلاثة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365903_388300464"/>
      <w:bookmarkStart w:id="66" w:name="_Toc26"/>
      <w:bookmarkEnd w:id="65"/>
      <w:r>
        <w:rPr>
          <w:rtl w:val="true"/>
        </w:rPr>
        <w:t>كيفية الوضوء في الكتاب العزيز</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سبحانه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أردتم الصلاة،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أردت أنّ تقيم لهم</w:t>
      </w:r>
    </w:p>
    <w:p>
      <w:pPr>
        <w:pStyle w:val="BookText"/>
        <w:rPr/>
      </w:pPr>
      <w:r>
        <w:rPr>
          <w:rFonts w:ascii="Amiri" w:hAnsi="Amiri" w:eastAsia="Amiri" w:cs="Amiri"/>
          <w:color w:val="111111"/>
          <w:sz w:val="28"/>
          <w:sz w:val="28"/>
          <w:szCs w:val="28"/>
          <w:rtl w:val="true"/>
          <w:lang w:bidi="ar-SA"/>
        </w:rPr>
        <w:t>الصلاة، فعبّر بالقيام إلى الفعل عن إرادة نفس الفعل، وربّما يُعكس فتوضع إرادة الفعل مكانه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طلّقتم زوجاً وتزوّجتم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أنّه ربّما يطلق القيام إلى الفعل ويراد به إرادته،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السياق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تُرك ذكره لافتراض أنّ الناس قبل تشريع الوضوء والغسل محدثون، ولا يرتفع الحدث إلّابالطهارة التي بدأت الآية ببيانها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حقيقة الوضوء، فتتكون من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الوجوه،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الأيدي،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الرأس،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الأرجل إلى الكعبين،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فالأعمال الأربعة تشكّل حقيقة الوضوء، ونعم ما قال بحر العلوم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الوضوء غسلتان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ومسحتان والكتاب معنا</w:t>
      </w:r>
    </w:p>
    <w:p>
      <w:pPr>
        <w:pStyle w:val="BookText"/>
        <w:rPr/>
      </w:pPr>
      <w:r>
        <w:rPr>
          <w:rFonts w:ascii="Amiri" w:hAnsi="Amiri" w:eastAsia="Amiri" w:cs="Amiri"/>
          <w:color w:val="111111"/>
          <w:sz w:val="28"/>
          <w:sz w:val="28"/>
          <w:szCs w:val="28"/>
          <w:rtl w:val="true"/>
          <w:lang w:bidi="ar-SA"/>
        </w:rPr>
        <w:t>فلنرجع إلى تفسير الفقرات الأربع التي تتضمّن أحكاماً كذلك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غسل الوجوه،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الراغب الوجه بأوّل ما يستقبلك، وفسّره أبو جعفر الباقر عليه السلام عندما سأله زرارة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الوسطى والإبهام من قصاص شعر الرأس إلى الذقن، وما جرت عليه الإصبعان مستديراً فهو من الوجه، وما سوى ذلك فليس من الوجه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إلّاأنّ حدّه عند غير المالكية من الأُذن إلى الأُذن عرضاً، إلّامالكاً فالواجب عنده هو من شحمة الأُذن إلى شحمة الأُذن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ثمّ إنّ حدّ الواجب للغسل عند فقهاء الإمامية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 حيث إنّ الإمامية يغسلون شيئاً زائداً ممّا بين الإبهام والوسطى من باب المقدمة العلمية، بخلاف الآخرين فإنّهم يغسلون بما هو واجب نفسي لا 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جرت عليه الاصبعان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شكل الوجه هو أقرب إلى الاستدارة فإمرار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من قصاص الشعر إلى آخر الذقن، يشكل دائرة على الوجه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فهمه المشهور من الرواية، غير أنّ شيخنا البهائي فسّر الرواية بوجه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طول الوجه وعرضه هو ما اشتمل عليه الإبهام والوسطى‌، بمعنى أنّ الخط الواصل من القصاص إلى طرف الذقن، وهو مقدار ما بين الاصبعين غالباً إذا فرض إثبات وسطه وأُدير على نفسه ليحصل شبه دائرة فذلك القدر هو الوجه الذي يجب غسله، والمعنى أنّ الدوران يبدأ من القصاص منتهياً إلى الذقن أو المعنى أنّ الوجه هو القدر الذي دارت عليه الإصبعان حال كونه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إلى الذقن، فإذا وضع طرف الوسطى مثلاً على قصاص الناحية وطرف الإبهام إلى آخر الذقن ثم أثبت وسطه انفراجهما ودار طرف الوسطى مثلاً على الجانب الأيسر إلى أسفل ودار طرف الإبهام على الجانب الأيسر إلى فوق تمّت الدائرة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ساقه إلى هذا التفسير إلّاتوغّله في العلوم العقلية عامّة والرياضيات خاصّة، وإلّا فالمعنى المذكور بعيد في نفسه بالنسبة إلى حال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الغسل من الأعلى إلى الأسفل؛ لأنّه المتعارف والمنصرف إليه الأمر بالغسل، والغسل على غير هذا الوجه خلاف منصرف الآية، فلا يجزي، وإطلاق الآية يقتضي كفاية الغسلة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الأزيد فيعلم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إلى المرافق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فذهبت الإمامية إلى وجوب البدء بالمرفقين وأبطلوا النكس، وذلك لأنّ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لتحديد المغسول لا لبيان كيفية الغسل؛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تطلق على مجموع العضو من الزند إلى رؤوس الأصابع، وأُخرى تطلق على الساعد مع الكف، وثالثة على الكف، ورابعة على الأصابع فقط، ولأجل هذه الإطلاقات جاءت الآية لتحديد المغسول لا لبيان كيفية الغسل، لأنّه أمر واضح لا يحتاج إلى بيان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ما يحتاج إلى البيان هو بيان حدّ المغسول، وأمّا كيفية الغسل فكلّ إنسان يعرفها، فإنّه في كلّ يوم في غير حال الصلاة يغتسل ويغسل من الأعلى 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القول بوجوب الشروع من أطراف الأصابع والانتهاء إلى المرافق مبني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إلى المرافق، ولكن المتبادر من هذه الصيغ أنّه قيد للمتعلّق،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 بعض الأمثلة،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الأرض من هنا إلى هنا،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قطفت ورد الحديقة من هنا إلى هنا، ويراد تحديد الكمّ والمقدار، لا بيان الكيفية والهيئة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يؤيّد ما ذكرنا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الآيتين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أي مع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المسيح لحواريه، كما ذكره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الاستشهاد بالآيتين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اللغوي غير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معنى الضمّ‌، أي لا تأكلوا أموالهم منضمّة إلى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فالظاهر أنّه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يتقرّب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نصر دين اللّه، فاللفظة مستعملة في نفس معناها، ونحو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يقع الكلام في دخول المرفق في الحكم أي وجوب الغسل، أو لا؟ والظاهر الأوّل وهو الدخول، إذ من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عن بعض علماء الأدب كسيبويه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نوع ما قبلها دخل في الحدّ، وإلّا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يدخل، وعلى هذا تدخل المرافق فيما يجب غسله لأنّها من اليد، بخلاف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لأنّ الليل ليس من جنس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أنّ المرفق هو حاصل تركيب أحد العظمين بالآخر ولهذا يقع موضع السؤال، هل يجب غسل المرفق أو 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داخل في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اللغة أنّ المرفق هو مكان الاتّصال بين الذراع والعضد،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 موصل الذراع بالعضد، ونحوه في لسان العرب وتاج العروس، وعلى هذا يكون نقطة صغيرة يُغسل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مسح الرؤوس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والمسح هو إمرار اليد على الشيء، وسُمّي المسيح مسيحاً لأنّه كان يمسح على الناس ويشفيهم بإذن اللّه، ويقابله الغسل، إذ يكفي في المسح إمرار اليد بما فيها من النداوة، وأمّا الغَسْل فلا يطلق إلّابعد إسالة الماء على الشيء، وبالمقارنة يُعلم أنّ الواجب في الوجه واليدين هو الغَسْل، أي إسالة الماء عليهما وأمّا المسح فيكفي إمرار اليد، ومن المعلوم بأنّ المتوضّئ بعدما فرغ من غسل اليدين، يوجد في يده نداوة الماء فيمسح بها الرأس، فيكفي مسح جزء من الرأس، والمراد من الجزء هو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الشافعية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المنصوص في روايات أئمّة أهل البيت عليهم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 أنّ الفعل متعدّ بنفسه، ويستعمل على وجهين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الشيء،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به؛ فالأوّل ظاهر في الاستيعاب دون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فإقرانه بالباء لابدّ أن يكون لنكتة، فأكثر المفسّرين على أنّ الباء للإلصاق، بمعنى أنّ حركة العضو الماسح ملصقاً بالممسوح مع أنّ الإلصاق مفهوم من تعلّق المسح بالرأس فلا ملزم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الإلصاق؛ غير أنّ المرويّ عن أئمّة أهل البيت عليهم السلام أنّ الباء لبيان كفاية بعض الرأس والرجلين، فحينما سأل زرارة أبا جعفر الباقر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 المسح ببعض الرأس وبعض الرجلين‌؟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الرواية لا تخلو من فائدة في تفسير الآية نأت بها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 فضحك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قاله رسول اللّه صلى الله عليه و آله و سلم، ونزل به الكتاب من اللّه عزّ وجلّ‌، لأنّ اللّه عزّ وجلّ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 على بعضهما، ثمّ فسّر رسول اللّه صلى الله عليه و آله و سلم للناس فضيّعوه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فكفاية المسح ببعض الرأس مقتضى الإطلاق أوّلاً، ومقتضى وجود الباء ثانياً، وما ربما يُنقل عن سيبويه إنكار كون البعض من معاني الباء، لا يضرّ بالمقصود وذلك 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عربي قرشي صميم، وهو أعرف بلسانه من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البعض مفهوم من الهيئة، حيث إنّ المادة مجرّدة عن الباء يفيد الإلصاق، فما هو وجه إدخال الباء عليها، فلا وجه إلّاإفادة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المسح على الرأس، فالآية ساكتة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ما هو المألوف بين الناس،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طولاً، أو عرضاً أو منحرفاً،</w:t>
      </w:r>
      <w:r>
        <w:rPr>
          <w:rStyle w:val="FootnoteAnchor"/>
          <w:rtl w:val="true"/>
        </w:rPr>
        <w:footnoteReference w:id="37"/>
      </w:r>
      <w:r>
        <w:rPr>
          <w:rFonts w:ascii="Amiri" w:hAnsi="Amiri" w:eastAsia="Amiri" w:cs="Amiri"/>
          <w:color w:val="111111"/>
          <w:sz w:val="28"/>
          <w:sz w:val="28"/>
          <w:szCs w:val="28"/>
          <w:rtl w:val="true"/>
          <w:lang w:bidi="ar-SA"/>
        </w:rPr>
        <w:t>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البعض الذي يجزي مسحه، فقد تضافرت الروايات عن أئمّة أهل البيت عليهم السلام أنّ المراد به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كتاب الوسائل، وجوب المسح على مقدّم الرأس، كما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على مقدّم رأسه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بعض الرأس هو الواجب والأفضل ما يكون مقداره ثلاث أصابع مضمومة ويجزى مقدار اصبع واحد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الرأس كلّه،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عليه اسم المسح يجري،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قدر ثلث الرأس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أقل ما يصدق عليه الاسم للامتثال فيخرج عن العهدة، ولأنّه عليه السلام مسح ناصيته، ويستحب مقدار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علمائنا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وما اخترناه قول الشافعي وابن عمر وداود</w:t>
      </w:r>
      <w:r>
        <w:rPr>
          <w:rFonts w:eastAsia="Amiri" w:cs="Amiri" w:ascii="Amiri" w:hAnsi="Amiri"/>
          <w:color w:val="111111"/>
          <w:sz w:val="28"/>
          <w:szCs w:val="28"/>
          <w:rtl w:val="true"/>
          <w:lang w:bidi="ar-SA"/>
        </w:rPr>
        <w:t>.</w:t>
      </w:r>
      <w:r>
        <w:rPr>
          <w:rStyle w:val="FootnoteAnchor"/>
        </w:rPr>
        <w:footnoteReference w:id="3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7" w:name="pg14912_141088"/>
    </w:p>
    <w:p>
      <w:pPr>
        <w:pStyle w:val="BookText"/>
        <w:rPr/>
      </w:pPr>
      <w:bookmarkEnd w:id="67"/>
      <w:r>
        <w:rPr>
          <w:rFonts w:ascii="Amiri" w:hAnsi="Amiri" w:eastAsia="Amiri" w:cs="Amiri"/>
          <w:color w:val="111111"/>
          <w:sz w:val="28"/>
          <w:sz w:val="28"/>
          <w:szCs w:val="28"/>
          <w:rtl w:val="true"/>
          <w:lang w:bidi="ar-SA"/>
        </w:rPr>
        <w:t>ولا يخفى أنّ المساعدة مع ما اختاره الشيخ والعلّامة والشافعي مشكل، وما رواه عن النبي أنّه مسح ناصيته دليل على خلاف قوله؛ لأنّ الناصية مقدّم الرأس الذي هو مساحة خاصّة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بإصبع واحد، يوجب كون الوضوء رمزاً من الرموز مع الغاية منه، هو الطهارة وما فضّله الشيخ هو الأحوط لو لم يكن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هو مسح بشرة الرأس أو الشعر غير الخارج عن محاذاة الرأس، وأمّا الخارج عن محاذاتها كالظفيرة، فلا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الرجلين،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الأرجل من حيث الإعراب، ويتبعه حكمها من حيث المسح،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الكعبين‌؟</w:t>
      </w:r>
    </w:p>
    <w:p>
      <w:pPr>
        <w:pStyle w:val="BookText"/>
        <w:rPr/>
      </w:pPr>
      <w:r>
        <w:rPr>
          <w:rFonts w:ascii="Amiri" w:hAnsi="Amiri" w:eastAsia="Amiri" w:cs="Amiri"/>
          <w:color w:val="111111"/>
          <w:sz w:val="28"/>
          <w:sz w:val="28"/>
          <w:szCs w:val="28"/>
          <w:rtl w:val="true"/>
          <w:lang w:bidi="ar-SA"/>
        </w:rPr>
        <w:t>وهذا الموضع من أهم البحوث في آية الوضوء قديماً وحديثاً، فلنبدأ بدراستهما تباعاً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365905_388300464"/>
      <w:bookmarkStart w:id="69" w:name="_Toc27"/>
      <w:bookmarkEnd w:id="68"/>
      <w:r>
        <w:rPr>
          <w:rtl w:val="true"/>
        </w:rPr>
        <w:t xml:space="preserve">بيان إعراب </w:t>
      </w:r>
      <w:r>
        <w:rPr>
          <w:rtl w:val="true"/>
        </w:rPr>
        <w:t>«</w:t>
      </w:r>
      <w:r>
        <w:rPr>
          <w:rtl w:val="true"/>
        </w:rPr>
        <w:t>الأرجل</w:t>
      </w:r>
      <w:r>
        <w:rPr>
          <w:rtl w:val="true"/>
        </w:rPr>
        <w:t xml:space="preserve">» </w:t>
      </w:r>
      <w:r>
        <w:rPr>
          <w:rtl w:val="true"/>
        </w:rPr>
        <w:t>على رأي الإمامية</w:t>
      </w:r>
      <w:bookmarkEnd w:id="69"/>
    </w:p>
    <w:p>
      <w:pPr>
        <w:pStyle w:val="BookText"/>
        <w:rPr/>
      </w:pPr>
      <w:r>
        <w:rPr>
          <w:rFonts w:ascii="Amiri" w:hAnsi="Amiri" w:eastAsia="Amiri" w:cs="Amiri"/>
          <w:color w:val="111111"/>
          <w:sz w:val="28"/>
          <w:sz w:val="28"/>
          <w:szCs w:val="28"/>
          <w:rtl w:val="true"/>
          <w:lang w:bidi="ar-SA"/>
        </w:rPr>
        <w:t>إنّ هنا 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بالنصب، وهي قراءة نافع، وابن عامر، وحفص، والكسائي، ويعقوب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بالجر، وهي قراءة ابن كثير، وحمزة، وأبي عمرو، وعاصم في</w:t>
      </w:r>
      <w:bookmarkStart w:id="70" w:name="pg14912_141089"/>
    </w:p>
    <w:p>
      <w:pPr>
        <w:pStyle w:val="BookText"/>
        <w:rPr/>
      </w:pPr>
      <w:bookmarkEnd w:id="70"/>
      <w:r>
        <w:rPr>
          <w:rFonts w:ascii="Amiri" w:hAnsi="Amiri" w:eastAsia="Amiri" w:cs="Amiri"/>
          <w:color w:val="111111"/>
          <w:sz w:val="28"/>
          <w:sz w:val="28"/>
          <w:szCs w:val="28"/>
          <w:rtl w:val="true"/>
          <w:lang w:bidi="ar-SA"/>
        </w:rPr>
        <w:t>رواية أبي بكر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القراءة الثانية فلا يشكّ أيّ عربي صميم في أنّ أرجلكم عطف على الأقرب إليه،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القراءة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أنّها 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منصوب محلاً لكونه مفعولاً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ما ذكرنا تكون الأرجل محكومة بحكم الرؤوس، على كلتا القراءتين، فهي مطلقاً عطف على الرؤوس إمّا على ظاهرها إذا كانت مجرورة، أو على محلّها إذا كانت منصوبة، والعطف على المحلّ أمر شائع في اللغة العربية، وقد ورد أيضاً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هي القراءة الرائجة، ولا وجه لرفعه إلّاكونه معطوفاً على اسم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مبتدأ، وقد عقد ابن هشام فصلاً خاصّاً للعطف على المحلّ وذكر شروطه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فعلى ما ذكرنا من القراءتين يُعلم حُكمُ الأرجل من حيث المسح أو الغسل، إذ يتعيّن المسح،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القائلين بغسل الأرجل قد وقعوا في حرج شديد في تطبيق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كلتا القراءتين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ندرسه تالياً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65907_388300464"/>
      <w:bookmarkStart w:id="72" w:name="_Toc28"/>
      <w:bookmarkEnd w:id="71"/>
      <w:r>
        <w:rPr>
          <w:rtl w:val="true"/>
        </w:rPr>
        <w:t>قراءة النصب ورأي أهل السنّة</w:t>
      </w:r>
      <w:bookmarkEnd w:id="72"/>
    </w:p>
    <w:p>
      <w:pPr>
        <w:pStyle w:val="BookText"/>
        <w:rPr/>
      </w:pPr>
      <w:r>
        <w:rPr>
          <w:rFonts w:ascii="Amiri" w:hAnsi="Amiri" w:eastAsia="Amiri" w:cs="Amiri"/>
          <w:color w:val="111111"/>
          <w:sz w:val="28"/>
          <w:sz w:val="28"/>
          <w:szCs w:val="28"/>
          <w:rtl w:val="true"/>
          <w:lang w:bidi="ar-SA"/>
        </w:rPr>
        <w:t>أمّا على النصب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الآية، وهذا كماترى، لانقطاع الحكم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آخر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فطبع العربي الصميم يأبى ذلك في نظائر الآية، فإذا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وجه زيد ورأسه ومسحت على كتفه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يرضى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 الكلام الأوّل وصلاحية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منصوب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ومررت ببكر وعمراً، فهل يرضى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صلاحية كونه معطوفاً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بما ذكرنا جمع من علماء السنّة فلنذكر بعض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عطف أرجلكم على وجوهكم، لأنّه لا يجوز أن يحال بين المعطوف والمعطوف عليه بقضية مبتدئة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إلى أنّ قراءة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بينهما بهذه الجملة التي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لأنّ فيه الفصل بين المتعاطفين بجملة إنشائية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إبراهيم بن محمد بن إبراهيم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وجرّها على اللفظ، ولا يجوز أن يكون النصب للعطف على وجوهكم، لامتناع العطف على وجوهكم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للفصل بين المعطوف والمعطوف عليه بجملة أجنبية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والأصل أن لا يفصل بينهما بمفرد فضلاً عن الجملة، ولم يسمع في الفصيح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ومررت ببكر وعمراً بعطف عمراً على زيد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قراءة النصب بالعطف على المحل أقرب لاطراد العطف على المحل، وأيضاً فيه خلوص عن الفصل بالأجنبي بين المعطوف والمعطوف عليه، فصار ظاهر القرآن هو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وبهذا ظهر أنّه لا محيص على القول بقراءة النصب، هو العطف على المحل لا على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الأخفش في توجيه غسل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معطوف على الرؤوس في اللفظ، مقطوع عنه في المعنى،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شتت همالة عيناها</w:t>
      </w:r>
    </w:p>
    <w:p>
      <w:pPr>
        <w:pStyle w:val="BookText"/>
        <w:rPr/>
      </w:pPr>
      <w:r>
        <w:rPr>
          <w:rFonts w:ascii="Amiri" w:hAnsi="Amiri" w:eastAsia="Amiri" w:cs="Amiri"/>
          <w:color w:val="111111"/>
          <w:sz w:val="28"/>
          <w:sz w:val="28"/>
          <w:szCs w:val="28"/>
          <w:rtl w:val="true"/>
          <w:lang w:bidi="ar-SA"/>
        </w:rPr>
        <w:t>أي علفتها تبناً وسقيتها ماء بارداً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البيت قرينة واضحة على أنّ الماء يُسقى به ولا يعلف، بخلاف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الزمخشري وجهاً آخر في توجيه الغسل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الأرجل من بين الأعضاء الثلاثة المغسولة تغسل بصب الماء عليها، فكانت مظنة للإسراف المذموم المنهي عنه، فعطفت على الثالث الممسوح لا لتمسح ولكن لينبّه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73" w:name="pg14912_141092"/>
    </w:p>
    <w:p>
      <w:pPr>
        <w:pStyle w:val="BookText"/>
        <w:rPr/>
      </w:pPr>
      <w:bookmarkEnd w:id="73"/>
      <w:r>
        <w:rPr>
          <w:rFonts w:ascii="Amiri" w:hAnsi="Amiri" w:eastAsia="Amiri" w:cs="Amiri"/>
          <w:color w:val="111111"/>
          <w:sz w:val="28"/>
          <w:sz w:val="28"/>
          <w:szCs w:val="28"/>
          <w:rtl w:val="true"/>
          <w:lang w:bidi="ar-SA"/>
        </w:rPr>
        <w:t>وجوب الاقتصاد في صب الماء عليها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ولا تعليق لنا على كلامه بشيء غير أنّه تفلسف لا يدور بخلد أحد من العرب حتى تفسّر الآية به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365909_388300464"/>
      <w:bookmarkStart w:id="75" w:name="_Toc29"/>
      <w:bookmarkEnd w:id="74"/>
      <w:r>
        <w:rPr>
          <w:rtl w:val="true"/>
        </w:rPr>
        <w:t>قراءة الجر ورأي أهل السنّة</w:t>
      </w:r>
      <w:bookmarkEnd w:id="75"/>
    </w:p>
    <w:p>
      <w:pPr>
        <w:pStyle w:val="BookText"/>
        <w:rPr/>
      </w:pPr>
      <w:r>
        <w:rPr>
          <w:rFonts w:ascii="Amiri" w:hAnsi="Amiri" w:eastAsia="Amiri" w:cs="Amiri"/>
          <w:color w:val="111111"/>
          <w:sz w:val="28"/>
          <w:sz w:val="28"/>
          <w:szCs w:val="28"/>
          <w:rtl w:val="true"/>
          <w:lang w:bidi="ar-SA"/>
        </w:rPr>
        <w:t xml:space="preserve">وأمّا على قراءة الجرّ، فالأرجل معطوفة على الرؤوس فتكون محكومة بالمسح عندنا على كلتا القراءتين، وأمّا أهل السنّة فلم يجدوا وجهاً إلّاالقول بأنّه مجرور على الجوار، أي لوقوعه في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مرفوعاً، لكنّه صار مجروراً لأجل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الزجاج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لاتّفاق أهل العربية على أنّ الإعراب بالمجاورة شاذّ نادر، وما هذا سبيله لا يجوز حمل القرآن عليه من غير ضرورة يلجأ إليها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أضف إلى ذلك ما ذكره علاء الدين البغدادي في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قراءة الجرّ لأجل المجاورة بوجهين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على المجاورة إنّما يحمل لأجل الضرورة في الشعر، أو يصار إليه حيث يحصل الأمن من الالتباس كما في المثال المذكور، لأنّ الخرب لا يكون نعتاً للضب، بل للجحر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بالجوار إنّما يكون بدون واو العطف، وأمّا معها فلم تتكلّم به العرب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إلى هنا ظهر أنّه لا مجال في تفسير القراءتين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بكون الأرجل معطوفاً على الرؤوس، أمّا على المحلّ أو على ظاهر اللفظ وتكون النتيجة هي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معطوفاً على الوجوه على قراءة النصب أو كونه مجروراً بالجوار على قراءة الجر فكلاهما من الأُمور التي لا يرضى بها الطبع العربي السليم، مع شذوذهما 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للفقيه المتابع للقرآن المجيد إلّاالإفتاء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استدلّوا على صحة الجرّ بالجوار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اَللُّؤْلُؤِ اَلْمَكْنُونِ‌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وجه الاستدلال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فالقراءة المشهورة هي الرفع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يطوف عليهم ولدان مخلدون وحور عين كأمثال اللؤلؤ المكنون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مبتدأ محذوف الخبر، أي ولهم حور عين كأمثال اللؤلؤ</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المكنون؛ لأنّه لما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ذلك ذكر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قراءة المشهور وأمّا على قراءة أبي جعفر وحمزة والكسائي بجرّ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مجرور بالجوار،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 وحورٍ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يحتجّ بغير القراءة المشهورة إذ لم يثبت تواترها عن النبيّ‌، فعلى فرض الصحّة فيمكن أن يكون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في جنات النعيم وفي حور عين، أي في مقاربة الحور العين، أو معاشرة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 إِلاَّ اَللّهَ إِنِّي أَخافُ عَلَيْكُمْ عَذابَ يَوْمٍ أَلِيمٍ‌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صار مجروراً للجوار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السياق في غير واحد من الآيات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تَوَلَّوْا فَإِنِّي أَخافُ عَلَيْكُمْ عَذابَ يَوْمٍ كَبِيرٍ</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الألم وصف للعذاب حقيقة، وبما أنّ اليوم ظرف للعذاب صار هذا مسوغاً لوصف اليوم به، فالأيام في هذه الآيات موصوفة بأنّها مؤلمة باعتبار كونها ظرفاً للألم، وهذا هو المعروف في باب الإسناد المجازي في علم البلاغة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القول ما ذكره الآلوسي،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حكم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6" w:name="pg14912_141095"/>
    </w:p>
    <w:p>
      <w:pPr>
        <w:pStyle w:val="BookText"/>
        <w:rPr/>
      </w:pPr>
      <w:bookmarkEnd w:id="76"/>
      <w:r>
        <w:rPr>
          <w:rFonts w:ascii="Amiri" w:hAnsi="Amiri" w:eastAsia="Amiri" w:cs="Amiri"/>
          <w:color w:val="111111"/>
          <w:sz w:val="28"/>
          <w:sz w:val="28"/>
          <w:szCs w:val="28"/>
          <w:rtl w:val="true"/>
          <w:lang w:bidi="ar-SA"/>
        </w:rPr>
        <w:t>اللّه تعالى المسح على ما يزعمه الإمامية فالغسل يكفي عنه، ولو كان هو الغسل لا يكفي المسح عنه، فبالغسل يلزم الخروج من العهدة بيقين دون المسح؛ وذلك لأنّ الغسل محصِّل لمقصود المسح من وصول البلل وزيادة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في الآية عبارة عن إمرار الماسح الممسوح بالنداوة الموجودة في اليد، كما هو ظاهر الآية، وهو غير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بكفاية الثاني عن الأوّل، تشريع وابتداع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المولى عبده بالمسح وقام هو بالغسل لا يُعدّ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الآلوسي العمل بالاحتياط فعليه التوضّؤ بوضوءين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بالمسح وأُخرى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كلام آخر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 يلزم الشيعة الغسل؛ لأنّه الأنسب بالوجه المعقول من الوضوء وهو التنظيف للوقوف بين يدي رب الأرباب سبحانه وتعالى، لأنّه الأحوط أيضاً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كفاية الغسل عن المسح في الرؤوس أيضاً، مع أنّه لم يقل به أحد، فإذا رأينا أنّ الشارع يأمر بالمسح تارة وبالغسل أُخرى، نقف على أنّ للشارع 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مورد، والمسح في مورد آخر، وتجويز الغسل في مورد المسح تحريف للآية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65911_388300464"/>
      <w:bookmarkStart w:id="78" w:name="_Toc30"/>
      <w:bookmarkEnd w:id="77"/>
      <w:r>
        <w:rPr>
          <w:rtl w:val="true"/>
        </w:rPr>
        <w:t>دراسة كلام صاحب المنار</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لصاحب المنار كلاماً زعم أنّه أقوى الحجج اللفظية لأهل السنّة على</w:t>
      </w:r>
      <w:bookmarkStart w:id="79" w:name="pg14912_141096"/>
    </w:p>
    <w:p>
      <w:pPr>
        <w:pStyle w:val="BookText"/>
        <w:rPr/>
      </w:pPr>
      <w:bookmarkEnd w:id="79"/>
      <w:r>
        <w:rPr>
          <w:rFonts w:ascii="Amiri" w:hAnsi="Amiri" w:eastAsia="Amiri" w:cs="Amiri"/>
          <w:color w:val="111111"/>
          <w:sz w:val="28"/>
          <w:sz w:val="28"/>
          <w:szCs w:val="28"/>
          <w:rtl w:val="true"/>
          <w:lang w:bidi="ar-SA"/>
        </w:rPr>
        <w:t>الإمامية، وهو أنّ الإمامية يمسحون ظاهر القدم إلى معقد الشراك عند المفصل بين الساق والقدم،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الكعب، ففي الرجل كعب واحد، على رأيهم، ولو صحّ 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الكعاب، كما في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كلّ يد مرفقاً واحداً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بأنّ الكعب عبارة عن العظمين الناتئين في جانبي قدم الإنسان، يكون وجه التعبير بالتثنية كون كلّ رِجل ذات 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الكعب هو معقد الشراك عند المفصل بين الساق والقدم فيكون وجه التعبير بالتثنية كون كلّ إنسان ذا 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هو الثاني بشهادة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أرجل كلّ متوضِّئ أو مكلّف، وأمّا وجه اختلاف التعبير هنا عمّا في غسل الأيد حيث عبّر هناك بالمرافق وفي المقام بالكعبين، فلأجل أنّ لجمال التعبير بهما تأثّراً كبيراً في فصاحة الكلام، فصار هذا سبباً للاختلاف في التعبير،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الحجّة القوّية التي يدّعيها صاحب المنار غفر اللّه له، فكيف حال الحجج الضعيفة‌؟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65913_388300464"/>
      <w:bookmarkStart w:id="81" w:name="_Toc31"/>
      <w:bookmarkEnd w:id="80"/>
      <w:r>
        <w:rPr>
          <w:rtl w:val="true"/>
        </w:rPr>
        <w:t>مسح الأرجل في أحاديث النبيّ صلى الله عليه و آله و سلم</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القراءتين سواء النصب أو الجر تدلّان بوضوح على وجوب المسح على الأرجل، وهناك روايات متضافرة عن النبيّ صلى الله عليه و آله و سلم تبلغ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كلّها تدلّ على أنّ النبيّ كان يمسح الأرجل، كما أنّ هناك روايات عن الصحابة</w:t>
      </w:r>
    </w:p>
    <w:p>
      <w:pPr>
        <w:pStyle w:val="BookText"/>
        <w:rPr/>
      </w:pPr>
      <w:r>
        <w:rPr>
          <w:rFonts w:ascii="Amiri" w:hAnsi="Amiri" w:eastAsia="Amiri" w:cs="Amiri"/>
          <w:color w:val="111111"/>
          <w:sz w:val="28"/>
          <w:sz w:val="28"/>
          <w:szCs w:val="28"/>
          <w:rtl w:val="true"/>
          <w:lang w:bidi="ar-SA"/>
        </w:rPr>
        <w:t xml:space="preserve">والتابعين تناهز أيضاً خمسة عشر أثراً تدلّ على أنّهم كانوا يمسحون على الأرجل، وقد ذكرنا تلك النصوص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أن لا تخلو دراستنا عن هذه الروايات نأتي ببعض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عثمان المقاعد فدعا بوضوء وتمضمض واستنشق ثم غسل وجهه ثلاثاً، ويديه ثلاثاً ثلاثاً، ثم مسح برأسه ورجليه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هكذا يتوضّأ، يا هؤلاء أكذاك‌؟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لنفر من أصحاب رسول اللّه صلى الله عليه و آله و سلم عنده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توضّأ كما توضّأت، فتمضمض واستنشق وغسل وجهه ثلاثاً ويديه ثلاثاً ومسح برأسه وظهر قدميه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عبداللّه بن زيد المازني أنّ النبي صلى الله عليه و آله و سلم توضّأ فغسل وجهه ثلاثاً ويديه مرّتين ومسح رأسه ورجليه مرّتين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مع علي في المسجد، جاء رجل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وضوء رسول اللّه صلى الله عليه و آله و سلم فدعا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بكوز من ماء، فغسل يديه ووجهه ثلاثاً، فأدخل بعض أصابعه في فيه واستنشق ثلاثاً، وغسل ذراعيه ثلاثاً ومسح رأسه واحدة ورجليه إلى الكعبين، ولحيته تهطل على صدره،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حسا حسوة بعد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وضوء رسول اللّه صلى الله عليه و آله و سلم، كذا كان وضوء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توضّأ ومسح بالماء على لحيته ورجليه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 باطن القدمين أحق بالمسح من ظاهرهما حتى رأيت رسول اللّه صلى الله عليه و آله و سلم يمسح ظاهرهما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رفاعة بن رافع أنّه سمع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تتم صلاة لأحد حتى يسبغ الوضوء كما أمره اللّه تعالى، يغسل وجهه ويديه إلى المرفقين، ويمسح برأسه ورجليه إلى الكعبين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النبيّ صلى الله عليه و آله و سلم في سفرة سافرناها، فأدركنا وقد أرهقتنا الصلاة ونحن نتوضّأ فجعلنا نمسح على أرجلنا،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ثم إنّه ربّما يستدل القائل بالغسل بهذه الرواية بأنّ النبيّ صلى الله عليه و آله و سلم حذّر الماسحين على الأرجل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حذر هؤلاء لأنّ أعقابهم كانت نجسة غير صالحة للمسح، فأمرهم بأن يطهّروا الأعقاب أوّلاً ثم يمسحوا على الأرجل، فلم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التحذير لأجل المسح على الأرجل، بل لأجل كون الممسوح غير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المسح على ظاهر الأرجل ملازماً لمسح شيء من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على خلاف قول الخصم أدلّ‌، فإنّها تدلّ على أنّ عبداللّه بن عمرو وأمثاله كانوا يمسحون إلى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مالك الأشعري أنّه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أُصلّي بكم صلاة رسول اللّه صلى الله عليه و آله و سلم،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إلّاابن أُخت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أُخت القوم منهم، فدعا بجفنة فيها ماء، فتوضّأ ومضمض واستنشق، وغسل وجهه ثلاثاً وذراعيه ثلاثاً ثلاثاً، ومسح برأسه وظهر قدميه، ثمّ صلّى بهم فكبّر بهم ثنتين وعشرين تكبيرة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عبّاد بن تميم المازني،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يتوضّأ ويمسح الماء على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عشرة كاملة نكتفي بها، ومن أراد الوقوف على الجميع فعليه الرجوع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إلى هنا تمّ الكلام في الموضع الأوّل وهو تبيين وجه القراءتين وما يتبعه من وجوب المسح أو الغسل، إنّما الكلام في الموضع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الكعب‌؟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2" w:name="pg14912_141100"/>
    </w:p>
    <w:p>
      <w:pPr>
        <w:pStyle w:val="Heading4"/>
        <w:numPr>
          <w:ilvl w:val="3"/>
          <w:numId w:val="1"/>
        </w:numPr>
        <w:rPr/>
      </w:pPr>
      <w:bookmarkStart w:id="83" w:name="__RefHeading___Toc1365915_388300464"/>
      <w:bookmarkStart w:id="84" w:name="_Toc32"/>
      <w:bookmarkEnd w:id="82"/>
      <w:bookmarkEnd w:id="83"/>
      <w:r>
        <w:rPr>
          <w:rtl w:val="true"/>
        </w:rPr>
        <w:t>ما هو المراد من الكعب‌؟</w:t>
      </w:r>
      <w:bookmarkEnd w:id="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يطلق على معانٍ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العظمان الناتئان في جانبي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العظم المرتفع في ظهر القدم الواقع فيما بين المفصل والمِشط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المفصل بين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صاحب القاموس،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كلّ مفصل للعظام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 مستدير مثل كعب البقر والغنم موضوع تحت عظم الساق، حيث يكون مفصل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الأصمعي يختار هذا القول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الطرفان الناتئان يسمّيان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القفّال في تفسيره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أمّا الوجه الرابع فبعيد عن الاعتبار؛ لأنّ الكعب عبارة عن الارتفاع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القول الثالث إذ ليس فيه أيّ ارتفاع، وبما أنّ الآية تتضمّن تكليفاً لكلّ مسلم،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التوضّؤ لكلّ صلاة، فيجب أن يكون التعبير واضح الدلالة مبيّن المراد، بحيث لا يحتاج فهم المراد منه إلى دقّة علمية لا يقف عليها إلّاالأوحدي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المراد من الكعب أحد الوجهين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القدم؛ لأنّ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الارتفاع،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bookmarkStart w:id="85" w:name="pg14912_141101"/>
    </w:p>
    <w:p>
      <w:pPr>
        <w:pStyle w:val="BookText"/>
        <w:rPr/>
      </w:pPr>
      <w:bookmarkEnd w:id="85"/>
      <w:r>
        <w:rPr>
          <w:rFonts w:ascii="Amiri" w:hAnsi="Amiri" w:eastAsia="Amiri" w:cs="Amiri"/>
          <w:color w:val="111111"/>
          <w:sz w:val="28"/>
          <w:sz w:val="28"/>
          <w:szCs w:val="28"/>
          <w:rtl w:val="true"/>
          <w:lang w:bidi="ar-SA"/>
        </w:rPr>
        <w:t>كاعب إذا نتأ ثدياها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الكعب لكلّ ما له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كَواعِبَ أَتْراباً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أي جواري تكعب ثديهن، مستويات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تضافرت الروايات عن أئمّة أهل البيت عليهم السلام بأنّه قبّة القدم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وقد نقل في الجواهر عن عميد الرؤساء أنّه ألّف كتاباً في الكعب وفسّره بظهر القدم الواقع بين المفصل والمِشط، وهو لغوي بارز</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وهذا القول هو المشهور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المتعيّن لكونه مروياً عن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فقهاء السنّة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الكعبين هما العظمان الناتئان في جانبي الساق، ولكن يبعده ما مرّ أنّهما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الاحتياط فليجمع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يتمكّن من الوضوء، والثاني لا يتمكّن فقد تمّ الكلام في الأوّل، وبقي الكلام في الصنف الثاني، وهذا ما يشير إليه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w:t>
      </w:r>
    </w:p>
    <w:p>
      <w:pPr>
        <w:pStyle w:val="Heading4"/>
        <w:numPr>
          <w:ilvl w:val="3"/>
          <w:numId w:val="1"/>
        </w:numPr>
        <w:rPr/>
      </w:pPr>
      <w:bookmarkStart w:id="86" w:name="__RefHeading___Toc1365917_388300464"/>
      <w:bookmarkStart w:id="87" w:name="_Toc33"/>
      <w:bookmarkEnd w:id="86"/>
      <w:r>
        <w:rPr>
          <w:rtl w:val="true"/>
        </w:rPr>
        <w:t>حكم غير المتمكّن من الماء</w:t>
      </w:r>
      <w:bookmarkEnd w:id="87"/>
    </w:p>
    <w:p>
      <w:pPr>
        <w:pStyle w:val="Heading5"/>
        <w:numPr>
          <w:ilvl w:val="4"/>
          <w:numId w:val="1"/>
        </w:numPr>
        <w:rPr/>
      </w:pPr>
      <w:bookmarkStart w:id="88" w:name="__RefHeading___Toc1365919_388300464"/>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ذكر سبحانه من هذا الصنف أشخاصاً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المرضى‌،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w:t>
      </w:r>
      <w:bookmarkStart w:id="90" w:name="pg14912_141102"/>
    </w:p>
    <w:p>
      <w:pPr>
        <w:pStyle w:val="BookText"/>
        <w:rPr/>
      </w:pPr>
      <w:bookmarkEnd w:id="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المسافر،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بالحدث الأصغر،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مرّ أنّ الغائط هو الأرض المنخفضة، والمجيء منه كناية عن قضاء الحاجة الملازم للحدث، وقد عبّر به سبحانه حفظاً للأدب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بالحدث الأكبر، وقد عبّر عنه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 عن الجماع صوناً للّسان من التصريح بما لا يناسب الأدب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الطوائف الأربع يجب عليهم التيمّم بشرط خاص وهو ما يذكره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هؤلاء التيمّم،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اقصدوا تراباً أو مكاناً من وجه الأرض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فاضربوا بأيديكم عليه فامسحوا بها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وسيوافيك ما هو 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الصعيد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أُمور ترتبط بتفسير الآية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365921_388300464"/>
      <w:bookmarkStart w:id="92" w:name="_Toc35"/>
      <w:bookmarkEnd w:id="91"/>
      <w:r>
        <w:rPr>
          <w:rtl w:val="true"/>
        </w:rPr>
        <w:t>الأوّل</w:t>
      </w:r>
      <w:r>
        <w:rPr>
          <w:rtl w:val="true"/>
        </w:rPr>
        <w:t xml:space="preserve">: </w:t>
      </w:r>
      <w:r>
        <w:rPr>
          <w:rtl w:val="true"/>
        </w:rPr>
        <w:t>ما هو المراد من الصعيد؟</w:t>
      </w:r>
      <w:bookmarkEnd w:id="92"/>
    </w:p>
    <w:p>
      <w:pPr>
        <w:pStyle w:val="BookText"/>
        <w:rPr/>
      </w:pPr>
      <w:r>
        <w:rPr>
          <w:rFonts w:ascii="Amiri" w:hAnsi="Amiri" w:eastAsia="Amiri" w:cs="Amiri"/>
          <w:color w:val="111111"/>
          <w:sz w:val="28"/>
          <w:sz w:val="28"/>
          <w:szCs w:val="28"/>
          <w:rtl w:val="true"/>
          <w:lang w:bidi="ar-SA"/>
        </w:rPr>
        <w:t>أمّا الصعيد فقد تقدّم تفسيره في المفردات إجمالاً وقد اختلف اللغويون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جمهرة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الخالص الّذي لا يخالطه سبخ</w:t>
      </w:r>
      <w:r>
        <w:rPr>
          <w:rStyle w:val="FootnoteAnchor"/>
          <w:rtl w:val="true"/>
        </w:rPr>
        <w:footnoteReference w:id="71"/>
      </w:r>
      <w:r>
        <w:rPr>
          <w:rFonts w:ascii="IRNazanin" w:hAnsi="IRNazanin" w:eastAsia="IRNazanin"/>
          <w:color w:val="111111"/>
          <w:sz w:val="28"/>
          <w:sz w:val="28"/>
          <w:szCs w:val="28"/>
          <w:rtl w:val="true"/>
          <w:lang w:bidi="fa-IR"/>
        </w:rPr>
        <w:t>ولا رمل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الأرض تراباً كان أو غيره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p>
    <w:p>
      <w:pPr>
        <w:pStyle w:val="BookText"/>
        <w:rPr/>
      </w:pPr>
      <w:r>
        <w:rPr>
          <w:rFonts w:ascii="Amiri" w:hAnsi="Amiri" w:eastAsia="Amiri" w:cs="Amiri"/>
          <w:color w:val="111111"/>
          <w:sz w:val="28"/>
          <w:sz w:val="28"/>
          <w:szCs w:val="28"/>
          <w:rtl w:val="true"/>
          <w:lang w:bidi="ar-SA"/>
        </w:rPr>
        <w:t xml:space="preserve">اختلافاً بين أهل اللغة في ذلك فيشمل الحجر والمدر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الخالص الّذي لا يخالطه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أكثر العلماء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الطاهر الّذي على وجه الأرض أو خرج من باطنها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والوجه الثالث يرجع إلى الوجه الأوّل إلّاأن يقال بأنّ السبخ مضرّ على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هو القول الثاني للروايات التالية الّتي تفسّر الصعيد بالأرض الشاملة للتراب والرمل والطين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يوم القيامة عُراة حفاة على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 واحدة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الماء هو ربّ الأرض</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الّتي تدلّ على جواز التيمّم على الأرض الشامل للتراب والرمل والطين اليابس وغيرها، فيكون تفسيراً للصعيد بشرط أن لا يخرج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3" w:name="pg14912_141104"/>
    </w:p>
    <w:p>
      <w:pPr>
        <w:pStyle w:val="BookText"/>
        <w:rPr/>
      </w:pPr>
      <w:bookmarkEnd w:id="93"/>
      <w:r>
        <w:rPr>
          <w:rFonts w:ascii="Amiri" w:hAnsi="Amiri" w:eastAsia="Amiri" w:cs="Amiri"/>
          <w:color w:val="111111"/>
          <w:sz w:val="28"/>
          <w:sz w:val="28"/>
          <w:szCs w:val="28"/>
          <w:rtl w:val="true"/>
          <w:lang w:bidi="ar-SA"/>
        </w:rPr>
        <w:t>عن كونه أرضاً كالمعادن، والتفصيل في محلّه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365923_388300464"/>
      <w:bookmarkStart w:id="95" w:name="_Toc36"/>
      <w:bookmarkEnd w:id="94"/>
      <w:r>
        <w:rPr>
          <w:rtl w:val="true"/>
        </w:rPr>
        <w:t>الثاني</w:t>
      </w:r>
      <w:r>
        <w:rPr>
          <w:rtl w:val="true"/>
        </w:rPr>
        <w:t xml:space="preserve">: </w:t>
      </w:r>
      <w:r>
        <w:rPr>
          <w:rtl w:val="true"/>
        </w:rPr>
        <w:t>حدّ الملامسة</w:t>
      </w:r>
      <w:bookmarkEnd w:id="95"/>
    </w:p>
    <w:p>
      <w:pPr>
        <w:pStyle w:val="BookText"/>
        <w:rPr/>
      </w:pPr>
      <w:r>
        <w:rPr>
          <w:rFonts w:ascii="Amiri" w:hAnsi="Amiri" w:eastAsia="Amiri" w:cs="Amiri"/>
          <w:color w:val="111111"/>
          <w:sz w:val="28"/>
          <w:sz w:val="28"/>
          <w:szCs w:val="28"/>
          <w:rtl w:val="true"/>
          <w:lang w:bidi="ar-SA"/>
        </w:rPr>
        <w:t>الظاهر أنّ الملامسة كناية عن غشيان النساء والإفضاء إليهن، وعليه المفسّرون، وحَمْلُها على إصابة البشرة للبشرة، بعيد عن سياق الآية، وقد حُكي عن الشافعي نقض الوضوء بلمس بشرة المحارم من النساء، وبه قال الزهري والأوزاعي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ذكر حكم الجنب إذا كان واجداً للماء،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التقابل أن يذكر حكم الجنب عند فقدان الماء،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ولم تجدوا ماءً فلو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 البشرة، يلزم ترك بيان حكم الجنب عند فقدان الماء، وهذا خلاف مقتضى التقابل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ذكر حكم المحدث بالحدث الأصغر والأكبر عند وجدان الماء، فلازم السياق ذكر حكمهما عند فقدان الماء، فذكر حكم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مَرْضى أَوْ عَلى سَفَرٍ 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محيص من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حكم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الجنب إذا لم يجد ماءً‌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مسّ بشرة النساء من المحارم ناقضاً للوضوء، تحقير للنساء التي نزل كثير من الآيات في رفع شأنهن</w:t>
      </w:r>
      <w:r>
        <w:rPr>
          <w:rFonts w:eastAsia="Amiri" w:cs="Amiri" w:ascii="Amiri" w:hAnsi="Amiri"/>
          <w:color w:val="111111"/>
          <w:sz w:val="28"/>
          <w:szCs w:val="28"/>
          <w:rtl w:val="true"/>
          <w:lang w:bidi="ar-SA"/>
        </w:rPr>
        <w:t>.</w:t>
      </w:r>
      <w:bookmarkStart w:id="96" w:name="pg14912_141105"/>
    </w:p>
    <w:p>
      <w:pPr>
        <w:pStyle w:val="Heading5"/>
        <w:numPr>
          <w:ilvl w:val="4"/>
          <w:numId w:val="1"/>
        </w:numPr>
        <w:rPr/>
      </w:pPr>
      <w:bookmarkStart w:id="97" w:name="__RefHeading___Toc1365925_388300464"/>
      <w:bookmarkStart w:id="98" w:name="_Toc37"/>
      <w:bookmarkEnd w:id="96"/>
      <w:bookmarkEnd w:id="97"/>
      <w:r>
        <w:rPr>
          <w:rtl w:val="true"/>
        </w:rPr>
        <w:t>الثالث</w:t>
      </w:r>
      <w:r>
        <w:rPr>
          <w:rtl w:val="true"/>
        </w:rPr>
        <w:t xml:space="preserve">: </w:t>
      </w:r>
      <w:r>
        <w:rPr>
          <w:rtl w:val="true"/>
        </w:rPr>
        <w:t>حكم المريض والمسافر</w:t>
      </w:r>
      <w:bookmarkEnd w:id="98"/>
    </w:p>
    <w:p>
      <w:pPr>
        <w:pStyle w:val="Heading6"/>
        <w:numPr>
          <w:ilvl w:val="5"/>
          <w:numId w:val="1"/>
        </w:numPr>
        <w:rPr/>
      </w:pPr>
      <w:bookmarkStart w:id="99" w:name="__RefHeading___Toc1365927_388300464"/>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المتبادر من الآية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للأصناف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المسافر، المحدث بالحدث الأصغر، والمحدث بالحدث الأكبر، فعليهم جميعاً التيمّم إذا لم يجدوا ماءً‌، دونما إذا كانوا متمكّنين منه، وهذا هو المفتى به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نسب عدم وجدان الماء إلى الأصناف الثلاثة يُراد به عدم وجدان ماء حقيقة، وإذا نسب إلى المريض يُراد به كون استعمال الماء حرجياً وضررياً، وكُنيّ عن هذا القسم أيضاً بعدم وجدان الماء تغليباً للأكثر على الأقل، فإنّ كون الاستعمال ضررياً يشبّه بعدم وجود الماء؛ لأنّ وجوده وعدمه في حقّ المريض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تيمّم المريض والمسافر مقيّداً بعدم وجدان الماء، كان ذكر كلّ من عنواني المرض والسفر أمراً مستدركاً، إذ لا دخل لهما في لزوم التيمّم وإنّما الموضوع هو عدم وجدان الماء، سواء أكان مريضاً أم مصحّاً، أكان حاضراً أم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دليلاً على أنّ المسافر والمريض يتيمّمان مطلقاً، سواء كان الماء موجوداً أم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كما ذكر هو فقدان الماء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فقدانه أو كون استعماله مضرّاً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 المسافر والمريض بالذكر؛ لأنّه يغلب عليهما فقدان الماء خصوصاً في الأسفار السابقة التي كان السفر على آباط الإبل في المفاوز والصحارى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فالمرض والمضر أخذا طريقين لفقدان الماء أو لإضراره دون أن يكون لكلّ موضوعية</w:t>
      </w:r>
      <w:r>
        <w:rPr>
          <w:rFonts w:eastAsia="Amiri" w:cs="Amiri" w:ascii="Amiri" w:hAnsi="Amiri"/>
          <w:color w:val="111111"/>
          <w:sz w:val="28"/>
          <w:szCs w:val="28"/>
          <w:rtl w:val="true"/>
          <w:lang w:bidi="ar-SA"/>
        </w:rPr>
        <w:t>.</w:t>
      </w:r>
      <w:bookmarkStart w:id="101" w:name="pg14912_141106"/>
    </w:p>
    <w:p>
      <w:pPr>
        <w:pStyle w:val="BookText"/>
        <w:rPr/>
      </w:pPr>
      <w:bookmarkEnd w:id="101"/>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الصنفين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بقرينة المقابلة حضورهما في بلدانهم وأوطانهم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 القيد على الفرد النادر؛ لأنّ الصنفين الأخيرين يتمكّنان من الماء في أغلب الموارد، وأمّا غير المتمكّن من الماء بالمعنى الأعم فهو في الدرجة الأُولى المسافر وبالتالي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حكم المريض والمسافر مثل الصنفين الأخيرين فيتيمّمان عند فقد الماء دون وجوده في المسافر وعدم حرجه في المريض</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65929_388300464"/>
      <w:bookmarkStart w:id="103" w:name="_Toc39"/>
      <w:bookmarkEnd w:id="102"/>
      <w:r>
        <w:rPr>
          <w:rtl w:val="true"/>
        </w:rPr>
        <w:t>فتوى شاذّة لصاحب المنار وأُستاذه</w:t>
      </w:r>
      <w:bookmarkEnd w:id="103"/>
    </w:p>
    <w:p>
      <w:pPr>
        <w:pStyle w:val="BookText"/>
        <w:rPr/>
      </w:pPr>
      <w:r>
        <w:rPr>
          <w:rFonts w:ascii="Amiri" w:hAnsi="Amiri" w:eastAsia="Amiri" w:cs="Amiri"/>
          <w:color w:val="111111"/>
          <w:sz w:val="28"/>
          <w:sz w:val="28"/>
          <w:szCs w:val="28"/>
          <w:rtl w:val="true"/>
          <w:lang w:bidi="ar-SA"/>
        </w:rPr>
        <w:t>إنّ صاحب المنار تبعاً لأُستاذه الشيخ عبده ذهبا إلى أنّ للسفر والمرض تأثيراً مستقلّاً في العدول إلى التيمّم حتى ولو وجدا الماء ولم يكن استعماله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المريض والمسافر إذا أرادا الصلاة كحكم المحدث حدثاً أصغر أو ملامس النساء ولم يجدا الماء، فعلى كلّ هؤلاء التيمّم، وأنّ الآية واضحة المعنى تقتضي أنّ التيمم في السفر جائز ولو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استظهرا بأنّه سبحانه رخّص السفر الذي منه قصر الصلاة وجمعها وإباحة الفطر في رمضان، فهل يستنكر مع هذا أن يرخّص للمسافر في ترك الغسل والوضوء وهما دون الصلاة والصيام في نظر الدين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من المجرّب أنّ الوضوء والغسل يشقّان على المسافر الواجد للماء في زماننا هذا، فكيف في الزمان السابق الذي كان السفر على ظهور الإبل في</w:t>
      </w:r>
    </w:p>
    <w:p>
      <w:pPr>
        <w:pStyle w:val="BookText"/>
        <w:rPr/>
      </w:pPr>
      <w:r>
        <w:rPr>
          <w:rFonts w:ascii="Amiri" w:hAnsi="Amiri" w:eastAsia="Amiri" w:cs="Amiri"/>
          <w:color w:val="111111"/>
          <w:sz w:val="28"/>
          <w:sz w:val="28"/>
          <w:szCs w:val="28"/>
          <w:rtl w:val="true"/>
          <w:lang w:bidi="ar-SA"/>
        </w:rPr>
        <w:t>مفاوز الحجاز وجبالها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عجب العجاب غفلة جماهير الفقهاء عن هذه الرخصة الصريحة في عبارة القرآن، واحتمال ربط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بل ممنوع كما تقدّم على أنّهم لا يقولون به في المرضى لأنّ اشتراط فقد الماء في حقّهم لا فائدة له، لأنّ الأصحّاء والحاضرين مثلهم فيكون ذكرها لغواً، يتنزّه عنه القرآن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راجع إلى الجميع، وما ذكره من أنّ لازمه كون ذكر كلّ من عنواني السفر والمرض أمراً لغواً، مدفوع، لما عرفت من أنّ تخصيصهما بالذكر لأجل أنّ الغالب على حالتي السفر والمرض فقدان الماء في المسافر والحرج أو الضرر في المريض، بخلاف الحاضر والمصح إذ يتوفر الماء عند الحاضر، و لا يتحرّج المصحّ من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بالأخيرين، يلازم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الفرد النادر، لأنّ فقدان الماء عند المجيء من الغائط أو الملامس في الوطن</w:t>
      </w:r>
      <w:r>
        <w:rPr>
          <w:rStyle w:val="FootnoteAnchor"/>
          <w:rtl w:val="true"/>
        </w:rPr>
        <w:footnoteReference w:id="77"/>
      </w:r>
      <w:r>
        <w:rPr>
          <w:rFonts w:ascii="Amiri" w:hAnsi="Amiri" w:eastAsia="Amiri" w:cs="Amiri"/>
          <w:color w:val="111111"/>
          <w:sz w:val="28"/>
          <w:sz w:val="28"/>
          <w:szCs w:val="28"/>
          <w:rtl w:val="true"/>
          <w:lang w:bidi="ar-SA"/>
        </w:rPr>
        <w:t>، قليل جدّاً، بخلاف إرجاعه إلى الجميع، فقد عرفت أنّ فقدان الماء في الأوّلين أمر غالبي خصوصاً في الأسفار في الأزمان السابقة حيث يسافرون بالإبل ويقطعون الصحارى والمفاوز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الأُستاذ والتلميذ مع ذكائهما خلطا بين أمرين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سبب للرخصة كالمرض، والحال أنّهما أمارة لفقد الماء أو كون استعمالهة</w:t>
      </w:r>
      <w:r>
        <w:rPr>
          <w:rFonts w:eastAsia="Amiri" w:cs="Amiri" w:ascii="Amiri" w:hAnsi="Amiri"/>
          <w:color w:val="111111"/>
          <w:sz w:val="28"/>
          <w:szCs w:val="28"/>
          <w:rtl w:val="true"/>
          <w:lang w:bidi="ar-SA"/>
        </w:rPr>
        <w:t>.</w:t>
      </w:r>
      <w:bookmarkStart w:id="104" w:name="pg14912_141108"/>
    </w:p>
    <w:p>
      <w:pPr>
        <w:pStyle w:val="BookText"/>
        <w:rPr/>
      </w:pPr>
      <w:bookmarkEnd w:id="104"/>
      <w:r>
        <w:rPr>
          <w:rFonts w:ascii="Amiri" w:hAnsi="Amiri" w:eastAsia="Amiri" w:cs="Amiri"/>
          <w:color w:val="111111"/>
          <w:sz w:val="28"/>
          <w:sz w:val="28"/>
          <w:szCs w:val="28"/>
          <w:rtl w:val="true"/>
          <w:lang w:bidi="ar-SA"/>
        </w:rPr>
        <w:t>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المنار نقل عن أُستاذه أنّه قد راجع خمسة وعشرين تفسيراً رجاء أن يجد فيها قولاً لا تكلّف فيه، لكن صاحب المنار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أراجع عند كتابة تفسيرها إلّاروح المعاني وهو آخر التفاسير المتداولة تأليفاً وصاحبه واسع الاطّلاع، فإذا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معضلات القرآن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نوافق صاحب المنار في أنّ الآية ليست من معضلات القرآن، لكن فهم الآية واستنباط الأحكام رهن التدبّر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ذكر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والمسافر الأوّلين لغلبة فقد الماء عليهما دون المصحّ والحاضر</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365931_388300464"/>
      <w:bookmarkStart w:id="106" w:name="_Toc40"/>
      <w:bookmarkEnd w:id="105"/>
      <w:r>
        <w:rPr>
          <w:rtl w:val="true"/>
        </w:rPr>
        <w:t>الرابع</w:t>
      </w:r>
      <w:r>
        <w:rPr>
          <w:rtl w:val="true"/>
        </w:rPr>
        <w:t xml:space="preserve">: </w:t>
      </w:r>
      <w:r>
        <w:rPr>
          <w:rtl w:val="true"/>
        </w:rPr>
        <w:t>كيفية التيمّم</w:t>
      </w:r>
      <w:bookmarkEnd w:id="106"/>
    </w:p>
    <w:p>
      <w:pPr>
        <w:pStyle w:val="BookText"/>
        <w:rPr/>
      </w:pPr>
      <w:r>
        <w:rPr>
          <w:rFonts w:ascii="Amiri" w:hAnsi="Amiri" w:eastAsia="Amiri" w:cs="Amiri"/>
          <w:color w:val="111111"/>
          <w:sz w:val="28"/>
          <w:sz w:val="28"/>
          <w:szCs w:val="28"/>
          <w:rtl w:val="true"/>
          <w:lang w:bidi="ar-SA"/>
        </w:rPr>
        <w:t>هو أن يضرب يديه على الصعيد ثم يمسح الجبهة بهما من قصاص الشعر إلى طرف أنفه، ثم يمسح ظاهر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باستيعاب مسح الوجه والذراعين، والأوّل أظهر</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كونه أظهر أنّه تعالى عبّر بالمسح المتعدّي بالباء،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المعتمد في التيمّم هو مسح بعض عضوي الغسل في الوضوء،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الوجه وبعض اليد إلى المرفق، فينطبق على ما ورد من طرق أئمّة أهل البيت عليهم السلام من تحديد الممسوح بالوجه ما بين الجبينين</w:t>
      </w:r>
      <w:r>
        <w:rPr>
          <w:rStyle w:val="FootnoteAnchor"/>
          <w:rtl w:val="true"/>
        </w:rPr>
        <w:footnoteReference w:id="80"/>
      </w:r>
      <w:r>
        <w:rPr>
          <w:rFonts w:ascii="Amiri" w:hAnsi="Amiri" w:eastAsia="Amiri" w:cs="Amiri"/>
          <w:color w:val="111111"/>
          <w:sz w:val="28"/>
          <w:sz w:val="28"/>
          <w:szCs w:val="28"/>
          <w:rtl w:val="true"/>
          <w:lang w:bidi="ar-SA"/>
        </w:rPr>
        <w:t>والممسوح باليد بما دون الزند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هل تكفي ضربة واحدة</w:t>
      </w:r>
    </w:p>
    <w:p>
      <w:pPr>
        <w:pStyle w:val="BookText"/>
        <w:rPr/>
      </w:pPr>
      <w:r>
        <w:rPr>
          <w:rFonts w:ascii="Amiri" w:hAnsi="Amiri" w:eastAsia="Amiri" w:cs="Amiri"/>
          <w:color w:val="111111"/>
          <w:sz w:val="28"/>
          <w:sz w:val="28"/>
          <w:szCs w:val="28"/>
          <w:rtl w:val="true"/>
          <w:lang w:bidi="ar-SA"/>
        </w:rPr>
        <w:t>على الصعيد، أو لا؟ فهذا على عاتق السنّة في الفقه الشريف، وظاهر الكتاب كفاية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وجود شيء من الصعيد الطيّب في اليد، الذي يعبّر عنه بالعلوق حتى يمسح به وجهه ويديه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أحد من العرب من قول القائل مسحت برأسه من الدهن ومن الماء ومن التراب إلّامعنى التبعيض</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ابتدائية، فلابدّ للمتيمّم من السعي في بقاء شيء من الصعيد على اليد، حتى يمسح به الوجه واليدين، فما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نفض اليدين بعد ضربهما على الأرض،</w:t>
      </w:r>
      <w:r>
        <w:rPr>
          <w:rStyle w:val="FootnoteAnchor"/>
          <w:rtl w:val="true"/>
        </w:rPr>
        <w:footnoteReference w:id="82"/>
      </w:r>
      <w:r>
        <w:rPr>
          <w:rFonts w:ascii="Amiri" w:hAnsi="Amiri" w:eastAsia="Amiri" w:cs="Amiri"/>
          <w:color w:val="111111"/>
          <w:sz w:val="28"/>
          <w:sz w:val="28"/>
          <w:szCs w:val="28"/>
          <w:rtl w:val="true"/>
          <w:lang w:bidi="ar-SA"/>
        </w:rPr>
        <w:t>فهو محمول على نفض اليدين من الحجارة الصغيرة لا من الغبار، فما ربما يقال من جواز التيمّم على الحجر الأملس الذي ليس عليه شيء من التراب أو الغبار، فلا يساعد عليه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 ما في صحيحة زرارة عن أبي جعفر عليه السلام وقد جاء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ذلك التيمّم؛ لأنّه علم أنّ ذلك أجمع لم يجر على الوجه لأنّه يعلق من ذلك الصعيد ببعض الكف ولا يعلق ببعضها</w:t>
      </w:r>
      <w:r>
        <w:rPr>
          <w:rFonts w:eastAsia="Amiri" w:cs="Amiri" w:ascii="Amiri" w:hAnsi="Amiri"/>
          <w:color w:val="111111"/>
          <w:sz w:val="28"/>
          <w:szCs w:val="28"/>
          <w:rtl w:val="true"/>
          <w:lang w:bidi="ar-SA"/>
        </w:rPr>
        <w:t>».</w:t>
      </w:r>
      <w:r>
        <w:rPr>
          <w:rStyle w:val="FootnoteAnchor"/>
        </w:rPr>
        <w:footnoteReference w:id="8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7" w:name="pg14912_141110"/>
    </w:p>
    <w:p>
      <w:pPr>
        <w:pStyle w:val="Heading5"/>
        <w:numPr>
          <w:ilvl w:val="4"/>
          <w:numId w:val="1"/>
        </w:numPr>
        <w:rPr/>
      </w:pPr>
      <w:bookmarkStart w:id="108" w:name="__RefHeading___Toc1365933_388300464"/>
      <w:bookmarkStart w:id="109" w:name="_Toc41"/>
      <w:bookmarkEnd w:id="107"/>
      <w:bookmarkEnd w:id="108"/>
      <w:r>
        <w:rPr>
          <w:rtl w:val="true"/>
        </w:rPr>
        <w:t>الخامس</w:t>
      </w:r>
      <w:r>
        <w:rPr>
          <w:rtl w:val="true"/>
        </w:rPr>
        <w:t xml:space="preserve">: </w:t>
      </w:r>
      <w:r>
        <w:rPr>
          <w:rtl w:val="true"/>
        </w:rPr>
        <w:t>الغاية من الوضوء</w:t>
      </w:r>
      <w:bookmarkEnd w:id="109"/>
    </w:p>
    <w:p>
      <w:pPr>
        <w:pStyle w:val="BookText"/>
        <w:rPr/>
      </w:pPr>
      <w:r>
        <w:rPr>
          <w:rFonts w:ascii="Amiri" w:hAnsi="Amiri" w:eastAsia="Amiri" w:cs="Amiri"/>
          <w:color w:val="111111"/>
          <w:sz w:val="28"/>
          <w:sz w:val="28"/>
          <w:szCs w:val="28"/>
          <w:rtl w:val="true"/>
          <w:lang w:bidi="ar-SA"/>
        </w:rPr>
        <w:t>ثمّ إنّ الغاية من الوضوء هي ما يذكره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يريد أن يشقّ عليكم، كيف وقد رخّص ترخيصاً إلزامياً بالتيمّم عندما كان الوضوء والغسل حرجيّين، ولكن يريد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الغسل والوضوء يزيل ما في الجسد من أدران، ويحتمل أن يراد به الطهارة المعنوية؛ لأنّ الوضوء واجب عبادي يجب أن يأتي به متقرّباً إلى اللّه سبحانه، ولا مانع من أن يكون الوضوء تطهيراً من الرذائل والأقذار كما في الطهارة بالماء ومزكّياً للنفوس والأرواح، كما في التيمّم بالتراب إذ هو مظهر للخضوع، ولعلّ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الجمع بين النعمتين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الجسمية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حيث إنّ الصلاة والوضوء والغسل جزء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إكمال النعمة حيث أتمّ نعمته ظاهرة وباطنة عملاً واعتقاداً</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365935_388300464"/>
      <w:bookmarkStart w:id="111" w:name="_Toc42"/>
      <w:bookmarkEnd w:id="110"/>
      <w:r>
        <w:rPr>
          <w:rtl w:val="true"/>
        </w:rPr>
        <w:t>السادس</w:t>
      </w:r>
      <w:r>
        <w:rPr>
          <w:rtl w:val="true"/>
        </w:rPr>
        <w:t xml:space="preserve">: </w:t>
      </w:r>
      <w:r>
        <w:rPr>
          <w:rtl w:val="true"/>
        </w:rPr>
        <w:t>سبب الاختلاف في حكم الأرجل</w:t>
      </w:r>
      <w:bookmarkEnd w:id="111"/>
    </w:p>
    <w:p>
      <w:pPr>
        <w:pStyle w:val="Heading6"/>
        <w:numPr>
          <w:ilvl w:val="5"/>
          <w:numId w:val="1"/>
        </w:numPr>
        <w:rPr/>
      </w:pPr>
      <w:bookmarkStart w:id="112" w:name="__RefHeading___Toc1365937_388300464"/>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إذا كانت الآية صريحة في مسح الأرجل، فلماذا نرى أنّ قسماً كبيراً من المسلمين يغسلون الأرجل ولا يمسحون عليها، فما هو الوجه في طروء هذا الاختلاف‌؟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كثيراً من الفقهاء قالوا بأنّ القرآن نزل بالمسح والسنّة</w:t>
      </w:r>
      <w:bookmarkStart w:id="114" w:name="pg14912_141111"/>
    </w:p>
    <w:p>
      <w:pPr>
        <w:pStyle w:val="BookText"/>
        <w:rPr/>
      </w:pPr>
      <w:bookmarkEnd w:id="114"/>
      <w:r>
        <w:rPr>
          <w:rFonts w:ascii="Amiri" w:hAnsi="Amiri" w:eastAsia="Amiri" w:cs="Amiri"/>
          <w:color w:val="111111"/>
          <w:sz w:val="28"/>
          <w:sz w:val="28"/>
          <w:szCs w:val="28"/>
          <w:rtl w:val="true"/>
          <w:lang w:bidi="ar-SA"/>
        </w:rPr>
        <w:t>بالغسل، ومعنى ذلك أنّ السنّة نسخت القرآن، وهو كماترى، لأنّ سورة المائدة آخر سورة نزلت من القرآن، ولم ينسخ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 وهذا تأويل حسن لهذه الآية، فيكون مسح الرجلين منسوخاً بالسنّة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القرآن بالسنّة أمر مختلف فيه خصوصاً إذا كانت السنّة متعارضة، وقد تقدّم ما يدلّ على المسح من السنّة، كيف وقد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الناس إلّاالغسل ولا أجد في كتاب اللّه إلّاالمسح</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والذي يمكن أن يقال في التوفيق بين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النبي الأكرم صلى الله عليه و آله و سلم توضّأ في المدينة المنوّرة على مرأى من أصحابه وأنصاره وأنّهم رأوا كيفية وضوئه من المسح أو الغسل، فلماذا حصل الاختلاف بعد رحلته‌؟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رهن أحد أُمور ثلاثة على نحو مانعة الخلوّ</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365939_388300464"/>
      <w:bookmarkStart w:id="116" w:name="_Toc44"/>
      <w:bookmarkEnd w:id="115"/>
      <w:r>
        <w:rPr>
          <w:rtl w:val="true"/>
        </w:rPr>
        <w:t>الأوّل</w:t>
      </w:r>
      <w:r>
        <w:rPr>
          <w:rtl w:val="true"/>
        </w:rPr>
        <w:t xml:space="preserve">: </w:t>
      </w:r>
      <w:r>
        <w:rPr>
          <w:rtl w:val="true"/>
        </w:rPr>
        <w:t>الاختلاف في القراءة</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تفرّق الصحابة بعد رحلة النبي صلى الله عليه و آله و سلم إلى بلدان قريبة أو بعيدة ولم يكونوا مجمعين على قراءة واحدة لا في هذه الآية ولا في سائر الآيات، وإن كانوا متّفقين على أنّ مابين الدفّتين هو القرآن المنزل لم ينقص منه شيء، ولم يزد عليه، فمَن قرأ بالجر رجّح المسح، ومن قرأ بالنصب رجّح الغسل</w:t>
      </w:r>
      <w:r>
        <w:rPr>
          <w:rFonts w:eastAsia="Amiri" w:cs="Amiri" w:ascii="Amiri" w:hAnsi="Amiri"/>
          <w:color w:val="111111"/>
          <w:sz w:val="28"/>
          <w:szCs w:val="28"/>
          <w:rtl w:val="true"/>
          <w:lang w:bidi="ar-SA"/>
        </w:rPr>
        <w:t>.</w:t>
      </w:r>
      <w:bookmarkStart w:id="117" w:name="pg14912_141112"/>
    </w:p>
    <w:p>
      <w:pPr>
        <w:pStyle w:val="Heading6"/>
        <w:numPr>
          <w:ilvl w:val="5"/>
          <w:numId w:val="1"/>
        </w:numPr>
        <w:rPr/>
      </w:pPr>
      <w:bookmarkStart w:id="118" w:name="__RefHeading___Toc1365941_388300464"/>
      <w:bookmarkStart w:id="119" w:name="_Toc45"/>
      <w:bookmarkEnd w:id="117"/>
      <w:bookmarkEnd w:id="118"/>
      <w:r>
        <w:rPr>
          <w:rtl w:val="true"/>
        </w:rPr>
        <w:t>الثاني</w:t>
      </w:r>
      <w:r>
        <w:rPr>
          <w:rtl w:val="true"/>
        </w:rPr>
        <w:t xml:space="preserve">: </w:t>
      </w:r>
      <w:r>
        <w:rPr>
          <w:rtl w:val="true"/>
        </w:rPr>
        <w:t>النبيّ صلى الله عليه و آله و سلم كان يغسل رجليه قبل نزول الآية</w:t>
      </w:r>
      <w:bookmarkEnd w:id="119"/>
    </w:p>
    <w:p>
      <w:pPr>
        <w:pStyle w:val="BookText"/>
        <w:rPr/>
      </w:pPr>
      <w:r>
        <w:rPr>
          <w:rFonts w:ascii="Amiri" w:hAnsi="Amiri" w:eastAsia="Amiri" w:cs="Amiri"/>
          <w:color w:val="111111"/>
          <w:sz w:val="28"/>
          <w:sz w:val="28"/>
          <w:szCs w:val="28"/>
          <w:rtl w:val="true"/>
          <w:lang w:bidi="ar-SA"/>
        </w:rPr>
        <w:t>إنّ النبي صلى الله عليه و آله و سلم كان في فترة من عمره الشريف قبل نزول آية الوضوء يغسل رجليه ولمّا نزل القرآن الكريم بالمسح نُسخت السنّةُ بالقرآن، كما نسخت به في مورد القبلة، حيث إنّ الصلاة باستقبال البيت المقدّس ثبتت بالسنّة ولكنّها نسخت بآية القبلة، ولعلّ الناس أخذوا بالسنّة التي كان النبيّ صلى الله عليه و آله و سلم عليها، غافلين عن أنّ القرآن هو الحاكم عليها، ويدلّ عليه 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الناس إلّا الغسل ولا أجد في كتاب اللّه إلّاالمسح</w:t>
      </w:r>
      <w:r>
        <w:rPr>
          <w:rFonts w:eastAsia="Amiri" w:cs="Amiri" w:ascii="Amiri" w:hAnsi="Amiri"/>
          <w:color w:val="111111"/>
          <w:sz w:val="28"/>
          <w:szCs w:val="28"/>
          <w:rtl w:val="true"/>
          <w:lang w:bidi="ar-SA"/>
        </w:rPr>
        <w:t>.</w:t>
      </w:r>
      <w:r>
        <w:rPr>
          <w:rStyle w:val="FootnoteAnchor"/>
          <w:rtl w:val="true"/>
        </w:rPr>
        <w:footnoteReference w:id="86"/>
      </w:r>
    </w:p>
    <w:p>
      <w:pPr>
        <w:pStyle w:val="Heading6"/>
        <w:numPr>
          <w:ilvl w:val="5"/>
          <w:numId w:val="1"/>
        </w:numPr>
        <w:rPr/>
      </w:pPr>
      <w:bookmarkStart w:id="120" w:name="__RefHeading___Toc1365943_388300464"/>
      <w:bookmarkStart w:id="121" w:name="_Toc46"/>
      <w:bookmarkEnd w:id="120"/>
      <w:r>
        <w:rPr>
          <w:rtl w:val="true"/>
        </w:rPr>
        <w:t>الثالث</w:t>
      </w:r>
      <w:r>
        <w:rPr>
          <w:rtl w:val="true"/>
        </w:rPr>
        <w:t xml:space="preserve">: </w:t>
      </w:r>
      <w:r>
        <w:rPr>
          <w:rtl w:val="true"/>
        </w:rPr>
        <w:t>إشاعة الغسل من قبل السلطة</w:t>
      </w:r>
      <w:bookmarkEnd w:id="121"/>
    </w:p>
    <w:p>
      <w:pPr>
        <w:pStyle w:val="BookText"/>
        <w:rPr/>
      </w:pPr>
      <w:r>
        <w:rPr>
          <w:rFonts w:ascii="Amiri" w:hAnsi="Amiri" w:eastAsia="Amiri" w:cs="Amiri"/>
          <w:color w:val="111111"/>
          <w:sz w:val="28"/>
          <w:sz w:val="28"/>
          <w:szCs w:val="28"/>
          <w:rtl w:val="true"/>
          <w:lang w:bidi="ar-SA"/>
        </w:rPr>
        <w:t>إنّ القرآن نزل بالمسح ولكن المصلحة المزعومة لدى الحكّام اقتضت إلزام الناس بغسل الأرجل بدل المسح لخبث باطن القدمين، ويدلّ على ذلك بعض ما ورد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جرير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أنّ الحجّاج خطبنا بالأهواز، ونحن معه وذكر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برؤوسكم وأرجلكم، وإنّه ليس شيء من ابن آدم أقرب من خبثه من قدميه، فاغسلوا بطونهما وظهورهما وعراقيبهما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وممّا يعرب عن أنّ الدعاية الرسمية كانت تؤيّد الغسل، وتؤاخذ من يقول بالمسح، حتّى إنّ القائلين به كانوا على حذر من إظهار عقيدتهم فلا يصرّحون بها إلّا خفية، ما رواه أحمد بن حنبل بسنده عن أبي مالك الأشعري أنّه 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أُصلّي بكم صلاة رسول اللّه صلى الله عليه و آله و سلم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إلّاابن أُخت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القوم منهم، فدعا بجفنه فيها ماء فتوضّأ ومضمض واستنشق، وغسل وجهه ثلاثاً وذراعيه ثلاثاً ثلاثاً، ومسح برأسه وظهر قدميه، ثم صلّى بهم</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الوجوه التي يمكن أن يُبرر بها اختلاف المسلمين في الوضوء بعد رحيل رسول اللّه صلى الله عليه و آله و سلم، ولو أنصفنا لوجب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المهمّ هو إعراضهم عن التمسّك بكلا الثقلين اللّذين أمر رسول اللّه صلى الله عليه و آله و سلم المسلمين بالتمسّك بهما للنجاة من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2" w:name="pg14912_141114"/>
    </w:p>
    <w:p>
      <w:pPr>
        <w:pStyle w:val="BookText"/>
        <w:rPr/>
      </w:pPr>
      <w:bookmarkEnd w:id="122"/>
      <w:r>
        <w:rPr>
          <w:rFonts w:ascii="Amiri" w:hAnsi="Amiri" w:eastAsia="Amiri" w:cs="Amiri"/>
          <w:color w:val="111111"/>
          <w:sz w:val="28"/>
          <w:sz w:val="28"/>
          <w:szCs w:val="28"/>
          <w:rtl w:val="true"/>
          <w:lang w:bidi="ar-SA"/>
        </w:rPr>
        <w:t>أحكام الطهارة</w:t>
      </w:r>
    </w:p>
    <w:p>
      <w:pPr>
        <w:pStyle w:val="Heading3"/>
        <w:numPr>
          <w:ilvl w:val="2"/>
          <w:numId w:val="1"/>
        </w:numPr>
        <w:rPr/>
      </w:pPr>
      <w:bookmarkStart w:id="123" w:name="__RefHeading___Toc1365945_388300464"/>
      <w:bookmarkStart w:id="124" w:name="_Toc47"/>
      <w:bookmarkEnd w:id="123"/>
      <w:r>
        <w:rPr/>
        <w:t>2</w:t>
      </w:r>
      <w:r>
        <w:rPr>
          <w:rtl w:val="true"/>
        </w:rPr>
        <w:t xml:space="preserve">. </w:t>
      </w:r>
      <w:r>
        <w:rPr>
          <w:rtl w:val="true"/>
        </w:rPr>
        <w:t>آية التيمّم</w:t>
      </w:r>
      <w:bookmarkEnd w:id="124"/>
    </w:p>
    <w:p>
      <w:pPr>
        <w:pStyle w:val="Heading4"/>
        <w:numPr>
          <w:ilvl w:val="3"/>
          <w:numId w:val="1"/>
        </w:numPr>
        <w:rPr/>
      </w:pPr>
      <w:bookmarkStart w:id="125" w:name="__RefHeading___Toc1365947_388300464"/>
      <w:bookmarkStart w:id="126" w:name="_Toc48"/>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r>
        <w:rPr>
          <w:rFonts w:eastAsia="Amiri" w:cs="Amiri" w:ascii="Amiri" w:hAnsi="Amiri"/>
          <w:color w:val="111111"/>
          <w:sz w:val="28"/>
          <w:szCs w:val="28"/>
          <w:rtl w:val="true"/>
          <w:lang w:bidi="ar-SA"/>
        </w:rPr>
        <w:t>) .</w:t>
      </w:r>
      <w:r>
        <w:rPr>
          <w:rStyle w:val="FootnoteAnchor"/>
          <w:rtl w:val="true"/>
        </w:rPr>
        <w:footnoteReference w:id="89"/>
      </w:r>
    </w:p>
    <w:p>
      <w:pPr>
        <w:pStyle w:val="Heading4"/>
        <w:numPr>
          <w:ilvl w:val="3"/>
          <w:numId w:val="1"/>
        </w:numPr>
        <w:rPr/>
      </w:pPr>
      <w:bookmarkStart w:id="127" w:name="__RefHeading___Toc1365949_388300464"/>
      <w:bookmarkStart w:id="128" w:name="_Toc49"/>
      <w:bookmarkEnd w:id="127"/>
      <w:r>
        <w:rPr>
          <w:rtl w:val="true"/>
        </w:rPr>
        <w:t>المفردات</w:t>
      </w:r>
      <w:bookmarkEnd w:id="128"/>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ويراد بها تارة العبادة المعروفة، وأُخرى المعبد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w:t>
      </w:r>
      <w:r>
        <w:rPr>
          <w:rFonts w:eastAsia="Amiri" w:cs="Amiri" w:ascii="Amiri" w:hAnsi="Amiri"/>
          <w:color w:val="111111"/>
          <w:sz w:val="28"/>
          <w:szCs w:val="28"/>
          <w:rtl w:val="true"/>
          <w:lang w:bidi="ar-SA"/>
        </w:rPr>
        <w:t>) .</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جنابة إمّا من خروج مني أو جماع، سُمّي جنباً</w:t>
      </w:r>
    </w:p>
    <w:p>
      <w:pPr>
        <w:pStyle w:val="BookText"/>
        <w:rPr/>
      </w:pPr>
      <w:r>
        <w:rPr>
          <w:rFonts w:ascii="Amiri" w:hAnsi="Amiri" w:eastAsia="Amiri" w:cs="Amiri"/>
          <w:color w:val="111111"/>
          <w:sz w:val="28"/>
          <w:sz w:val="28"/>
          <w:szCs w:val="28"/>
          <w:rtl w:val="true"/>
          <w:lang w:bidi="ar-SA"/>
        </w:rPr>
        <w:t>لاجتنابه مواضع الصلاة، وهو يستعمل في 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المعطوف عليه جملة حالية محلّها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سكران، الذي فيه الحالة التي تحول بينه وبين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تارة بالمجتاز وأُخرى بالمسافر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المنخفض المُعدّ لقضاء الحاجّة من المخرجين، وهذا من أدب القرآن الرفيع، حيث يعبر عمّا لا يستحسن ذكره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صارت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المباشرة الجنسية، وهو من أدب القرآن حيث يعبّر عن هذا العمل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نقض الوضوء بلمس بشرة النساء إلّاالمحارم منهن، غير تام لاستعمال المسّ الذي هو يرادف اللمس في غير واحدة من الآيات</w:t>
      </w:r>
      <w:r>
        <w:rPr>
          <w:rStyle w:val="FootnoteAnchor"/>
          <w:rtl w:val="true"/>
        </w:rPr>
        <w:footnoteReference w:id="91"/>
      </w:r>
      <w:r>
        <w:rPr>
          <w:rFonts w:ascii="Amiri" w:hAnsi="Amiri" w:eastAsia="Amiri" w:cs="Amiri"/>
          <w:color w:val="111111"/>
          <w:sz w:val="28"/>
          <w:sz w:val="28"/>
          <w:szCs w:val="28"/>
          <w:rtl w:val="true"/>
          <w:lang w:bidi="ar-SA"/>
        </w:rPr>
        <w:t>في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من وجه الأرض أو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طاهراً نظيفاً خالياً عن الأذى في النفس والبدن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وبعد أن اتّضحت معاني المفردات ندخل إلى المقصود،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محاور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الصلاة في حالة السكر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دخول الجنب في الصلاة حتى يغتسل، إلّاعابر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المريض والمسافر ومَن جاء من قضاء الحاجة أو لامس النساء إذا فقد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التيمّم للطوائف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كلّ محور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يخاطب المؤمنين ألّا يدخلوا في الصلاة وهم سُكارى حتى يدركوا ما يقولون في الصلاة،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سُكارى حَتّى تَعْلَمُوا ما تَقُولُونَ‌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السكران لا يتكلّم عن عقل وشعور، فالمؤمن يواجه مقام العظمة والكبرياء ويخاطب رب العالمين فلا يصلح أن يكون سكراناً يتكلّم بلا شعور ولا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شبهة أثارها بعض المفسّرين وشرحها الرازي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المؤمنين عن القرب من الصلاة حال صيرورتهم بحيث لا يعلمون ما يقولون، وتوجيه التكليف على مثل هذا الإنسان ممتنع بالعقل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فإنّ تكليف مثل هذا الإنسان يقتضي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وعن المجنون حتى يفيق، وعن النائم حتى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مثل السكران مثل المجنون، فوجب ارتفاع التكليف عنه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 الرازي أنّ الخطاب للمؤمنين قبل أن يسكروا، فيأمرهم بالاجتناب عن شرب الخمر للحذر عن الابتلاء بهذا الأمر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29" w:name="pg14912_141117"/>
    </w:p>
    <w:p>
      <w:pPr>
        <w:pStyle w:val="BookText"/>
        <w:rPr/>
      </w:pPr>
      <w:bookmarkEnd w:id="129"/>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غاية للحكم حتى يكون معنى الآية لا تقربوا الصلاة وأنتم سكارى، إلى أن تعلموا ما تقولون، فإذا علمتم ما تقولون فلا بأس بالصلاة، حتى يستشمّ منه جواز القرب إلى الصلاة لدى وقت العلم بما يقولون، بل هو تعليل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الصلاة حال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تعلموا ما تقولون فإنّ شرب الخمر لا ينفك عن وقوع الصلاة في حال السكر</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365951_388300464"/>
      <w:bookmarkStart w:id="131" w:name="_Toc50"/>
      <w:bookmarkEnd w:id="130"/>
      <w:r>
        <w:rPr>
          <w:rtl w:val="true"/>
        </w:rPr>
        <w:t>تفسير قوله</w:t>
      </w:r>
      <w:r>
        <w:rPr>
          <w:rtl w:val="true"/>
        </w:rPr>
        <w:t>: (</w:t>
      </w:r>
      <w:r>
        <w:rPr>
          <w:rtl w:val="true"/>
        </w:rPr>
        <w:t>إِلاّ عابِرِي سَبِيلٍ‌</w:t>
      </w:r>
      <w:r>
        <w:rPr>
          <w:rtl w:val="true"/>
        </w:rPr>
        <w:t>)</w:t>
      </w:r>
      <w:bookmarkEnd w:id="131"/>
    </w:p>
    <w:p>
      <w:pPr>
        <w:pStyle w:val="BookText"/>
        <w:rPr/>
      </w:pPr>
      <w:r>
        <w:rPr>
          <w:rFonts w:ascii="Amiri" w:hAnsi="Amiri" w:eastAsia="Amiri" w:cs="Amiri"/>
          <w:color w:val="111111"/>
          <w:sz w:val="28"/>
          <w:sz w:val="28"/>
          <w:szCs w:val="28"/>
          <w:rtl w:val="true"/>
          <w:lang w:bidi="ar-SA"/>
        </w:rPr>
        <w:t>وأمّا المحور 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تقربوا الصلاة جنباً إلّاعابري سبيل، فلو أُريد من الصلاة العبادة المعروفة فلابدّ من تفسير عابري سبيل بالمسافر، أي لا تقربوا الصلاة وأنتم جنب إلّا إذا كنتم مسافرين فاقدين للماء فيجوز اقترابها حتى تغتسلوا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المسافر، تصيبه الجنابة فيتيمّم 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الصلاة إلّاأن يكون مسافراً، تصيبه الجنابة فلا يجد الماء فيتيمم ويصلّي حتى يجد الماء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الفقرة بهذا النحو وإن كان يوجب انسجام الآية ولكنّه يوجب التكرار؛ لأنّ حكم المسافر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صدر الآية هو خصوص الجنب المسافر الّذي لا</w:t>
      </w:r>
      <w:bookmarkStart w:id="132" w:name="pg14912_141118"/>
    </w:p>
    <w:p>
      <w:pPr>
        <w:pStyle w:val="BookText"/>
        <w:rPr/>
      </w:pPr>
      <w:bookmarkEnd w:id="132"/>
      <w:r>
        <w:rPr>
          <w:rFonts w:ascii="Amiri" w:hAnsi="Amiri" w:eastAsia="Amiri" w:cs="Amiri"/>
          <w:color w:val="111111"/>
          <w:sz w:val="28"/>
          <w:sz w:val="28"/>
          <w:szCs w:val="28"/>
          <w:rtl w:val="true"/>
          <w:lang w:bidi="ar-SA"/>
        </w:rPr>
        <w:t>يجد ماءً فيتيمّم، وأمّا الوارد في ذيل الآية فالمراد مطلق المسافر، سواء كان محدثاً بالأصغر أو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الحديث عن الجنب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فلماذا ذكره ثانياً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في صدر الآية أعمّ حيث إنّ سبب الجنابة لا يختصّ بلمس النساء، بل يحصل بالاحتلام، فصدر الآية أعمّ من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الصلاة المعبد، وعندئذٍ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تقربوا المعبد الذي بُني للصلاة حال كونكم سُكارى إلّاإذا كنتم متجاوزين دخولاً من باب وخروجاً من باب آخر، فللجنب أن يجتاز المسجد ويحرم عليه المكث فيه إلّاالمسجد الحرام ومسجد النبي صلى الله عليه و آله و سلم إذ يحرم فيهما المكث والاجتياز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تدور الفقرة في بيان حكم الجنب، عند دخوله المسجد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65953_388300464"/>
      <w:bookmarkStart w:id="134" w:name="_Toc51"/>
      <w:bookmarkEnd w:id="133"/>
      <w:r>
        <w:rPr>
          <w:rtl w:val="true"/>
        </w:rPr>
        <w:t>حكم الطوائف الأربع</w:t>
      </w:r>
      <w:bookmarkEnd w:id="134"/>
    </w:p>
    <w:p>
      <w:pPr>
        <w:pStyle w:val="BookText"/>
        <w:rPr/>
      </w:pPr>
      <w:r>
        <w:rPr>
          <w:rFonts w:ascii="Amiri" w:hAnsi="Amiri" w:eastAsia="Amiri" w:cs="Amiri"/>
          <w:color w:val="111111"/>
          <w:sz w:val="28"/>
          <w:sz w:val="28"/>
          <w:szCs w:val="28"/>
          <w:rtl w:val="true"/>
          <w:lang w:bidi="ar-SA"/>
        </w:rPr>
        <w:t>وأمّا 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الطوائف الأربع إذا فقدوا الماء،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الآية أنّ كلّاً من العناوين الأربعة، إذا كانوا فاقدين للماء يجب عليهم</w:t>
      </w:r>
      <w:bookmarkStart w:id="135" w:name="pg14912_141119"/>
    </w:p>
    <w:p>
      <w:pPr>
        <w:pStyle w:val="BookText"/>
        <w:rPr/>
      </w:pPr>
      <w:bookmarkEnd w:id="135"/>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للأربعة جميعاً لا لخصوص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 من العناوين الأربعة عنوان طريقي إمّا لفقدان الماء كما في العناوين الثلاثة، أو لكون استعماله حرجياً كما في المرضى، وليس للمرض والسفر موضوعية، بمعنى أنّ كلّاً من المريض والمسافر يجوز لهما التيمّم وإن وجدا الماء أو لم يكن استعماله حرجيّاً، وهذا هو الذي فهمه عامّة المفسّرين إلّامن شذّ كالشيخ عبده وقد مرّ كلامه في تفسير آية المائدة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تبيّن أنّ القيد راجع إلى العناوين الأربعة، وأنّ المسافر إذا كان واجداً للماء أو المريض إذا كان الماء غير مضر له، يجب عليهما الاغتسال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365955_388300464"/>
      <w:bookmarkStart w:id="137" w:name="_Toc52"/>
      <w:bookmarkEnd w:id="136"/>
      <w:r>
        <w:rPr>
          <w:rtl w:val="true"/>
        </w:rPr>
        <w:t>المحور الرابع</w:t>
      </w:r>
      <w:r>
        <w:rPr>
          <w:rtl w:val="true"/>
        </w:rPr>
        <w:t xml:space="preserve">: </w:t>
      </w:r>
      <w:r>
        <w:rPr>
          <w:rtl w:val="true"/>
        </w:rPr>
        <w:t>كيفية التيمّم</w:t>
      </w:r>
      <w:bookmarkEnd w:id="137"/>
    </w:p>
    <w:p>
      <w:pPr>
        <w:pStyle w:val="BookText"/>
        <w:rPr/>
      </w:pPr>
      <w:r>
        <w:rPr>
          <w:rFonts w:ascii="Amiri" w:hAnsi="Amiri" w:eastAsia="Amiri" w:cs="Amiri"/>
          <w:color w:val="111111"/>
          <w:sz w:val="28"/>
          <w:sz w:val="28"/>
          <w:szCs w:val="28"/>
          <w:rtl w:val="true"/>
          <w:lang w:bidi="ar-SA"/>
        </w:rPr>
        <w:t>ثمّ إنّه سبحانه يذكر كيفية التيمّم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تحرّوا واقصدوا أرضاً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بالوجوه والأيدي لا يتحقّق إلّابضرب الكفّين على الأرض، وأمّا أنّه هل تكفي ضربة واحدة أو لكلّ من الوجه والكفين ضربة خاصّة، ظاهر إطلاق الآية كفاية الواحدة للجميع إلّاأن تدلّ السنّة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فيدلّ على عدم وجوب الاستيعاب في مسح الوجوه والأيدي، وأمّا ما هو الحدّ فالآية ساكتة عنه، فيرجع فيه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هو الحدّ في غسل الوجه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التيمّم‌؟</w:t>
      </w:r>
      <w:bookmarkStart w:id="138" w:name="pg14912_141120"/>
    </w:p>
    <w:p>
      <w:pPr>
        <w:pStyle w:val="BookText"/>
        <w:rPr/>
      </w:pPr>
      <w:bookmarkEnd w:id="138"/>
      <w:r>
        <w:rPr>
          <w:rFonts w:ascii="Amiri" w:hAnsi="Amiri" w:eastAsia="Amiri" w:cs="Amiri"/>
          <w:color w:val="111111"/>
          <w:sz w:val="28"/>
          <w:sz w:val="28"/>
          <w:szCs w:val="28"/>
          <w:rtl w:val="true"/>
          <w:lang w:bidi="ar-SA"/>
        </w:rPr>
        <w:t>فضرب بيده إلى الأرض ثم رفعها فنفضها، ثم مسح بها جبينه وكفيّه مرّة واحدة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نعم الآية تدلّ على أنّ صلاة المصلّي بالطهارة الترابية صحيحة لا تحتاج إلى الإعادة ولا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الفاضل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أنهاها إلى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وفي دلالة الآية على قسم منها تأمّل واضح،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قد رخّص لفاقد الماء عدم الاغتسال حتى يرتفع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الصفح والتجاوز،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 الستر على عباده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65957_388300464"/>
      <w:bookmarkStart w:id="140" w:name="_Toc53"/>
      <w:bookmarkEnd w:id="139"/>
      <w:r>
        <w:rPr>
          <w:rtl w:val="true"/>
        </w:rPr>
        <w:t>عليٌّ إمام المتّقين</w:t>
      </w:r>
      <w:bookmarkEnd w:id="140"/>
    </w:p>
    <w:p>
      <w:pPr>
        <w:pStyle w:val="BookText"/>
        <w:rPr/>
      </w:pPr>
      <w:r>
        <w:rPr>
          <w:rFonts w:ascii="Amiri" w:hAnsi="Amiri" w:eastAsia="Amiri" w:cs="Amiri"/>
          <w:color w:val="111111"/>
          <w:sz w:val="28"/>
          <w:sz w:val="28"/>
          <w:szCs w:val="28"/>
          <w:rtl w:val="true"/>
          <w:lang w:bidi="ar-SA"/>
        </w:rPr>
        <w:t>مَن درس حياة الإمام علي عليه السلام عن وعي وبلا رأي مُسْبق، يقف على أنّه عليه السلام ترعرع في أحضان النبي صلى الله عليه و آله و سلم منذ صباه إلى أن قبض اللّه سبحانه نبيّه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ونلفت نظر القارئ إلى أمرين</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365959_388300464"/>
      <w:bookmarkStart w:id="142" w:name="_Toc54"/>
      <w:bookmarkEnd w:id="141"/>
      <w:r>
        <w:rPr>
          <w:rtl w:val="true"/>
        </w:rPr>
        <w:t>عليّ ربيب بيت النبوة</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بنت أسد أُمّ أمير المؤمنين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ورسول اللّه ثلاثون سنة فأحبّه رسول اللّه حبّاً شديداً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مهده بقرب فراشي، وكان صلى الله عليه و آله و سلم يلي أكثر تربيته وكان يطهر عليّاً في وقت غسله، ويوجره اللبن عند</w:t>
      </w:r>
      <w:bookmarkStart w:id="143" w:name="pg14912_141121"/>
    </w:p>
    <w:p>
      <w:pPr>
        <w:pStyle w:val="BookText"/>
        <w:rPr/>
      </w:pPr>
      <w:bookmarkEnd w:id="143"/>
      <w:r>
        <w:rPr>
          <w:rFonts w:ascii="Amiri" w:hAnsi="Amiri" w:eastAsia="Amiri" w:cs="Amiri"/>
          <w:color w:val="111111"/>
          <w:sz w:val="28"/>
          <w:sz w:val="28"/>
          <w:szCs w:val="28"/>
          <w:rtl w:val="true"/>
          <w:lang w:bidi="ar-SA"/>
        </w:rPr>
        <w:t>شربه ويحرك مهده عند نومه، ويناغيه</w:t>
      </w:r>
      <w:r>
        <w:rPr>
          <w:rStyle w:val="FootnoteAnchor"/>
          <w:rtl w:val="true"/>
        </w:rPr>
        <w:footnoteReference w:id="97"/>
      </w:r>
      <w:r>
        <w:rPr>
          <w:rFonts w:ascii="Amiri" w:hAnsi="Amiri" w:eastAsia="Amiri" w:cs="Amiri"/>
          <w:color w:val="111111"/>
          <w:sz w:val="28"/>
          <w:sz w:val="28"/>
          <w:szCs w:val="28"/>
          <w:rtl w:val="true"/>
          <w:lang w:bidi="ar-SA"/>
        </w:rPr>
        <w:t>في يقظته، ويحمله على صدره ورقبته،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وزوج كريمتي وأميني على وصيتي وخليفتي، وكان رسول اللّه صلى الله عليه و آله و سلم يحمله دائماً ويطوف به جبال مكة وشعابها وأوديتها وفجاجها، صلّى اللّه على الحامل والمحمول</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44" w:name="__RefHeading___Toc1365961_388300464"/>
      <w:bookmarkStart w:id="145" w:name="_Toc55"/>
      <w:bookmarkEnd w:id="144"/>
      <w:r>
        <w:rPr>
          <w:rtl w:val="true"/>
        </w:rPr>
        <w:t>عدم مفارقة عليّ رسول اللّه منذ صباه إلى رحيله</w:t>
      </w:r>
      <w:bookmarkEnd w:id="145"/>
    </w:p>
    <w:p>
      <w:pPr>
        <w:pStyle w:val="BookText"/>
        <w:rPr/>
      </w:pPr>
      <w:r>
        <w:rPr>
          <w:rFonts w:ascii="Amiri" w:hAnsi="Amiri" w:eastAsia="Amiri" w:cs="Amiri"/>
          <w:color w:val="111111"/>
          <w:sz w:val="28"/>
          <w:sz w:val="28"/>
          <w:szCs w:val="28"/>
          <w:rtl w:val="true"/>
          <w:lang w:bidi="ar-SA"/>
        </w:rPr>
        <w:t>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أنعم اللّه به على علي بن أبي طالب رضى الله عنه أنّه كان في حجر رسول اللّه صلى الله عليه و آله و سلم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نجيح، عن مجاهد بن جبر أبي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نعمة اللّه على علي بن أبي طالب، وما صنع اللّه له، وأراده من الخير، أنّ قريشاً أصابتهم أزمة شديدة، وكان أبو طالب ذا عيال كثير، فقال رسول اللّه صلى الله عليه و آله و سلم للعبّاس عمّه، وكان من أيسر بني هاشم،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أبا طالب كثير العيال، وقد أصاب الناس ماترى من هذه الأزمة، فانطلق بنا إليه، فنخفّف عنه من عياله، آخذُ من بنيه رجلاً، وتأخذ أنت رجلاً، فنكفلهما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أتيا أبا طالب،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من عيالك حتى ينكشف عن الناس ما هم فيه، فقال لهما أبو طالب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تركتما لي عقيلاً فاصنعا ما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وطالباً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و سلم عليّاً فضمّه إليه، وأخذ العباس جعفراً فضمّه إليه، فلم يزل عليّ مع رسول اللّه صلى الله عليه و آله و سلم حتى بعثه اللّه تبارك وتعالى نبيّاً، فاتبعه عليّ رضى الله عنه وآمن به وصدّقه،</w:t>
      </w:r>
    </w:p>
    <w:p>
      <w:pPr>
        <w:pStyle w:val="BookText"/>
        <w:rPr/>
      </w:pPr>
      <w:r>
        <w:rPr>
          <w:rFonts w:ascii="Amiri" w:hAnsi="Amiri" w:eastAsia="Amiri" w:cs="Amiri"/>
          <w:color w:val="111111"/>
          <w:sz w:val="28"/>
          <w:sz w:val="28"/>
          <w:szCs w:val="28"/>
          <w:rtl w:val="true"/>
          <w:lang w:bidi="ar-SA"/>
        </w:rPr>
        <w:t>ولم يزل جعفر عند العبّاس حتى أسلم واستغنى عنه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نعم كان أخذ عليّ ذريعة في الواقع لتربيته على يد النبي صلى الله عليه و آله و سلم وهذا هو الذي يذكره الإمام عليه السلام في خطبته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مِنْ أَخْلَاقِهِ عَلَماً،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بَيْتٌ وَاحِدٌ يَوْمَئِذٍ فِي الْإِسْلَامِ غَيْرَ رَسُولِ اللّهِ صلى الله عليه و آله و سلم وَخَدِيجَةَ وَأَنَا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حِينَ نَزَلَ الْوَحْيُ عَلَيْهِ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فجاور رسول اللّه صلى الله عليه و آله و سلم في حراء في شهر رمضان ومعه أهله خديجة، وعلي بن أبي طالب وخادم لهم، فجاءه جبرئيل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والروايات في هذا الموضوع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عليّاً لم يكن يفارق النبي صلى الله عليه و آله و سلم منذ صباه إلى أن رحل إلى ربه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النبي الأكرم صلى الله عليه و آله و سلم فاللّه سبحانه أدّبه فأحسن أدبه لم يعبد وثناً ولم يشرب خمراً، عن أبي النعيم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عبدت وثناً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46" w:name="pg14912_141123"/>
    </w:p>
    <w:p>
      <w:pPr>
        <w:pStyle w:val="BookText"/>
        <w:rPr/>
      </w:pPr>
      <w:bookmarkEnd w:id="146"/>
      <w:r>
        <w:rPr>
          <w:rFonts w:ascii="Amiri" w:hAnsi="Amiri" w:eastAsia="Amiri" w:cs="Amiri"/>
          <w:color w:val="111111"/>
          <w:sz w:val="28"/>
          <w:sz w:val="28"/>
          <w:szCs w:val="28"/>
          <w:rtl w:val="true"/>
          <w:lang w:bidi="ar-SA"/>
        </w:rPr>
        <w:t>قط؟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شربت خمراً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147" w:name="__RefHeading___Toc1365963_388300464"/>
      <w:bookmarkStart w:id="148" w:name="_Toc56"/>
      <w:bookmarkEnd w:id="147"/>
      <w:r>
        <w:rPr>
          <w:rtl w:val="true"/>
        </w:rPr>
        <w:t>تحريم الخمر في عامة الشرائع</w:t>
      </w:r>
      <w:bookmarkEnd w:id="148"/>
    </w:p>
    <w:p>
      <w:pPr>
        <w:pStyle w:val="BookText"/>
        <w:rPr/>
      </w:pPr>
      <w:r>
        <w:rPr>
          <w:rFonts w:ascii="Amiri" w:hAnsi="Amiri" w:eastAsia="Amiri" w:cs="Amiri"/>
          <w:color w:val="111111"/>
          <w:sz w:val="28"/>
          <w:sz w:val="28"/>
          <w:szCs w:val="28"/>
          <w:rtl w:val="true"/>
          <w:lang w:bidi="ar-SA"/>
        </w:rPr>
        <w:t>وروى الكليني بسند صحيح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بتحريم الخمر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وروى الكليني أيضاً عن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وفي علم اللّه أنّه إذا أكمل دينه كان فيه تحريم الخمر، ولم تزل الخمر حراماً، وإنّما يُنقلون من خصلة إلى خصلة، ولو حُمل ذلك عليهم جُملة لقطع بهم دون الدين</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هذه الروايات لم تزل حراماً عنداللّه وفي كلّ دين ولكن قد يستفحل الضلال وحكم الجاهلية في الأُمم إلى أن يروها حلالاً، فإذا بعث اللّه نبيّاً آخر قد لا يفاجئهم في أوّل نبوّته وتبليغه بتحريمها، لأنّ الحكمة تقتضي أن يتدرّج معهم في بيان المحرّمات ببيان خصلة خصلة، ولو حملهم دفعة على ترك جميع المحرّمات لما انقادوا إلى الدين ولقطع بهم دونه، ويشهد تدرّج القرآن الكريم ببيان أنّ فيها إثماً كبيراً وإثمها أكبر ممّا يزعمه الناس من النفع، كما مضى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رجس من عمل الشيطان ليوقع بها العداوة والبغضاء بينهم، كما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كما ذكرناه لابدّ من أن يكون النبي صلى الله عليه و آله و سلم عالماً بتحريمه من أوّل الأمر، ولابدّ في كماله وعصمته وأهليته</w:t>
      </w:r>
      <w:bookmarkStart w:id="149" w:name="pg14912_141124"/>
    </w:p>
    <w:p>
      <w:pPr>
        <w:pStyle w:val="BookText"/>
        <w:rPr/>
      </w:pPr>
      <w:bookmarkEnd w:id="149"/>
      <w:r>
        <w:rPr>
          <w:rFonts w:ascii="Amiri" w:hAnsi="Amiri" w:eastAsia="Amiri" w:cs="Amiri"/>
          <w:color w:val="111111"/>
          <w:sz w:val="28"/>
          <w:sz w:val="28"/>
          <w:szCs w:val="28"/>
          <w:rtl w:val="true"/>
          <w:lang w:bidi="ar-SA"/>
        </w:rPr>
        <w:t>للنبوّة ودعوتها من أن لا يكون مدّة عمره الشريف قد لوّث قُدسه بشربها قبل النبوّة وبعدها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هذا هو النبي الأكرم صلى الله عليه و آله و سلم ومَن ربّاه في حجره، وهما كالفرقدين في سماء الفضيلة والكرامة، أفيمكن لمثل عليّ أن يفارق معلّمه ومربّيه، فيجتمع مع جماعة عبدوا الصنم في عصر الجاهلية وشربوا الخمر واستمروا عليه طالبين البيان الشافي من رسول اللّه صلى الله عليه و آله و سلم، فيشرب معهم الخمر، ويكون إماماً لهم فيقرأ قوله تعالى في سورة الكافرون، فيغلط كما رواه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لشخينا البلاغي بياناً شافياً في ذلك،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تربّى بتربية رسول اللّه صلى الله عليه و آله و سلم ونهج من صغر سنّه نهجه، وتأدّب من طفولته بآدابه، وآمن برسالته من أوّلها، وكان أطوع له صلى الله عليه و آله و سلم من ظلّه، كيف يقال في شأنه إنّه كان يشرب الخمر أُمّ الخبائث، والمُوقعة في الفواحش، والسالبة للعقل وشرف الإنسانية، والملحقة للإنسان بمجنون الوحوش</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150" w:name="__RefHeading___Toc1365965_388300464"/>
      <w:bookmarkStart w:id="151" w:name="_Toc57"/>
      <w:bookmarkEnd w:id="150"/>
      <w:r>
        <w:rPr>
          <w:rtl w:val="true"/>
        </w:rPr>
        <w:t>رواية مجعولة للحطّ من مقام الوصيّ‌</w:t>
      </w:r>
      <w:bookmarkEnd w:id="151"/>
    </w:p>
    <w:p>
      <w:pPr>
        <w:pStyle w:val="BookText"/>
        <w:rPr/>
      </w:pPr>
      <w:r>
        <w:rPr>
          <w:rFonts w:ascii="Amiri" w:hAnsi="Amiri" w:eastAsia="Amiri" w:cs="Amiri"/>
          <w:color w:val="111111"/>
          <w:sz w:val="28"/>
          <w:sz w:val="28"/>
          <w:szCs w:val="28"/>
          <w:rtl w:val="true"/>
          <w:lang w:bidi="ar-SA"/>
        </w:rPr>
        <w:t>إذا عرفت ذلك فاعلم أنّ السيوطي نقل الرواية عن جماعة منهم الحاكم،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عبد الرحمن بن عوف طعاماً، فدعانا وسقانا من الخمر، فأخذت الخمر منا، وحضرت الصلاة، فقدّموني فقرأت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نعبد ما تعبدون، فأنزل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 أَنْتُمْ سُكارى حَتّى تَعْلَمُوا ما</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ولكن يا للأسف أنّ السيوطي أخطأ في روايته عن الحاكم ولم ينقلها صحيحاً، وإليك نصّ ما رواه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رجل من الأنصار قبل تحريم الخمر فحضرت صلاة المغرب فتقدّم رجل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 عليه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سُكارى حَتّى تَعْلَمُوا ما تَقُولُونَ‌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فائدة كثيرة وهي أنّ الخوارج تنسب هذا السكر وهذه القراءة إلى أمير المؤمنين علي بن أبي طالب عليه السلام دون غيره، وقد برأه اللّه منها فإنّه راوي هذا الحديث،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يرويها عن عبد الرحمن السُّلمي وهو إنسان منحرف عن علي عليه السلام،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من أنّ أبا عبد الرحمن السُّلَمي عبد اللّه بن حبيب شهد مع عليّ صفين ثم صار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معادياً لعلي وموالياً لمعاوية</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قيمة رواية يرويها العدو في حقّ مَن يعاديه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يرجع إلى الرواية الأُولى التي نقلها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بقية الروايات فحدّث عنها ولا حرج، ففيها تناقضاً في المتن، ففي الرواية الأُوّلى أنّ المضيّف هو عبد الرحمن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عوف، وعليّ هو الإمام، وفي الرواية الثانية أنّ الإمام هو عبد الرحمن، فلا يمكن الاعتماد على هذه الروايات، واللّه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نسب هذا الأمر الشنيع إلى عليّ‌، ممّن لم يعرف عليّاً حقّ معرفته، أو عرفه ولكن عاداه، فأراد أن يقرنه إلى من كانت عادته شرب الخمر، حتى يهوّن الأمر عليه، ونعم ما قال علي عليه السلام في بعض خطبه، حيث قرنه عمر بن الخطاب مع رجال خمسة هم دون مكانته ومنزلته،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حقّق الموضوع من علمائنا شيخنا البلاغي في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صدرنا عن بيانه وإفاضاته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52" w:name="pg14912_141127"/>
    </w:p>
    <w:p>
      <w:pPr>
        <w:pStyle w:val="BookText"/>
        <w:rPr/>
      </w:pPr>
      <w:bookmarkEnd w:id="152"/>
      <w:r>
        <w:rPr>
          <w:rFonts w:ascii="Amiri" w:hAnsi="Amiri" w:eastAsia="Amiri" w:cs="Amiri"/>
          <w:color w:val="111111"/>
          <w:sz w:val="28"/>
          <w:sz w:val="28"/>
          <w:szCs w:val="28"/>
          <w:rtl w:val="true"/>
          <w:lang w:bidi="ar-SA"/>
        </w:rPr>
        <w:t>أحكام الطهارة</w:t>
      </w:r>
    </w:p>
    <w:p>
      <w:pPr>
        <w:pStyle w:val="Heading3"/>
        <w:numPr>
          <w:ilvl w:val="2"/>
          <w:numId w:val="1"/>
        </w:numPr>
        <w:rPr/>
      </w:pPr>
      <w:bookmarkStart w:id="153" w:name="__RefHeading___Toc1365967_388300464"/>
      <w:bookmarkStart w:id="154" w:name="_Toc58"/>
      <w:bookmarkEnd w:id="153"/>
      <w:r>
        <w:rPr/>
        <w:t>3</w:t>
      </w:r>
      <w:r>
        <w:rPr>
          <w:rtl w:val="true"/>
        </w:rPr>
        <w:t xml:space="preserve">. </w:t>
      </w:r>
      <w:r>
        <w:rPr>
          <w:rtl w:val="true"/>
        </w:rPr>
        <w:t>أحكام الحائض في الذكر الحكيم</w:t>
      </w:r>
      <w:bookmarkEnd w:id="154"/>
    </w:p>
    <w:p>
      <w:pPr>
        <w:pStyle w:val="Heading4"/>
        <w:numPr>
          <w:ilvl w:val="3"/>
          <w:numId w:val="1"/>
        </w:numPr>
        <w:rPr/>
      </w:pPr>
      <w:bookmarkStart w:id="155" w:name="__RefHeading___Toc1365969_388300464"/>
      <w:bookmarkStart w:id="156" w:name="_Toc59"/>
      <w:bookmarkEnd w:id="155"/>
      <w:r>
        <w:rPr>
          <w:rtl w:val="true"/>
        </w:rPr>
        <w:t>الآية الأُولى</w:t>
      </w:r>
      <w:r>
        <w:rPr>
          <w:rtl w:val="true"/>
        </w:rPr>
        <w:t>:</w:t>
      </w:r>
      <w:bookmarkEnd w:id="156"/>
    </w:p>
    <w:p>
      <w:pPr>
        <w:pStyle w:val="Heading5"/>
        <w:numPr>
          <w:ilvl w:val="4"/>
          <w:numId w:val="1"/>
        </w:numPr>
        <w:rPr/>
      </w:pPr>
      <w:bookmarkStart w:id="157" w:name="__RefHeading___Toc1365971_388300464"/>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365973_388300464"/>
      <w:bookmarkStart w:id="160" w:name="_Toc61"/>
      <w:bookmarkEnd w:id="159"/>
      <w:r>
        <w:rPr>
          <w:rtl w:val="true"/>
        </w:rPr>
        <w:t>المفردات</w:t>
      </w:r>
      <w:bookmarkEnd w:id="160"/>
    </w:p>
    <w:p>
      <w:pPr>
        <w:pStyle w:val="BookText"/>
        <w:rPr/>
      </w:pP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 وهو في الأصل بمعنى الفيض والسيلان الخفيف من داخل الشيء، كفيضان الصمغ من الشجرة، وفيضان الدم من رحم المرأة، ثم غلب استعماله في المعنى الثاني، وعلى هذا فأُريد من المحيض دم الحيض، بشهادة رجوع الضمير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فالمحيض مصدر كالمجيء والمبيت، بمعنى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الوقت نفسه فهو اسم مكان وزمان،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المعنى المصدري،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في المفردات بالضرر،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الحيوان من الضرر</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ولكنّه لا ينسجم مع سائر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 بِغَيْرِ مَا اِكْتَسَبُوا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أُريد منها معنى الإيلام والمنّة لا الضرر، وأمّا المقام فقد أُريد به القذر بشهادة قوله سبحانه في المحرم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وقد فُسّر بالقَمْل في رأس المحرم، والأذى هنا بمعنى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استعمل في الإيلام والمنّة والقذارة، وأمّا الضرر الذي يدّعيه الراغب فلم نعثر عليه في موارد الآيات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هنا اسم زمان ومكان، وأُريد مكان الحيض وزمانه،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أُريد به دم الحيض،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61" w:name="pg14912_141129"/>
    </w:p>
    <w:p>
      <w:pPr>
        <w:pStyle w:val="BookText"/>
        <w:rPr/>
      </w:pPr>
      <w:bookmarkEnd w:id="161"/>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بالنقاء، عن خروج الدم، وهذا أمر طبيعي وليس فعلاً اختيارياً، بل ينتهي إليه أمر المرأة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اختياري يجب تحصيله لمن حصل لها النقاء، وأُريد به إمّا غَسْل الموضع أو الغُسْل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لابدّ من صدور فعل اختياري منها، مضافاً إلى الطهر الخارج عنه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365975_388300464"/>
      <w:bookmarkStart w:id="163" w:name="_Toc62"/>
      <w:bookmarkEnd w:id="162"/>
      <w:r>
        <w:rPr>
          <w:rtl w:val="true"/>
        </w:rPr>
        <w:t>التفسير</w:t>
      </w:r>
      <w:bookmarkEnd w:id="163"/>
    </w:p>
    <w:p>
      <w:pPr>
        <w:pStyle w:val="BookText"/>
        <w:rPr/>
      </w:pPr>
      <w:r>
        <w:rPr>
          <w:rFonts w:ascii="Amiri" w:hAnsi="Amiri" w:eastAsia="Amiri" w:cs="Amiri"/>
          <w:color w:val="111111"/>
          <w:sz w:val="28"/>
          <w:sz w:val="28"/>
          <w:szCs w:val="28"/>
          <w:rtl w:val="true"/>
          <w:lang w:bidi="ar-SA"/>
        </w:rPr>
        <w:t>إنّ الداعي إلى السؤال عن هذا الحكم هو، اختلاف الأُمم في معاملة الرجال لزوجاتهم في أيام الحيض، فقد روي أنّ اليهود والمجوس كانوا يبالغون في التباعد عن المرأة حال حيضها، نعم كان النصارى لا يبالون بالحيض وكانوا يجامعون نساءهم، وأنّ أهل الجاهلية كانوا إذا حاضت المرأة لم يؤاكلوها، ولم يشاربوها، ولم يجالسوها على فرش، ولم يساكنوها في بيت كفعل اليهود والمجوس</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وأمّا الشريعة الإسلامية فقد اتّخذت موقفاً معتدلاً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أنّها أجازت معاشرتهن وكأنّهن في غير تلك الحالة، إلّاأنّها نهت عن اقترابهن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جهة السؤال مجهولة، ولعلّ السائل سأل عن كيفية المعاشرة أو المجامعة، حسب ما ذكر في الجاهلية، فوافاه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دم الحيض قذر يلزم أن</w:t>
      </w:r>
    </w:p>
    <w:p>
      <w:pPr>
        <w:pStyle w:val="BookText"/>
        <w:rPr/>
      </w:pPr>
      <w:r>
        <w:rPr>
          <w:rFonts w:ascii="Amiri" w:hAnsi="Amiri" w:eastAsia="Amiri" w:cs="Amiri"/>
          <w:color w:val="111111"/>
          <w:sz w:val="28"/>
          <w:sz w:val="28"/>
          <w:szCs w:val="28"/>
          <w:rtl w:val="true"/>
          <w:lang w:bidi="ar-SA"/>
        </w:rPr>
        <w:t>يُجتنب عنه؛ لذلك رتّب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زمان الحيض ومكانه، وبما أنّه ربما يتوهّم منه الاعتزال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اجتنبوا مجامعتهن في الفرج، فعلم من ذلك كيفية المعاشرة مع النساء في المحيض، وأنّه لا فرق بين الحالتين إلّافي أمر الدخول فيحرم ولا يحرم سائر الالتذاذات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حدّد منع المقاربة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طبيعي وحالة طارئة على المرأة بعد انقضاء أيام العادة بالنقاء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فعل اختياريّ قائم بالمرأة، فيدل على أنّ المنع ينتفي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النقاء من جانب المرأة، والثاني قيام المرأة بالتطهّر، وهو مردّد بين غسل موضع الحيض أو الوضوء أو الغُسْل،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تعارض بين الفعلين لأنّ الأوّل أمر طبيعي خارج عن الاختيار، والأمر الثاني فعل اختياري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ظاهر الآية أنّ النقاء الذي هو فعل خارج عن الاختيار لا يكفي إلّاأن يُضم إليه فعل من جانب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المكان، فيحتمل أن يكون المراد بالأمر بالاعتزال هو الوارد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فمعنى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إتيان النساء من المكان الذي أُمرتم بالاعتزال عنه، وهو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أمركم اللّه بتجنّبه في الحيض وهو الفرج</w:t>
      </w:r>
      <w:r>
        <w:rPr>
          <w:rFonts w:eastAsia="Amiri" w:cs="Amiri" w:ascii="Amiri" w:hAnsi="Amiri"/>
          <w:color w:val="111111"/>
          <w:sz w:val="28"/>
          <w:szCs w:val="28"/>
          <w:rtl w:val="true"/>
          <w:lang w:bidi="ar-SA"/>
        </w:rPr>
        <w:t>.</w:t>
      </w:r>
      <w:r>
        <w:rPr>
          <w:rStyle w:val="FootnoteAnchor"/>
        </w:rPr>
        <w:footnoteReference w:id="11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4" w:name="pg14912_141131"/>
    </w:p>
    <w:p>
      <w:pPr>
        <w:pStyle w:val="BookText"/>
        <w:rPr/>
      </w:pPr>
      <w:bookmarkEnd w:id="164"/>
      <w:r>
        <w:rPr>
          <w:rFonts w:ascii="Amiri" w:hAnsi="Amiri" w:eastAsia="Amiri" w:cs="Amiri"/>
          <w:color w:val="111111"/>
          <w:sz w:val="28"/>
          <w:sz w:val="28"/>
          <w:szCs w:val="28"/>
          <w:rtl w:val="true"/>
          <w:lang w:bidi="ar-SA"/>
        </w:rPr>
        <w:t>نعم الأمر بعد الحظر يفيد الإباحة،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 اِبْتَغُوا ما كَتَبَ اَللّهُ لَكُمْ‌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بعد النهي عن اقتراب النساء في ليالي شهر رمضان مطلقاً، حيث أحلّه في لياليه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طهارة ظاهرية بالماء، أو طهارة واقعية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قبول توبة مَن لم يمتلك نفسه في تلك الحالة وجامع زوجته، ثم تاب عن ذلك فاللّه يقبل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النهي عن اقتراب النساء في المحيض، لأجل تطهير المؤمن، واللّه يحب المتطهّرين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365977_388300464"/>
      <w:bookmarkStart w:id="166" w:name="_Toc63"/>
      <w:bookmarkEnd w:id="165"/>
      <w:r>
        <w:rPr>
          <w:rtl w:val="true"/>
        </w:rPr>
        <w:t>الآية الثانية</w:t>
      </w:r>
      <w:r>
        <w:rPr>
          <w:rtl w:val="true"/>
        </w:rPr>
        <w:t>:</w:t>
      </w:r>
      <w:bookmarkEnd w:id="166"/>
    </w:p>
    <w:p>
      <w:pPr>
        <w:pStyle w:val="Heading5"/>
        <w:numPr>
          <w:ilvl w:val="4"/>
          <w:numId w:val="1"/>
        </w:numPr>
        <w:rPr/>
      </w:pPr>
      <w:bookmarkStart w:id="167" w:name="__RefHeading___Toc1365979_388300464"/>
      <w:bookmarkStart w:id="168" w:name="_Toc64"/>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r>
        <w:rPr>
          <w:rFonts w:eastAsia="Amiri" w:cs="Amiri" w:ascii="Amiri" w:hAnsi="Amiri"/>
          <w:color w:val="111111"/>
          <w:sz w:val="28"/>
          <w:szCs w:val="28"/>
          <w:rtl w:val="true"/>
          <w:lang w:bidi="ar-SA"/>
        </w:rPr>
        <w:t>) .</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الدخول في حكم الآية نفسّر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إلقاء البذر في الأرض وتهيئتها للزرع، ويُسمّى المحروث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المعدّة للحرث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حرثاً،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اُغْدُوا عَلى حَرْثِكُمْ إِنْ كُنْتُمْ صارِمِينَ‌</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وصلة الآية بما قبلها واضحة، لأنّ الآية السابقة منعت الأزواج عن مقاربة النساء وقت المحيض، فناسب أن يمنّ اللّه سبحانه على عباده برفع المنع بالتطهّر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النهائي من النكاح ليس هو إشباع الغريزة الجنسية فقط، بل المراد منه التناسل، فإنّ لكلّ إنسان رغبة في بقاء نسله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المصدري أي نثر البذور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به المحروث، فيطلق على الأرض المعدّة للزرع والغرس،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زرع محجورة على الناس أن يزرعوها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الثاني هو الأفضل، فإذا كانت النساء محروثة للرجال، فخاطبهم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جيئوا إلى محروثكم، وقال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حرثكم</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زمانية هو أنّهم منعوا من نثر البذور في أيام الحيض، فجاء البيان القرآني يرشد إلى أنّ المنع يختصّ بهذا الزمان، وأمّا غيره فلكم إتيانهن في أي زمان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لا مكانية، وهذا هو المتبادر من الآية 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لسان العرب ومجمع البحرين بأنّ اللفظة تطلق ويراد بها الزمان</w:t>
      </w:r>
      <w:r>
        <w:rPr>
          <w:rFonts w:eastAsia="Amiri" w:cs="Amiri" w:ascii="Amiri" w:hAnsi="Amiri"/>
          <w:color w:val="111111"/>
          <w:sz w:val="28"/>
          <w:szCs w:val="28"/>
          <w:rtl w:val="true"/>
          <w:lang w:bidi="ar-SA"/>
        </w:rPr>
        <w:t>.</w:t>
      </w:r>
      <w:r>
        <w:rPr>
          <w:rStyle w:val="FootnoteAnchor"/>
        </w:rPr>
        <w:footnoteReference w:id="12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مُنعتم من إتيان النساء في زمان خاصّ‌، فإذا انقضى ذلك الزمان فأتوهن في أي زمان من الأزمنة، وهذا هو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احتمالان بعيدان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أين، كما في قوله سبحانه في خطاب زكريا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وهذا القول منسوب إلى سيبويه حسب ما نقله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صحيح في مورد الآية لكنّه بعيد عن سياق آيتنا، إذ ليس لسان الآية، لسان استفهام، بل مفاده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مكانية، ولو فسّرت بهذا يحمل على ما ورد في شأن النزول، حيث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أتى المرأة من خلفها في قبلها خرج الولد أحول، فكذّبهم اللّه، عن ابن عباس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اليهود إتيان المرأة قائمة وباركة، فأنزل اللّه إباحته، عن الحسن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وكون الآية بصدد بيان هذا بعيد عن أدب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ينسب إلى مالك أنّه استدلّ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إتيان النساء من الدبر،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مالك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إتيان المرأة في دبرها، ورواه نافع عن ابن عمر، وحكاه زيد بن أسلم عن محمد بن المنكدر</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يستدلّ عليها تارة بالآية، وأُخرى بالروايات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9" w:name="pg14912_141134"/>
    </w:p>
    <w:p>
      <w:pPr>
        <w:pStyle w:val="BookText"/>
        <w:rPr/>
      </w:pPr>
      <w:bookmarkEnd w:id="169"/>
      <w:r>
        <w:rPr>
          <w:rFonts w:ascii="Amiri" w:hAnsi="Amiri" w:eastAsia="Amiri" w:cs="Amiri"/>
          <w:color w:val="111111"/>
          <w:sz w:val="28"/>
          <w:sz w:val="28"/>
          <w:szCs w:val="28"/>
          <w:rtl w:val="true"/>
          <w:lang w:bidi="ar-SA"/>
        </w:rPr>
        <w:t>أمّا الثانية فهي خارجة عن موضوع بحثنا، إنّما الكلام هو الاستدلال بالآية،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 غير تام، وذلك لما تقدّم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زمانية لا مكانية، والاستدلال مبني على كونها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الآية يدلّ على خلاف ما اختاره،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فأتوا موضع حرثكم، ومن المعلوم أنّ محلّ الحرث هو القبل لا الدبر، فالاستدلال بالآية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والنسل؛ لأنّ الولد الصالح خير الدنيا والآخرة، فيكون دليلاً آخر على أنّ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في القبل في أي زمان، فإنّ تقديم ما ينفع غداً من الأولاد لا يتحقّق إلّاإذا كان المراد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يفسّر بالمعنى الأعمّ فيشمل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تحذير لمن يقع في معصية اللّه في أيام الحيض، ولذلك يقول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أَنَّكُمْ مُلاقُوهُ‌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تلاقونه يوم القيامة، فيجازيكم على البر والإثم، وفي مقابل ذلك يأمر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يأتمرون أوامر اللّه تعالى ويجتنبون عن نواهيه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365981_388300464"/>
      <w:bookmarkStart w:id="171" w:name="_Toc65"/>
      <w:bookmarkEnd w:id="170"/>
      <w:r>
        <w:rPr>
          <w:rtl w:val="true"/>
        </w:rPr>
        <w:t>جواز إتيان النساء بالنقاء عن الدم وعدمه</w:t>
      </w:r>
      <w:bookmarkEnd w:id="171"/>
    </w:p>
    <w:p>
      <w:pPr>
        <w:pStyle w:val="Heading6"/>
        <w:numPr>
          <w:ilvl w:val="5"/>
          <w:numId w:val="1"/>
        </w:numPr>
        <w:rPr/>
      </w:pPr>
      <w:bookmarkStart w:id="172" w:name="__RefHeading___Toc1365983_388300464"/>
      <w:bookmarkStart w:id="173" w:name="_Toc66"/>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هل يجوز إتيان النساء بالنقاء عن الدم‌؟ يمكن استظهار حكمه من الآية بالبيان التالي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بتخفيف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قرأ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المصحف هو التخفيف،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طهرت المرأة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يطهرن، و تطهّرن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قراءة التخفيف في اللفظة الأُولى، فعلى هذا فالمنع في إتيان النساء يكون محدّداً بطهرهن في مقابل طمثهن، فإذا حصل النقاء ارتفع الطمث، وتحقّق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يصدّ المفسّر عن الإفتاء بجواز الإتيان بمجرد النقاء، الفقرة التالية بعدها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التشديد في الفعل يدلّ على لزوم شيء زائد وراء الطُهر، فتكون الآية دالّة على لزوم تحصيل أمر وراء النقاء، وعندئذٍ يقع الكلام ما هو هذا الشيء، فهل هو غسل الموضع أو اغتسال المرأة‌؟ وعلى كلّ تقدير فمجرّد النقاء لا يكفي حسب سياق الآيات، لما مرّ من 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خارج عن الاختيار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فعل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ضوء الكتاب، وأمّا دراستنا على ضوء سائر الأدلّة فنطرح أقوال الفقهاء ثم نسرد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 الحيض جاز لزوجها وطؤها إذا غسلت فرجها، سواء كان ذلك في أقلّ الحيض أو في أكثره، وإن لم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انقطع دمها لأكثر مدّة الحيض وهو عشرة أيام حلّ وطؤها، ولم يراع غسل الفرج، وإن انقطع دون العشرة أيام لم يحل ذلك إلّابعد أن توجد ما ينافي الحيض، وهو أن تغتسل أو تتيمم وتصلّي، فإن تيمّمت ولم تصل لم يجز وطؤها، فإن خرج عنها الوقت ولم تصل، جاز وطؤها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وطؤها إلّابعد أن تستبيح فعل الصلاة إمّا بالغسل مع وجود الماء أو التيمّم عند عدمه، فأمّا قبل استباحة الصلاة فلا يجوز وطؤها على</w:t>
      </w:r>
      <w:bookmarkStart w:id="174" w:name="pg14912_141136"/>
    </w:p>
    <w:p>
      <w:pPr>
        <w:pStyle w:val="BookText"/>
        <w:rPr/>
      </w:pPr>
      <w:bookmarkEnd w:id="174"/>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أمّا ما أفتى به أبو حنيفة فقد أورد عليه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 أبي حنيفة على ما ذكره في الكشّاف،</w:t>
      </w:r>
      <w:r>
        <w:rPr>
          <w:rStyle w:val="FootnoteAnchor"/>
          <w:rtl w:val="true"/>
        </w:rPr>
        <w:footnoteReference w:id="130"/>
      </w:r>
      <w:r>
        <w:rPr>
          <w:rFonts w:ascii="Amiri" w:hAnsi="Amiri" w:eastAsia="Amiri" w:cs="Amiri"/>
          <w:color w:val="111111"/>
          <w:sz w:val="28"/>
          <w:sz w:val="28"/>
          <w:szCs w:val="28"/>
          <w:rtl w:val="true"/>
          <w:lang w:bidi="ar-SA"/>
        </w:rPr>
        <w:t>فبعيد عن الآية كثيراً ولا وجه له، وهو أنّه إن كان لأكثر الدّم فيحرم إلى انقطاع الدّم، وفي أقلّه إلى بعد الغسل أو بعد مضيّ وقت صلاة كاملة، مع أنّه بقي حكم الوسط إلّاأن يُريد بالأقل غير الأكثر أو العكس</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وأمّا فتوى الشافعي فلعلّ ما ذكره 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لم يذكر مصدراً لتفسيره من حديث أو أثر، هذا كلّه حول الآية والأقوال، وأمّا المرويّ عن أئمّة أهل البيت عليهم السلام فهو على أصناف ثلاثة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365985_388300464"/>
      <w:bookmarkStart w:id="176" w:name="_Toc67"/>
      <w:bookmarkEnd w:id="175"/>
      <w:r>
        <w:rPr>
          <w:rtl w:val="true"/>
        </w:rPr>
        <w:t>الأوّل</w:t>
      </w:r>
      <w:r>
        <w:rPr>
          <w:rtl w:val="true"/>
        </w:rPr>
        <w:t xml:space="preserve">: </w:t>
      </w:r>
      <w:r>
        <w:rPr>
          <w:rtl w:val="true"/>
        </w:rPr>
        <w:t>ما يدلّ على الجواز مطلقاً،</w:t>
      </w:r>
      <w:bookmarkEnd w:id="176"/>
    </w:p>
    <w:p>
      <w:pPr>
        <w:pStyle w:val="BookText"/>
        <w:rPr/>
      </w:pP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 الدم ولم تغتسل، فليأتها زوجها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علي بن يقطين عن أبي عبد اللّه عليه السلام مثله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عبد اللّه بن المغيرة، عمّن سمعه، عن العبد الصالح عليه السلام في المرأة إذا طهرت من الحيض ولم تمسّ الماء فلا يقع عليها زوجها حتّى تغتسل، وإن</w:t>
      </w:r>
      <w:bookmarkStart w:id="177" w:name="pg14912_141137"/>
    </w:p>
    <w:p>
      <w:pPr>
        <w:pStyle w:val="BookText"/>
        <w:rPr/>
      </w:pPr>
      <w:bookmarkEnd w:id="177"/>
      <w:r>
        <w:rPr>
          <w:rFonts w:ascii="Amiri" w:hAnsi="Amiri" w:eastAsia="Amiri" w:cs="Amiri"/>
          <w:color w:val="111111"/>
          <w:sz w:val="28"/>
          <w:sz w:val="28"/>
          <w:szCs w:val="28"/>
          <w:rtl w:val="true"/>
          <w:lang w:bidi="ar-SA"/>
        </w:rPr>
        <w:t>فعل فلا بأس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 الماء أحبّ إلي</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عن علي بن يقطين،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الحائض ترى الطهر، أيقع بها زوجها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وبعد الغسل أحبّ إليّ‌</w:t>
      </w:r>
      <w:r>
        <w:rPr>
          <w:rFonts w:eastAsia="Amiri" w:cs="Amiri" w:ascii="Amiri" w:hAnsi="Amiri"/>
          <w:color w:val="111111"/>
          <w:sz w:val="28"/>
          <w:szCs w:val="28"/>
          <w:rtl w:val="true"/>
          <w:lang w:bidi="ar-SA"/>
        </w:rPr>
        <w:t>».</w:t>
      </w:r>
      <w:r>
        <w:rPr>
          <w:rStyle w:val="FootnoteAnchor"/>
          <w:rtl w:val="true"/>
        </w:rPr>
        <w:footnoteReference w:id="134"/>
      </w:r>
    </w:p>
    <w:p>
      <w:pPr>
        <w:pStyle w:val="Heading6"/>
        <w:numPr>
          <w:ilvl w:val="5"/>
          <w:numId w:val="1"/>
        </w:numPr>
        <w:rPr/>
      </w:pPr>
      <w:bookmarkStart w:id="178" w:name="__RefHeading___Toc1365987_388300464"/>
      <w:bookmarkStart w:id="179" w:name="_Toc68"/>
      <w:bookmarkEnd w:id="178"/>
      <w:r>
        <w:rPr>
          <w:rtl w:val="true"/>
        </w:rPr>
        <w:t>الصنف الثاني</w:t>
      </w:r>
      <w:r>
        <w:rPr>
          <w:rtl w:val="true"/>
        </w:rPr>
        <w:t xml:space="preserve">: </w:t>
      </w:r>
      <w:r>
        <w:rPr>
          <w:rtl w:val="true"/>
        </w:rPr>
        <w:t>ما يدلّ على المنع،</w:t>
      </w:r>
      <w:bookmarkEnd w:id="179"/>
    </w:p>
    <w:p>
      <w:pPr>
        <w:pStyle w:val="BookText"/>
        <w:rPr/>
      </w:pP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كانت طامثاً فرأت الطهر، أيقع عليها زوجها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حاضت في السفر ثم طهرت فلم تجد ماء يوماً واثنين، أيحلّ لزوجها أن يجامعها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تغتسل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تحرم عليها الصلاة ثم تطهر فتتوضّأ من غير أن تغتسل، أفلزوجها أن يأتيها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وصناعة الفقه تقتضي حمل الصنف الثاني على الكراهة، بشهادة ما في الصنف الأوّل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الغسل أحبّ إليّ‌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ومحور كلا الصنفين هو لزوم الاغتسال وعدمه، والجمع الذي ذكره لا إشكال فيه، إنّما الكلام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يقتضي أنّ‌</w:t>
      </w:r>
      <w:bookmarkStart w:id="180" w:name="pg14912_141138"/>
    </w:p>
    <w:p>
      <w:pPr>
        <w:pStyle w:val="BookText"/>
        <w:rPr/>
      </w:pPr>
      <w:bookmarkEnd w:id="180"/>
      <w:r>
        <w:rPr>
          <w:rFonts w:ascii="Amiri" w:hAnsi="Amiri" w:eastAsia="Amiri" w:cs="Amiri"/>
          <w:color w:val="111111"/>
          <w:sz w:val="28"/>
          <w:sz w:val="28"/>
          <w:szCs w:val="28"/>
          <w:rtl w:val="true"/>
          <w:lang w:bidi="ar-SA"/>
        </w:rPr>
        <w:t>عليها أمراً آخر وراء النقاء وهذا ما نجد جوابه في روايات الصنف الثالث</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365989_388300464"/>
      <w:bookmarkStart w:id="182" w:name="_Toc69"/>
      <w:bookmarkEnd w:id="181"/>
      <w:r>
        <w:rPr>
          <w:rtl w:val="true"/>
        </w:rPr>
        <w:t>الصنف الثالث</w:t>
      </w:r>
      <w:r>
        <w:rPr>
          <w:rtl w:val="true"/>
        </w:rPr>
        <w:t xml:space="preserve">: </w:t>
      </w:r>
      <w:r>
        <w:rPr>
          <w:rtl w:val="true"/>
        </w:rPr>
        <w:t>ما يدلّ على تقييد الجواز بغسل الموضع،</w:t>
      </w:r>
      <w:bookmarkEnd w:id="182"/>
    </w:p>
    <w:p>
      <w:pPr>
        <w:pStyle w:val="BookText"/>
        <w:rPr/>
      </w:pP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بسنده عن محمد بن مسلم، عن أبي جعفر عليه السلام في المرأة ينقطع عنها الدم دم الحيض في آخر أيّامها؟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زوجها شبق، فليأمرها فلتغسل فرجها، ثم يمسّها إن شاء قبل أن تغتسل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يكون معه أهله في السفر فلا يجد الماء، يأتي 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يفعل ذلك إلّاأن يكون شبقاً أو يخاف على نفسه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وهاتان الروايتان صالحتان لتقييد الصنفين السابقين، فيقيّد ما دلّ على الجواز بهما، كما يقيد المنع بهما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يخلو من قوّة، وهو خيرة الشيخ الصدوق</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نعم 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قصوره عن مقاومة ما ذكرنا من وجوه متعدّدة، لا سيما بعد كون الغالب عدم الشبق، فيبعد حمل تلك المطلقات على تقييد هذا الخبر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أمّا الشبق فليس أمراً غير غالب خصوصاً في الشباب بعد الامتناع عن الوطء أيام الحيض</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فالذي يصدّنا عن القول بالجواز مطلقاً هو قوله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العجب أنّ الشيخ الطوسي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بمعنى طهرن؛ لأنّ تفعل يجيء بمعنى فعل</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وتبعه صاحب الجواهر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ومنه المتكبّر في أسماء اللّه تعالى، بمعنى الكبير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المتكبّر من أوصافه سبحانه بمعناه الحقيقي، وهو حقّ له؛ لأنّه هو الذي تلبّس بالكبرياء وظهر به، فإذا كان الكبر هو الحالة التي توجب إعجاب المرء بنفسه ورؤية ذاته أكبر من غيره، لاترى لذلك الوصف حقيقة إلّافي ذاته سبحانه، حيث له الكبرياء والعظمة دون غيره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لو لم يكن الأقوى، لزوم غسل المحلّ وتطهيره قبل اللقاء، وهو القدر المتيقّن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3" w:name="pg14912_141140"/>
    </w:p>
    <w:p>
      <w:pPr>
        <w:pStyle w:val="BookText"/>
        <w:rPr/>
      </w:pPr>
      <w:bookmarkEnd w:id="183"/>
      <w:r>
        <w:rPr>
          <w:rFonts w:ascii="Amiri" w:hAnsi="Amiri" w:eastAsia="Amiri" w:cs="Amiri"/>
          <w:color w:val="111111"/>
          <w:sz w:val="28"/>
          <w:sz w:val="28"/>
          <w:szCs w:val="28"/>
          <w:rtl w:val="true"/>
          <w:lang w:bidi="ar-SA"/>
        </w:rPr>
        <w:t>أحكام الطهارة</w:t>
      </w:r>
    </w:p>
    <w:p>
      <w:pPr>
        <w:pStyle w:val="Heading3"/>
        <w:numPr>
          <w:ilvl w:val="2"/>
          <w:numId w:val="1"/>
        </w:numPr>
        <w:rPr/>
      </w:pPr>
      <w:bookmarkStart w:id="184" w:name="__RefHeading___Toc1365991_388300464"/>
      <w:bookmarkStart w:id="185" w:name="_Toc70"/>
      <w:bookmarkEnd w:id="184"/>
      <w:r>
        <w:rPr/>
        <w:t>4</w:t>
      </w:r>
      <w:r>
        <w:rPr>
          <w:rtl w:val="true"/>
        </w:rPr>
        <w:t xml:space="preserve">. </w:t>
      </w:r>
      <w:r>
        <w:rPr>
          <w:rtl w:val="true"/>
        </w:rPr>
        <w:t>حكم المشرك في الذكر الحكيم</w:t>
      </w:r>
      <w:bookmarkEnd w:id="185"/>
    </w:p>
    <w:p>
      <w:pPr>
        <w:pStyle w:val="Heading4"/>
        <w:numPr>
          <w:ilvl w:val="3"/>
          <w:numId w:val="1"/>
        </w:numPr>
        <w:rPr/>
      </w:pPr>
      <w:bookmarkStart w:id="186" w:name="__RefHeading___Toc1365993_388300464"/>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 إِنْ خِفْتُمْ عَيْلَةً فَسَوْفَ يُغْنِيكُمُ اَللّهُ مِنْ فَضْلِهِ إِنْ شاءَ إِنَّ اَللّهَ عَلِيمٌ حَكِيمٌ‌</w:t>
      </w:r>
      <w:r>
        <w:rPr>
          <w:rFonts w:eastAsia="Amiri" w:cs="Amiri" w:ascii="Amiri" w:hAnsi="Amiri"/>
          <w:color w:val="111111"/>
          <w:sz w:val="28"/>
          <w:szCs w:val="28"/>
          <w:rtl w:val="true"/>
          <w:lang w:bidi="ar-SA"/>
        </w:rPr>
        <w:t>) .</w:t>
      </w:r>
      <w:r>
        <w:rPr>
          <w:rStyle w:val="FootnoteAnchor"/>
          <w:rtl w:val="true"/>
        </w:rPr>
        <w:footnoteReference w:id="143"/>
      </w:r>
    </w:p>
    <w:p>
      <w:pPr>
        <w:pStyle w:val="Heading4"/>
        <w:numPr>
          <w:ilvl w:val="3"/>
          <w:numId w:val="1"/>
        </w:numPr>
        <w:rPr/>
      </w:pPr>
      <w:bookmarkStart w:id="188" w:name="__RefHeading___Toc1365995_388300464"/>
      <w:bookmarkStart w:id="189" w:name="_Toc72"/>
      <w:bookmarkEnd w:id="188"/>
      <w:r>
        <w:rPr>
          <w:rtl w:val="true"/>
        </w:rPr>
        <w:t>المفردات</w:t>
      </w:r>
      <w:bookmarkEnd w:id="189"/>
    </w:p>
    <w:p>
      <w:pPr>
        <w:pStyle w:val="BookText"/>
        <w:rPr/>
      </w:pP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الشيء نجساً فهو نجس من باب تعب، إذا كان قذراً غير نظيف</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وذلك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يُدرك بالحاسّة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 يُدرك بالبصيرة</w:t>
      </w:r>
      <w:r>
        <w:rPr>
          <w:rFonts w:eastAsia="Amiri" w:cs="Amiri" w:ascii="Amiri" w:hAnsi="Amiri"/>
          <w:color w:val="111111"/>
          <w:sz w:val="28"/>
          <w:szCs w:val="28"/>
          <w:rtl w:val="true"/>
          <w:lang w:bidi="ar-SA"/>
        </w:rPr>
        <w:t>.</w:t>
      </w:r>
      <w:bookmarkStart w:id="190" w:name="pg14912_141141"/>
    </w:p>
    <w:p>
      <w:pPr>
        <w:pStyle w:val="BookText"/>
        <w:rPr/>
      </w:pPr>
      <w:bookmarkEnd w:id="190"/>
      <w:r>
        <w:rPr>
          <w:rFonts w:ascii="Amiri" w:hAnsi="Amiri" w:eastAsia="Amiri" w:cs="Amiri"/>
          <w:color w:val="111111"/>
          <w:sz w:val="28"/>
          <w:sz w:val="28"/>
          <w:szCs w:val="28"/>
          <w:rtl w:val="true"/>
          <w:lang w:bidi="ar-SA"/>
        </w:rPr>
        <w:t>والثاني وصف اللّه تعالى به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نجّسه أي جعله نجساً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يعيل إذا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يدري الفقير متى 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 الغنيُّ متى يعيل</w:t>
      </w:r>
    </w:p>
    <w:p>
      <w:pPr>
        <w:pStyle w:val="BookText"/>
        <w:rPr/>
      </w:pPr>
      <w:r>
        <w:rPr>
          <w:rFonts w:ascii="Amiri" w:hAnsi="Amiri" w:eastAsia="Amiri" w:cs="Amiri"/>
          <w:color w:val="111111"/>
          <w:sz w:val="28"/>
          <w:sz w:val="28"/>
          <w:szCs w:val="28"/>
          <w:rtl w:val="true"/>
          <w:lang w:bidi="ar-SA"/>
        </w:rPr>
        <w:t>روى المفسّرون في شأن نزول الآية أنّ عليّاً عليه السلام نادى في سنة تسع من الهجرة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يَحجّن بعد هذا العام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ذلك ثقيلاً على المسلمين فإن منعَ المشركين عن الحجّ يوجب ضرراً اقتصادياً في تجارة أهل مكّة، فجاء الوحي الإلهي يؤمنهم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 وحاجة، وكانوا قد خافوا انقطاع المتاجر، بمنع المشركين من دخول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يُغْنِيكُمُ اَللّهُ مِنْ فَضْلِهِ إِنْ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فسوف يغنيكم اللّه من جهة أُخرى، إن شاء أن يغنيكم، بأن يرغّب الناس من أهل الآفاق في حمل الميرة</w:t>
      </w:r>
      <w:r>
        <w:rPr>
          <w:rStyle w:val="FootnoteAnchor"/>
          <w:rtl w:val="true"/>
        </w:rPr>
        <w:footnoteReference w:id="146"/>
      </w:r>
      <w:r>
        <w:rPr>
          <w:rFonts w:ascii="Amiri" w:hAnsi="Amiri" w:eastAsia="Amiri" w:cs="Amiri"/>
          <w:color w:val="111111"/>
          <w:sz w:val="28"/>
          <w:sz w:val="28"/>
          <w:szCs w:val="28"/>
          <w:rtl w:val="true"/>
          <w:lang w:bidi="ar-SA"/>
        </w:rPr>
        <w:t>إليكم، رحمة منه ونعمة عليكم</w:t>
      </w:r>
      <w:r>
        <w:rPr>
          <w:rFonts w:eastAsia="Amiri" w:cs="Amiri" w:ascii="Amiri" w:hAnsi="Amiri"/>
          <w:color w:val="111111"/>
          <w:sz w:val="28"/>
          <w:szCs w:val="28"/>
          <w:rtl w:val="true"/>
          <w:lang w:bidi="ar-SA"/>
        </w:rPr>
        <w:t>.</w:t>
      </w:r>
      <w:r>
        <w:rPr>
          <w:rStyle w:val="FootnoteAnchor"/>
          <w:rtl w:val="true"/>
        </w:rPr>
        <w:footnoteReference w:id="147"/>
      </w:r>
    </w:p>
    <w:p>
      <w:pPr>
        <w:pStyle w:val="Heading4"/>
        <w:numPr>
          <w:ilvl w:val="3"/>
          <w:numId w:val="1"/>
        </w:numPr>
        <w:rPr/>
      </w:pPr>
      <w:bookmarkStart w:id="191" w:name="__RefHeading___Toc1365997_388300464"/>
      <w:bookmarkStart w:id="192" w:name="_Toc73"/>
      <w:bookmarkEnd w:id="191"/>
      <w:r>
        <w:rPr>
          <w:rtl w:val="true"/>
        </w:rPr>
        <w:t>التفسير</w:t>
      </w:r>
      <w:bookmarkEnd w:id="192"/>
    </w:p>
    <w:p>
      <w:pPr>
        <w:pStyle w:val="Heading5"/>
        <w:numPr>
          <w:ilvl w:val="4"/>
          <w:numId w:val="1"/>
        </w:numPr>
        <w:rPr/>
      </w:pPr>
      <w:bookmarkStart w:id="193" w:name="__RefHeading___Toc1365999_388300464"/>
      <w:bookmarkStart w:id="194" w:name="_Toc74"/>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وقبل تفسير الآية نقدّم أُموراً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366001_388300464"/>
      <w:bookmarkStart w:id="196" w:name="_Toc75"/>
      <w:bookmarkEnd w:id="195"/>
      <w:r>
        <w:rPr>
          <w:rtl w:val="true"/>
        </w:rPr>
        <w:t>الأوّل</w:t>
      </w:r>
      <w:r>
        <w:rPr>
          <w:rtl w:val="true"/>
        </w:rPr>
        <w:t xml:space="preserve">: </w:t>
      </w:r>
      <w:r>
        <w:rPr>
          <w:rtl w:val="true"/>
        </w:rPr>
        <w:t>في أصناف الكافرين</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يُقسّم الكافر إلى مشرك وغير مشرك، والمشركون هم عُبّاد الأصنام</w:t>
      </w:r>
      <w:bookmarkStart w:id="197" w:name="pg14912_141142"/>
    </w:p>
    <w:p>
      <w:pPr>
        <w:pStyle w:val="BookText"/>
        <w:rPr/>
      </w:pPr>
      <w:bookmarkEnd w:id="197"/>
      <w:r>
        <w:rPr>
          <w:rFonts w:ascii="Amiri" w:hAnsi="Amiri" w:eastAsia="Amiri" w:cs="Amiri"/>
          <w:color w:val="111111"/>
          <w:sz w:val="28"/>
          <w:sz w:val="28"/>
          <w:szCs w:val="28"/>
          <w:rtl w:val="true"/>
          <w:lang w:bidi="ar-SA"/>
        </w:rPr>
        <w:t>والأوثان، من غير فرق بين كون الوثن سماوياً أو أرضياً؛ فعبّاد النجوم مشركون، كما أنّ مشركي قريش الذين كانوا يعبدون الأصنام المنصوبة على البيت،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الكتاب ومن في حكمهم كاليهود والنصارى والمجوس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شرك النصارى أشدّ من شرك عُبّاد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فالقرآن يفرّق بينهما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يهمّنا بالبحث عنه هنا هو حكم المشرك من حيث الطهارة والنجاسة لاختصاص الآية به، فخرج اليهود والنصارى والمسلم المرتدّ والنواصب والخوارج عن مصبّ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حكم هؤلاء بالرجوع إلى المصادر الفقهية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366003_388300464"/>
      <w:bookmarkStart w:id="199" w:name="_Toc76"/>
      <w:bookmarkEnd w:id="198"/>
      <w:r>
        <w:rPr>
          <w:rtl w:val="true"/>
        </w:rPr>
        <w:t>الأمر الثاني</w:t>
      </w:r>
      <w:r>
        <w:rPr>
          <w:rtl w:val="true"/>
        </w:rPr>
        <w:t xml:space="preserve">: </w:t>
      </w:r>
      <w:r>
        <w:rPr>
          <w:rtl w:val="true"/>
        </w:rPr>
        <w:t>في نجاسة المشرك وطهارته</w:t>
      </w:r>
      <w:bookmarkEnd w:id="199"/>
    </w:p>
    <w:p>
      <w:pPr>
        <w:pStyle w:val="BookText"/>
        <w:rPr/>
      </w:pPr>
      <w:r>
        <w:rPr>
          <w:rFonts w:ascii="Amiri" w:hAnsi="Amiri" w:eastAsia="Amiri" w:cs="Amiri"/>
          <w:color w:val="111111"/>
          <w:sz w:val="28"/>
          <w:sz w:val="28"/>
          <w:szCs w:val="28"/>
          <w:rtl w:val="true"/>
          <w:lang w:bidi="ar-SA"/>
        </w:rPr>
        <w:t>إنّ فقهاء الإسلام، في نجاسة المشرك وطهارته،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طهارتهم، ونقل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فيها نجاسة، وبه قال أبو حنيفة ومالك</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جمهور الفقهاء فإنّهم حكموا بكون الكافر طاهراً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الرازي أورد على الحنفية ما هذا حاصله،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p>
    <w:p>
      <w:pPr>
        <w:pStyle w:val="BookText"/>
        <w:rPr/>
      </w:pP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المحدث نجسة، نجاسة حكمية، وبنوا عليه أنّ الماء المستعمل في الوضوء والجنابة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طاهر وزعموا أنّ المياه التي استعملها المشركون في أعضائهم بقيت طاهرة مطهرة، والمياه التي يستعملها أكابر الأنبياء في أعضائهم نجسة نجاسة غليظة، وهذا من العجائب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المشركين نجاسة عرضية؛ لأنّهم يتناولون الميتة والخمر ولا يجتنبون النجاسات الشرعية، وإلّا فالمشركون طاهرون بالذات نجسون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القول بها عن جماعة من أصحابنا،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عقيل العمّاني، حيث حكي عنه عدم نجاسة سؤر اليهود والنصارى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لعدم نجاسة القليل عنده بالملاقاة إذ السؤر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الذي لاقاه فم حيوان أو جسمه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هنا إنّما في أهل الكتاب فلا يستنبط منه حكم المشرك، فإنّ نجاسة أهل الكتاب أخفّ من نجاسة المشرك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الجنيد، فقد حكي عن مختصر ابن الجنيد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تجنّب من أكل ما صنعه أهل الكتاب من ذبائحهم وفي آنيتهم، وكذلك ما وضع في أواني مستحلّ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الميتة ومؤاكلتهم ما لم يتيقّن طهارة أوانيهم وأيديهم، كان أحوط</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ولا يخفى أنّ كلامه غير صريح في 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أنّ الأحوط الاجتناب عن ذبائح أهل الكتاب وأوانيهم ما لم يتيقّن طهارتها، وهو أعمّ من القول بالنجاسة الذاتية أو العرضية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في المسائل الغرية، وقد حكاه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حيث قال بالكراهة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من الكراهة، الحرمة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نهايته،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يدعو الإنسان أحداً من الكفّار إلى طعامه فيأكل معه، فإن دعاه فليأمره بغسل يديه، ثم يأكل معه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كلامه على الطعام الجاف، كالتمر والخبز؛ وذلك لأنّه قال قبل ذلك ما هو صريح في الحكم بنجاستهم،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مؤاكلة الكفّار على اختلاف مللهم ولا استعمال أوانيهم إلّابعد غسلها بالماء، وكلّ طعام تولّاه بعض الكفّار بأيديهم وباشروه بنفوسهم، لم يجز أكله، لأنّهم أنجاس ينجس الطعام بمباشرتهم إيّاه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ناقش في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بعد ما نقل كلتا الطائفتين من الروايات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الأخبار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0" w:name="pg14912_141145"/>
    </w:p>
    <w:p>
      <w:pPr>
        <w:pStyle w:val="BookText"/>
        <w:rPr/>
      </w:pPr>
      <w:bookmarkEnd w:id="200"/>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أو حمل النهي في الأخبار المتقدّمة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رجّح الثاني ببعض الأُمور، وفي نهاية كلامه استظهر أنّ في صحيحة إسماعيل بن جابر إشعاراً بأنّ النهي عن مباشرتهم للنجاسة العرضية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مورد الروايات التي يشير إليها صاحب المدارك، هو أهل الكتاب، فتردّده فيهم لا يكون دليلاً على تردّده في المشرك،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ذكر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في باب طهارة الماء خبر في جواز الشرب من كوز شرب منه اليهودي، والتطهير من مسّهم ممّا لا ينبغي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وفيه دلالة على رجحان التطهير منه لا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بين المتأخّرين قائل بالنجاسة العرضية، ولم نقف عليه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366005_388300464"/>
      <w:bookmarkStart w:id="202" w:name="_Toc77"/>
      <w:bookmarkEnd w:id="201"/>
      <w:r>
        <w:rPr>
          <w:rtl w:val="true"/>
        </w:rPr>
        <w:t>الثالث</w:t>
      </w:r>
      <w:r>
        <w:rPr>
          <w:rtl w:val="true"/>
        </w:rPr>
        <w:t xml:space="preserve">: </w:t>
      </w:r>
      <w:r>
        <w:rPr>
          <w:rtl w:val="true"/>
        </w:rPr>
        <w:t>القول بالنجاسة الجعلية الاعتبارية</w:t>
      </w:r>
      <w:bookmarkEnd w:id="202"/>
    </w:p>
    <w:p>
      <w:pPr>
        <w:pStyle w:val="BookText"/>
        <w:rPr/>
      </w:pPr>
      <w:r>
        <w:rPr>
          <w:rFonts w:ascii="Amiri" w:hAnsi="Amiri" w:eastAsia="Amiri" w:cs="Amiri"/>
          <w:color w:val="111111"/>
          <w:sz w:val="28"/>
          <w:sz w:val="28"/>
          <w:szCs w:val="28"/>
          <w:rtl w:val="true"/>
          <w:lang w:bidi="ar-SA"/>
        </w:rPr>
        <w:t>القول بالنجاسة الذاتية بالجعل الشرعي هو القول المشهور بين الإمامية، وكفى في ذلك ما ننقله عن المرتضى وغيره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القول بنجاسة سؤر اليهودي والنصراني وكلّ كافر، وخالف جميع الفقهاء في ذلك، وحكى الطحاوي عن مالك في سؤر النصراني والمشرك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المحصّلين من أصحاب مالك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على سبيل الكراهة لا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استحلالهم الخمر</w:t>
      </w:r>
    </w:p>
    <w:p>
      <w:pPr>
        <w:pStyle w:val="BookText"/>
        <w:rPr/>
      </w:pPr>
      <w:r>
        <w:rPr>
          <w:rFonts w:ascii="Amiri" w:hAnsi="Amiri" w:eastAsia="Amiri" w:cs="Amiri"/>
          <w:color w:val="111111"/>
          <w:sz w:val="28"/>
          <w:sz w:val="28"/>
          <w:szCs w:val="28"/>
          <w:rtl w:val="true"/>
          <w:lang w:bidi="ar-SA"/>
        </w:rPr>
        <w:t>والخنزير، وليس بمقطوع على نجاسته، فالإمامية منفردة بهذا المذهب</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في مورد أهل الكتاب لا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بالأولوية على نجاسة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بالنجاسة الذاتية شعار الشيعة، يعرفه منهم علماء العامّة وعوامهم ونساؤهم وصبيانهم، بل وأهل الكتاب فضلاً عن الخاصّة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ثمّ إنّ صاحب الجواهر تلقّى كون المسألة على مرتبة من الظهور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فتطويل البحث في المقام تضييع للأيام في غير ما أعدّها له الملك العلّام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ولعلّ هذا المقدار من نقل الكلمات كافٍ في إثبات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لنا في هذا المقام استظهار الحكم من الآية، والاستدلال بها على المقصود،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وإيضاحها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الأقوال على مفاد الآية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حصر الموصوف على الصفة، وكأنّه لا ماهية ولا واقعية للمشرك سوى كونه نجساً، وأمّا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03" w:name="pg14912_141147"/>
    </w:p>
    <w:p>
      <w:pPr>
        <w:pStyle w:val="BookText"/>
        <w:rPr/>
      </w:pPr>
      <w:bookmarkEnd w:id="203"/>
      <w:r>
        <w:rPr>
          <w:rFonts w:ascii="Amiri" w:hAnsi="Amiri" w:eastAsia="Amiri" w:cs="Amiri"/>
          <w:color w:val="111111"/>
          <w:sz w:val="28"/>
          <w:sz w:val="28"/>
          <w:szCs w:val="28"/>
          <w:rtl w:val="true"/>
          <w:lang w:bidi="ar-SA"/>
        </w:rPr>
        <w:t>ما ربما يظهر من الرازي أنّه من قبيل حصر الوصف على الموصوف فهو غير تام،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فساد هذا القول،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وهذا يقتضي أن لا نجس إلّاالمشرك، فالقول بأنّ أعضاء المحدث نجسة مخالف لهذا النصّ‌، والعجب أنّ هذا النص صريح في أنّ المشرك نجس وفي أنّ المؤمن ليس بنجس</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الطائي 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حصر واقع الطائي على السخاء، لا حصر السخاء على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فالمشرك بوجوده يجسد النجاسة والقذارة، وليس له واقعية غيرها، فعندئذٍ نعرض الأقوال على هذا المعنى المستفاد من الآية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366007_388300464"/>
      <w:bookmarkStart w:id="205" w:name="_Toc78"/>
      <w:bookmarkEnd w:id="204"/>
      <w:r>
        <w:rPr>
          <w:rtl w:val="true"/>
        </w:rPr>
        <w:t>عرض الآراء على مفاد الآية</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القذارة المعنوية كجعلها على الميسر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هذا فمعنى ذلك أنّ المشرك مع أنّه قذر ونجس يجوز مؤاكلته ومشاربته، ومن المعلوم أنّ هذين الأمرين لا ينسجمان، إذ لا يترتّب على جعل القذارة المعنوية أي أثر، ويُعدّ الكلام الثاني نقضاً للكلام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حصر واقع المشرك بالقذارة والنجاسة ومع ذلك يجوز أن يتعامل معه كالتعامل مع المسلم الطاهر المطهَّر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القذارة العرفية التي يعرفها كلّ الناس، وهذا أيضاً غير صحيح، ومخالف</w:t>
      </w:r>
    </w:p>
    <w:p>
      <w:pPr>
        <w:pStyle w:val="BookText"/>
        <w:rPr/>
      </w:pPr>
      <w:r>
        <w:rPr>
          <w:rFonts w:ascii="Amiri" w:hAnsi="Amiri" w:eastAsia="Amiri" w:cs="Amiri"/>
          <w:color w:val="111111"/>
          <w:sz w:val="28"/>
          <w:sz w:val="28"/>
          <w:szCs w:val="28"/>
          <w:rtl w:val="true"/>
          <w:lang w:bidi="ar-SA"/>
        </w:rPr>
        <w:t>للواقع، فإنّ المشركين لا يختلفون عن سائر الطوائف نظافة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العرضية،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حصر حقيقتهم بالنجاسة، لكونهم يمارسون النجاسات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أنّ النجاسة لا تفارق المشركين ولو كانت عرضية لفارقت في ظرف دون ظرف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الشرعية الجعلية، فإنّ الآية وإن كانت جملة خبرية، ولكنّها بصدد إنشاء الحكم، إذ ليس الإخبار من وظائف الشرع، بل من وظائفه 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عين القذارة ظاهراً وباطناً، فلذلك منعوا من الدخول إلى المسجد الحرام؛ لأنّ المسجد مركز الطاهرين المطهّرين، لا لمثل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يطرح سؤالان تجب الإجابة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المصدر على الذات غير صحيح، فلابدّ من تقدير كلمة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ذوو نجس، وعلى هذا يسقط الاستدلال المبني على كون الكافر مجسِّداً للقذارة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المصدر على الذات لا يصحّ حقيقة، ولكن يصحّ ادعاءً ومبالغة، كقول الخنساء في صفة الناقة الفاقدة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ترتاع ما نسيت حتى 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إقبال وإدبار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ترتاع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الناقة التي عرفت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 فتتوجه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تقبل به تظن انّه ولدها وتدبر إذا نسيت كونه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النجس لغة المستقذر، قال الهروي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مستقذر نجس، والمستقذر أعمّ من النجس بالمعنى المصطلح عليه عند الفقهاء، والواجب حمل اللفظ على الحقيقة اللغوية عند انتفاء المعنى الشرعي، وهو غير ثابت هنا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للنجس إلّامعنى واحد عرفاً وشرعاً، يقول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يدلّ على خلاف الطهارة، وشيء نَجِسٌ ونَجَسٌ‌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وليس ببعيد أن يكون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ساعدة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والشيب داءٌ نجيسٌ لا دواء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للمرءِ كان صحيحاً صائب القُحَمِ‌</w:t>
      </w:r>
      <w:r>
        <w:rPr>
          <w:rStyle w:val="FootnoteAnchor"/>
          <w:rtl w:val="true"/>
        </w:rPr>
        <w:footnoteReference w:id="1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فالإشكال مبني على أنّ لها معنيين عرفي وشرعي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الأوّل دون الثاني، ولكنّه غير تام؛ لأنّ النجس والنجاسة كسائر الألفاظ مثل البيع والإجارة والرهن والنكاح والطلاق له معنى واحد، والشارع عندما أمضى هذه الحقائق العرفية أمضاها بما عند العرف من المعنى، غير أنّه أخرج مصاديقه</w:t>
      </w:r>
      <w:r>
        <w:rPr>
          <w:rFonts w:eastAsia="Amiri" w:cs="Amiri" w:ascii="Amiri" w:hAnsi="Amiri"/>
          <w:color w:val="111111"/>
          <w:sz w:val="28"/>
          <w:szCs w:val="28"/>
          <w:rtl w:val="true"/>
          <w:lang w:bidi="ar-SA"/>
        </w:rPr>
        <w:t>.</w:t>
      </w:r>
      <w:bookmarkStart w:id="206" w:name="pg14912_141150"/>
    </w:p>
    <w:p>
      <w:pPr>
        <w:pStyle w:val="BookText"/>
        <w:rPr/>
      </w:pPr>
      <w:bookmarkEnd w:id="206"/>
      <w:r>
        <w:rPr>
          <w:rFonts w:ascii="Amiri" w:hAnsi="Amiri" w:eastAsia="Amiri" w:cs="Amiri"/>
          <w:color w:val="111111"/>
          <w:sz w:val="28"/>
          <w:sz w:val="28"/>
          <w:szCs w:val="28"/>
          <w:rtl w:val="true"/>
          <w:lang w:bidi="ar-SA"/>
        </w:rPr>
        <w:t>عن تحت بعض العناوين وأدخل بعضاً آخر، فأخرج بيع الكلب والخنزير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فالنجس في الآية بالمعنى العرفي، ولكن الشارع تصرّف في المصاديق وجعل المشرك من مصاديق هذا المعنى، لكن العرف كان غافلاً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 عن النجس القيح والقيء، فإنّهما قذران عرفاً دون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الطريقة الواضحة في أسماء العبادات والمعاملات، فالقول بالحقيقة الشرعية مقابل الحقيقة العرفية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الشرع يتكلّم بلغة العرف،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366009_388300464"/>
      <w:bookmarkStart w:id="208" w:name="_Toc79"/>
      <w:bookmarkEnd w:id="207"/>
      <w:r>
        <w:rPr>
          <w:rtl w:val="true"/>
        </w:rPr>
        <w:t>الاحتجاج بالروايات</w:t>
      </w:r>
      <w:r>
        <w:rPr>
          <w:rtl w:val="true"/>
        </w:rPr>
        <w:t>(</w:t>
      </w:r>
      <w:r>
        <w:rPr/>
        <w:t>2</w:t>
      </w:r>
      <w:r>
        <w:rPr>
          <w:rtl w:val="true"/>
        </w:rPr>
        <w:t>)</w:t>
      </w:r>
      <w:bookmarkEnd w:id="208"/>
    </w:p>
    <w:p>
      <w:pPr>
        <w:pStyle w:val="BookText"/>
        <w:rPr/>
      </w:pPr>
      <w:r>
        <w:rPr>
          <w:rFonts w:ascii="Amiri" w:hAnsi="Amiri" w:eastAsia="Amiri" w:cs="Amiri"/>
          <w:color w:val="111111"/>
          <w:sz w:val="28"/>
          <w:sz w:val="28"/>
          <w:szCs w:val="28"/>
          <w:rtl w:val="true"/>
          <w:lang w:bidi="ar-SA"/>
        </w:rPr>
        <w:t xml:space="preserve">احتجّ القائلون بالنجاسة بالروايات الصحيحة الدالّة على النجاسة، وفي مقابلها ما يستفاد منه الطهارة، لكن مصبّ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وطهارة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المجوس واليهود والنصارى، وعند ذلك لا وجه للبحث عن هاتين الطائفتين، ووجه الجمع بينهما لاختلاف موضوعهما، إنّما اللازم تفسير بقية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الإيعاز إليه عند نقل كلام صاحب المدارك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209" w:name="pg14912_141151"/>
    </w:p>
    <w:p>
      <w:pPr>
        <w:pStyle w:val="BookText"/>
        <w:rPr/>
      </w:pPr>
      <w:bookmarkEnd w:id="209"/>
      <w:r>
        <w:rPr>
          <w:rFonts w:ascii="Amiri" w:hAnsi="Amiri" w:eastAsia="Amiri" w:cs="Amiri"/>
          <w:color w:val="111111"/>
          <w:sz w:val="28"/>
          <w:sz w:val="28"/>
          <w:szCs w:val="28"/>
          <w:rtl w:val="true"/>
          <w:lang w:bidi="ar-SA"/>
        </w:rPr>
        <w:t>ثمّ إنّ النهي عن الاقتراب كناية عن دخولهم نفس المسجد أو الحرم، والوجه عن النهي هو حفظ عقائد المسلمين من التأثّر بآراء المشركين وعقائدهم، ثمّ إنّ الآية تكفّلت ببيان حكم المسجد الحرام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366011_388300464"/>
      <w:bookmarkStart w:id="211" w:name="_Toc80"/>
      <w:bookmarkEnd w:id="210"/>
      <w:r>
        <w:rPr>
          <w:rtl w:val="true"/>
        </w:rPr>
        <w:t>المنع في الآية مختصّ بالمسجد الحرام</w:t>
      </w:r>
      <w:bookmarkEnd w:id="211"/>
    </w:p>
    <w:p>
      <w:pPr>
        <w:pStyle w:val="BookText"/>
        <w:rPr/>
      </w:pPr>
      <w:r>
        <w:rPr>
          <w:rFonts w:ascii="Amiri" w:hAnsi="Amiri" w:eastAsia="Amiri" w:cs="Amiri"/>
          <w:color w:val="111111"/>
          <w:sz w:val="28"/>
          <w:sz w:val="28"/>
          <w:szCs w:val="28"/>
          <w:rtl w:val="true"/>
          <w:lang w:bidi="ar-SA"/>
        </w:rPr>
        <w:t xml:space="preserve">وأمّا حكم سائر المساجد فربما يقال بأنّه يُعلم بإلغاء الخصوصية، فإنّ علّة المنع من الدخول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احترام المسجد الحرام عند اللّه، وليس من شكّ أنّ كلّ مسجد هو محترم عند اللّه؛ لأنّه منسوب إليه جلّت عظمته والحكم يدور مع علّته إثباتاً ونفياً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الغاء الخصوصية إنّما يصحّ إذا ثبت الحكم في الأضعف أو في المساوي، وأمّا إذا ثبت الحكم في الأقوى فلا يمكن القول بإلغاء الخصوصية وإسراء الحكم إلى الأضعف ولعلّ للأقوى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ليست في غيره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فالآية مختصّة بالمسجد الحرام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الحكم بالمنع عن مطلق المساجد بأنّ المشرك جنب بلا إشكال ودخوله المسجد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أنّهم محكومون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وإدخالهم وتسهيل الأمر لهم للدخول، إعانة على الإثم، ولو تمّ هذا الدليل لعمّ الحكم مطلق الكافر حتى أهل الكتاب فإنّهم كفّار وليسوا بمشركين حسب مصطلح القرآن، كما مرّ، لكن الوجه الجامع بين المشرك وغيره هو كونهم جنباً</w:t>
      </w:r>
      <w:r>
        <w:rPr>
          <w:rFonts w:eastAsia="Amiri" w:cs="Amiri" w:ascii="Amiri" w:hAnsi="Amiri"/>
          <w:color w:val="111111"/>
          <w:sz w:val="28"/>
          <w:szCs w:val="28"/>
          <w:rtl w:val="true"/>
          <w:lang w:bidi="ar-SA"/>
        </w:rPr>
        <w:t>.</w:t>
      </w:r>
      <w:bookmarkStart w:id="212" w:name="pg14912_141152"/>
    </w:p>
    <w:p>
      <w:pPr>
        <w:pStyle w:val="BookText"/>
        <w:rPr/>
      </w:pPr>
      <w:bookmarkEnd w:id="212"/>
      <w:r>
        <w:rPr>
          <w:rFonts w:ascii="Amiri" w:hAnsi="Amiri" w:eastAsia="Amiri" w:cs="Amiri"/>
          <w:color w:val="111111"/>
          <w:sz w:val="28"/>
          <w:sz w:val="28"/>
          <w:szCs w:val="28"/>
          <w:rtl w:val="true"/>
          <w:lang w:bidi="ar-SA"/>
        </w:rPr>
        <w:t>ثمّ 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عَيْلَةً‌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يُغْنِيكُمُ اَللّهُ مِنْ فَضْلِهِ إِنْ شاءَ‌</w:t>
      </w:r>
      <w:r>
        <w:rPr>
          <w:rFonts w:eastAsia="Amiri" w:cs="Amiri" w:ascii="Amiri" w:hAnsi="Amiri"/>
          <w:color w:val="111111"/>
          <w:sz w:val="28"/>
          <w:szCs w:val="28"/>
          <w:rtl w:val="true"/>
          <w:lang w:bidi="ar-SA"/>
        </w:rPr>
        <w:t>) .</w:t>
      </w:r>
    </w:p>
    <w:p>
      <w:pPr>
        <w:pStyle w:val="Heading4"/>
        <w:numPr>
          <w:ilvl w:val="3"/>
          <w:numId w:val="1"/>
        </w:numPr>
        <w:rPr/>
      </w:pPr>
      <w:bookmarkStart w:id="213" w:name="__RefHeading___Toc1366013_388300464"/>
      <w:bookmarkStart w:id="214" w:name="_Toc81"/>
      <w:bookmarkEnd w:id="213"/>
      <w:r>
        <w:rPr>
          <w:rtl w:val="true"/>
        </w:rPr>
        <w:t>خوف المسلمين الجُدَد من أمرين</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مُنع المشركون من المشاركة في الحجّ‌، بل حتى الدخول في المسجد، ضجّ جمع من المسلمين، بأنّ هذا المنع سوف يؤثّر على مصالحهم الاقتصادية، فجاء البيان القرآني بأنّكم إن خفتم عيلة، أي فقراً بمنع مشاركة قبائل كثيرة من الحجّ فإنّ اللّه سيغنيكم عن ذلك، وقد حقّق سبحانه وعده إذ أسلم أغلب المشركين في الجزيرة العربية، فحملوا الطعام والميرة إلى مكّة المكرّمة، خصوصاً اليمنيّين فقد جاءوا بالقوت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يخافون من الاختطاف أيضاً فيقولون لو آمنا، يتخطّفنا العرب والعشائر المقيمون خارج الحرم، واللّه سبحانه يرد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شَيْ‌ءٍ رِزْقاً مِنْ لَدُنّا وَ 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ترد عليهم بأنّ اللّه سبحانه يرد عنهم كيد الاختطاف، كما يضمن إجباء الثمرات عليهم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المكيّين يخاطبون النبي بأنّ قولك حقّ‌، ولكن يمنعنا أن نتّبع الهدى معك ونؤمن بك مخافة أن يتخطّفنا العرب من أرضنا، ولا طاقة لنا بالعرب، فقال سبحانه رادّاً عليهم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نجعل لهم مكّة أمناً</w:t>
      </w:r>
    </w:p>
    <w:p>
      <w:pPr>
        <w:pStyle w:val="BookText"/>
        <w:rPr/>
      </w:pPr>
      <w:r>
        <w:rPr>
          <w:rFonts w:ascii="Amiri" w:hAnsi="Amiri" w:eastAsia="Amiri" w:cs="Amiri"/>
          <w:color w:val="111111"/>
          <w:sz w:val="28"/>
          <w:sz w:val="28"/>
          <w:szCs w:val="28"/>
          <w:rtl w:val="true"/>
          <w:lang w:bidi="ar-SA"/>
        </w:rPr>
        <w:t>وأماناً ودفعنا عنهم‌؟ أفلا نقدر على دفع ضرر الناس عنهم لو آمنوا؟ فحالة الإيمان والطاعة أولى بالأمن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يرون أنّه تجبى إليهم ثمرات كلّ أرض وبلد، إعطاءً من لدنّا، ولكن أكثرهم لا يعلمون ما أنعمنا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عليم بأحوال عباده وحكيم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المقام نذكر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النجاسة عليهم والحكم بكونهم نجساً إنّما هو لغاية الحيلولة بينهم وبين المشركين ومنعاً عن الاختلاط، فإنّ التعايش والاحتكاك يؤثّر، خصوصاً إذا كان أحد الطرفين متمتّعاً بالنعم والشهوات التي تميل إليها النفوس، فينجذب الشباب إليها، فتجويز الاختلاط يجرّ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شبابهم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اقتراف المحرّمات شيئاً فشيئاً، ومن المعلوم أنّه لو دام هذا النوع من المعاشرة سلب المسلمين اهتمامَهم بصيانة دينهم وشريعتهم ويكونوا معتادين لما عليه العدو، فمَن قرأ تاريخ سقوط الأندلس المسلمة بيد الصليبيّين يقف على أنّهم دخلوا في حياة المسلمين عن طريق فتح باب المعاشرة والمجالسة في محافل تسود فيها الشهوات واللذائذ المادّية وتُنسى فيها الحواجز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فالإلحاد عملاً، يؤثّر في الإلحاد عقيدة،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w:t>
      </w:r>
      <w:r>
        <w:rPr>
          <w:rStyle w:val="FootnoteAnchor"/>
        </w:rPr>
        <w:footnoteReference w:id="16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15" w:name="pg14912_141154"/>
    </w:p>
    <w:p>
      <w:pPr>
        <w:pStyle w:val="BookText"/>
        <w:rPr/>
      </w:pPr>
      <w:bookmarkEnd w:id="215"/>
      <w:r>
        <w:rPr>
          <w:rFonts w:ascii="Amiri" w:hAnsi="Amiri" w:eastAsia="Amiri" w:cs="Amiri"/>
          <w:color w:val="111111"/>
          <w:sz w:val="28"/>
          <w:sz w:val="28"/>
          <w:szCs w:val="28"/>
          <w:rtl w:val="true"/>
          <w:lang w:bidi="ar-SA"/>
        </w:rPr>
        <w:t>أحكام الطهارة</w:t>
      </w:r>
    </w:p>
    <w:p>
      <w:pPr>
        <w:pStyle w:val="Heading3"/>
        <w:numPr>
          <w:ilvl w:val="2"/>
          <w:numId w:val="1"/>
        </w:numPr>
        <w:rPr/>
      </w:pPr>
      <w:bookmarkStart w:id="216" w:name="__RefHeading___Toc1366015_388300464"/>
      <w:bookmarkStart w:id="217" w:name="_Toc82"/>
      <w:bookmarkEnd w:id="216"/>
      <w:r>
        <w:rPr/>
        <w:t>5</w:t>
      </w:r>
      <w:r>
        <w:rPr>
          <w:rtl w:val="true"/>
        </w:rPr>
        <w:t xml:space="preserve">. </w:t>
      </w:r>
      <w:r>
        <w:rPr>
          <w:rtl w:val="true"/>
        </w:rPr>
        <w:t>حكم الخمر تكليفاً ووضعاً في الذكر الحكيم</w:t>
      </w:r>
      <w:bookmarkEnd w:id="217"/>
    </w:p>
    <w:p>
      <w:pPr>
        <w:pStyle w:val="Heading4"/>
        <w:numPr>
          <w:ilvl w:val="3"/>
          <w:numId w:val="1"/>
        </w:numPr>
        <w:rPr/>
      </w:pPr>
      <w:bookmarkStart w:id="218" w:name="__RefHeading___Toc1366017_388300464"/>
      <w:bookmarkStart w:id="219" w:name="_Toc83"/>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w:t>
      </w:r>
      <w:r>
        <w:rPr>
          <w:rStyle w:val="FootnoteAnchor"/>
          <w:rtl w:val="true"/>
        </w:rPr>
        <w:footnoteReference w:id="170"/>
      </w:r>
    </w:p>
    <w:p>
      <w:pPr>
        <w:pStyle w:val="Heading4"/>
        <w:numPr>
          <w:ilvl w:val="3"/>
          <w:numId w:val="1"/>
        </w:numPr>
        <w:rPr/>
      </w:pPr>
      <w:bookmarkStart w:id="220" w:name="__RefHeading___Toc1366019_388300464"/>
      <w:bookmarkStart w:id="221" w:name="_Toc84"/>
      <w:bookmarkEnd w:id="220"/>
      <w:r>
        <w:rPr>
          <w:rtl w:val="true"/>
        </w:rPr>
        <w:t>المفردات</w:t>
      </w:r>
      <w:bookmarkEnd w:id="221"/>
    </w:p>
    <w:p>
      <w:p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كلمة المفسّرين في معنى الخمر، هل هو المتّخذ من العنب، أو يعمّ كلّ مسكر؟ والأكثر على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كلّ شراب خمّر العقل فستره، وغطّى عليه، وهو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خمرتُ الإناء إذا غطّيته،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المرأة، وذلك لأنّها تستر به رأسها وتغطّيه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الخمر في اللغة أنّه كلّ ما ستر العقل، يقال لكلّ ما ستر الإنسان من شجر وغيره، وخمار المرأة قناعها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معروفة، وإنّما سمّيت خمراً لأنّها تخامر العقل، أي</w:t>
      </w:r>
    </w:p>
    <w:p>
      <w:pPr>
        <w:pStyle w:val="BookText"/>
        <w:rPr/>
      </w:pPr>
      <w:r>
        <w:rPr>
          <w:rFonts w:ascii="IRNazanin" w:hAnsi="IRNazanin" w:eastAsia="IRNazanin"/>
          <w:color w:val="111111"/>
          <w:sz w:val="28"/>
          <w:sz w:val="28"/>
          <w:szCs w:val="28"/>
          <w:rtl w:val="true"/>
          <w:lang w:bidi="fa-IR"/>
        </w:rPr>
        <w:t>تخالطه وتداخله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لكلّ مسكر خامر العقل أي غطّاه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بعض الناس اسم لكلّ مسكر، وعند بعضهم اسم للمتّخذ من العنب والتمر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ما أسكر من عصير العنب، أو عام كالخمرة، والعموم أصحّ‌؛ لأنّها حُرّمت وما بالمدينة خمر عنب، وما كان شرابهم إلّاالبسر والتمر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فيما اشتهر بينهم كلّ شراب مسكر، ولا يختصّ بعصير العنب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الشراب المسكر، وقد سمّي العنب خمراً لأنّه يؤول إليها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والظاهر من الأكثر هو أنّه اسم للأعم، ويؤيّده قسم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 والمزر من الشعير، والنبيذ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الحضرمي، عمّن أخبره،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والزبيب والحنطة والشعير والعسل</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في الأمالي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من العنب، خمراً، وإنّ من الزبيب خمراً، وإنّ من التمر خمراً، وإنّ من الشعير خمراً، 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كلّ مسكر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إلى غير ذلك من الروايات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اسم لكلّ ما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ما رواه عطاء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القمار، وأُطلق عليه ذلك لكونها عبارة عن الاستيلاء على مال الغير بيُسر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وهو جمع النصب؛ لأنّها كانت منصوبة للعبادة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خاص تكفّل ببيانه علماء التفسير، وقد ورد في القرآن الكريم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أوّل سورة المائدة، وثانياً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22" w:name="pg14912_141157"/>
    </w:p>
    <w:p>
      <w:pPr>
        <w:pStyle w:val="BookText"/>
        <w:rPr/>
      </w:pPr>
      <w:bookmarkEnd w:id="222"/>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يستقذر فهو رجس</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 والرجس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يستقذر فهو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النجس، قال في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 الرجاسة والنجاسة، أي جعلوهما بمعنى واحد،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القذر الخارج من بدن الإنسان، وعلى هذا فقد يكون الرجس والقذر والنجاسة بمعنى، وقد يكون القذر والرجس بمعنى غير النجاسة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وقال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الرجس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إذا بدأوا بالنجس ولم يذكروا الرجس فتحوا النون والجيم، وإذا بدأوا بالرجس ثم أتبعوه بالنجس، كسروا النون، ومعنى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به عن الحرام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وقد صدرنا في نقل قسم من الكلمات عن المعجم في فقه لغة القرآن وسرّ بلاغته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الصادر عن مجمع البحوث الإسلامية في العتبة الرضوية،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366021_388300464"/>
      <w:bookmarkStart w:id="224" w:name="_Toc85"/>
      <w:bookmarkEnd w:id="223"/>
      <w:r>
        <w:rPr>
          <w:rtl w:val="true"/>
        </w:rPr>
        <w:t>التفسير</w:t>
      </w:r>
      <w:bookmarkEnd w:id="224"/>
    </w:p>
    <w:p>
      <w:pPr>
        <w:pStyle w:val="BookText"/>
        <w:rPr/>
      </w:pPr>
      <w:r>
        <w:rPr>
          <w:rFonts w:ascii="Amiri" w:hAnsi="Amiri" w:eastAsia="Amiri" w:cs="Amiri"/>
          <w:color w:val="111111"/>
          <w:sz w:val="28"/>
          <w:sz w:val="28"/>
          <w:szCs w:val="28"/>
          <w:rtl w:val="true"/>
          <w:lang w:bidi="ar-SA"/>
        </w:rPr>
        <w:t>اتّفق المسلمون على حرمة الخمر تكليفاً، ولم يصدّهم تعاطي ذوي الشوكة من بني أُميّة وبني العباس عن الإفتاء بالحقّ‌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كثيراً منهم كانوا متهالكين في شرب الخمر، ربما يجعلون عدم</w:t>
      </w:r>
      <w:bookmarkStart w:id="225" w:name="pg14912_141158"/>
    </w:p>
    <w:p>
      <w:pPr>
        <w:pStyle w:val="BookText"/>
        <w:rPr/>
      </w:pPr>
      <w:bookmarkEnd w:id="225"/>
      <w:r>
        <w:rPr>
          <w:rFonts w:ascii="Amiri" w:hAnsi="Amiri" w:eastAsia="Amiri" w:cs="Amiri"/>
          <w:color w:val="111111"/>
          <w:sz w:val="28"/>
          <w:sz w:val="28"/>
          <w:szCs w:val="28"/>
          <w:rtl w:val="true"/>
          <w:lang w:bidi="ar-SA"/>
        </w:rPr>
        <w:t>التنصيص بالحرمة على شرب الخمر دليلاً على عدم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أبا الحسن عليه السلام عن الخمر، هل هي محرمة في كتاب اللّه‌؟ فإنّ الناس يعرفون النهي عنها، ولا يعرفون التحريم لها؟ فقال له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محرّمة في كتاب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محرّمة هي في كتاب اللّه جلّ اسمه يا أبا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المعلن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الخمر بعينها، وقد قال اللّه عزّ 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 وَ مَنافِعُ لِلنّاسِ‌</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Heading4"/>
        <w:numPr>
          <w:ilvl w:val="3"/>
          <w:numId w:val="1"/>
        </w:numPr>
        <w:rPr/>
      </w:pPr>
      <w:bookmarkStart w:id="226" w:name="__RefHeading___Toc1366023_388300464"/>
      <w:bookmarkStart w:id="227" w:name="_Toc86"/>
      <w:bookmarkEnd w:id="226"/>
      <w:r>
        <w:rPr>
          <w:rtl w:val="true"/>
        </w:rPr>
        <w:t>نجاسة الخمر</w:t>
      </w:r>
      <w:bookmarkEnd w:id="227"/>
    </w:p>
    <w:p>
      <w:pPr>
        <w:pStyle w:val="BookText"/>
        <w:rPr/>
      </w:pPr>
      <w:r>
        <w:rPr>
          <w:rFonts w:ascii="Amiri" w:hAnsi="Amiri" w:eastAsia="Amiri" w:cs="Amiri"/>
          <w:color w:val="111111"/>
          <w:sz w:val="28"/>
          <w:sz w:val="28"/>
          <w:szCs w:val="28"/>
          <w:rtl w:val="true"/>
          <w:lang w:bidi="ar-SA"/>
        </w:rPr>
        <w:t>إنّما الكلام في الحكم الوضعي أي النجاسة، فالمشهور بين الإمامية هي النجاسة، فذهب الشيخ المفيد والطوسي والمرتضى وأكثر الأصحاب إلى أنّها نجسة العين</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علماء الخاصّة والعامّة على نجاسة الخمر إلّا شرذمة منّا ومنهم، ولم يعتدّ الفريقان بمخالفتهم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وأراد من الشرذمة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ثوبه أو جسده خمر أو مسكر لم يكن عليه غسلهما، لأنّ اللّه تعالى إنّما حرّمها تعبّداً لا لأنّهما نجسان، وكذلك سبيل العصير والخل إذا أصاب الثوب والجسد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بالصلاة في ثوب أصابه خمر، لأنّ اللّه عزّ وجلّ حرّم شربها ولم يحرّم الصلاة في ثوب أصابته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الأردبيلي، وصاحب المدارك، والخوانساري</w:t>
      </w:r>
      <w:r>
        <w:rPr>
          <w:rStyle w:val="FootnoteAnchor"/>
          <w:rtl w:val="true"/>
        </w:rPr>
        <w:footnoteReference w:id="193"/>
      </w:r>
      <w:r>
        <w:rPr>
          <w:rFonts w:ascii="Amiri" w:hAnsi="Amiri" w:eastAsia="Amiri" w:cs="Amiri"/>
          <w:color w:val="111111"/>
          <w:sz w:val="28"/>
          <w:sz w:val="28"/>
          <w:szCs w:val="28"/>
          <w:rtl w:val="true"/>
          <w:lang w:bidi="ar-SA"/>
        </w:rPr>
        <w:t>من المتأخّرين، غير أنّ ظاهر الأوّلين هو التردّد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فالمعتمد 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فقد ثبت في قسم المفردات أنّ الرجس والنجس بمعنى واحد، وهو ما يستقذر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دراسة نجاسة المشركين أنّه ليس هناك للفظ معنيان، معنى لغوي ومعنى شرعي، بل الموضوع له واحد غير أنّ للشارع التصرّف في المصاديق بإدخال ما لا يعرفه العرف رجساً وإخراج ما يعرفه العرف نجساً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يتمّ الاستدلال بالآية على نجاسة الخمر؛ لأنّ الرجس يعادلة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النجس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 واحد، وهو ما ذكره صاحب المدارك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إرادة المعنى الشرعي من الآية لأنّه يقتضي نجاسة الميسر والأنصاب والأزلام لوقوعه خبراً عن الجميع، ولا قائل به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وأجاب عنه صاحب الجواهر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لا ينافيه وقوعه مع ذلك خبراً عن الأنصاب والأزلام، لإمكان أن يراد به بالنسبة إليهما المستقذر عقلاً من باب عموم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يمكن بل هو الظاهر دعوى كونه خبراً عن الخمر خاصّة، فيقدّر حينئذٍ لهما خبراً، ولا يجب مطابقة المحذوف والموجود وإن كان دالّاً عليه، كما في عطف المندوب على الواجب بصيغة واحدة، فيتعيّن حينئذٍ كون الرجس بمعنى النجس</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وحاصل الوجه الأوّل أنّ لفظ رجس استعمل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الشرعية بالنسبة إلى الخمر، والاستقذار العقلي بالنسبة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فلو لم نستظهر دلالة الآية على وجه القطع على نجاسة الخمر، ففي الروايات المتضافرة بل المتواترة 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بلغ عددها قريباً من عشرين خبراً، وفيها الصحيح والموثّق</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نستعرض ما هو المهم من كلتا الطائفتين، ثم نشير إلى وجه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28" w:name="pg14912_141161"/>
    </w:p>
    <w:p>
      <w:pPr>
        <w:pStyle w:val="BookText"/>
        <w:rPr/>
      </w:pPr>
      <w:bookmarkEnd w:id="228"/>
      <w:r>
        <w:rPr>
          <w:rFonts w:ascii="IRNazanin" w:hAnsi="IRNazanin" w:eastAsia="IRNazanin"/>
          <w:color w:val="111111"/>
          <w:sz w:val="28"/>
          <w:sz w:val="28"/>
          <w:szCs w:val="28"/>
          <w:rtl w:val="true"/>
          <w:lang w:bidi="fa-IR"/>
        </w:rPr>
        <w:t>الجمع أو الطرح بإذن اللّه سبحانه</w:t>
      </w:r>
      <w:r>
        <w:rPr>
          <w:rFonts w:eastAsia="IRNazanin" w:cs="IRNazanin"/>
          <w:color w:val="111111"/>
          <w:sz w:val="28"/>
          <w:szCs w:val="28"/>
          <w:rtl w:val="true"/>
          <w:lang w:bidi="fa-IR"/>
        </w:rPr>
        <w:t>.</w:t>
      </w:r>
    </w:p>
    <w:p>
      <w:pPr>
        <w:pStyle w:val="Heading4"/>
        <w:numPr>
          <w:ilvl w:val="3"/>
          <w:numId w:val="1"/>
        </w:numPr>
        <w:rPr/>
      </w:pPr>
      <w:bookmarkStart w:id="229" w:name="__RefHeading___Toc1366025_388300464"/>
      <w:bookmarkStart w:id="230" w:name="_Toc87"/>
      <w:bookmarkEnd w:id="229"/>
      <w:r>
        <w:rPr>
          <w:rtl w:val="true"/>
        </w:rPr>
        <w:t>ما يدلّ على النجاسة</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باسناده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 عليه السلام عن الذي يعير ثوبه لمن يعلم أنّه يأكل الجريّ أو يشرب الخمر فيرده، أيصلي فيه قبل أن يغسله‌؟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وكأنّ نجاسة الخمر كانت أمراً مسلّماً بين السائل والمجيب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باسناده عن يونس، عن بعض من رواه،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 إن عرفت موضعه، وإن لم تعرف موضعه فاغسله كلّه، وإن صليت فيه فأعد صلاتك</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باسناده عن 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عليه السلام أسأله عن الثوب يصيبه الخمر ولحم الخنزير، أيصلّى فيه أم لا؟ فإنّ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عن هشام بن الحكم أنّه سأل أبا عبد اللّه عليه السلام عن الفقّاع‌؟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تشربه فإنّه خمر مجهول، فإذا أصاب ثوبك فاغسله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باسناده عن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بيت فيه خمر ولا مسكر، لأنّ الملائكة لا تدخله، ولا تصلّ في ثوب قد أصابه خمر أو مسكر حتى يغسل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النضوح يجعل في النبيذ، أيصلح أن تصلّي المرأة وهو في رأسها؟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تغتسل منه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بإسناده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الدنّ‌، يكون فيه الخمر، هل يصلح أن يكون فيه خلّ أو ماء كامخ أو زيتون‌؟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 وعن الإبريق وغيره يكون فيه خمر، أيصلح أن يكون فيه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 وسئل أيجزيه أن يصبّ فيه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w:t>
      </w:r>
      <w:r>
        <w:rPr>
          <w:rFonts w:eastAsia="Amiri" w:cs="Amiri" w:ascii="Amiri" w:hAnsi="Amiri"/>
          <w:color w:val="111111"/>
          <w:sz w:val="28"/>
          <w:szCs w:val="28"/>
          <w:rtl w:val="true"/>
          <w:lang w:bidi="ar-SA"/>
        </w:rPr>
        <w:t>».</w:t>
      </w:r>
      <w:bookmarkStart w:id="231" w:name="pg14912_141163"/>
    </w:p>
    <w:p>
      <w:pPr>
        <w:pStyle w:val="BookText"/>
        <w:rPr/>
      </w:pPr>
      <w:bookmarkEnd w:id="231"/>
      <w:r>
        <w:rPr>
          <w:rFonts w:ascii="Amiri" w:hAnsi="Amiri" w:eastAsia="Amiri" w:cs="Amiri"/>
          <w:color w:val="111111"/>
          <w:sz w:val="28"/>
          <w:sz w:val="28"/>
          <w:szCs w:val="28"/>
          <w:rtl w:val="true"/>
          <w:lang w:bidi="ar-SA"/>
        </w:rPr>
        <w:t>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الشرب في الإناء يشرب فيه الخمر قدح عيدان</w:t>
      </w:r>
      <w:r>
        <w:rPr>
          <w:rStyle w:val="FootnoteAnchor"/>
          <w:rtl w:val="true"/>
        </w:rPr>
        <w:footnoteReference w:id="204"/>
      </w:r>
      <w:r>
        <w:rPr>
          <w:rFonts w:ascii="Amiri" w:hAnsi="Amiri" w:eastAsia="Amiri" w:cs="Amiri"/>
          <w:color w:val="111111"/>
          <w:sz w:val="28"/>
          <w:sz w:val="28"/>
          <w:szCs w:val="28"/>
          <w:rtl w:val="true"/>
          <w:lang w:bidi="ar-SA"/>
        </w:rPr>
        <w:t>أو باطية</w:t>
      </w:r>
      <w:r>
        <w:rPr>
          <w:rStyle w:val="FootnoteAnchor"/>
          <w:rtl w:val="true"/>
        </w:rPr>
        <w:footnoteReference w:id="2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غسله فلا بأس</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وبالاسناد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دنّ الخمر، يجعل فيه الخل، أو الزيتون أو 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الروايات على نزح ثلاثين دلواً إذا وقعت في البئر قطرة دم أو نبيذ مسكر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هذه عشرة كاملة اقتصرنا بها، وفيها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البحراني من الأحاديث ما يناهز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232" w:name="__RefHeading___Toc1366027_388300464"/>
      <w:bookmarkStart w:id="233" w:name="_Toc88"/>
      <w:bookmarkEnd w:id="232"/>
      <w:r>
        <w:rPr>
          <w:rtl w:val="true"/>
        </w:rPr>
        <w:t>ما يدلّ على الطهارة</w:t>
      </w:r>
      <w:bookmarkEnd w:id="233"/>
    </w:p>
    <w:p>
      <w:pPr>
        <w:pStyle w:val="BookText"/>
        <w:rPr/>
      </w:pPr>
      <w:r>
        <w:rPr>
          <w:rFonts w:ascii="Amiri" w:hAnsi="Amiri" w:eastAsia="Amiri" w:cs="Amiri"/>
          <w:color w:val="111111"/>
          <w:sz w:val="28"/>
          <w:sz w:val="28"/>
          <w:szCs w:val="28"/>
          <w:rtl w:val="true"/>
          <w:lang w:bidi="ar-SA"/>
        </w:rPr>
        <w:t>وفي المقام روايات تدلّ على الطهارة،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نبيذ، أُصلّي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من نبيذ قطّر في حبّ‌، أشرب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أصل النبيذ حلال، وإنّ أصل الخمر</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والسؤال والجواب ناظران إلى النبيذ وهو عند العامّة حلال وطاهر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عصير التمر والزبيب لا يحرمان بالغليان ما لم يُسكرا، بخلاف عصير العنب، فإنّه يحرم بمحض الغليان، وإن لم يكن مُسكراً، فهذا مؤيّد لحمل الشيخ، والحمل على التقيّة في هذا الحديث أظهر، لاشتهار حلّيّة النبيذ وطهارته بين العامّة، فالمراد بأصل النبيذ والخمر هما قبل خلطهما بماء القدر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الحسين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ثوبي شيء من الخمر، أُصلّي فيه قبل أن أغسله‌؟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والتعليل حاكٍ عن التقيّة، فإنّه ظاهر أنّ الإمام عليه السلام بصدد إقناع السائل، وإن كان تعليلاً غير 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المسكر والنبيذ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عن الحسين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اليهود والنصارى والمجوس وندخل عليهم وهم يأكلون ويشربون فيمرّ ساقيهم فيصبّ على ثيابي 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إلّاأن تشتهي أن تغسله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لأثره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وأبو عبد اللّه عليهما السلام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ثياباً يصيبها الخمر وودك الخنزير عند حاكتها، أنصلّي فيها قبل أن نغسلها؟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إنّما حرّم اللّه أكله وشربه، ولم يحرّم لبسه ومسه والصلاة فيه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الخمر والنبيذ المسكر يصيب ثوبي، أغسله أو أُصلّي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إلّاأن تقذّره فتغسل منه موضع الأثر، إن اللّه تعالى إنّما حرّم شربها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بإسناده عن علي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 اللّه عليه السلام، وكانت صالحة،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أتطيّب لزوجي، فيجعل في المشطة التي امتشط بها، الخمر، وأجعله في رأسي‌؟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يجب أن يتّبع هو الأخذ بالطائفة الأُولى 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للكتاب العزيز، فقد مرّت دلالته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أكثر عدداً وأقوى سنداً، حتى أنّ الشيخ حسن صاحب المعالم اقتصر على ما يدلّ على النجاسة،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الشيخ حسن في المنتقى على ما نقل عنه حيث اقتصر عليها في أدلّة النجاسة، وفيها تصديق لما رواه الشيخان في الصحيح عن يونس بن عبد الرحمن</w:t>
      </w:r>
      <w:r>
        <w:rPr>
          <w:rStyle w:val="FootnoteAnchor"/>
          <w:rtl w:val="true"/>
        </w:rPr>
        <w:footnoteReference w:id="217"/>
      </w:r>
      <w:r>
        <w:rPr>
          <w:rFonts w:ascii="Amiri" w:hAnsi="Amiri" w:eastAsia="Amiri" w:cs="Amiri"/>
          <w:color w:val="111111"/>
          <w:sz w:val="28"/>
          <w:sz w:val="28"/>
          <w:szCs w:val="28"/>
          <w:rtl w:val="true"/>
          <w:lang w:bidi="ar-SA"/>
        </w:rPr>
        <w:t>، الذي هو ممّن أجمعت الصحابة على تصحيح ما يصحّ عنه، وأقرّوا له بالفقه والعلم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المشهور بالطائفة الأُولى وإعراضهم عن الثانية، وقد مرّ أنّ العامل بها قليل جدّاً، كما مرّ كلام شيخنا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أطبق علماء الخاصّة والعامّة على نجاسة الخمر إلّاشرذمة منّا ومنهم، ولم يعتدّ الفريقان بمخالفتهم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الروايات أقوى شاهد على أنّ الطائفة الثانية وردت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روى زرارة عن أبي جعفر وأبي عبد اللّه عليهما السلام في الخمر يصيب ثوب الرجل،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فيه، إنّما حرم شربها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وإن لم تعرف موضعه فاغسله كلّه، وإن صلّيت فيه فأعد صلاتك، فاعلمني ما آخذ به‌؟ فوقع عليه السلام بخطّه، وقرأته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بقول أبي عبد اللّه عليه السلام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ومن المعلوم إرادة قوله المنفرد عن قول أبيه، وإلّا فكلا القولين قوله، والأخذ بهما جميعاً ممتنع، والتخيير غير مقصود، على أنّه لو كان المراد قوله مع أبيه لكان ينبغي إسناده إليهما معاً أو إلى أبي جعفر عليه السلام كما لا يخفى على العارف بأساليب الكلام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وفي الرواية إيماء إلى أنّ القول الآخر عن أئمّة أهل البيت عليهم السلام تقيّة؛ وذلك لأنّ الرمي بالنجاسة من أشدّ ما يكره على الطبع وأعظم ما يرد على النفس، ولا كذلك التحريم، خصوصاً بالقياس إلى السلاطين الذين لا يتحاشون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بالنجاسة قول مشهور بين فقهاء العامّة، فلو كان الإفتاء بالنجاسة صدر عن أئمّة أهل البيت عليهم السلام تقيّة لأجل كون الحكام في تلك الأيام مولعين بشرب الخمر والمتهالكين عليها، فلماذا لم يتق علماؤهم حيث أفتوا بالنجاسة‌؟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عنه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الفتوى بالنجاسة بين علمائهم لا ينافي ذلك، إذ لم يكن عليهم فيه تقية، بل كانوا يتظاهرون بخلاف ما هم عليه، ويجاهدونهم بالردّ والكفاح ولا يراقبونهم في ذلك، بل كان ذو الشوكة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34" w:name="pg14912_141168"/>
    </w:p>
    <w:p>
      <w:pPr>
        <w:pStyle w:val="BookText"/>
        <w:rPr/>
      </w:pPr>
      <w:bookmarkEnd w:id="234"/>
      <w:r>
        <w:rPr>
          <w:rFonts w:ascii="Amiri" w:hAnsi="Amiri" w:eastAsia="Amiri" w:cs="Amiri"/>
          <w:color w:val="111111"/>
          <w:sz w:val="28"/>
          <w:sz w:val="28"/>
          <w:szCs w:val="28"/>
          <w:rtl w:val="true"/>
          <w:lang w:bidi="ar-SA"/>
        </w:rPr>
        <w:t>منهم يتحمّله ولا يبالى به، لعلّه بأنّ ذلك لا يحدث فتقاً في سلطانه، ولا يهدم ركناً في بنيانه، إذ لم يكن فيهم من يرشح نفسه للإمامة و الخلافة الكبرى والرئاسة العظمى إنّما كانت التقية على أئمّة الحقّ عليهم السلام المحسودين للخلق، وهم الذين لا يدانيهم في الفضل أحد، والذين ورد عليهم من حسد أئمّة الجور ما قد ورد</w:t>
      </w:r>
      <w:r>
        <w:rPr>
          <w:rFonts w:eastAsia="Amiri" w:cs="Amiri" w:ascii="Amiri" w:hAnsi="Amiri"/>
          <w:color w:val="111111"/>
          <w:sz w:val="28"/>
          <w:szCs w:val="28"/>
          <w:rtl w:val="true"/>
          <w:lang w:bidi="ar-SA"/>
        </w:rPr>
        <w:t>.</w:t>
      </w:r>
      <w:r>
        <w:rPr>
          <w:rStyle w:val="FootnoteAnchor"/>
          <w:rtl w:val="true"/>
        </w:rPr>
        <w:footnoteReference w:id="221"/>
      </w:r>
    </w:p>
    <w:p>
      <w:pPr>
        <w:pStyle w:val="Heading4"/>
        <w:numPr>
          <w:ilvl w:val="3"/>
          <w:numId w:val="1"/>
        </w:numPr>
        <w:rPr/>
      </w:pPr>
      <w:bookmarkStart w:id="235" w:name="__RefHeading___Toc1366029_388300464"/>
      <w:bookmarkStart w:id="236" w:name="_Toc89"/>
      <w:bookmarkEnd w:id="235"/>
      <w:r>
        <w:rPr>
          <w:rtl w:val="true"/>
        </w:rPr>
        <w:t>حكم الكحول الرائجة في الطبابة</w:t>
      </w:r>
      <w:bookmarkEnd w:id="236"/>
    </w:p>
    <w:p>
      <w:pPr>
        <w:pStyle w:val="BookText"/>
        <w:rPr/>
      </w:pPr>
      <w:r>
        <w:rPr>
          <w:rFonts w:ascii="Amiri" w:hAnsi="Amiri" w:eastAsia="Amiri" w:cs="Amiri"/>
          <w:color w:val="111111"/>
          <w:sz w:val="28"/>
          <w:sz w:val="28"/>
          <w:szCs w:val="28"/>
          <w:rtl w:val="true"/>
          <w:lang w:bidi="ar-SA"/>
        </w:rPr>
        <w:t xml:space="preserve">الكحول جمع الكحل ويعبّر عنه باللغة الانجليزية ب‍ </w:t>
      </w:r>
      <w:r>
        <w:rPr>
          <w:rFonts w:eastAsia="Times New Roman" w:cs="Times New Roman" w:ascii="Times New Roman" w:hAnsi="Times New Roman"/>
          <w:color w:val="111111"/>
          <w:sz w:val="28"/>
          <w:szCs w:val="28"/>
          <w:lang w:val="en-US" w:bidi="en-US"/>
        </w:rPr>
        <w:t>alcohol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فهل هو كالخمر حرام ونجس، أو حرام وليس بنجس‌؟</w:t>
      </w:r>
    </w:p>
    <w:p>
      <w:pPr>
        <w:pStyle w:val="BookText"/>
        <w:rPr/>
      </w:pPr>
      <w:r>
        <w:rPr>
          <w:rFonts w:ascii="Amiri" w:hAnsi="Amiri" w:eastAsia="Amiri" w:cs="Amiri"/>
          <w:color w:val="111111"/>
          <w:sz w:val="28"/>
          <w:sz w:val="28"/>
          <w:szCs w:val="28"/>
          <w:rtl w:val="true"/>
          <w:lang w:bidi="ar-SA"/>
        </w:rPr>
        <w:t>أمّا أنّه حرام فلأنّه سمّ من السموم القاتلة، فهو يقتل من شربه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كونه نجساً، هنا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القاعدة طهارته، لأنّ الحرمة علقت بالمسكر وهو في هذه الحالة ليس بمسكر، بل هو في الحقيقة سم لا يمكن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مُزج بالماء وصار رقيقاً يوصف بالإسكار ومن المعلوم أنّ الحكم على المسكر بالفعل، لا المسكر بالقوّة، وعند الشك يحكم عليه بالطهارة، أخذاً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بالتفصيل وهو أنّه لو أخذ وصنع من مايع مسكر يحكم عليه بالنجاسة؛ وإن أخذ وصنع من جامد، فهو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القول أفضل من الأوّل، إنّما الكلام في تخصيص الموجود فهل الكحل الرائج في الأدوية من</w:t>
      </w:r>
    </w:p>
    <w:p>
      <w:pPr>
        <w:pStyle w:val="BookText"/>
        <w:rPr/>
      </w:pPr>
      <w:r>
        <w:rPr>
          <w:rFonts w:ascii="Amiri" w:hAnsi="Amiri" w:eastAsia="Amiri" w:cs="Amiri"/>
          <w:color w:val="111111"/>
          <w:sz w:val="28"/>
          <w:sz w:val="28"/>
          <w:szCs w:val="28"/>
          <w:rtl w:val="true"/>
          <w:lang w:bidi="ar-SA"/>
        </w:rPr>
        <w:t>القسم الأوّل أو الثانى‌؟ ولابدّ من الرجوع إلى المتخصّصين في صنعها والتوقّف في إصدار الحكم بأحد الطرفين قبل الوقوف على كيفية الصنع، واللّه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آيات أحكام الطهارة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وتليها آيات أحكام الصلاة</w:t>
      </w:r>
      <w:bookmarkStart w:id="237" w:name="pg14912_141170"/>
    </w:p>
    <w:p>
      <w:pPr>
        <w:pStyle w:val="Heading2"/>
        <w:numPr>
          <w:ilvl w:val="1"/>
          <w:numId w:val="1"/>
        </w:numPr>
        <w:rPr/>
      </w:pPr>
      <w:bookmarkStart w:id="238" w:name="__RefHeading___Toc1366031_388300464"/>
      <w:bookmarkStart w:id="239" w:name="_Toc90"/>
      <w:bookmarkEnd w:id="237"/>
      <w:bookmarkEnd w:id="238"/>
      <w:r>
        <w:rPr>
          <w:rtl w:val="true"/>
        </w:rPr>
        <w:t>الفصل الثاني</w:t>
      </w:r>
      <w:r>
        <w:rPr>
          <w:rtl w:val="true"/>
        </w:rPr>
        <w:t xml:space="preserve">: </w:t>
      </w:r>
      <w:r>
        <w:rPr>
          <w:rtl w:val="true"/>
        </w:rPr>
        <w:t>أحكام الصلاة في الذكر الحكيم</w:t>
      </w:r>
      <w:bookmarkEnd w:id="239"/>
    </w:p>
    <w:p>
      <w:pPr>
        <w:pStyle w:val="Heading3"/>
        <w:numPr>
          <w:ilvl w:val="2"/>
          <w:numId w:val="1"/>
        </w:numPr>
        <w:rPr/>
      </w:pPr>
      <w:bookmarkStart w:id="240" w:name="__RefHeading___Toc1366033_388300464"/>
      <w:bookmarkStart w:id="241" w:name="_Toc91"/>
      <w:bookmarkEnd w:id="240"/>
      <w:r>
        <w:rPr>
          <w:rtl w:val="true"/>
        </w:rPr>
        <w:t>اشارة</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أوقات الصلاة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استقبال الكعبة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المسافر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الخوف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المطاردة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الجمعة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والمخافتة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على النبي صلى الله عليه و آله و سلم في التشهّد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الاستماع والإنصات عند قراءة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سجود التلاوة</w:t>
      </w:r>
      <w:r>
        <w:rPr>
          <w:rFonts w:eastAsia="Amiri" w:cs="Amiri" w:ascii="Amiri" w:hAnsi="Amiri"/>
          <w:color w:val="111111"/>
          <w:sz w:val="28"/>
          <w:szCs w:val="28"/>
          <w:rtl w:val="true"/>
          <w:lang w:bidi="ar-SA"/>
        </w:rPr>
        <w:t>.</w:t>
      </w:r>
      <w:bookmarkStart w:id="242" w:name="pg14912_141172"/>
    </w:p>
    <w:p>
      <w:pPr>
        <w:pStyle w:val="BookText"/>
        <w:rPr/>
      </w:pPr>
      <w:bookmarkEnd w:id="242"/>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243" w:name="__RefHeading___Toc1366035_388300464"/>
      <w:bookmarkStart w:id="244" w:name="_Toc92"/>
      <w:bookmarkEnd w:id="243"/>
      <w:r>
        <w:rPr/>
        <w:t>1</w:t>
      </w:r>
      <w:r>
        <w:rPr>
          <w:rtl w:val="true"/>
        </w:rPr>
        <w:t xml:space="preserve">. </w:t>
      </w:r>
      <w:r>
        <w:rPr>
          <w:rtl w:val="true"/>
        </w:rPr>
        <w:t>أوقات الصلاة في الذكر الحكيم</w:t>
      </w:r>
      <w:bookmarkEnd w:id="244"/>
    </w:p>
    <w:p>
      <w:pPr>
        <w:pStyle w:val="Heading4"/>
        <w:numPr>
          <w:ilvl w:val="3"/>
          <w:numId w:val="1"/>
        </w:numPr>
        <w:rPr/>
      </w:pPr>
      <w:bookmarkStart w:id="245" w:name="__RefHeading___Toc1366037_388300464"/>
      <w:bookmarkStart w:id="246" w:name="_Toc93"/>
      <w:bookmarkEnd w:id="245"/>
      <w:r>
        <w:rPr>
          <w:rtl w:val="true"/>
        </w:rPr>
        <w:t>لزوم الاهتمام بالصلاة في أوقاتها</w:t>
      </w:r>
      <w:bookmarkEnd w:id="246"/>
    </w:p>
    <w:p>
      <w:pPr>
        <w:pStyle w:val="BookText"/>
        <w:rPr/>
      </w:pPr>
      <w:r>
        <w:rPr>
          <w:rFonts w:ascii="Amiri" w:hAnsi="Amiri" w:eastAsia="Amiri" w:cs="Amiri"/>
          <w:color w:val="111111"/>
          <w:sz w:val="28"/>
          <w:sz w:val="28"/>
          <w:szCs w:val="28"/>
          <w:rtl w:val="true"/>
          <w:lang w:bidi="ar-SA"/>
        </w:rPr>
        <w:t>الصلاة فريضة موقوتة، جاءت مواقيتها في الكتاب العزيز وتفاصيلها في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عليهم فرض في وقت وجوبها</w:t>
      </w:r>
      <w:r>
        <w:rPr>
          <w:rStyle w:val="FootnoteAnchor"/>
          <w:rtl w:val="true"/>
        </w:rPr>
        <w:footnoteReference w:id="223"/>
      </w:r>
      <w:r>
        <w:rPr>
          <w:rFonts w:ascii="Amiri" w:hAnsi="Amiri" w:eastAsia="Amiri" w:cs="Amiri"/>
          <w:color w:val="111111"/>
          <w:sz w:val="28"/>
          <w:sz w:val="28"/>
          <w:szCs w:val="28"/>
          <w:rtl w:val="true"/>
          <w:lang w:bidi="ar-SA"/>
        </w:rPr>
        <w:t>، ومعنى ذلك لزوم الاهتمام بإتيانها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الصدوق بسنده عن أبي عبد اللّه الصادق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غداً لمَن أخّر الصلاة المفروضة بعد وقتها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الإمام الرضا،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ما حافظ على مواقيت الصلوات الخمس، فإذا</w:t>
      </w:r>
    </w:p>
    <w:p>
      <w:pPr>
        <w:pStyle w:val="BookText"/>
        <w:rPr/>
      </w:pPr>
      <w:r>
        <w:rPr>
          <w:rFonts w:ascii="Amiri" w:hAnsi="Amiri" w:eastAsia="Amiri" w:cs="Amiri"/>
          <w:color w:val="111111"/>
          <w:sz w:val="28"/>
          <w:sz w:val="28"/>
          <w:szCs w:val="28"/>
          <w:rtl w:val="true"/>
          <w:lang w:bidi="ar-SA"/>
        </w:rPr>
        <w:t>ضيّعهن اجترأ عليه فأدخله في العظائم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عبداللّه عليه السلام بالمزدلفة، فلمّا انصرف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الصلوات الخمس المفروضات، مَن أقام حدودهنّ‌، وحافظ على مواقيتهنّ لقي اللّه يوم القيامة وله عنده عهد يدخله به الجنّة؛ ومَن لم يقم حدودهن، ولم يحافظ على مواقيتهنّ‌، لقي اللّه ولا عهد له، إن شاء عذّبه وإن شاء غفر 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مواقيت الصلاة، كيف محافظتهم عليها؟ وعند أسرارهم، كيف حفظهم لها عن عدونا؟ وإلى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إلى غير ذلك من الروايات الحاثّة على المحافظة على الصلاة في أوقاتها، وأنّ مَن صلّى صلاة الفريضة لوقتها فليس هو من الغافلين، وأمّا مَن استهان بأوقاتها، فهو من الذين ذمّهم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Style w:val="FootnoteAnchor"/>
          <w:rtl w:val="true"/>
        </w:rPr>
        <w:footnoteReference w:id="2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المسلم التعرّف على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الفضيلة، وأوقات الإجزاء حتّى يكون من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نتناوله تالياً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47" w:name="pg14912_141174"/>
    </w:p>
    <w:p>
      <w:pPr>
        <w:pStyle w:val="Heading4"/>
        <w:numPr>
          <w:ilvl w:val="3"/>
          <w:numId w:val="1"/>
        </w:numPr>
        <w:rPr/>
      </w:pPr>
      <w:bookmarkStart w:id="248" w:name="__RefHeading___Toc1366039_388300464"/>
      <w:bookmarkStart w:id="249" w:name="_Toc94"/>
      <w:bookmarkEnd w:id="247"/>
      <w:bookmarkEnd w:id="248"/>
      <w:r>
        <w:rPr>
          <w:rtl w:val="true"/>
        </w:rPr>
        <w:t>مواقيت الصلوات في الذكر الحكيم</w:t>
      </w:r>
      <w:bookmarkEnd w:id="249"/>
    </w:p>
    <w:p>
      <w:pPr>
        <w:pStyle w:val="Heading5"/>
        <w:numPr>
          <w:ilvl w:val="4"/>
          <w:numId w:val="1"/>
        </w:numPr>
        <w:rPr/>
      </w:pPr>
      <w:bookmarkStart w:id="250" w:name="__RefHeading___Toc1366041_388300464"/>
      <w:bookmarkStart w:id="251" w:name="_Toc9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قد تضمّن الذكر الحكيم مواقيت الصلاة في غير واحدة من الآيات، وفسّرتها السنّة النبوية وأحاديث أئمة أهل البيت عليهم السلام، فلندرس الآيات، ثم نأتي بما في السنّة بإذن اللّه سبحانه</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366043_388300464"/>
      <w:bookmarkStart w:id="253" w:name="_Toc96"/>
      <w:bookmarkEnd w:id="252"/>
      <w:r>
        <w:rPr>
          <w:rtl w:val="true"/>
        </w:rPr>
        <w:t>الآية الأُولى</w:t>
      </w:r>
      <w:r>
        <w:rPr>
          <w:rtl w:val="true"/>
        </w:rPr>
        <w:t>:</w:t>
      </w:r>
      <w:bookmarkEnd w:id="253"/>
    </w:p>
    <w:p>
      <w:pPr>
        <w:pStyle w:val="Heading6"/>
        <w:numPr>
          <w:ilvl w:val="5"/>
          <w:numId w:val="1"/>
        </w:numPr>
        <w:rPr/>
      </w:pPr>
      <w:bookmarkStart w:id="254" w:name="__RefHeading___Toc1366045_388300464"/>
      <w:bookmarkStart w:id="255" w:name="_Toc97"/>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1366047_388300464"/>
      <w:bookmarkStart w:id="257" w:name="_Toc98"/>
      <w:bookmarkEnd w:id="256"/>
      <w:r>
        <w:rPr>
          <w:rtl w:val="true"/>
        </w:rPr>
        <w:t>المفردات</w:t>
      </w:r>
      <w:bookmarkEnd w:id="257"/>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لخمس خلون من شهر كذا، أي عند الخمس، والثاني هو الأظهر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زوال الشمس عن كبد السماء، وهو قول الأكثر، وشذّ مَن فسّره بغروب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القرطبي عن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هو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الدلوك هو الزوال، وآخره هو الغروب، ومن وقت الزوال إلى الغروب يُسمّى دلوكاً لأنّها في حالة ميل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وقال الشيخ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بمعنى زوال الشمس عن وسط قوس فرضي في طريق مسيرها اليومي</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وعلى ما ذكره العلمان يصدق الدلوك ما دامت الشمس مائلةً عن وسط السماء إلى جانب الغرب، فالجميع دلوك، ولا يختص الميل بأوّل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وقت الظهرين ممتداً مادام الدلوك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كلمة اللغويين والمفسّرين في تفسير الغَسَق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أوّل الليل، قاله في القاموس، وهو أحد القولين في اللسان، ونقل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وقتادة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بدءُ الليل</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ذكره قولاً واحداً في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غسق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اللسان جعله أحد القولين، وحكى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الجُبّائي أنّ غسق الليل ظلمته، وهو خيرة صاحب التفسير الكاشف</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والفرق بين المعنيين واضح، فإنّ بدء الليل لايلازم الظلمة الكاملة الّتي يشير إليها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الشديدة الّتي تمتد إلى نصف الليل وهو خيرة الأزهري،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غسق الليل تراكم الظلمة واشتدادها</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المفردات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ظلمته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وهو المروي عن أئمة أهل البيت عليهم السلام، وهو خيرة بعض المفسّرين</w:t>
      </w:r>
      <w:r>
        <w:rPr>
          <w:rFonts w:eastAsia="Amiri" w:cs="Amiri" w:ascii="Amiri" w:hAnsi="Amiri"/>
          <w:color w:val="111111"/>
          <w:sz w:val="28"/>
          <w:szCs w:val="28"/>
          <w:rtl w:val="true"/>
          <w:lang w:bidi="ar-SA"/>
        </w:rPr>
        <w:t>.».</w:t>
      </w:r>
      <w:bookmarkStart w:id="258" w:name="pg14912_141176"/>
    </w:p>
    <w:p>
      <w:pPr>
        <w:pStyle w:val="BookText"/>
        <w:rPr/>
      </w:pPr>
      <w:bookmarkEnd w:id="258"/>
      <w:r>
        <w:rPr>
          <w:rFonts w:ascii="Amiri" w:hAnsi="Amiri" w:eastAsia="Amiri" w:cs="Amiri"/>
          <w:color w:val="111111"/>
          <w:sz w:val="28"/>
          <w:sz w:val="28"/>
          <w:szCs w:val="28"/>
          <w:rtl w:val="true"/>
          <w:lang w:bidi="ar-SA"/>
        </w:rPr>
        <w:t>روى ابن إدريس عن كتاب أحمد بن محمد بن أبي نصر البزنطي، عن المفضّل، عن محمد الحلبي، عن أبي عبداللّه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دلوك الشمس زوالها، 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انتصافه، 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روى الشيخ الطوسي بسند صحيح عن زرارة،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عمّا فرض اللّه 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في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سمّاهنّ اللّه وبيّنهنّ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اللّه عزوجل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ودلوكها زوالها، ففي ما بين دلوك الشمس إلى غسق الليل أربعة صلوات سمّاهن وبيّنهنّ ووقّتهنّ‌، وغسق الليل انتصافه،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 قرآن الفجر، أُريد به صلاة الفجر تسمية للشيء ببعض أجزائه،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فيها، ولا منافاة مع لزوم القرآن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تشهدها ملائكة الليل وملائكة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يرجع إلى بيان مفردات الآية وتوضيحها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366049_388300464"/>
      <w:bookmarkStart w:id="260" w:name="_Toc99"/>
      <w:bookmarkEnd w:id="259"/>
      <w:r>
        <w:rPr>
          <w:rtl w:val="true"/>
        </w:rPr>
        <w:t>التفسير</w:t>
      </w:r>
      <w:bookmarkEnd w:id="2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الآية دلالة على امتداد وقت الصلوات الأربع من الزوال إلى الغسق، فتكون أوقاتها موسّعة؛ لأنّ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الصلوات ممتدٌ من</w:t>
      </w:r>
      <w:bookmarkStart w:id="261" w:name="pg14912_141177"/>
    </w:p>
    <w:p>
      <w:pPr>
        <w:pStyle w:val="BookText"/>
        <w:rPr/>
      </w:pPr>
      <w:bookmarkEnd w:id="261"/>
      <w:r>
        <w:rPr>
          <w:rFonts w:ascii="Amiri" w:hAnsi="Amiri" w:eastAsia="Amiri" w:cs="Amiri"/>
          <w:color w:val="111111"/>
          <w:sz w:val="28"/>
          <w:sz w:val="28"/>
          <w:szCs w:val="28"/>
          <w:rtl w:val="true"/>
          <w:lang w:bidi="ar-SA"/>
        </w:rPr>
        <w:t>الزوال إلى ذهاب الشفق أو إلى نصف الليل على الخلاف في معنى الغسق، وقد عرفت ما عليه أئمة أهل البيت عليهم السلام في معناه،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الصلوات الأربع أداءٌ بين الحدّين، وأنّ كلّ جزء منه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المحدّد بين زوال الشمس إلى غسق الليل وقت للصلوات الأربع، فله أن يصلي الظهر في أية ساعة من ساعات الحد المذكور، كما له أن يأتي بالعصر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ظاهر الآية، وهو حجّة للفقيه ما لم يدلّ دليل على التضييق، فعندئذٍ تُرفع اليد بمقدار الدليل، وفي غيره يكون الظاهر حجّة ومرجعاً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السنّة الشريفة قيّدت إطلاق الآية من جهتين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خصّت ما بين الدلوك وغروب الشمس من اليوم بالظهرين، كما خصّت ما بين غروبها إلى غسق الليل بالعشائين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مقدار أربع ركعات من أوّل الظهر وقتاً مختصاً بصلاة الظهر، فلا تصحّ صلاة العصر فيه، كما خصّت مقدار أربع ركعات من آخر الوقت لصلاة العصر فلا تصحّ فيه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الظهرين العشاءان، فمقدار ثلاث ركعات من أوّل المغرب وقت مختصّ لصلاتها، كما أنّ مقدار أربع ركعات من آخر الوقت وقت مختصّ بصلاة العشاء</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66051_388300464"/>
      <w:bookmarkStart w:id="263" w:name="_Toc100"/>
      <w:bookmarkEnd w:id="262"/>
      <w:r>
        <w:rPr>
          <w:rtl w:val="true"/>
        </w:rPr>
        <w:t>الآية الثانية</w:t>
      </w:r>
      <w:r>
        <w:rPr>
          <w:rtl w:val="true"/>
        </w:rPr>
        <w:t>:</w:t>
      </w:r>
      <w:bookmarkEnd w:id="263"/>
    </w:p>
    <w:p>
      <w:pPr>
        <w:pStyle w:val="Heading6"/>
        <w:numPr>
          <w:ilvl w:val="5"/>
          <w:numId w:val="1"/>
        </w:numPr>
        <w:rPr/>
      </w:pPr>
      <w:bookmarkStart w:id="264" w:name="__RefHeading___Toc1366053_388300464"/>
      <w:bookmarkStart w:id="265" w:name="_Toc101"/>
      <w:bookmarkEnd w:id="264"/>
      <w:r>
        <w:rPr>
          <w:rtl w:val="true"/>
        </w:rPr>
        <w:t>اشارة</w:t>
      </w:r>
      <w:bookmarkEnd w:id="2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w:t>
      </w:r>
      <w:bookmarkStart w:id="266" w:name="pg14912_141178"/>
    </w:p>
    <w:p>
      <w:pPr>
        <w:pStyle w:val="BookText"/>
        <w:rPr/>
      </w:pPr>
      <w:bookmarkEnd w:id="266"/>
      <w:r>
        <w:rPr>
          <w:rFonts w:ascii="Amiri" w:hAnsi="Amiri" w:eastAsia="Amiri" w:cs="Amiri"/>
          <w:color w:val="111111"/>
          <w:sz w:val="28"/>
          <w:sz w:val="28"/>
          <w:szCs w:val="28"/>
          <w:rtl w:val="true"/>
          <w:lang w:bidi="ar-SA"/>
        </w:rPr>
        <w:t>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1366055_388300464"/>
      <w:bookmarkStart w:id="268" w:name="_Toc102"/>
      <w:bookmarkEnd w:id="267"/>
      <w:r>
        <w:rPr>
          <w:rtl w:val="true"/>
        </w:rPr>
        <w:t>المفردات</w:t>
      </w:r>
      <w:bookmarkEnd w:id="268"/>
    </w:p>
    <w:p>
      <w:pPr>
        <w:pStyle w:val="BookText"/>
        <w:rPr/>
      </w:pP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الغدوة والعشية، والمراد من الطرف الأوّل الفجر إلى الدلوك وفيه إشارة إلى صلاة الفجر، ومن الطرف الثاني دلوك الشمس إلى آخر النهار، وهو إشارة إلى وقتي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زُلفى كالظُلَم جمع 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والزلف القريب من الليل الساعات الأُولى منه، سمِّيت بذلك لقربها من النهار، والمراد بها هنا المغرب والعشاء</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366057_388300464"/>
      <w:bookmarkStart w:id="270" w:name="_Toc103"/>
      <w:bookmarkEnd w:id="269"/>
      <w:r>
        <w:rPr>
          <w:rtl w:val="true"/>
        </w:rPr>
        <w:t>التفسير</w:t>
      </w:r>
      <w:bookmarkEnd w:id="270"/>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بيان أوقات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الفجر والظهر والعصر،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المغرب والعشاء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ما ذكرنا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أقم الصلاة طرفي النهار، وأقم الصلاة زلفاً من الليل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سعة الوقت، وأنّ طرفي النهار وقت للصلوات الثلاث، فالطرف الأوّل لصلاة الصبح، والطرف الثاني لصلاتي الظهر والعصر، وأمّا</w:t>
      </w:r>
      <w:bookmarkStart w:id="271" w:name="pg14912_141179"/>
    </w:p>
    <w:p>
      <w:pPr>
        <w:pStyle w:val="BookText"/>
        <w:rPr/>
      </w:pPr>
      <w:bookmarkEnd w:id="271"/>
      <w:r>
        <w:rPr>
          <w:rFonts w:ascii="Amiri" w:hAnsi="Amiri" w:eastAsia="Amiri" w:cs="Amiri"/>
          <w:color w:val="111111"/>
          <w:sz w:val="28"/>
          <w:sz w:val="28"/>
          <w:szCs w:val="28"/>
          <w:rtl w:val="true"/>
          <w:lang w:bidi="ar-SA"/>
        </w:rPr>
        <w:t>الساعات الأُولى من الليل، فهي وقت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حجّة ما لم يدلّ دليل على التحديد</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366059_388300464"/>
      <w:bookmarkStart w:id="273" w:name="_Toc104"/>
      <w:bookmarkEnd w:id="272"/>
      <w:r>
        <w:rPr>
          <w:rtl w:val="true"/>
        </w:rPr>
        <w:t>الآية الثالثة</w:t>
      </w:r>
      <w:r>
        <w:rPr>
          <w:rtl w:val="true"/>
        </w:rPr>
        <w:t>:</w:t>
      </w:r>
      <w:bookmarkEnd w:id="27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للّه تعالى عمّا لا يليق به ولا يجوز عليه من صفات نقص أو ما ينافي عظمته، في الإصباح والإمساء والإظهار وفي العشيّ‌، وأنّ ما في السماوات والأرض من خلق وأمر، يستدعي حمده سبحانه والثناء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جملة من المفسّرين إلى أنّه سبحانه أشار في هاتين الآيتين إلى الصلوات الخمس، وفي الوقت نفسه ذهب آخرون إلى أنّها راجعة إلى مطلق التحميد والتسبيح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أُستاذنا السيد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المراد بالتسبيح والتحميد معناهما المطلق دون الصلوات اليومية المفروضة، كما يقول به أكثر القائلين بكون القول مقدّراً،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فالتسبيح والتحميد في الآيتين إنشاء تنزيه وثناء منه تعالى لا من غيره، حتّى يكون</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تكرّر في كلامه تعالى تسبيحه وتحميده لنفسه،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وعلى فرض صحّة ما ذهب إليه جملة من المفسّرين من أنّ الآيتين تشيران إلى الصلوات الخمس،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في تفسير مفرداتها أقوالاً، نذكر منها أوضحها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حين تدخلون في وقت المساء، وهو ما بعد الظهر إلى قبل المغرب،</w:t>
      </w:r>
      <w:r>
        <w:rPr>
          <w:rStyle w:val="FootnoteAnchor"/>
          <w:rtl w:val="true"/>
        </w:rPr>
        <w:footnoteReference w:id="243"/>
      </w:r>
      <w:r>
        <w:rPr>
          <w:rFonts w:ascii="Amiri" w:hAnsi="Amiri" w:eastAsia="Amiri" w:cs="Amiri"/>
          <w:color w:val="111111"/>
          <w:sz w:val="28"/>
          <w:sz w:val="28"/>
          <w:szCs w:val="28"/>
          <w:rtl w:val="true"/>
          <w:lang w:bidi="ar-SA"/>
        </w:rPr>
        <w:t>فيكون إشارة إلى صلاة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تُصْبِحُونَ‌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تدخلون في الصبح فيكون إشارة إلى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تُظْهِرُونَ‌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حين تدخلون في وقت الظهيرة، وقد يكون إشارة إلى صلاة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وفي العشيّ‌، وإنّما عدل من الفعل إلى الاسم؛ لأنّه لم يُبنَ منه فعل من باب الإفعال، بخلاف المساء والصباح والظهيرة حيث بني منها الإمساء والإصباح والإظهار بمعنى الدخول في المساء والصباح والظهيرة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w:t>
      </w:r>
      <w:bookmarkStart w:id="274" w:name="pg14912_141181"/>
    </w:p>
    <w:p>
      <w:pPr>
        <w:pStyle w:val="BookText"/>
        <w:rPr/>
      </w:pPr>
      <w:bookmarkEnd w:id="274"/>
      <w:r>
        <w:rPr>
          <w:rFonts w:ascii="Amiri" w:hAnsi="Amiri" w:eastAsia="Amiri" w:cs="Amiri"/>
          <w:color w:val="111111"/>
          <w:sz w:val="28"/>
          <w:sz w:val="28"/>
          <w:szCs w:val="28"/>
          <w:rtl w:val="true"/>
          <w:lang w:bidi="ar-SA"/>
        </w:rPr>
        <w:t>وعلى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صلاتي المغرب والعشاء، لا إلى صلاة العصر، كما ذهب بعضهم، لأنّها لا تناسب وقت العشيّ الّذي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تشير إلى تفريق الصلوات في الأوقات الأربعة بخلاف آية دلوك الشمس وآية طرفي النهار؛ لأنّ آيتنا هذه، أفردت الوقت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العصر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دليل على جواز جمع العشائين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ترفع اليد منها إلّابدليل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366061_388300464"/>
      <w:bookmarkStart w:id="276" w:name="_Toc105"/>
      <w:bookmarkEnd w:id="275"/>
      <w:r>
        <w:rPr>
          <w:rtl w:val="true"/>
        </w:rPr>
        <w:t>الآية الرابعة</w:t>
      </w:r>
      <w:r>
        <w:rPr>
          <w:rtl w:val="true"/>
        </w:rPr>
        <w:t>:</w:t>
      </w:r>
      <w:bookmarkEnd w:id="2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من أنّك ساحر أو شاعر فإنّه لا يضرّك، وأقبِلْ على ما ينفعك فعله وهو ذكر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أي سبِّح حامداً ربّك، في فترات من الليل والنهار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في الآية من التسبيح مطلق لا دلالة فيها من جهة اللفظ على أنّ المراد به الصلوات الخمس،</w:t>
      </w:r>
      <w:r>
        <w:rPr>
          <w:rStyle w:val="FootnoteAnchor"/>
          <w:rtl w:val="true"/>
        </w:rPr>
        <w:footnoteReference w:id="245"/>
      </w:r>
      <w:r>
        <w:rPr>
          <w:rFonts w:ascii="Amiri" w:hAnsi="Amiri" w:eastAsia="Amiri" w:cs="Amiri"/>
          <w:color w:val="111111"/>
          <w:sz w:val="28"/>
          <w:sz w:val="28"/>
          <w:szCs w:val="28"/>
          <w:rtl w:val="true"/>
          <w:lang w:bidi="ar-SA"/>
        </w:rPr>
        <w:t>ولكن بعض المفسّرين ذهب إليه، وعلى فرض</w:t>
      </w:r>
    </w:p>
    <w:p>
      <w:pPr>
        <w:pStyle w:val="BookText"/>
        <w:rPr/>
      </w:pPr>
      <w:r>
        <w:rPr>
          <w:rFonts w:ascii="Amiri" w:hAnsi="Amiri" w:eastAsia="Amiri" w:cs="Amiri"/>
          <w:color w:val="111111"/>
          <w:sz w:val="28"/>
          <w:sz w:val="28"/>
          <w:szCs w:val="28"/>
          <w:rtl w:val="true"/>
          <w:lang w:bidi="ar-SA"/>
        </w:rPr>
        <w:t>صحّة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على خلاف الآيتين السابقتين تتضمّن آخر أوقات بعض الصلوات الخمس، وإليك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نهاية وقت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نهاية وقت صلاتي الظهر والعصر، لكونهما في النصف الأخير من النهار، كما أنّ الفجر في النصف الأوّل</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العشاءين، وآناء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وفيه تنبيه على أنّ ابتداء وقت العشاءين من أوّل الليل، وقدّم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بفعلها ليلاً، لعدم شغل النفس حينئذٍ، بخلاف ما سبق حيث قدّم الفعل فيه على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تمّ الكلام في بيان أوقات الصلوات الخمس لم يبق وجه لذكره ولذلك اختلف المفسّرون في بيانه، والظاهر أنّه تكليف مستقل لتسبيحه سبحانه في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 من جانب والعشاء 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تستغني عن الاحتمالات المذكورة في التفاسير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نص صريح على سعة وقت الصبح إلى طلوع الشمس، والظهرين إلى غروبها؛ لأنّه سبحانه ذكر أواخر أوقاتها، وعلى هذا فوقت صلاة الصبح يمتد إلى طلوع الشمس، ووقت الظهرين يمتد إلى غروبها، كما أنّ وقت العشاءين باقٍ مادام يصدق آناء الليل وساعاته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77" w:name="pg14912_141183"/>
    </w:p>
    <w:p>
      <w:pPr>
        <w:pStyle w:val="BookText"/>
        <w:rPr/>
      </w:pPr>
      <w:bookmarkEnd w:id="277"/>
      <w:r>
        <w:rPr>
          <w:rFonts w:ascii="Amiri" w:hAnsi="Amiri" w:eastAsia="Amiri" w:cs="Amiri"/>
          <w:color w:val="111111"/>
          <w:sz w:val="28"/>
          <w:sz w:val="28"/>
          <w:szCs w:val="28"/>
          <w:rtl w:val="true"/>
          <w:lang w:bidi="ar-SA"/>
        </w:rPr>
        <w:t>فظاهر الآية يدلّ على سعة الوقت في هذه الصلوات وهو حجّة للفقيه ما لم يدلّ دليل على التضييق والتحديد في السنّة المطهرة وأحاديث العترة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366063_388300464"/>
      <w:bookmarkStart w:id="279" w:name="_Toc106"/>
      <w:bookmarkEnd w:id="278"/>
      <w:r>
        <w:rPr>
          <w:rtl w:val="true"/>
        </w:rPr>
        <w:t>الآية الخامسة</w:t>
      </w:r>
      <w:r>
        <w:rPr>
          <w:rtl w:val="true"/>
        </w:rPr>
        <w:t>:</w:t>
      </w:r>
      <w:bookmarkEnd w:id="279"/>
    </w:p>
    <w:p>
      <w:pPr>
        <w:pStyle w:val="Heading6"/>
        <w:numPr>
          <w:ilvl w:val="5"/>
          <w:numId w:val="1"/>
        </w:numPr>
        <w:rPr/>
      </w:pPr>
      <w:bookmarkStart w:id="280" w:name="__RefHeading___Toc1366065_388300464"/>
      <w:bookmarkStart w:id="281" w:name="_Toc107"/>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سَبِّحْ بِحَمْدِ رَبِّكَ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حامداً ربّك قبل الطلوع وقبل الغروب، ولو حُمل التسبيح على ظاهره تُحمل الآية على استحبابه في هذه الفترات، ولو حُمل على الصلاة فالصلاة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واضحة على سعة أوقات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الركعتان بعد المغرب؛ وقد روي ذلك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والحسن بن علي عليه السلام، وابن عباس، ومجاهد، وإبراهيم النخعيّ‌، وغيرهم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أو الركعتان بعد صلاة العشاء،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أوفق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امتداد وقت صلاة الظهرين من الزوال إلى المغرب، وامتداد وقت صلاة العشائين من المغرب إلى غسق الليل، غير أنّ الأخذ بالإطلاق إنّما يصحّ إذا لم يرد في السنّة الشريفة ما يحدّد أوقات الصلاة على نحو تكون</w:t>
      </w:r>
      <w:bookmarkStart w:id="282" w:name="pg14912_141184"/>
    </w:p>
    <w:p>
      <w:pPr>
        <w:pStyle w:val="BookText"/>
        <w:rPr/>
      </w:pPr>
      <w:bookmarkEnd w:id="282"/>
      <w:r>
        <w:rPr>
          <w:rFonts w:ascii="Amiri" w:hAnsi="Amiri" w:eastAsia="Amiri" w:cs="Amiri"/>
          <w:color w:val="111111"/>
          <w:sz w:val="28"/>
          <w:sz w:val="28"/>
          <w:szCs w:val="28"/>
          <w:rtl w:val="true"/>
          <w:lang w:bidi="ar-SA"/>
        </w:rPr>
        <w:t>السنّة مقيّدة لإطلاقات الكتاب، فعلى الفقيه دراسة الروايات، حتى يتبيّن مقدار التقييد</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366067_388300464"/>
      <w:bookmarkStart w:id="284" w:name="_Toc108"/>
      <w:bookmarkEnd w:id="283"/>
      <w:r>
        <w:rPr>
          <w:rtl w:val="true"/>
        </w:rPr>
        <w:t>مواقيت الصلوات في الروايات</w:t>
      </w:r>
      <w:bookmarkEnd w:id="284"/>
    </w:p>
    <w:p>
      <w:pPr>
        <w:pStyle w:val="Heading6"/>
        <w:numPr>
          <w:ilvl w:val="5"/>
          <w:numId w:val="1"/>
        </w:numPr>
        <w:rPr/>
      </w:pPr>
      <w:bookmarkStart w:id="285" w:name="__RefHeading___Toc1366069_388300464"/>
      <w:bookmarkStart w:id="286" w:name="_Toc10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الروايات الواردة حول مواقيت الصلوات على أصناف بينها اختلاف في المبدأ والمنتهى</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366071_388300464"/>
      <w:bookmarkStart w:id="288" w:name="_Toc110"/>
      <w:bookmarkEnd w:id="287"/>
      <w:r>
        <w:rPr>
          <w:rtl w:val="true"/>
        </w:rPr>
        <w:t>الأوّل</w:t>
      </w:r>
      <w:r>
        <w:rPr>
          <w:rtl w:val="true"/>
        </w:rPr>
        <w:t xml:space="preserve">: </w:t>
      </w:r>
      <w:r>
        <w:rPr>
          <w:rtl w:val="true"/>
        </w:rPr>
        <w:t>زوال الشمس وقت الظهرين وغيبوبتها وقت العشائين</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باسناده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باسناده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الظهر والعصر؟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الظهر والعصر جميعاً، إلّا 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باسناده عن داود بن فرقد،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دخل وقت المغرب حتّى يمضي مقدار ما يصلّي المصلّي ثلاث ركعات، فإذا مضى ذلك فقد دخل وقت المغرب والعشاء الآخرة حتّى يبقى من انتصاف الليل مقدار ما يصلّي المصلّي أربع ركعات، وإذا بقي مقدار ذلك فقد خرج وقت المغرب وبقي وقت العشاء الآخرة إلى انتصاف</w:t>
      </w:r>
      <w:bookmarkStart w:id="289" w:name="pg14912_141185"/>
    </w:p>
    <w:p>
      <w:pPr>
        <w:pStyle w:val="BookText"/>
        <w:rPr/>
      </w:pPr>
      <w:bookmarkEnd w:id="289"/>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251"/>
      </w:r>
    </w:p>
    <w:p>
      <w:pPr>
        <w:pStyle w:val="Heading6"/>
        <w:numPr>
          <w:ilvl w:val="5"/>
          <w:numId w:val="1"/>
        </w:numPr>
        <w:rPr/>
      </w:pPr>
      <w:bookmarkStart w:id="290" w:name="__RefHeading___Toc1366073_388300464"/>
      <w:bookmarkStart w:id="291" w:name="_Toc111"/>
      <w:bookmarkEnd w:id="290"/>
      <w:r>
        <w:rPr>
          <w:rtl w:val="true"/>
        </w:rPr>
        <w:t>الصنف الثاني</w:t>
      </w:r>
      <w:r>
        <w:rPr>
          <w:rtl w:val="true"/>
        </w:rPr>
        <w:t xml:space="preserve">: </w:t>
      </w:r>
      <w:r>
        <w:rPr>
          <w:rtl w:val="true"/>
        </w:rPr>
        <w:t>القامة والقامتان آخر وقتي الظهر والعصر</w:t>
      </w:r>
      <w:bookmarkEnd w:id="29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وقت الظهر زوال الشمس وآخر وقتها قامة من الزوال، وأوّل وقت العصر قامة، وآخر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والصيف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القامة من الإنسان قدّه والجمع قامات</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وسيوافيك بأنّ المراد ظل القامة بعد الزوال الذي يبقى على الأرض عند الزوال الذي يعبّر عنه بظل القامة وليس المراد قامة الشخص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وقت الظهر والعصر؟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إذا زاغت الشمس إلى أن يذهب الظل قامة، ووقت العصر قامة ونصف إلى قامتين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92" w:name="__RefHeading___Toc1366075_388300464"/>
      <w:bookmarkStart w:id="293" w:name="_Toc112"/>
      <w:bookmarkEnd w:id="292"/>
      <w:r>
        <w:rPr>
          <w:rtl w:val="true"/>
        </w:rPr>
        <w:t>الصنف الثالث</w:t>
      </w:r>
      <w:r>
        <w:rPr>
          <w:rtl w:val="true"/>
        </w:rPr>
        <w:t xml:space="preserve">: </w:t>
      </w:r>
      <w:r>
        <w:rPr>
          <w:rtl w:val="true"/>
        </w:rPr>
        <w:t>الذراع والذراعان أوّل وقتي الظهر والعصر</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بسنده عن أبي عبداللّه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حائط مسجد رسول اللّه صلى الله عليه و آله و سلم قبل أن يظلل قامة، وكان إذا كان الفيء ذراعاً وهو</w:t>
      </w:r>
      <w:bookmarkStart w:id="294" w:name="pg14912_141186"/>
    </w:p>
    <w:p>
      <w:pPr>
        <w:pStyle w:val="BookText"/>
        <w:rPr/>
      </w:pPr>
      <w:bookmarkEnd w:id="294"/>
      <w:r>
        <w:rPr>
          <w:rFonts w:ascii="IRNazanin" w:hAnsi="IRNazanin" w:eastAsia="IRNazanin"/>
          <w:color w:val="111111"/>
          <w:sz w:val="28"/>
          <w:sz w:val="28"/>
          <w:szCs w:val="28"/>
          <w:rtl w:val="true"/>
          <w:lang w:bidi="fa-IR"/>
        </w:rPr>
        <w:t>قدر مربض</w:t>
      </w:r>
      <w:r>
        <w:rPr>
          <w:rStyle w:val="FootnoteAnchor"/>
          <w:rtl w:val="true"/>
        </w:rPr>
        <w:footnoteReference w:id="254"/>
      </w:r>
      <w:r>
        <w:rPr>
          <w:rFonts w:ascii="Amiri" w:hAnsi="Amiri" w:eastAsia="Amiri" w:cs="Amiri"/>
          <w:color w:val="111111"/>
          <w:sz w:val="28"/>
          <w:sz w:val="28"/>
          <w:szCs w:val="28"/>
          <w:rtl w:val="true"/>
          <w:lang w:bidi="ar-SA"/>
        </w:rPr>
        <w:t>عنز صلّى الظهر، فإذا كان ضعف ذلك صلى العصر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بإسناده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كان فيء الجدار ذراعاً صلى الظهر، وإذا كان ذراعين صلى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95" w:name="__RefHeading___Toc1366077_388300464"/>
      <w:bookmarkStart w:id="296" w:name="_Toc113"/>
      <w:bookmarkEnd w:id="295"/>
      <w:r>
        <w:rPr>
          <w:rtl w:val="true"/>
        </w:rPr>
        <w:t>الصنف الرابع</w:t>
      </w:r>
      <w:r>
        <w:rPr>
          <w:rtl w:val="true"/>
        </w:rPr>
        <w:t xml:space="preserve">: </w:t>
      </w:r>
      <w:r>
        <w:rPr>
          <w:rtl w:val="true"/>
        </w:rPr>
        <w:t>القدمان وأربع أقدام أوّل وقتي الظهر والعصر</w:t>
      </w:r>
      <w:bookmarkEnd w:id="296"/>
    </w:p>
    <w:p>
      <w:pPr>
        <w:pStyle w:val="BookText"/>
        <w:rPr/>
      </w:pPr>
      <w:r>
        <w:rPr>
          <w:rFonts w:ascii="Amiri" w:hAnsi="Amiri" w:eastAsia="Amiri" w:cs="Amiri"/>
          <w:color w:val="111111"/>
          <w:sz w:val="28"/>
          <w:sz w:val="28"/>
          <w:szCs w:val="28"/>
          <w:rtl w:val="true"/>
          <w:lang w:bidi="ar-SA"/>
        </w:rPr>
        <w:t>روى ذريح المحاربي عن أبي عبداللّه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أُناس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نصلّي الأُولى إذا كانت على قدمين، والعصر على أربع أقدام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من ذلك أَحبّ إليّ‌</w:t>
      </w:r>
      <w:r>
        <w:rPr>
          <w:rFonts w:eastAsia="Amiri" w:cs="Amiri" w:ascii="Amiri" w:hAnsi="Amiri"/>
          <w:color w:val="111111"/>
          <w:sz w:val="28"/>
          <w:szCs w:val="28"/>
          <w:rtl w:val="true"/>
          <w:lang w:bidi="ar-SA"/>
        </w:rPr>
        <w:t>».</w:t>
      </w:r>
      <w:r>
        <w:rPr>
          <w:rStyle w:val="FootnoteAnchor"/>
          <w:rtl w:val="true"/>
        </w:rPr>
        <w:footnoteReference w:id="256"/>
      </w:r>
    </w:p>
    <w:p>
      <w:pPr>
        <w:pStyle w:val="Heading6"/>
        <w:numPr>
          <w:ilvl w:val="5"/>
          <w:numId w:val="1"/>
        </w:numPr>
        <w:rPr/>
      </w:pPr>
      <w:bookmarkStart w:id="297" w:name="__RefHeading___Toc1366079_388300464"/>
      <w:bookmarkStart w:id="298" w:name="_Toc114"/>
      <w:bookmarkEnd w:id="297"/>
      <w:r>
        <w:rPr>
          <w:rtl w:val="true"/>
        </w:rPr>
        <w:t>الصنف الخامس</w:t>
      </w:r>
      <w:r>
        <w:rPr>
          <w:rtl w:val="true"/>
        </w:rPr>
        <w:t xml:space="preserve">: </w:t>
      </w:r>
      <w:r>
        <w:rPr>
          <w:rtl w:val="true"/>
        </w:rPr>
        <w:t>القدمان وأربع أقدام آخر وقتي الظهر والعصر</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عن أوقات الصلاة‌؟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فصلّ سُبحتك، وأُحبّ أن يكون فراغك من الفريضة والشمس على قدمين، ثم صلّ سُبحتك، وأُحبّ أن يكون فراغك من العصر والشمس على أربعة أقدام، فإنْ عجّل بك أمر فابدأ بالفريضتين، واقضِ بعدهما النوافل، فإذا طلع الفجر فصلّ الفريضة، ثم اقضِ بعد ما شئت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إذا وقفت على هذه الأصناف الخمسة من أوقات صلاتي الظهر والعصر، فاعلم أنّ فهم هذه الروايات يتوقّف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والذراعين، والقدمين والأقدام الأربعة، والقامة والقامتين، أمر واحد، وإن اختلفا لفظاً وتعبيراً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الذراع والذراعان فواضح، وأمّا القدمان والأقدام الأربعة، فيرجع إليها؛ لأنّ ذراع كلّ إنسان يساوي طول قدميه، كما أنّ ذراعيه تساوي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القامة، فقد جاء في الحديث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القامة والقامتان، الذراع والذراعان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القامة هي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عبد اللّه عليه السلام 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 إنّ قامة رحل رسول اللّه صلى الله عليه و آله و سلم ذراع</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بالرحل ما يوضع على ظهر البعير كالسرج بالنسبة للفرس، ومن المعلوم أنّ المراد من قامة ليست مقدار قامة الإنسان، بل المراد ظلّ قامة الإنسان الذي يبقى على الأرض عند الزوال وهو يختلف حسب الأزمنة والبلاد مرّة يكثر ومرّة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حين سألته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حائط مسجد رسول اللّه صلى الله عليه و آله و سلم كان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مقدار قدّ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مضى من فيئه ذراع صلّى الظهر، وإذا مضى من فيئه ذراعان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يجعل الذراع والذراعان‌؟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النافلة، فإنّ لك أن تنتفل من زوال الشمس إلى أن يمضي الفيء ذراعاً، فإذا بلغ فيؤك ذراعاً من الزوال بدأت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99" w:name="pg14912_141188"/>
    </w:p>
    <w:p>
      <w:pPr>
        <w:pStyle w:val="BookText"/>
        <w:rPr/>
      </w:pPr>
      <w:bookmarkEnd w:id="299"/>
      <w:r>
        <w:rPr>
          <w:rFonts w:ascii="Amiri" w:hAnsi="Amiri" w:eastAsia="Amiri" w:cs="Amiri"/>
          <w:color w:val="111111"/>
          <w:sz w:val="28"/>
          <w:sz w:val="28"/>
          <w:szCs w:val="28"/>
          <w:rtl w:val="true"/>
          <w:lang w:bidi="ar-SA"/>
        </w:rPr>
        <w:t>الفريضة وتركت النافلة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إلى هنا تبيّن وحدة المعابير الثلاثة، بشرط أن يفسّر القامة بظلها عند الزوال لا بقامة الشخص وقدّه</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366081_388300464"/>
      <w:bookmarkStart w:id="301" w:name="_Toc115"/>
      <w:bookmarkEnd w:id="300"/>
      <w:r>
        <w:rPr>
          <w:rtl w:val="true"/>
        </w:rPr>
        <w:t>رفع التعارض بين الأصناف الخمسة</w:t>
      </w:r>
      <w:bookmarkEnd w:id="301"/>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وقت الصلاتين بزوال الشمس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آخر وقت الظهر بالقامة، والعصر بقامتين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أوّل وقتي الظهر والعصر بالذراع والذراعين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أوّل وقتي الظهر والعصر بالقدمين والأربعة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آخر وقتي الظهر والعصر بالقدمين والأربعة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فالصنف الثاني يتّحد مع الخامس، كما أنّ الصنف الثالث يتّحد مع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الجمع‌؟</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بينها واضح بالرجوع إلى بعض الروايات، فإنّ الأصل هو الصنف الأوّل أي تحديد وقتي الظهر والعصر بزوال الشمس وغروبها، وأمّا الأصناف الأربعة الباقية فإنّ التأخير إنّما هو للتنفّل كما مرّ في رواية زرارة،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لمكانة النافلة، فإنّ لك أن تنتفل من زوال الشمس إلى أن يمضي الفيء ذراعاً، فإذا بلغ فيؤك ذراعاً من الزوال بدأت 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هو الذي ركّز عليه سيد مشايخنا المحقّق البروجردي في درسه الشريف، فقال مشيراً إلى الإشكال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أخبار دالّة على أنّ أوّل وقته صيرورة الفيء قدماً، وأوّل وقت العصر صيرورته قدمين، وأخبار أُخر دالّة على أنّ أوّل وقت الظهر صيرورة الفيء قدمين أو ذراعاً، وأوّل وقت العصر صيرورته أربعة أقدام أو ذراعين، والمراد بالقدم سبع الشاخص وبالذراع 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فقد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الأخبار يرتفع بنفس الأخبار حيث دلّت على أنّ اعتبار القدم والقدمين ونحوهما إنّما هو للتنفّل واختلافها في القدر الموضوع للنافلة إنّما هو من جهة اختلاف المتنفّلين في التطويل والتقصير، وهذا الجمع في الجملة ممّا لا إشكال فيه، وتشهد عليه نفس الأخبار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وهنا وجه آخر للجمع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المتّبع هو النصف الأوّل، وسعة الوقت للصلاتين من الزوال إلى الغروب، وأمّا الأصناف الباقية، فلكلّ معنى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يحدّد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الصنف الثاني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وقتهما كناية عن خروج وقت نافلتهما، فلا نافلة بعد هذين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يحدّد أوّل وقت الظهرين بالذراع والذراعين أو بالقدمين وأربعة أقدام، كما هو مفاد الصنفين الثالث والرابع، فيهدف إلى بيان وقت الفضيلة للصلاتين بناء على أنّ لكلّ صلاة وقت إجزاء ووقت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بين زوال الشمس وغروبها وقت الظهرين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مقدار أربع ركعات من أوّله وأربع ركعات من آخره وقت اختصاصي للظهر والعصر، والوقت الباقي 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فضيلة الظهر إذا كان الفيء ذراعاً، وإذا كان ضعف ذلك فقد دخل وقت فضيلة العصر، وقد مرّ أنّ رسول اللّه صلى الله عليه و آله و سلم إذا كان فيء الجدار ذراعاً صلى الظهر، وإذا كان ذراعين صلّى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تأخير الإتيان بالفريضة إلى الذراع والذراعين لغاية التنفّل، فلو لم يتنفّل، فله أن يصلّي عند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من كون الفيء ذراعاً أو ذراعين هو الفيء الموجود في جانب الشرق، ويطلق عليه الفيء الذي هو بمعنى الرجوع لأجل أنّ الظل بعد انتقاصه يكون قد رجع، وأمّا الفيء المتخلّف أو المعدوم في جانب المغرب فليس موضوعاً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هو الوجه في تأخير أهل السنّة صلاة العصر بكثير من الذراعين‌؟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أنّهم فهموا من كلام النبي صلى الله عليه و آله و سلم ظلّاً حسب قامة الإنسان، وذلك عندما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 الفيء مثل ظل القامة فصلوا الظهر، وإذا كان مثليه فصلوا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ظلّ القامة ظلّاً بقدر القامة، مع أنّ المراد ظل القامة لا ظلاً مثل القامة</w:t>
      </w:r>
      <w:r>
        <w:rPr>
          <w:rFonts w:eastAsia="Amiri" w:cs="Amiri" w:ascii="Amiri" w:hAnsi="Amiri"/>
          <w:color w:val="111111"/>
          <w:sz w:val="28"/>
          <w:szCs w:val="28"/>
          <w:rtl w:val="true"/>
          <w:lang w:bidi="ar-SA"/>
        </w:rPr>
        <w:t>.</w:t>
      </w:r>
      <w:r>
        <w:rPr>
          <w:rStyle w:val="FootnoteAnchor"/>
        </w:rPr>
        <w:footnoteReference w:id="2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02" w:name="pg14912_141191"/>
    </w:p>
    <w:p>
      <w:pPr>
        <w:pStyle w:val="Heading6"/>
        <w:numPr>
          <w:ilvl w:val="5"/>
          <w:numId w:val="1"/>
        </w:numPr>
        <w:rPr/>
      </w:pPr>
      <w:bookmarkStart w:id="303" w:name="__RefHeading___Toc1366083_388300464"/>
      <w:bookmarkStart w:id="304" w:name="_Toc116"/>
      <w:bookmarkEnd w:id="302"/>
      <w:bookmarkEnd w:id="303"/>
      <w:r>
        <w:rPr>
          <w:rtl w:val="true"/>
        </w:rPr>
        <w:t>الجمع بين الصلاتين</w:t>
      </w:r>
      <w:bookmarkEnd w:id="304"/>
    </w:p>
    <w:p>
      <w:pPr>
        <w:pStyle w:val="Heading6"/>
        <w:numPr>
          <w:ilvl w:val="5"/>
          <w:numId w:val="1"/>
        </w:numPr>
        <w:rPr/>
      </w:pPr>
      <w:bookmarkStart w:id="305" w:name="__RefHeading___Toc1366085_388300464"/>
      <w:bookmarkStart w:id="306" w:name="_Toc117"/>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قد تبيّن ممّا سبق أنّ ما وراء الوقت المختص لكلّ من الظهرين أو العشائين، وقت مشترك، يجوز الجمع بين الصلاتين فيه، جمعاً حقيقياً كلّاً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الجمع بين الصلاتين في الفقه الإسلامي على أقسام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366087_388300464"/>
      <w:bookmarkStart w:id="308" w:name="_Toc118"/>
      <w:bookmarkEnd w:id="307"/>
      <w:r>
        <w:rPr/>
        <w:t>1</w:t>
      </w:r>
      <w:r>
        <w:rPr>
          <w:rtl w:val="true"/>
        </w:rPr>
        <w:t xml:space="preserve">. </w:t>
      </w:r>
      <w:r>
        <w:rPr>
          <w:rtl w:val="true"/>
        </w:rPr>
        <w:t>الجمع بين الصلاتين في عرفة ومزدلفة</w:t>
      </w:r>
      <w:bookmarkEnd w:id="308"/>
    </w:p>
    <w:p>
      <w:pPr>
        <w:pStyle w:val="BookText"/>
        <w:rPr/>
      </w:pPr>
      <w:r>
        <w:rPr>
          <w:rFonts w:ascii="Amiri" w:hAnsi="Amiri" w:eastAsia="Amiri" w:cs="Amiri"/>
          <w:color w:val="111111"/>
          <w:sz w:val="28"/>
          <w:sz w:val="28"/>
          <w:szCs w:val="28"/>
          <w:rtl w:val="true"/>
          <w:lang w:bidi="ar-SA"/>
        </w:rPr>
        <w:t>اتّفقت كلمة الفقهاء على رجحان الجمع بين الصلاة في المزدلفة وعرفة من غير خلاف،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 الجمع بين الظهر والعصر في وقت الظهر بعرفة وبين المغرب والعشاء بالمزدلفة أيضاً في وقت العشاء سنّة أيضاً، وإنّما اختلفوا في الجمع في غير هذين المكانين</w:t>
      </w:r>
      <w:r>
        <w:rPr>
          <w:rFonts w:eastAsia="Amiri" w:cs="Amiri" w:ascii="Amiri" w:hAnsi="Amiri"/>
          <w:color w:val="111111"/>
          <w:sz w:val="28"/>
          <w:szCs w:val="28"/>
          <w:rtl w:val="true"/>
          <w:lang w:bidi="ar-SA"/>
        </w:rPr>
        <w:t>.</w:t>
      </w:r>
      <w:r>
        <w:rPr>
          <w:rStyle w:val="FootnoteAnchor"/>
          <w:rtl w:val="true"/>
        </w:rPr>
        <w:footnoteReference w:id="262"/>
      </w:r>
    </w:p>
    <w:p>
      <w:pPr>
        <w:pStyle w:val="Heading6"/>
        <w:numPr>
          <w:ilvl w:val="5"/>
          <w:numId w:val="1"/>
        </w:numPr>
        <w:rPr/>
      </w:pPr>
      <w:bookmarkStart w:id="309" w:name="__RefHeading___Toc1366089_388300464"/>
      <w:bookmarkStart w:id="310" w:name="_Toc119"/>
      <w:bookmarkEnd w:id="309"/>
      <w:r>
        <w:rPr/>
        <w:t>2</w:t>
      </w:r>
      <w:r>
        <w:rPr>
          <w:rtl w:val="true"/>
        </w:rPr>
        <w:t xml:space="preserve">. </w:t>
      </w:r>
      <w:r>
        <w:rPr>
          <w:rtl w:val="true"/>
        </w:rPr>
        <w:t>الجمع بين الصلاتين في السفر</w:t>
      </w:r>
      <w:bookmarkEnd w:id="310"/>
    </w:p>
    <w:p>
      <w:pPr>
        <w:pStyle w:val="BookText"/>
        <w:rPr/>
      </w:pPr>
      <w:r>
        <w:rPr>
          <w:rFonts w:ascii="Amiri" w:hAnsi="Amiri" w:eastAsia="Amiri" w:cs="Amiri"/>
          <w:color w:val="111111"/>
          <w:sz w:val="28"/>
          <w:sz w:val="28"/>
          <w:szCs w:val="28"/>
          <w:rtl w:val="true"/>
          <w:lang w:bidi="ar-SA"/>
        </w:rPr>
        <w:t xml:space="preserve">ذهب معظم الفقهاء، غير الحسن والنخعي وأبي حنيفة وصاحبيه، إلى جواز الجمع بين الصلاتين في السفر، فيجوز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الظهر والعصر تقديماً في وقت الأُولى وتأخيراً في وقت الثانية، وبين المغرب والعشاء، تقديماً وتأخيراً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إذا جدّ به السير جمع بين المغرب والعشاء</w:t>
      </w:r>
      <w:r>
        <w:rPr>
          <w:rFonts w:eastAsia="Amiri" w:cs="Amiri" w:ascii="Amiri" w:hAnsi="Amiri"/>
          <w:color w:val="111111"/>
          <w:sz w:val="28"/>
          <w:szCs w:val="28"/>
          <w:rtl w:val="true"/>
          <w:lang w:bidi="ar-SA"/>
        </w:rPr>
        <w:t>.</w:t>
      </w:r>
      <w:r>
        <w:rPr>
          <w:rStyle w:val="FootnoteAnchor"/>
          <w:rtl w:val="true"/>
        </w:rPr>
        <w:footnoteReference w:id="263"/>
      </w:r>
      <w:bookmarkStart w:id="311" w:name="pg14912_141192"/>
    </w:p>
    <w:p>
      <w:pPr>
        <w:pStyle w:val="Heading6"/>
        <w:numPr>
          <w:ilvl w:val="5"/>
          <w:numId w:val="1"/>
        </w:numPr>
        <w:rPr/>
      </w:pPr>
      <w:bookmarkStart w:id="312" w:name="__RefHeading___Toc1366091_388300464"/>
      <w:bookmarkStart w:id="313" w:name="_Toc120"/>
      <w:bookmarkEnd w:id="311"/>
      <w:bookmarkEnd w:id="312"/>
      <w:r>
        <w:rPr/>
        <w:t>3</w:t>
      </w:r>
      <w:r>
        <w:rPr>
          <w:rtl w:val="true"/>
        </w:rPr>
        <w:t xml:space="preserve">. </w:t>
      </w:r>
      <w:r>
        <w:rPr>
          <w:rtl w:val="true"/>
        </w:rPr>
        <w:t>الجمع بين الصلاتين في الحضر لأجل العذر</w:t>
      </w:r>
      <w:bookmarkEnd w:id="313"/>
    </w:p>
    <w:p>
      <w:pPr>
        <w:pStyle w:val="BookText"/>
        <w:rPr/>
      </w:pPr>
      <w:r>
        <w:rPr>
          <w:rFonts w:ascii="Amiri" w:hAnsi="Amiri" w:eastAsia="Amiri" w:cs="Amiri"/>
          <w:color w:val="111111"/>
          <w:sz w:val="28"/>
          <w:sz w:val="28"/>
          <w:szCs w:val="28"/>
          <w:rtl w:val="true"/>
          <w:lang w:bidi="ar-SA"/>
        </w:rPr>
        <w:t>المشهور عند فقهاء السنّة جواز الجمع بين المغرب والعشاء لعذر، خلافاً للحنفية حيث لم يجوّزوا الجمع مطلقاً إلّافي الحج بعرفة والمزدلفة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366093_388300464"/>
      <w:bookmarkStart w:id="315" w:name="_Toc121"/>
      <w:bookmarkEnd w:id="314"/>
      <w:r>
        <w:rPr/>
        <w:t>4</w:t>
      </w:r>
      <w:r>
        <w:rPr>
          <w:rtl w:val="true"/>
        </w:rPr>
        <w:t xml:space="preserve">. </w:t>
      </w:r>
      <w:r>
        <w:rPr>
          <w:rtl w:val="true"/>
        </w:rPr>
        <w:t>الجمع بين الصلاتين في الحضر اختياراً</w:t>
      </w:r>
      <w:bookmarkEnd w:id="315"/>
    </w:p>
    <w:p>
      <w:pPr>
        <w:pStyle w:val="BookText"/>
        <w:rPr/>
      </w:pPr>
      <w:r>
        <w:rPr>
          <w:rFonts w:ascii="Amiri" w:hAnsi="Amiri" w:eastAsia="Amiri" w:cs="Amiri"/>
          <w:color w:val="111111"/>
          <w:sz w:val="28"/>
          <w:sz w:val="28"/>
          <w:szCs w:val="28"/>
          <w:rtl w:val="true"/>
          <w:lang w:bidi="ar-SA"/>
        </w:rPr>
        <w:t>اتّفقت الإمامية على أنّه يجوز الجمع بين الصلاتين في الحضر اختياراً، وإن كان التفريق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باسناده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الظهر والعصر؟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الظهر والعصر، إلّاأنّ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وبما مرّ يظهر أنّ الجمع بين الصلاتين ليس بمعنى كون صلاة في وقت صلاة أُخرى، بل كلّ في الوقت المشترك، غاية الأمر يفوت وقت الفضيلة لواحدة من الصلاتين، فمن جمع في وقت الظهر يفوته وقت فضيلة العصر، والروايات من أئمّة أهل البيت متوفّرة، خصوصاً ما عرفت من دلالة الآيات على 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من جانب أهل السنّة، فهناك ثلاثون رواية تدلّ على الجمع نذكر واحدة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 الله عليه و آله و سلم الظهر والعصر جميعاً والمغرب والعشاء جميعاً في غير خوف ولا سفر</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الإحاطة بتلك الروايات فعليه الرجوع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فسيجد فيه ما يكفيه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16" w:name="pg14912_141194"/>
    </w:p>
    <w:p>
      <w:pPr>
        <w:pStyle w:val="BookText"/>
        <w:rPr/>
      </w:pPr>
      <w:bookmarkEnd w:id="316"/>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317" w:name="__RefHeading___Toc1366095_388300464"/>
      <w:bookmarkStart w:id="318" w:name="_Toc122"/>
      <w:bookmarkEnd w:id="317"/>
      <w:r>
        <w:rPr/>
        <w:t>2</w:t>
      </w:r>
      <w:r>
        <w:rPr>
          <w:rtl w:val="true"/>
        </w:rPr>
        <w:t xml:space="preserve">. </w:t>
      </w:r>
      <w:r>
        <w:rPr>
          <w:rtl w:val="true"/>
        </w:rPr>
        <w:t>استقبال الكعبة في الذكر الحكيم</w:t>
      </w:r>
      <w:bookmarkEnd w:id="318"/>
    </w:p>
    <w:p>
      <w:pPr>
        <w:pStyle w:val="Heading4"/>
        <w:numPr>
          <w:ilvl w:val="3"/>
          <w:numId w:val="1"/>
        </w:numPr>
        <w:rPr/>
      </w:pPr>
      <w:bookmarkStart w:id="319" w:name="__RefHeading___Toc1366097_388300464"/>
      <w:bookmarkStart w:id="320" w:name="_Toc123"/>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استقبال القبلة من أركان الصلاة حيث تبطل بتركه عمداً أو سهواً، قال الإمام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وقد جاء ذكر الاستقبال ضمن آيات في سورة البقرة، ابتداء من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غير أنّا نفسّر من الآيات ما لها صلة بالحكم الشرعي، ونترك ما لا صلة له به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366099_388300464"/>
      <w:bookmarkStart w:id="322" w:name="_Toc124"/>
      <w:bookmarkEnd w:id="321"/>
      <w:r>
        <w:rPr>
          <w:rtl w:val="true"/>
        </w:rPr>
        <w:t>الآية الأُولى</w:t>
      </w:r>
      <w:r>
        <w:rPr>
          <w:rtl w:val="true"/>
        </w:rPr>
        <w:t>:</w:t>
      </w:r>
      <w:bookmarkEnd w:id="322"/>
    </w:p>
    <w:p>
      <w:pPr>
        <w:pStyle w:val="Heading5"/>
        <w:numPr>
          <w:ilvl w:val="4"/>
          <w:numId w:val="1"/>
        </w:numPr>
        <w:rPr/>
      </w:pPr>
      <w:bookmarkStart w:id="323" w:name="__RefHeading___Toc1366101_388300464"/>
      <w:bookmarkStart w:id="324" w:name="_Toc125"/>
      <w:bookmarkEnd w:id="323"/>
      <w:r>
        <w:rPr>
          <w:rtl w:val="true"/>
        </w:rPr>
        <w:t>اشارة</w:t>
      </w:r>
      <w:bookmarkEnd w:id="3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w:t>
      </w:r>
      <w:r>
        <w:rPr>
          <w:rStyle w:val="FootnoteAnchor"/>
          <w:rtl w:val="true"/>
        </w:rPr>
        <w:footnoteReference w:id="268"/>
      </w:r>
      <w:bookmarkStart w:id="325" w:name="pg14912_141195"/>
    </w:p>
    <w:p>
      <w:pPr>
        <w:pStyle w:val="Heading5"/>
        <w:numPr>
          <w:ilvl w:val="4"/>
          <w:numId w:val="1"/>
        </w:numPr>
        <w:rPr/>
      </w:pPr>
      <w:bookmarkStart w:id="326" w:name="__RefHeading___Toc1366103_388300464"/>
      <w:bookmarkStart w:id="327" w:name="_Toc126"/>
      <w:bookmarkEnd w:id="325"/>
      <w:bookmarkEnd w:id="326"/>
      <w:r>
        <w:rPr>
          <w:rtl w:val="true"/>
        </w:rPr>
        <w:t>المفردات</w:t>
      </w:r>
      <w:bookmarkEnd w:id="327"/>
    </w:p>
    <w:p>
      <w:pPr>
        <w:pStyle w:val="BookText"/>
        <w:rPr/>
      </w:pP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السفه، وهو نقصان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في الأصل اسم للحالة التي عليها المقابل،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الجلسة والقعدة، وفي التعارف صار اسماً للمكان المقابل المتوجّه للصلاة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باب التفعيل، فلو استعمل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معنى الإعراض والإدبار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استعمل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الإقبال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66105_388300464"/>
      <w:bookmarkStart w:id="329" w:name="_Toc127"/>
      <w:bookmarkEnd w:id="328"/>
      <w:r>
        <w:rPr>
          <w:rtl w:val="true"/>
        </w:rPr>
        <w:t>التفسير</w:t>
      </w:r>
      <w:bookmarkEnd w:id="329"/>
    </w:p>
    <w:p>
      <w:pPr>
        <w:pStyle w:val="BookText"/>
        <w:rPr/>
      </w:pPr>
      <w:r>
        <w:rPr>
          <w:rFonts w:ascii="Amiri" w:hAnsi="Amiri" w:eastAsia="Amiri" w:cs="Amiri"/>
          <w:color w:val="111111"/>
          <w:sz w:val="28"/>
          <w:sz w:val="28"/>
          <w:szCs w:val="28"/>
          <w:rtl w:val="true"/>
          <w:lang w:bidi="ar-SA"/>
        </w:rPr>
        <w:t xml:space="preserve">هذه الآية ومابعدها تتعلّق بمسألة جعل الكعبة قبلة للمسلمين بعد ما كانت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وقد تحدّث عنها القرآن الكريم في هذه السورة ولم يأت لها ذكر في السور الأُخرى، وهي حادثة عظيمة أوجدت ضوضاء، بين المشركين واليهود الذين يعبّر سبحانه عنهم هنا بالسفهاء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صلى الله عليه و آله و سلم منذ أوجب اللّه الصلاة عليه وعلى أُمّته كان يصلّي بأمر اللّه سبحانه إلى بيت المقدس، وما هذا إلّاليتميّز المسلمون عن المشركين الذين كانوا يقدّسون الكعبة ويحترمونها، فلأجل التمييز صار المسلمون يصلّون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هاجر النبي صلى الله عليه و آله و سلم إلى مهجره، ابتلي بعدو لدود يصلّي إلى بيت المقدس، وكان النبي أيضاً مأموراً بالصلاة إليه، فصار ذلك سبباً لإيذاء النبي وتعييره بأنّك كيف تدّعي أنّ شريعتك ناسخة لشريعة النبي</w:t>
      </w:r>
    </w:p>
    <w:p>
      <w:pPr>
        <w:pStyle w:val="BookText"/>
        <w:rPr/>
      </w:pPr>
      <w:r>
        <w:rPr>
          <w:rFonts w:ascii="Amiri" w:hAnsi="Amiri" w:eastAsia="Amiri" w:cs="Amiri"/>
          <w:color w:val="111111"/>
          <w:sz w:val="28"/>
          <w:sz w:val="28"/>
          <w:szCs w:val="28"/>
          <w:rtl w:val="true"/>
          <w:lang w:bidi="ar-SA"/>
        </w:rPr>
        <w:t>موسى وأنت تصلي إلى 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هذا هو السبب لنزول الوحي بتغيير القبلة من بيت المقدس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الحادثة كانت ضربة لليهود استثقلوها ونشروا الأكاذيب حولها، فنزلت الآية الأُولى تخبر النبي صلى الله عليه و آله و سلم بحادثة مؤلمة سوف تقع حتى يكون النبي والمسلمون على أهبة الاستعداد للدفاع عن دينهم وكيانهم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قبل تغيير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30" w:name="pg14912_141197"/>
    </w:p>
    <w:p>
      <w:pPr>
        <w:pStyle w:val="BookText"/>
        <w:rPr/>
      </w:pPr>
      <w:bookmarkEnd w:id="330"/>
      <w:r>
        <w:rPr>
          <w:rFonts w:ascii="Amiri" w:hAnsi="Amiri" w:eastAsia="Amiri" w:cs="Amiri"/>
          <w:color w:val="111111"/>
          <w:sz w:val="28"/>
          <w:sz w:val="28"/>
          <w:szCs w:val="28"/>
          <w:rtl w:val="true"/>
          <w:lang w:bidi="ar-SA"/>
        </w:rPr>
        <w:t xml:space="preserve">المسلمون عن المشركين، لكن المصلحة بعد الهجرة إلى المدينة بشهور اقتضت التوجّه إلى الكعبة حتى يتميّز المسلمون عن اليهود والنصارى،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فالأمكنة كلّها للّه، والصلاة في أي مكان إذا صدرت عن تقرّب وإخلاص، فهي عبادة للّه، وأمّا التولّي عن المسجد الأقصى إلى الكعبة لأجل أنّ الحكم الشرعي يتغيّر بتغيّر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بأنّ الذي أمر اللّه به المسلمين هو الهدى دون قبلة اليهود، ولكنّه لم يصرح بذلك وإنّما اكتفى بالتعريض،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الصراط جاء بصورة النكرة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الصراط الحقّ في المقام، وهو كون القبلة هي الكعبة المعظمة، وبما أنّه أمر شخصي استغنى عن الإشارة إليه بلام الجنس،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أُشير به إلى الشريعة الحقّة اعتقاداً وعملاً بما أنّه مؤلّف من أُمور مختلفة يقع الجميع تحت عنوان واحد، وهو الصراط المستقيم أشار بلام الجنس إليه حتى يشير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366107_388300464"/>
      <w:bookmarkStart w:id="332" w:name="_Toc128"/>
      <w:bookmarkEnd w:id="331"/>
      <w:r>
        <w:rPr>
          <w:rtl w:val="true"/>
        </w:rPr>
        <w:t>الآية الثانية</w:t>
      </w:r>
      <w:r>
        <w:rPr>
          <w:rtl w:val="true"/>
        </w:rPr>
        <w:t>:</w:t>
      </w:r>
      <w:bookmarkEnd w:id="332"/>
    </w:p>
    <w:p>
      <w:pPr>
        <w:pStyle w:val="Heading5"/>
        <w:numPr>
          <w:ilvl w:val="4"/>
          <w:numId w:val="1"/>
        </w:numPr>
        <w:rPr/>
      </w:pPr>
      <w:bookmarkStart w:id="333" w:name="__RefHeading___Toc1366109_388300464"/>
      <w:bookmarkStart w:id="334" w:name="_Toc129"/>
      <w:bookmarkEnd w:id="333"/>
      <w:r>
        <w:rPr>
          <w:rtl w:val="true"/>
        </w:rPr>
        <w:t>اشارة</w:t>
      </w:r>
      <w:bookmarkEnd w:id="3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w:t>
      </w:r>
      <w:bookmarkStart w:id="335" w:name="pg14912_141198"/>
    </w:p>
    <w:p>
      <w:pPr>
        <w:pStyle w:val="BookText"/>
        <w:rPr/>
      </w:pPr>
      <w:bookmarkEnd w:id="335"/>
      <w:r>
        <w:rPr>
          <w:rFonts w:ascii="Amiri" w:hAnsi="Amiri" w:eastAsia="Amiri" w:cs="Amiri"/>
          <w:color w:val="111111"/>
          <w:sz w:val="28"/>
          <w:sz w:val="28"/>
          <w:szCs w:val="28"/>
          <w:rtl w:val="true"/>
          <w:lang w:bidi="ar-SA"/>
        </w:rPr>
        <w:t>عَلَى اَلَّذِينَ هَدَى اَللّهُ وَ ما كانَ اَللّهُ لِيُضِيعَ إِيمانَكُمْ إِنَّ اَللّهَ بِالنّاسِ لَرَؤُفٌ رَحِيمٌ‌</w:t>
      </w:r>
      <w:r>
        <w:rPr>
          <w:rFonts w:eastAsia="Amiri" w:cs="Amiri" w:ascii="Amiri" w:hAnsi="Amiri"/>
          <w:color w:val="111111"/>
          <w:sz w:val="28"/>
          <w:szCs w:val="28"/>
          <w:rtl w:val="true"/>
          <w:lang w:bidi="ar-SA"/>
        </w:rPr>
        <w:t>) .</w:t>
      </w:r>
      <w:r>
        <w:rPr>
          <w:rStyle w:val="FootnoteAnchor"/>
          <w:rtl w:val="true"/>
        </w:rPr>
        <w:footnoteReference w:id="271"/>
      </w:r>
    </w:p>
    <w:p>
      <w:pPr>
        <w:pStyle w:val="Heading5"/>
        <w:numPr>
          <w:ilvl w:val="4"/>
          <w:numId w:val="1"/>
        </w:numPr>
        <w:rPr/>
      </w:pPr>
      <w:bookmarkStart w:id="336" w:name="__RefHeading___Toc1366111_388300464"/>
      <w:bookmarkStart w:id="337" w:name="_Toc130"/>
      <w:bookmarkEnd w:id="336"/>
      <w:r>
        <w:rPr>
          <w:rtl w:val="true"/>
        </w:rPr>
        <w:t>المفردات</w:t>
      </w:r>
      <w:bookmarkEnd w:id="337"/>
    </w:p>
    <w:p>
      <w:pPr>
        <w:pStyle w:val="BookText"/>
        <w:rPr/>
      </w:pP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ليتحقّق ويظهر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الإعراض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الصلوات التي صلّوها إلى بيت المقدس، فقد أطلق الإيمان وأُريد به العمل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366113_388300464"/>
      <w:bookmarkStart w:id="339" w:name="_Toc131"/>
      <w:bookmarkEnd w:id="338"/>
      <w:r>
        <w:rPr>
          <w:rtl w:val="true"/>
        </w:rPr>
        <w:t>التفسير</w:t>
      </w:r>
      <w:bookmarkEnd w:id="339"/>
    </w:p>
    <w:p>
      <w:pPr>
        <w:pStyle w:val="Heading5"/>
        <w:numPr>
          <w:ilvl w:val="4"/>
          <w:numId w:val="1"/>
        </w:numPr>
        <w:rPr/>
      </w:pPr>
      <w:bookmarkStart w:id="340" w:name="__RefHeading___Toc1366115_388300464"/>
      <w:bookmarkStart w:id="341" w:name="_Toc132"/>
      <w:bookmarkEnd w:id="340"/>
      <w:r>
        <w:rPr>
          <w:rtl w:val="true"/>
        </w:rPr>
        <w:t>ما هو السرّ لجعل بيت المقدس قبلة‌؟</w:t>
      </w:r>
      <w:bookmarkEnd w:id="341"/>
    </w:p>
    <w:p>
      <w:pPr>
        <w:pStyle w:val="BookText"/>
        <w:rPr/>
      </w:pPr>
      <w:r>
        <w:rPr>
          <w:rFonts w:ascii="Amiri" w:hAnsi="Amiri" w:eastAsia="Amiri" w:cs="Amiri"/>
          <w:color w:val="111111"/>
          <w:sz w:val="28"/>
          <w:sz w:val="28"/>
          <w:szCs w:val="28"/>
          <w:rtl w:val="true"/>
          <w:lang w:bidi="ar-SA"/>
        </w:rPr>
        <w:t>هذا ما يشير إليه سبحانه في هذه الفقرة من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ويشير بذلك إلى ما هي المصلحة التي سبّبت كون بيت المقدس قبلة للمسلمين في فترة معيّنة، وليس هو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مَنْ يَتَّبِعُ اَلرَّسُولَ مِمَّنْ يَنْقَلِبُ عَلى عَقِبَيْهِ‌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المترقّب أن يختلج في صدور بعض المؤمنين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الكعبة هي القبلة النهائية، فلماذا جعل في فترة خاصّة بيت المقدس قبلة، ثم نُسِخَ؟ فأُجيب بوجود مصلحتين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الكعبة كانت مورد اهتمام وتكريم كافّة القبائل العربية من غير فرق</w:t>
      </w:r>
    </w:p>
    <w:p>
      <w:pPr>
        <w:pStyle w:val="BookText"/>
        <w:rPr/>
      </w:pPr>
      <w:r>
        <w:rPr>
          <w:rFonts w:ascii="Amiri" w:hAnsi="Amiri" w:eastAsia="Amiri" w:cs="Amiri"/>
          <w:color w:val="111111"/>
          <w:sz w:val="28"/>
          <w:sz w:val="28"/>
          <w:szCs w:val="28"/>
          <w:rtl w:val="true"/>
          <w:lang w:bidi="ar-SA"/>
        </w:rPr>
        <w:t>بين المؤمن والمشرك، فقلوب الكلّ كانت معلّقة بها، وعندئذٍ فإذا أُمروا بالتوجّه إلى بيت المقدس فالمؤمن يتبع بلا تردّد، وأمّا ضعيف الإيمان ربما لا يتحمّل ذلك فيرتدّ على عقبه، وبذلك يتميّز المؤمن الواقعي عن غيره، وإليه يشير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مَنْ يَتَّبِعُ اَلرَّسُولَ مِمَّنْ يَنْقَلِبُ عَلى عَقِبَيْهِ‌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بالتوجّه إلى بيت المقدس يتميّز صف الموحّدين عن صف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الفترة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لم يكن متوجّهاً إلى بيت المقدس عند نزول هذه الآية، مع أنّ ظاهر سياق المجموعة من الآيات أنّ القبلة بعدُ لم تُنْسَخ، وأنّ النبي كان يصلّي إلى بيت المقدس كما هو ظاهر قوله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الفقرة تقدير، أي ما جعلنا القبلة التي كنت عليها فصرفناك عنها إلّالنعلم، وحذف لدلالة الكلام عليه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والأولى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من الزمان، أي أنت عليها الآن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مَنْ يَتَّبِعُ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فاللّه سبحانه هو العالم بكلّ شيء، يعلم غيب السماوات والأرض و ما تخفي الصدور؟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العلم هنا علمه الفعلي القائم بالأشياء، لا العلم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الفقرة نظير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هو التميّز في مقام الفعل وظهوره في الوجود، نظير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يستثني طائفة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 بيت المقدس قبلة 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يتّخذونه قبلة برحابة صدر لعلمهم بأنّ اللّه سبحانه هو الهادي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تشريع منه لا يخلو عن مصلحة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يتبادر إلى أذهان المسلمين أنّهم صلّوا إلى بيت المقدس قبل نسخها فما هو حالها؟ وأُجيب بأنّ القبلة قبلة ما لم تنسخ، فالصلاة إليها صلاة صحيحة واللّه سبحانه لا يضيع أعمالكم،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 الإيمان العمل، ثم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إيفاء أجر المؤمن من آثار رأفته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42" w:name="pg14912_141201"/>
    </w:p>
    <w:p>
      <w:pPr>
        <w:pStyle w:val="Heading4"/>
        <w:numPr>
          <w:ilvl w:val="3"/>
          <w:numId w:val="1"/>
        </w:numPr>
        <w:rPr/>
      </w:pPr>
      <w:bookmarkStart w:id="343" w:name="__RefHeading___Toc1366117_388300464"/>
      <w:bookmarkStart w:id="344" w:name="_Toc133"/>
      <w:bookmarkEnd w:id="342"/>
      <w:bookmarkEnd w:id="343"/>
      <w:r>
        <w:rPr>
          <w:rtl w:val="true"/>
        </w:rPr>
        <w:t>الآية الثالثة</w:t>
      </w:r>
      <w:bookmarkEnd w:id="344"/>
    </w:p>
    <w:p>
      <w:pPr>
        <w:pStyle w:val="Heading5"/>
        <w:numPr>
          <w:ilvl w:val="4"/>
          <w:numId w:val="1"/>
        </w:numPr>
        <w:rPr/>
      </w:pPr>
      <w:bookmarkStart w:id="345" w:name="__RefHeading___Toc1366119_388300464"/>
      <w:bookmarkStart w:id="346" w:name="_Toc134"/>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w:t>
      </w:r>
      <w:r>
        <w:rPr>
          <w:rStyle w:val="FootnoteAnchor"/>
          <w:rtl w:val="true"/>
        </w:rPr>
        <w:footnoteReference w:id="275"/>
      </w:r>
    </w:p>
    <w:p>
      <w:pPr>
        <w:pStyle w:val="Heading5"/>
        <w:numPr>
          <w:ilvl w:val="4"/>
          <w:numId w:val="1"/>
        </w:numPr>
        <w:rPr/>
      </w:pPr>
      <w:bookmarkStart w:id="347" w:name="__RefHeading___Toc1366121_388300464"/>
      <w:bookmarkStart w:id="348" w:name="_Toc135"/>
      <w:bookmarkEnd w:id="347"/>
      <w:r>
        <w:rPr>
          <w:rtl w:val="true"/>
        </w:rPr>
        <w:t>المفردات</w:t>
      </w:r>
      <w:bookmarkEnd w:id="348"/>
    </w:p>
    <w:p>
      <w:pPr>
        <w:pStyle w:val="BookText"/>
        <w:rPr/>
      </w:pP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الشيء بالبصر، وإذا نسبت إلى اللّه تعالى تكون بمعنى حضور المبصَر لدى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علاك وأظلّك فهو سماء، كما عن ابن عباس، والقرينة الحاليّة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عن بعض الأشياء</w:t>
      </w:r>
      <w:r>
        <w:rPr>
          <w:rFonts w:eastAsia="Amiri" w:cs="Amiri" w:ascii="Amiri" w:hAnsi="Amiri"/>
          <w:color w:val="111111"/>
          <w:sz w:val="28"/>
          <w:szCs w:val="28"/>
          <w:rtl w:val="true"/>
          <w:lang w:bidi="ar-SA"/>
        </w:rPr>
        <w:t>.</w:t>
      </w:r>
      <w:bookmarkStart w:id="349" w:name="pg14912_141202"/>
    </w:p>
    <w:p>
      <w:pPr>
        <w:pStyle w:val="Heading5"/>
        <w:numPr>
          <w:ilvl w:val="4"/>
          <w:numId w:val="1"/>
        </w:numPr>
        <w:rPr/>
      </w:pPr>
      <w:bookmarkStart w:id="350" w:name="__RefHeading___Toc1366123_388300464"/>
      <w:bookmarkStart w:id="351" w:name="_Toc136"/>
      <w:bookmarkEnd w:id="349"/>
      <w:bookmarkEnd w:id="350"/>
      <w:r>
        <w:rPr>
          <w:rtl w:val="true"/>
        </w:rPr>
        <w:t>التفسير</w:t>
      </w:r>
      <w:bookmarkEnd w:id="351"/>
    </w:p>
    <w:p>
      <w:pPr>
        <w:pStyle w:val="BookText"/>
        <w:rPr/>
      </w:pPr>
      <w:r>
        <w:rPr>
          <w:rFonts w:ascii="Amiri" w:hAnsi="Amiri" w:eastAsia="Amiri" w:cs="Amiri"/>
          <w:color w:val="111111"/>
          <w:sz w:val="28"/>
          <w:sz w:val="28"/>
          <w:szCs w:val="28"/>
          <w:rtl w:val="true"/>
          <w:lang w:bidi="ar-SA"/>
        </w:rPr>
        <w:t>الآية على وجازتها تتضمّن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النبي صلى الله عليه و آله و سلم إلى تحويل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تمنّي النبي وترقّبه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النبي بالتوجّه شطر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التوجّه إليه على جميع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علماء أهل الكتاب يعلمون أنّ الكعبة قبلة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الآية ما يدلّ على أنّه سبحانه ليس بغافل عن مؤامرة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رؤوس ما ورد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التحقيق، وقد ورد أنّ رسول اللّه صلى الله عليه و آله و سلم كان في مبعثه يصلّي إلى بيت المقدس جميع أيام مقامه بمكّة وبعد هجرته إلى المدينة بأشهر فعيّرته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تابع لقبلتنا، فأحزنه ذلك، وهذا صار سبباً لترقّب النبي وتقليب وجهه في السماء وكان ينتظر الوحي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تقلب وجهه في السماء لم يكن إلّاتوقعاً لنزول الوحي في أمر القبلة حتى يكرمه اللّه بقبلة تختص به، لا أنّه كان غير راض بكون بيت المقدس قبلة، حاشا رسول اللّه عن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w:t>
      </w:r>
    </w:p>
    <w:p>
      <w:pPr>
        <w:pStyle w:val="BookText"/>
        <w:rPr/>
      </w:pPr>
      <w:r>
        <w:rPr>
          <w:rFonts w:ascii="Amiri" w:hAnsi="Amiri" w:eastAsia="Amiri" w:cs="Amiri"/>
          <w:color w:val="111111"/>
          <w:sz w:val="28"/>
          <w:sz w:val="28"/>
          <w:szCs w:val="28"/>
          <w:rtl w:val="true"/>
          <w:lang w:bidi="ar-SA"/>
        </w:rPr>
        <w:t>على أنّ النبي صلى الله عليه و آله و سلم لم يكن ساخطاً لكون بيت المقدس قبلة، بل كان يترقّب تحوّل القبلة إلى غيرها حتى ينقطع بذلك تعيير اليهود، واللّه سبحانه وعده بإنجاز ما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خصّ الوجه بالذكر؛ لأنّ به يظهر التوجّه، والظاهر أنّه أُريد من الشطر الجانب والناحية لا النصف، أي حوّل نفسك نحو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رسول اللّه بالحكم أوّلاً، ثم عمّم الحكم لغيره من المؤمنين حتى لا يتوهّم أنّ الحكم مختصّ به كسائر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صلّى النبي صلى الله عليه و آله و سلم من الظهر ركعتين جاء جبرئيل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أخذ بيد النبي صلى الله عليه و آله و سلم فحوّل وجهه إلى الكعبة، وحوّل من خلفه وجوههم حتى قام الرجال مقام النساء، والنساء مقام الرجال، فكان أوّل صلاته إلى بيت المقدس وآخرها إلى الكعبة، وبلغ الخبر مسجداً بالمدينة، وقد صلّى أهله من العصر ركعتين، فحوّلوا نحو القبلة وكان أوّل صلاتهم إلى بيت المقدس وآخرها إلى الكعبة، فسُمّي ذلك المسجد مسجد القبلتين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وأمّا 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لَيَعْلَمُونَ أَنَّهُ اَلْحَقُّ مِنْ رَبِّهِمْ‌</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يعلمون أنّ تحويل القبلة إلى الكعبة حقّ مأمور به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علموا ذلك لأنّه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52" w:name="pg14912_141204"/>
    </w:p>
    <w:p>
      <w:pPr>
        <w:pStyle w:val="BookText"/>
        <w:rPr/>
      </w:pPr>
      <w:bookmarkEnd w:id="352"/>
      <w:r>
        <w:rPr>
          <w:rFonts w:ascii="Amiri" w:hAnsi="Amiri" w:eastAsia="Amiri" w:cs="Amiri"/>
          <w:color w:val="111111"/>
          <w:sz w:val="28"/>
          <w:sz w:val="28"/>
          <w:szCs w:val="28"/>
          <w:rtl w:val="true"/>
          <w:lang w:bidi="ar-SA"/>
        </w:rPr>
        <w:t>كان في بشارة الأنبياء لهم أن يكون نبي من صفاته كذا وكذا، وكان من صفاته أنّه يصلّي إلى القبلتين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وفي ختام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كتمان بشارات النبي صلى الله عليه و آله و سلم وأوصافه، وتواطؤهم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النسخ في المقام ليس من قبيل نسخ القرآن بالقرآن، لأنّ جعل بيت المقدس قبلة، وإن كان بأمر اللّه سبحانه، لكن لم يكن بالقرآن الكريم، بل بإيحاء من اللّه إلى النبي أن يصلّي نحوه، فلو قيل بالنسخ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السنّة بالقرآن</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366125_388300464"/>
      <w:bookmarkStart w:id="354" w:name="_Toc137"/>
      <w:bookmarkEnd w:id="353"/>
      <w:r>
        <w:rPr>
          <w:rtl w:val="true"/>
        </w:rPr>
        <w:t>الآية الرابعة</w:t>
      </w:r>
      <w:bookmarkEnd w:id="354"/>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 وَ إِنَّهُ لَلْحَقُّ مِنْ رَبِّكَ وَ مَا اَللّهُ بِغافِلٍ عَمّا تَعْمَلُونَ‌</w:t>
      </w:r>
      <w:r>
        <w:rPr>
          <w:rFonts w:eastAsia="Amiri" w:cs="Amiri" w:ascii="Amiri" w:hAnsi="Amiri"/>
          <w:color w:val="111111"/>
          <w:sz w:val="28"/>
          <w:szCs w:val="28"/>
          <w:rtl w:val="true"/>
          <w:lang w:bidi="ar-SA"/>
        </w:rPr>
        <w:t>) .</w:t>
      </w:r>
      <w:r>
        <w:rPr>
          <w:rStyle w:val="FootnoteAnchor"/>
          <w:rtl w:val="true"/>
        </w:rPr>
        <w:footnoteReference w:id="27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تأمر النبي صلى الله عليه و آله و سلم بتولّي وجهه شطر المسجد الحرام، وعندئذٍ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الوجه في هذا التكرار مع أنّه سبق هذا الأمر في الآية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المفسّرون منهم النيسابوري وجوهاً سبعة لبيان</w:t>
      </w:r>
      <w:bookmarkStart w:id="355" w:name="pg14912_141205"/>
    </w:p>
    <w:p>
      <w:pPr>
        <w:pStyle w:val="BookText"/>
        <w:rPr/>
      </w:pPr>
      <w:bookmarkEnd w:id="355"/>
      <w:r>
        <w:rPr>
          <w:rFonts w:ascii="Amiri" w:hAnsi="Amiri" w:eastAsia="Amiri" w:cs="Amiri"/>
          <w:color w:val="111111"/>
          <w:sz w:val="28"/>
          <w:sz w:val="28"/>
          <w:szCs w:val="28"/>
          <w:rtl w:val="true"/>
          <w:lang w:bidi="ar-SA"/>
        </w:rPr>
        <w:t>الفرق بين الآيتين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التكرار هو الإعلان عن أنّ استقبال الكعبة في الصلاة المفروضة أمر لازم في الحضر والسفر، فالمراد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أي مكان خرجت أو في أي بلاد كنت</w:t>
      </w:r>
      <w:r>
        <w:rPr>
          <w:rStyle w:val="FootnoteAnchor"/>
          <w:rtl w:val="true"/>
        </w:rPr>
        <w:footnoteReference w:id="281"/>
      </w:r>
      <w:r>
        <w:rPr>
          <w:rFonts w:ascii="Amiri" w:hAnsi="Amiri" w:eastAsia="Amiri" w:cs="Amiri"/>
          <w:color w:val="111111"/>
          <w:sz w:val="28"/>
          <w:sz w:val="28"/>
          <w:szCs w:val="28"/>
          <w:rtl w:val="true"/>
          <w:lang w:bidi="ar-SA"/>
        </w:rPr>
        <w:t>سواء أكنت حاضراً أم مسافراً، لأنّ السفر مظنّة المشقّة في الاهتداء لجهة الكعبة، فربما يتوهم متوهّم سقوط الاستقبال عنه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وهذا هو وجه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الوجه أنّه سبحانه يؤكّد بعده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استقبال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يقبل ويعمل به،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وعد للطائعين ووعيد للعاصين</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66127_388300464"/>
      <w:bookmarkStart w:id="357" w:name="_Toc138"/>
      <w:bookmarkEnd w:id="356"/>
      <w:r>
        <w:rPr>
          <w:rtl w:val="true"/>
        </w:rPr>
        <w:t>الآية الخامسة</w:t>
      </w:r>
      <w:bookmarkEnd w:id="357"/>
    </w:p>
    <w:p>
      <w:pPr>
        <w:pStyle w:val="Heading5"/>
        <w:numPr>
          <w:ilvl w:val="4"/>
          <w:numId w:val="1"/>
        </w:numPr>
        <w:rPr/>
      </w:pPr>
      <w:bookmarkStart w:id="358" w:name="__RefHeading___Toc1366129_388300464"/>
      <w:bookmarkStart w:id="359" w:name="_Toc139"/>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w:t>
      </w:r>
      <w:r>
        <w:rPr>
          <w:rFonts w:eastAsia="Amiri" w:cs="Amiri" w:ascii="Amiri" w:hAnsi="Amiri"/>
          <w:color w:val="111111"/>
          <w:sz w:val="28"/>
          <w:szCs w:val="28"/>
          <w:rtl w:val="true"/>
          <w:lang w:bidi="ar-SA"/>
        </w:rPr>
        <w:t>) .</w:t>
      </w:r>
      <w:r>
        <w:rPr>
          <w:rStyle w:val="FootnoteAnchor"/>
          <w:rtl w:val="true"/>
        </w:rPr>
        <w:footnoteReference w:id="283"/>
      </w:r>
      <w:bookmarkStart w:id="360" w:name="pg14912_141206"/>
    </w:p>
    <w:p>
      <w:pPr>
        <w:pStyle w:val="Heading5"/>
        <w:numPr>
          <w:ilvl w:val="4"/>
          <w:numId w:val="1"/>
        </w:numPr>
        <w:rPr/>
      </w:pPr>
      <w:bookmarkStart w:id="361" w:name="__RefHeading___Toc1366131_388300464"/>
      <w:bookmarkStart w:id="362" w:name="_Toc140"/>
      <w:bookmarkEnd w:id="360"/>
      <w:bookmarkEnd w:id="361"/>
      <w:r>
        <w:rPr>
          <w:rtl w:val="true"/>
        </w:rPr>
        <w:t>التفسير</w:t>
      </w:r>
      <w:bookmarkEnd w:id="3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خَرَجْتَ‌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أي مكان خرجت وفي أي مكان حللت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خاصّة بل المؤمنون جمعاء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يقع الكلام ما هو الوجه في إعادة الجملة السابقة، فإنّها تكرار لما ورد في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عمّم الخطاب للنبي صلى الله عليه و آله و سلم وللمؤمنين‌؟</w:t>
      </w:r>
    </w:p>
    <w:p>
      <w:pPr>
        <w:pStyle w:val="BookText"/>
        <w:rPr/>
      </w:pPr>
      <w:r>
        <w:rPr>
          <w:rFonts w:ascii="Amiri" w:hAnsi="Amiri" w:eastAsia="Amiri" w:cs="Amiri"/>
          <w:color w:val="111111"/>
          <w:sz w:val="28"/>
          <w:sz w:val="28"/>
          <w:szCs w:val="28"/>
          <w:rtl w:val="true"/>
          <w:lang w:bidi="ar-SA"/>
        </w:rPr>
        <w:t>والظاهر أنّ وجه التكرار بيان ما يترتّب عليه من العلل حيث علّل سبحانه لزوم استقبال الكعبة للنبي والمؤمنين في السفر والحضر بأُمور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أحبار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قرأوا في كتبهم أنّ النبي العربي يستقبل قبلتين، فلولا الاستقبال الثاني لصارت الحجّة عليكم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النبي الخاتم كونه مصلّياً إلى القبلتين، وبذلك تمّت الحجّة عليهم، وربما يؤثّر في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يستثني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إذ ليس لهم أي حجّة، فهم يشاغبون عليكم ويجادلون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 وَ اِخْشَوْنِي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فلتكن خشيتكم لي حيث إنّ شبهاتهم وصولتهم سوف تتضاءل شيئاً فشيئاً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لِأُتِمَّ نِعْمَتِي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تمام النعمة أن يكون المسلمون ذوي قبلة خاصّة مستقلّة دون أن يكونوا تبعاً لقوم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الحكمة الثالثة لتحويل القبلة،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لطف اللّه بإتمام النعمة</w:t>
      </w:r>
      <w:r>
        <w:rPr>
          <w:rFonts w:eastAsia="Amiri" w:cs="Amiri" w:ascii="Amiri" w:hAnsi="Amiri"/>
          <w:color w:val="111111"/>
          <w:sz w:val="28"/>
          <w:szCs w:val="28"/>
          <w:rtl w:val="true"/>
          <w:lang w:bidi="ar-SA"/>
        </w:rPr>
        <w:t>.</w:t>
      </w:r>
      <w:bookmarkStart w:id="363" w:name="pg14912_141207"/>
    </w:p>
    <w:p>
      <w:pPr>
        <w:pStyle w:val="Heading5"/>
        <w:numPr>
          <w:ilvl w:val="4"/>
          <w:numId w:val="1"/>
        </w:numPr>
        <w:rPr/>
      </w:pPr>
      <w:bookmarkStart w:id="364" w:name="__RefHeading___Toc1366133_388300464"/>
      <w:bookmarkStart w:id="365" w:name="_Toc141"/>
      <w:bookmarkEnd w:id="363"/>
      <w:bookmarkEnd w:id="364"/>
      <w:r>
        <w:rPr>
          <w:rtl w:val="true"/>
        </w:rPr>
        <w:t>ما هو الواجب في الاستقبال‌؟</w:t>
      </w:r>
      <w:bookmarkEnd w:id="365"/>
    </w:p>
    <w:p>
      <w:pPr>
        <w:pStyle w:val="BookText"/>
        <w:rPr/>
      </w:pPr>
      <w:r>
        <w:rPr>
          <w:rFonts w:ascii="Amiri" w:hAnsi="Amiri" w:eastAsia="Amiri" w:cs="Amiri"/>
          <w:color w:val="111111"/>
          <w:sz w:val="28"/>
          <w:sz w:val="28"/>
          <w:szCs w:val="28"/>
          <w:rtl w:val="true"/>
          <w:lang w:bidi="ar-SA"/>
        </w:rPr>
        <w:t>إلى هنا تمّ ذكر الآيات المتعلّقة بالموضوع، وذكر تفسيرها، إنّما الكلام في ما هو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بالشَّطر بمعنى الجهة، إيماء إلى أنّ أمر القبلة مبنيّ على المساهلة والمقاربة دون التحقيق، فإنّ العراقيّ والخراساني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قبلتهم واحدة مع أنّه إذا حقّق، كان توجّه العراقي إلى غير موضع الخراساني لاختلاف البلدان في العروض</w:t>
      </w:r>
      <w:r>
        <w:rPr>
          <w:rFonts w:eastAsia="Amiri" w:cs="Amiri" w:ascii="Amiri" w:hAnsi="Amiri"/>
          <w:color w:val="111111"/>
          <w:sz w:val="28"/>
          <w:szCs w:val="28"/>
          <w:rtl w:val="true"/>
          <w:lang w:bidi="ar-SA"/>
        </w:rPr>
        <w:t>.</w:t>
      </w:r>
      <w:r>
        <w:rPr>
          <w:rStyle w:val="FootnoteAnchor"/>
          <w:rtl w:val="true"/>
        </w:rPr>
        <w:footnoteReference w:id="284"/>
      </w:r>
    </w:p>
    <w:p>
      <w:pPr>
        <w:pStyle w:val="Heading5"/>
        <w:numPr>
          <w:ilvl w:val="4"/>
          <w:numId w:val="1"/>
        </w:numPr>
        <w:rPr/>
      </w:pPr>
      <w:bookmarkStart w:id="366" w:name="__RefHeading___Toc1366135_388300464"/>
      <w:bookmarkStart w:id="367" w:name="_Toc142"/>
      <w:bookmarkEnd w:id="366"/>
      <w:r>
        <w:rPr>
          <w:rtl w:val="true"/>
        </w:rPr>
        <w:t>كلام المحقّق الأردبيلي في كفاية الجهة</w:t>
      </w:r>
      <w:bookmarkEnd w:id="3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يؤيّد جواز الاكتفاء بالجهة أي السمت الذي تقع فيه الكعبة من دون لزوم تحرٍّ أكثر من ذلك، المحقّق الأردبيلي حيث رجّح الاكتفاء باستقبال السمت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الذي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الصحيحة، والآيات الكريمة، والشريعة السمحة السهلة، وقول عظماء الأُمّة 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الوسعة، واغتفار التفاوت بين العلامات لاسيّما إذا كان يسيراً، حيث اعتبروا علامات مختلفة لأهل العراق مثلاً وأطلقوا، وكذا لغيره؛ مثل جعل بنات النعش علامة، مع كونها متعدّدة مختلفة المواضع، واعتبار مهبّ الرياح؛ واعتبروا القبور والمحاريب في كلّ بلد من بلاد المسلمين، مع أنّا نجد في أكثر بلاد المسلمين الاختلاف الكثير، بل في بلدة واحدة، خصوصاً في بلد العامّة حيث يكفي عندهم ما بين المشرق والمغرب على ما تسمع 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ورود الأخبار مختلفة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الإهمال من</w:t>
      </w:r>
      <w:bookmarkStart w:id="368" w:name="pg14912_141208"/>
    </w:p>
    <w:p>
      <w:pPr>
        <w:pStyle w:val="BookText"/>
        <w:rPr/>
      </w:pPr>
      <w:bookmarkEnd w:id="368"/>
      <w:r>
        <w:rPr>
          <w:rFonts w:ascii="Amiri" w:hAnsi="Amiri" w:eastAsia="Amiri" w:cs="Amiri"/>
          <w:color w:val="111111"/>
          <w:sz w:val="28"/>
          <w:sz w:val="28"/>
          <w:szCs w:val="28"/>
          <w:rtl w:val="true"/>
          <w:lang w:bidi="ar-SA"/>
        </w:rPr>
        <w:t>الشارع في مثل هذه الدقيقة التي يضرّ بالعمدة من العبادات أدنى الالتفات عنها كما يفهم من كلام الشارح والذكرى وغيره مع اعتبارهم استحباب التياسر على نحو الإجمال قدراً ومحلّاً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التحقيق لمحاذاة البيت ولا بالقرب منه لبلد ما، فكيف بكل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 كون غيره من المواضع قبلة، بحيث يكون الخروج عنه مضرّاً بأدنى خروج، مع عدم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مناسباً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والاحتياط معلوم</w:t>
      </w:r>
      <w:r>
        <w:rPr>
          <w:rFonts w:eastAsia="Amiri" w:cs="Amiri" w:ascii="Amiri" w:hAnsi="Amiri"/>
          <w:color w:val="111111"/>
          <w:sz w:val="28"/>
          <w:szCs w:val="28"/>
          <w:rtl w:val="true"/>
          <w:lang w:bidi="ar-SA"/>
        </w:rPr>
        <w:t>.</w:t>
      </w:r>
      <w:r>
        <w:rPr>
          <w:rStyle w:val="FootnoteAnchor"/>
          <w:rtl w:val="true"/>
        </w:rPr>
        <w:footnoteReference w:id="285"/>
      </w:r>
    </w:p>
    <w:p>
      <w:pPr>
        <w:pStyle w:val="Heading5"/>
        <w:numPr>
          <w:ilvl w:val="4"/>
          <w:numId w:val="1"/>
        </w:numPr>
        <w:rPr/>
      </w:pPr>
      <w:bookmarkStart w:id="369" w:name="__RefHeading___Toc1366137_388300464"/>
      <w:bookmarkStart w:id="370" w:name="_Toc143"/>
      <w:bookmarkEnd w:id="369"/>
      <w:r>
        <w:rPr>
          <w:rtl w:val="true"/>
        </w:rPr>
        <w:t>كفاية استقبال الجهة عند صاحب المدارك</w:t>
      </w:r>
      <w:bookmarkEnd w:id="370"/>
    </w:p>
    <w:p>
      <w:pPr>
        <w:pStyle w:val="BookText"/>
        <w:rPr/>
      </w:pPr>
      <w:r>
        <w:rPr>
          <w:rFonts w:ascii="Amiri" w:hAnsi="Amiri" w:eastAsia="Amiri" w:cs="Amiri"/>
          <w:color w:val="111111"/>
          <w:sz w:val="28"/>
          <w:sz w:val="28"/>
          <w:szCs w:val="28"/>
          <w:rtl w:val="true"/>
          <w:lang w:bidi="ar-SA"/>
        </w:rPr>
        <w:t>وقال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للأصحاب اختلافاً كثيراً في تعريف الجهة، ولا يكاد يسلم تعريف منها من الخلل، وهذا الاختلاف قليل الجدوى، لاتّفاقهم على أنّ فرض البعيد استعمال العلامات المقرّرة والتوجّه إلى السمت الذي يكون المصلّي متوجّهاً إليه حال استعمالها، فكان الأولى تعريفها بذلك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المستفاد من الأدلّة الشرعية سهولة الخَطْب في أمر القبلة والاكتفاء بالتوجّه إلى ما يصدق عليه عرفاً أنّه جهة المسجد وناحيته،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الجدي في قفاك وصلّ‌</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وخلو الأخبار ممّا زاد على ذلك مع</w:t>
      </w:r>
      <w:bookmarkStart w:id="371" w:name="pg14912_141209"/>
    </w:p>
    <w:p>
      <w:pPr>
        <w:pStyle w:val="BookText"/>
        <w:rPr/>
      </w:pPr>
      <w:bookmarkEnd w:id="371"/>
      <w:r>
        <w:rPr>
          <w:rFonts w:ascii="Amiri" w:hAnsi="Amiri" w:eastAsia="Amiri" w:cs="Amiri"/>
          <w:color w:val="111111"/>
          <w:sz w:val="28"/>
          <w:sz w:val="28"/>
          <w:szCs w:val="28"/>
          <w:rtl w:val="true"/>
          <w:lang w:bidi="ar-SA"/>
        </w:rPr>
        <w:t>شدّة الحاجة إلى معرفة هذه العلامات لو كانت واجبة، وإحالتها على علم الهيئة مستبعد جدّاً؛ لأنّه علم دقيق كثير المقدّمات، والتكليف به لعامّة الناس بعيد من قوانين الشرع، وتقليد أهله غير جائز، لأنّه لا يعلم إسلامهم فضلاً عن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بذلك ممّا علم انتفاؤه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بحقائق أحكامه</w:t>
      </w:r>
      <w:r>
        <w:rPr>
          <w:rFonts w:eastAsia="Amiri" w:cs="Amiri" w:ascii="Amiri" w:hAnsi="Amiri"/>
          <w:color w:val="111111"/>
          <w:sz w:val="28"/>
          <w:szCs w:val="28"/>
          <w:rtl w:val="true"/>
          <w:lang w:bidi="ar-SA"/>
        </w:rPr>
        <w:t>.</w:t>
      </w:r>
      <w:r>
        <w:rPr>
          <w:rStyle w:val="FootnoteAnchor"/>
          <w:rtl w:val="true"/>
        </w:rPr>
        <w:footnoteReference w:id="289"/>
      </w:r>
    </w:p>
    <w:p>
      <w:pPr>
        <w:pStyle w:val="Heading5"/>
        <w:numPr>
          <w:ilvl w:val="4"/>
          <w:numId w:val="1"/>
        </w:numPr>
        <w:rPr/>
      </w:pPr>
      <w:bookmarkStart w:id="372" w:name="__RefHeading___Toc1366139_388300464"/>
      <w:bookmarkStart w:id="373" w:name="_Toc144"/>
      <w:bookmarkEnd w:id="372"/>
      <w:r>
        <w:rPr>
          <w:rtl w:val="true"/>
        </w:rPr>
        <w:t>تأييد صاحب الحدائق كفاية الجهة</w:t>
      </w:r>
      <w:bookmarkEnd w:id="373"/>
    </w:p>
    <w:p>
      <w:pPr>
        <w:pStyle w:val="BookText"/>
        <w:rPr/>
      </w:pPr>
      <w:r>
        <w:rPr>
          <w:rFonts w:ascii="Amiri" w:hAnsi="Amiri" w:eastAsia="Amiri" w:cs="Amiri"/>
          <w:color w:val="111111"/>
          <w:sz w:val="28"/>
          <w:sz w:val="28"/>
          <w:szCs w:val="28"/>
          <w:rtl w:val="true"/>
          <w:lang w:bidi="ar-SA"/>
        </w:rPr>
        <w:t>وممّن يؤيّد هذا القول صاحب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أوضح تأييد ما عليه قبور الأئمّة عليهم السلام في العراق من الاختلاف مع قرب المسافة بينها على وجه يقطع بعدم انحراف القبلة فيه مع استمرار الأعصار والأدوار من العلماء الأبرار على الصلاة عندها ودفن الأموات ونحو ذلك، وهو أظهر ظاهر في التوسعة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ويشهد على ما ذكره، جعل الجَدْي علامة لمعرفة القبلة في العراق كلّه، 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السفر ولا أهتدي إلى القبلة بالليل،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الكوكب الذي يقال له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على يمينك، وإذا كنت في طريق الحجّ فاجعله بين كتفيك</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ومن المعلوم أنّه تختلف مناطق العراق بالنسبة إلى تلك العلامة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الاختلاف يشير العلّامة الطباطبائي بحر العلوم في منظومته</w:t>
      </w:r>
    </w:p>
    <w:p>
      <w:pPr>
        <w:pStyle w:val="BookText"/>
        <w:rPr/>
      </w:pPr>
      <w:r>
        <w:rPr>
          <w:rFonts w:ascii="Amiri" w:hAnsi="Amiri" w:eastAsia="Amiri" w:cs="Amiri"/>
          <w:color w:val="111111"/>
          <w:sz w:val="28"/>
          <w:sz w:val="28"/>
          <w:szCs w:val="28"/>
          <w:rtl w:val="true"/>
          <w:lang w:bidi="ar-SA"/>
        </w:rPr>
        <w:t>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فاجعله خلف المنكب الأيمن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أواسط العراق مثل النجف</w:t>
      </w:r>
    </w:p>
    <w:p>
      <w:pPr>
        <w:pStyle w:val="BookText"/>
        <w:rPr/>
      </w:pPr>
      <w:r>
        <w:rPr>
          <w:rFonts w:ascii="Amiri" w:hAnsi="Amiri" w:eastAsia="Amiri" w:cs="Amiri"/>
          <w:color w:val="111111"/>
          <w:sz w:val="28"/>
          <w:sz w:val="28"/>
          <w:szCs w:val="28"/>
          <w:rtl w:val="true"/>
          <w:lang w:bidi="ar-SA"/>
        </w:rPr>
        <w:t xml:space="preserve">وكربلاء وسائر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يدانيها ولم يباعد</w:t>
      </w:r>
    </w:p>
    <w:p>
      <w:pPr>
        <w:pStyle w:val="BookText"/>
        <w:rPr/>
      </w:pPr>
      <w:r>
        <w:rPr>
          <w:rFonts w:ascii="Amiri" w:hAnsi="Amiri" w:eastAsia="Amiri" w:cs="Amiri"/>
          <w:color w:val="111111"/>
          <w:sz w:val="28"/>
          <w:sz w:val="28"/>
          <w:szCs w:val="28"/>
          <w:rtl w:val="true"/>
          <w:lang w:bidi="ar-SA"/>
        </w:rPr>
        <w:t>واجعله في شرقيه</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كالبصرة في الأذن اليمنى ففيه النصرة</w:t>
      </w:r>
    </w:p>
    <w:p>
      <w:pPr>
        <w:pStyle w:val="BookText"/>
        <w:rPr/>
      </w:pPr>
      <w:r>
        <w:rPr>
          <w:rFonts w:ascii="Amiri" w:hAnsi="Amiri" w:eastAsia="Amiri" w:cs="Amiri"/>
          <w:color w:val="111111"/>
          <w:sz w:val="28"/>
          <w:sz w:val="28"/>
          <w:szCs w:val="28"/>
          <w:rtl w:val="true"/>
          <w:lang w:bidi="ar-SA"/>
        </w:rPr>
        <w:t xml:space="preserve">وبين كتفيك برأي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الغربي نحو الموصل</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الإسلامية شريعة عالمية حجّة لمن يعيش في الأقاليم السبعة، ومن المعلوم أنّ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القرون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غير مستعدين لتعيين القبلة على وجه الدقّة، مع ابتلائهم بها في صلواتهم وذبائحهم ودفن أمواتهم إلى غير ذلك، فإلزام مَن يعيش في الأقاليم البعداء من الأجهزة العلمية لتعيين القبلة، لا ينسجم مع روح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كلمات الأصحاب بدءاً من الفاضل المقداد إلى المحقّق الأردبيلي إلى تلميذه صاحب المدارك وغيرهم،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يؤيد ما ذكره هؤلاء الأعلام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من أنّ الجاهل بالقبلة يصلّي 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يهتدي إلى القبلة في مفازة أنّه يصلي إلى أربعة جوانب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يدلّ بالملازمة على أنّ الواجب في حال العلم الصلاة إلى إحداها، وفي حال الجهل يكفي إتيانها إلى الأربع تحصيلاً للعلم بالفراغ، فالصلاة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محصّل للشرط الواجب في حال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فلا تستقبل القبلة ولا تستدبرها، ولكن شرّقوا وغرّبوا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فإنّ المستفاد منه أنّ خلاف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قبلة أو دبرها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الفريقان أنّ ما بين المشرق والمغرب قبلة، روى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والمغرب قبلة كلّه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ومن المعلوم أنّ الأخذ بظاهره غير ممكن؛ لأنّ معنى ذلك سعة القبلة بمقدار نصف الدائرة، وذلك في آخر الربيع الذي تكون الأيام فيه أطولها والليالي أقصر، فلابدّ من حمله على المشرق والمغرب الاعتداليين، كآخر يوم من فصل الخريف الذي تكون الأيام أقصرها والليالي أطولها، فإنّ القوس بين المشرق والمغرب يقرب من تسعين درجة، بخلاف القوس الموجود بين المشرق والمغرب في آخر فصل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من جعل الجدي على اليمين، وقد مرّت الرواية، ومن المعلوم أنّ استعلام القبلة بهذا الكوكب يختلف حسب اختلاف البلاد كما مرّ في منظومة بحر العلوم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العلائم التي يستفاد منها سعة القبلة للمصلّي، فما ذكره الأعلام الأربعة هو الحقّ المتّبع، وربما يوافقهم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74" w:name="pg14912_141212"/>
    </w:p>
    <w:p>
      <w:pPr>
        <w:pStyle w:val="BookText"/>
        <w:rPr/>
      </w:pPr>
      <w:bookmarkEnd w:id="374"/>
      <w:r>
        <w:rPr>
          <w:rFonts w:ascii="Amiri" w:hAnsi="Amiri" w:eastAsia="Amiri" w:cs="Amiri"/>
          <w:color w:val="111111"/>
          <w:sz w:val="28"/>
          <w:sz w:val="28"/>
          <w:szCs w:val="28"/>
          <w:rtl w:val="true"/>
          <w:lang w:bidi="ar-SA"/>
        </w:rPr>
        <w:t>القبلة السمت الذي فيه الكعبة لا نفس البنية، وذلك متّسع يمكن أن يوازي جهة كلّ مصلٍّ‌</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إلى هنا تمّ ما يمكن تأييد القول بكفاية اتّجاه الجهة، وهناك نظرية أُخرى وهي أنّ القبلة هي عين الكعبة وبنيتها، وقد اتّخذها صاحب الجواهر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بتعداد قول القائلين بأنّ القبلة الجهة، ويقول بعد ذكر الوجوه التي عرفتها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لفّقه أتباع المقدّس المزبور ممّا هو معلوم المخالفة لما أجمع عليه الأصحاب قديماً وحديثاً قولاً وعملاً منهم ومن مقلّدتهم في سائر الأعصار والأمصار، ولما هو المستفاد من الكتاب والسنّة، بل الضرورة من الدين من استقبال الكعبة للقريب والبعيد الذي لا يتحقّق عرفاً إلّاباستقبالها حقيقة الذي منه استقبال الجهة بالمعنى الذي ذكرناه سابقاً، لا الجهة العرفية المبنية على التسامح وعدم الاستقبال حقيقة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خفي في هذا العصر المراد بالجهة حتى أنّه التجأ متفقّهته للجهل بها إلى ما أحدثه الأردبيلي، وتبعه عليه بعض الناس ممّا هو مخالف لإجماع الأصحاب بقسميه</w:t>
      </w:r>
      <w:r>
        <w:rPr>
          <w:rFonts w:eastAsia="Amiri" w:cs="Amiri" w:ascii="Amiri" w:hAnsi="Amiri"/>
          <w:color w:val="111111"/>
          <w:sz w:val="28"/>
          <w:szCs w:val="28"/>
          <w:rtl w:val="true"/>
          <w:lang w:bidi="ar-SA"/>
        </w:rPr>
        <w:t>.</w:t>
      </w:r>
      <w:r>
        <w:rPr>
          <w:rStyle w:val="FootnoteAnchor"/>
          <w:rtl w:val="true"/>
        </w:rPr>
        <w:footnoteReference w:id="298"/>
      </w:r>
    </w:p>
    <w:p>
      <w:pPr>
        <w:pStyle w:val="Heading5"/>
        <w:numPr>
          <w:ilvl w:val="4"/>
          <w:numId w:val="1"/>
        </w:numPr>
        <w:rPr/>
      </w:pPr>
      <w:bookmarkStart w:id="375" w:name="__RefHeading___Toc1366141_388300464"/>
      <w:bookmarkStart w:id="376" w:name="_Toc145"/>
      <w:bookmarkEnd w:id="375"/>
      <w:r>
        <w:rPr>
          <w:rtl w:val="true"/>
        </w:rPr>
        <w:t>نظرية صاحب الجواهر</w:t>
      </w:r>
      <w:bookmarkEnd w:id="3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الجواهر أصرّ على نظريته من استقبال الكعبة وحاصل كلامه يأتي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استعداد الناس وفطانتهم مختلفة أشدّ الاختلاف حتى أنّ منهم من يصل إلى كثير من نتائج العلوم المدوّنة من غير حاجة الى أهلها ومقدّماتها، ومنهم من ليس له إلّاقابلية التقليد، ناط الشارع هنا التكليف بالعلم مع التمكّن منه بلا عسر وحرج، كما يتيسّر لكثير من أفراد الناس الممارسين المتنبهين من أهل البادية والقرى، بل لعلّ اتفاق ذلك في الأوّلين أكثر، ومع عدم التمكّن فالتحرّي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بالعلائم المفيدة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عدمهما فالأربع جهات، فلا عسر ولا حرج في ذلك على عامّة المكلّفين، إذ لم يكلّفهم بمعرفة قواعد علم الهيئة الذي هو دقيق المقدّمات، ولا يعرفه إلّاأوحدي الناس، بل إنّما أمر بالعلم بحصول الاستقبال للمتمكّن كما هو القاعدة في كلّ موضوع، وبالظن لغيره، وبالعلم الإجمالي لفاقدهما، فمَن كان حسن الفطنة يتمكّن من حصول العلم بسبب معرفته في علم الهيئة أو بغير ذلك، وجب عليه، وإلّا أخذ بالأحرى فالأحرى على حسب استعداده أيضاً، وما يتيسّر له من أسباب الظن إلى أن يصل إلى التقليد وأدون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تيسّر له محاذاة عين الكعبة فهو، وإلّا فيجب عليه التحرّي بالأمارات التي ذكرت في الأحاديث إذا أفادت الظن، وفي غير تلك الصورتين يصلّي إلى أربع جهات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التكليف بالصلاة إلى أربع جهات يوماً أو يومين، ليست حرجية، وأمّا إذا دامت فلا شكّ أنّها أمر حرجي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77" w:name="pg14912_141214"/>
    </w:p>
    <w:p>
      <w:pPr>
        <w:pStyle w:val="Heading5"/>
        <w:numPr>
          <w:ilvl w:val="4"/>
          <w:numId w:val="1"/>
        </w:numPr>
        <w:rPr/>
      </w:pPr>
      <w:bookmarkStart w:id="378" w:name="__RefHeading___Toc1366143_388300464"/>
      <w:bookmarkStart w:id="379" w:name="_Toc146"/>
      <w:bookmarkEnd w:id="377"/>
      <w:bookmarkEnd w:id="378"/>
      <w:r>
        <w:rPr>
          <w:rtl w:val="true"/>
        </w:rPr>
        <w:t>الصف الطويل وكون القبلة عين الكعبة</w:t>
      </w:r>
      <w:bookmarkEnd w:id="379"/>
    </w:p>
    <w:p>
      <w:pPr>
        <w:pStyle w:val="BookText"/>
        <w:rPr/>
      </w:pPr>
      <w:r>
        <w:rPr>
          <w:rFonts w:ascii="Amiri" w:hAnsi="Amiri" w:eastAsia="Amiri" w:cs="Amiri"/>
          <w:color w:val="111111"/>
          <w:sz w:val="28"/>
          <w:sz w:val="28"/>
          <w:szCs w:val="28"/>
          <w:rtl w:val="true"/>
          <w:lang w:bidi="ar-SA"/>
        </w:rPr>
        <w:t>ثمّ إنّه ربما يعترض على مَن جعل القبلة عين الكعبة بالصف الطويل، إذ لو قلنا بوجوب محاذاة عين الكعبة، لزم بطلان صلاة بعضهم، لافتراض أنّ الصف أوسع من مقدار عرض جدار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كُلّف التوجّه إلى عين الكعبة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صف طويل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صلاتهم أو صلاة أكثرهم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يلزمنا مثل ذلك؛ لأنّ الغرض التوجّه إلى الحرم والحرم طويل، يمكن أن يكون كلّ واحد من الجماعة متوجّهاً إلى جزء منه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ثمّ إنّ القائلين بأنّ اللازم هو التوجّه إلى عين الكعبة أجابوا عن الإشكال قائلين بأنّ الشيء كلّما إزداد بُعداً إزداد 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الفقيه المحقّق الهمداني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الاستقبال ممّا يختلف بالنسبة إلى القريب والبعيد، فإنّك إذا استقبلت صفّاً طويلاً بوجهك وكنت قريباً منهم جدّاً، لا تكون قبلتك من أهل الصف إلّاواحداً منها بحيال وجهك، ولكنّك إذا رجعت القهقرى بخط مستقيم إلى أنّ بعدت عنهم بمقدار فرسخ مثلاً، لرأيت أن مجموع الصفّ بجملته بين يديك بحيث لا تُميّز من يحاذيك حقيقةً عن الآخر مع أنّ المحاذاة الحقيقية لاتكون إلّابينك وبين ما كنت أوّلاً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مثالاً أوضح فانظر إلى عين الشمس والكواكب التي تراها قبال</w:t>
      </w:r>
    </w:p>
    <w:p>
      <w:pPr>
        <w:pStyle w:val="BookText"/>
        <w:rPr/>
      </w:pPr>
      <w:r>
        <w:rPr>
          <w:rFonts w:ascii="Amiri" w:hAnsi="Amiri" w:eastAsia="Amiri" w:cs="Amiri"/>
          <w:color w:val="111111"/>
          <w:sz w:val="28"/>
          <w:sz w:val="28"/>
          <w:szCs w:val="28"/>
          <w:rtl w:val="true"/>
          <w:lang w:bidi="ar-SA"/>
        </w:rPr>
        <w:t>وجهك، فإنّ جرم الشمس وكذا الكواكب وما بينها من الفاصل أعظم من مساحة الأرض أضعافاً مضاعفة، ومع ذلك ترى مجموعها بين يديك حيال وجهك</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ثمّ إنّ سيد مشايخنا المحقّق البروجردي أنكر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كلما إزداد بعداً إزداد 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كلامه في وجه تصحيح صلاة الصف الطويل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 ليس مستقيماً في الحقيقة بل له تحدّب غير محسوس، يقول في تعليقته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 المذكور إذا لاحظ كلّ منهم العلامات المجعولة له بنحو الدقّة يكون في الواقع قطعة من دائرة عظيمة مركزها الكعبة، فهو في الواقع متحدّب في الجملة، إلّاأنّ عظم الدائرة يمنع عن إحساس انحداب قوسها، وهذا بخلاف الصفّ المنعقد في قرب الكعبة فإنّ انحدابه محسوس لصغر الدائرة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وأوضحه السيد المحقّق الخوئي بالبيان التالي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استطالة الصف في البعيد لا تستلزم خروج بعضهم عن استقبال نفس الكعبة، وتوضيح ذلك إنّما يكون بتقريبين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جماعة واحدة حول الكعبة مستديرة وتكبر تلك الدائرة شيئاً فشيئاً إلى أن تصلّ إلى دائرة كبيرة منصفة لكرة الأرض، على أن يكون أحد قطبيها نفس الكعبة وقطبها الآخر النقطة المقابلة لها من الجهة الأُخرى، فكلّ قوس من هذه الدائرة وإن كان مستقيماً في نفسه إلّاأنّ كلّ جزء منه مواجه لنفس الكعبة، فلو فرض جماعة واحدة تكون استطالة صفوفهم بمقدار سعة الأرض كان كلّ واحد من أهل تلك الصفوف مستقبلاً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80" w:name="pg14912_141216"/>
    </w:p>
    <w:p>
      <w:pPr>
        <w:pStyle w:val="BookText"/>
        <w:rPr/>
      </w:pPr>
      <w:bookmarkEnd w:id="380"/>
      <w:r>
        <w:rPr>
          <w:rFonts w:ascii="Amiri" w:hAnsi="Amiri" w:eastAsia="Amiri" w:cs="Amiri"/>
          <w:color w:val="111111"/>
          <w:sz w:val="28"/>
          <w:sz w:val="28"/>
          <w:szCs w:val="28"/>
          <w:rtl w:val="true"/>
          <w:lang w:bidi="ar-SA"/>
        </w:rPr>
        <w:t>حقيقة، وهكذا الكلام في الجماعة الواقعة على الدوائر المتوسطة بين تلك الدائرة وقطبيها، فإن كبر الدائرة يوجب قلّة تقوّس كلّ قوس مفروض فيها بحيث لا ينافي كونه خطاً مستقيماً في حسّ البصر، فالجماعة الذين يكونون بعيدين عن الكعبة بألف فرسخ مثلاً إذا توجّهوا إلى الكعبة في خط مستقيم في الحس لا يعلم عدم مواجهة أحد منهم لعين الكعبة؛ لاحتمال انصراف الخط ولو بمقدار شعرة، فيكون الخط حينئذٍ قوساً لا خطاً مستقيماً هندسياً</w:t>
      </w:r>
      <w:r>
        <w:rPr>
          <w:rFonts w:eastAsia="Amiri" w:cs="Amiri" w:ascii="Amiri" w:hAnsi="Amiri"/>
          <w:color w:val="111111"/>
          <w:sz w:val="28"/>
          <w:szCs w:val="28"/>
          <w:rtl w:val="true"/>
          <w:lang w:bidi="ar-SA"/>
        </w:rPr>
        <w:t>.</w:t>
      </w:r>
      <w:r>
        <w:rPr>
          <w:rStyle w:val="FootnoteAnchor"/>
          <w:rtl w:val="true"/>
        </w:rPr>
        <w:footnoteReference w:id="303"/>
      </w:r>
    </w:p>
    <w:p>
      <w:pPr>
        <w:pStyle w:val="Heading5"/>
        <w:numPr>
          <w:ilvl w:val="4"/>
          <w:numId w:val="1"/>
        </w:numPr>
        <w:rPr/>
      </w:pPr>
      <w:bookmarkStart w:id="381" w:name="__RefHeading___Toc1366145_388300464"/>
      <w:bookmarkStart w:id="382" w:name="_Toc147"/>
      <w:bookmarkEnd w:id="381"/>
      <w:r>
        <w:rPr>
          <w:rtl w:val="true"/>
        </w:rPr>
        <w:t>مختارنا</w:t>
      </w:r>
      <w:bookmarkEnd w:id="3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القبلة للمشاهد كالمصلّي في المسجد الحرام وما حوله ممّا يمكن استقبال عين الكعبة فاللازم عليه استقبالها، وتبطل الصلاة بالانحراف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النائي فإن أمكن التوصّل إلى الجهة التي فيها عين الكعبة على وجه الدقّة، كما إذا كان عارفاً بالآلات التي تحدّد القبلة كالبوصلة وأمثالها فعليه العمل بها، وإلّا فيتحرّى ويعمل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فالاكتفاء بالجهة التي فيها الكعبة على وجه السعة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الاحتياط واضح</w:t>
      </w:r>
      <w:r>
        <w:rPr>
          <w:rFonts w:eastAsia="Amiri" w:cs="Amiri" w:ascii="Amiri" w:hAnsi="Amiri"/>
          <w:color w:val="111111"/>
          <w:sz w:val="28"/>
          <w:szCs w:val="28"/>
          <w:rtl w:val="true"/>
          <w:lang w:bidi="ar-SA"/>
        </w:rPr>
        <w:t>.</w:t>
      </w:r>
      <w:bookmarkStart w:id="383" w:name="pg14912_141217"/>
    </w:p>
    <w:p>
      <w:pPr>
        <w:pStyle w:val="BookText"/>
        <w:rPr/>
      </w:pPr>
      <w:bookmarkEnd w:id="383"/>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384" w:name="__RefHeading___Toc1366147_388300464"/>
      <w:bookmarkStart w:id="385" w:name="_Toc148"/>
      <w:bookmarkEnd w:id="384"/>
      <w:r>
        <w:rPr/>
        <w:t>3</w:t>
      </w:r>
      <w:r>
        <w:rPr>
          <w:rtl w:val="true"/>
        </w:rPr>
        <w:t xml:space="preserve">. </w:t>
      </w:r>
      <w:r>
        <w:rPr>
          <w:rtl w:val="true"/>
        </w:rPr>
        <w:t>صلاة المسافر في الذكر الحكيم</w:t>
      </w:r>
      <w:bookmarkEnd w:id="385"/>
    </w:p>
    <w:p>
      <w:pPr>
        <w:pStyle w:val="Heading4"/>
        <w:numPr>
          <w:ilvl w:val="3"/>
          <w:numId w:val="1"/>
        </w:numPr>
        <w:rPr/>
      </w:pPr>
      <w:bookmarkStart w:id="386" w:name="__RefHeading___Toc1366149_388300464"/>
      <w:bookmarkStart w:id="387" w:name="_Toc149"/>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اتّفق المسلمون تبعاً للكتاب العزيز والسنّة النبوية على مشروعية القصر في السفر وإن لم يكن معه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القصر في السفر عزيمة، أو سنّة مؤكّدة، أو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أقوال ثلاثة نشير إليها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والحنفية إلى أنّها عزيمة، وإنّ فرض المسافر في كلّ صلاة رباعية ركعتان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سنّة مؤكّدة لفعل النبي صلى الله عليه و آله و سلم، فإنّه لم يُر منه في أسفاره أنّه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الشيخان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النبي فكان لا يزيد في السفر على ركعتين، وأبو بكر وعمر وعثمان كذلك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وقالت الشافعية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رخصة على سبيل التخيير، فللمسافر أن يتمّ أو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السفر فرض وعزيمة، والواجب في هذه الصلوات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والعشاء الآخرة ركعتان، فإن صلّى أربعاً مع العلم وجب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على ركعتين، فإن كان تشهّد في الثانية صحّت صلاته، وما زاد على اثنتين يكون نافلة، إلّاأن يأتم بمقيم فيصلي أربعاً فيكون الكلّ فريضة أسقط بها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بالتشهد، ما هو المقرون بالسلام وإلّا فالركعة الثانية لا تنفك عن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التقصير عزيمة مذهب علي عليه السلام وعمر، وفي الفقهاء مذهب أبي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بالخيار بين أن يصلّي صلاة السفر ركعتين وبين أن يصلّي صلاة الحضر أربعاً، فيسقط بذلك الفرض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أفضل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والإتمام أفضل، وبمذهبه قال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وعبد اللّه بن مسعود وسعد بن أبي وقاص وعائشة، 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وأبو ثور</w:t>
      </w:r>
      <w:r>
        <w:rPr>
          <w:rFonts w:eastAsia="Amiri" w:cs="Amiri" w:ascii="Amiri" w:hAnsi="Amiri"/>
          <w:color w:val="111111"/>
          <w:sz w:val="28"/>
          <w:szCs w:val="28"/>
          <w:rtl w:val="true"/>
          <w:lang w:bidi="ar-SA"/>
        </w:rPr>
        <w:t>.</w:t>
      </w:r>
      <w:r>
        <w:rPr>
          <w:rStyle w:val="FootnoteAnchor"/>
        </w:rPr>
        <w:footnoteReference w:id="30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88" w:name="pg14912_141219"/>
    </w:p>
    <w:p>
      <w:pPr>
        <w:pStyle w:val="BookText"/>
        <w:rPr/>
      </w:pPr>
      <w:bookmarkEnd w:id="388"/>
      <w:r>
        <w:rPr>
          <w:rFonts w:ascii="Amiri" w:hAnsi="Amiri" w:eastAsia="Amiri" w:cs="Amiri"/>
          <w:color w:val="111111"/>
          <w:sz w:val="28"/>
          <w:sz w:val="28"/>
          <w:szCs w:val="28"/>
          <w:rtl w:val="true"/>
          <w:lang w:bidi="ar-SA"/>
        </w:rPr>
        <w:t>وهناك مَن يقول بأنّه يقصّر إلّاإذا نوى إقامة عشرة أيّام كما عليه الإمامية، إلى غير ذلك من المباحث الراجعة إلى صلاة المسافر، ونحن نركِّز على موضوع آخر وهو كون القصر عزيمة أو سنّة مؤكّدة أو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صلب الموضوع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حكم صلاة المسافر في الكتاب العزيز،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 .</w:t>
      </w:r>
      <w:r>
        <w:rPr>
          <w:rStyle w:val="FootnoteAnchor"/>
          <w:rtl w:val="true"/>
        </w:rPr>
        <w:footnoteReference w:id="307"/>
      </w:r>
    </w:p>
    <w:p>
      <w:pPr>
        <w:pStyle w:val="Heading4"/>
        <w:numPr>
          <w:ilvl w:val="3"/>
          <w:numId w:val="1"/>
        </w:numPr>
        <w:rPr/>
      </w:pPr>
      <w:bookmarkStart w:id="389" w:name="__RefHeading___Toc1366151_388300464"/>
      <w:bookmarkStart w:id="390" w:name="_Toc150"/>
      <w:bookmarkEnd w:id="389"/>
      <w:r>
        <w:rPr>
          <w:rtl w:val="true"/>
        </w:rPr>
        <w:t>تفسير مفردات الآية</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الضرب في الأرض كناية عن السفر، أي إذا سرتم فيها 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إثم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الرباعيات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وبهذا أيضاً 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ويؤيّد ذلك استعمال الضرب في الأرض في غير واحدة من الآيات،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w:t>
      </w:r>
      <w:r>
        <w:rPr>
          <w:rFonts w:eastAsia="Amiri" w:cs="Amiri" w:ascii="Amiri" w:hAnsi="Amiri"/>
          <w:color w:val="111111"/>
          <w:sz w:val="28"/>
          <w:szCs w:val="28"/>
          <w:rtl w:val="true"/>
          <w:lang w:bidi="ar-SA"/>
        </w:rPr>
        <w:t>) .</w:t>
      </w:r>
      <w:r>
        <w:rPr>
          <w:rStyle w:val="FootnoteAnchor"/>
          <w:rtl w:val="true"/>
        </w:rPr>
        <w:footnoteReference w:id="3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ضَرَبْتُمْ فِي اَلْأَرْضِ فَأَصابَتْكُمْ مُصِيبَةُ اَلْمَوْتِ‌</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ضَرَبُوا فِي اَلْأَرْضِ أَوْ كانُوا غُزًّى لَوْ كانُوا عِنْدَنا ما ماتُوا وَ ما قُتِلُوا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الجناح فهو بمعنى الإثم، وقد تضافر استعماله في الإثم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وقد ورد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والمقصود في الجميع هو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للشرط المتأخّر، فكأنّه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أن يفتنكم الذين كفروا فليس عليكم جناح أن تقصروا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القصر هو تخفيف عدد الركعات من أربع ركعات إلى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تخصّ القصر بالسفر المرافق للخوف، وظاهرها أنّ السفر ليس موضوعاً مستقلاً، بل الموضوع هو السفر المرافق للخوف، لكنّ السنّة فسّرت الآية وأعطت للسفر استقلالاً للتقصير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النبي صلى الله عليه و آله و سلم كان يقصّر في حالتي الخوف 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ستوافيك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تعليق القصر على الخوف في الآية كأنّه كان لتقرير الحالة الواقعة؛ لأنّ غالب أسفار النبي صلى الله عليه و آله و سلم لم تخلو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في الآية قيد غالبي بالنسبة إلى الظروف التي نزلت الآية فيها، فمَن حاول أن يحصر التقصير بسفر الخوف دون سفر الأمن، فقد أخذ بظاهر الآية وترك السنّة النبوية واتّفاق المسلمين وفي مقدمهم أئمّة أهل البيت عليهم السلام الذين عرّفهم الرسول بكونهم أعدال القرآن وقرناء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زعم أنّ القصر رخصة تمسّك بظاهر الآية،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غفل عن أنّ هذا التعبير لا يدلّ على مقصوده، لأنّ الآية وردت في مقام رفع توهّم الحظر، فكأنّ المخاطب يتصوّر أنّ القصر إيجاد نقص في الصلاة وهو أمر محظور، فنزلت الآية لدفع هذا التوهّم، لتطيب النفس بالقصر وتطمئن إليه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وليس ذلك بغريب فقد ورد مثله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روى الصدوق بإسناده عن زرارة ومحمد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السفر كيف هي‌؟ وكم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قد قال اللّه عزّ وجلّ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 فَلا جُناحَ عَلَيْهِ أَنْ يَطَّوَّفَ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ترون أنّ الطواف بهما واجب مفروض، لأنّ اللّه عزّ وجلّ ذكره في كتابه وصنعه نبيّه صلى الله عليه و آله و سلم، وكذلك التقصير في السفر شيء صنعه النبي صلى الله عليه و آله و سلم وذكره اللّه في كتابه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إنّ المسلمين لمّا أرادوا الطواف بين الصفا والمروة في عمرة القضاء شاهدوا وجود الأصنام فوق الصفا والمروة، فتحرّج المسلمون من الطواف بينهما، فنزل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الصفا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اساف وعلى المروة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نائلة، وكان المشركون إذا مرّوا بهما مسحوهما، فتحرّج المسلمون عن الطواف بهما لأجل الصنمين، فأنزل اللّه تعالى هذه الآية، وهو منقول عن الشعبي وكثير من العلماء، فرجع رفع الجناح عن الطواف بهما إلى تحرّجهم عن الطواف بهما لأجل الصنمين لا إلى عين الطواف، كما لو كان الإنسان محبوساً في موضع لا يمكنه الصلاة إلّابالتوجّه إلى ما يكره التوجّه إليه من المخرج وغيره،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 في الصلاة إلى ذلك المكان، فلا يرجع رفع الجناح إلى عين الصلاة، لأنّ عين الصلاة واجبة وإنّما يرجع التوجّه إلى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 رواية أُخرى عن أبي عبد اللّه عليه السلام أنّه كان ذلك في عمرة القضاء، وذلك أنّ رسول اللّه صلى الله عليه و آله و سلم شرط عليهم أن يرفعوا الأصنام، فتشاغل رجل من أصحابه حتى أُعيدت الأصنام، فجاءوا إلى رسول اللّه صلى الله عليه و آله و 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 يَطُف وقد أُعيدت الأصنام،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والأصنام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يسعون والأصنام على حالها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ويجري نفس هذا الكلام في المقام، فإنّ قصر الصلاة وتبديلها إلى ركعتين من الأُمور التي يتحرّج منه المسلم ويتصوّر أنّه ترك للفريضة، ففي هذه الظروف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ضوء هذا فالآية لا تدلّ على العزيمة ولا على الرخصة، بل هي ساكتة عن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الآية لا تدلّ على أحد الأقوال، فلا محيص من الرجوع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الوجوب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ممّا عجبتَ منه، فسألت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منّ اللّه بها عليكم فاقبلوا صدقته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المتصدّق عليه، لا يجب عليه قبول الصدقة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الشوكاني عن الاستدلال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بقبولها يدلّ‌على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91" w:name="pg14912_141224"/>
    </w:p>
    <w:p>
      <w:pPr>
        <w:pStyle w:val="BookText"/>
        <w:rPr/>
      </w:pPr>
      <w:bookmarkEnd w:id="391"/>
      <w:r>
        <w:rPr>
          <w:rFonts w:ascii="Amiri" w:hAnsi="Amiri" w:eastAsia="Amiri" w:cs="Amiri"/>
          <w:color w:val="111111"/>
          <w:sz w:val="28"/>
          <w:sz w:val="28"/>
          <w:szCs w:val="28"/>
          <w:rtl w:val="true"/>
          <w:lang w:bidi="ar-SA"/>
        </w:rPr>
        <w:t>أنّه لامحيص عنها، وهو المطلوب</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وكان للشوكاني أن يرد على الاستدلال بوجه آخر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صدقة اللّه وهديته، على صدقات الناس وهداياهم قياس مع الفارق؛ وذلك لأنّ المهدى إليه أو المتصدّق عليه لا يجب عليه قبول الهدية أو الصدقة إذا كان المتصدِّق إنساناً مثله، وأمّا إذا كان المتصدِّق هو اللّه سبحانه فيجب قبولها، وذلك لأنّ صدقة اللّه أمر امتناني، وامتناناته سبحانه ليست أُموراً اعتباطية، بل هي ناشئة من الحكمة البالغة الإلهية، فحيث يعلم اللّه بأنّ المصالح الذاتية للبشر تقتضي ذلك الامتنان، يمنّ بها على العباد، فيصير القبول أمراً مفروضاً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أحاديث أئمّة أهل البيت عليهم السلام أنّه يحرم رد صدقة اللّه، حيث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تصدّق على مرضى أُمّتي ومسافريها بالتقصير والإفطار، أيسرّ أحدكم إذا تصدّق بصدقة أن تُرد عليه‌؟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ثمّ إنّ سيد مشايخنا السيد محمد الحجّة الكوهكمري قدس سره كان يستدلّ بالرواية على بطلان مَن صلّى تماماً عالماً بالحكم وصحّة مَن صلّى تماماً جاهلاً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المصلّي في الصورة الأُولى يرد هدية المولى على الإطلاق وهو إهانة له، دون الصورة الأُخرى</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366153_388300464"/>
      <w:bookmarkStart w:id="393" w:name="_Toc151"/>
      <w:bookmarkEnd w:id="392"/>
      <w:r>
        <w:rPr>
          <w:rtl w:val="true"/>
        </w:rPr>
        <w:t>أدلّة القول بأنّ القصر عزيمة</w:t>
      </w:r>
      <w:bookmarkEnd w:id="3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السنّة المتضافرة المبثوثة في الصحاح والسنن والمسانيد على أنّ‌</w:t>
      </w:r>
    </w:p>
    <w:p>
      <w:pPr>
        <w:pStyle w:val="BookText"/>
        <w:rPr/>
      </w:pPr>
      <w:r>
        <w:rPr>
          <w:rFonts w:ascii="Amiri" w:hAnsi="Amiri" w:eastAsia="Amiri" w:cs="Amiri"/>
          <w:color w:val="111111"/>
          <w:sz w:val="28"/>
          <w:sz w:val="28"/>
          <w:szCs w:val="28"/>
          <w:rtl w:val="true"/>
          <w:lang w:bidi="ar-SA"/>
        </w:rPr>
        <w:t>القصر عزيمة، وكان النبي يقصّر في عامّة أسفاره، فنذكر من ذلك الكثير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عائشة زوجة النبي صلى الله عليه و آله و 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في الحضر والسفر فأُقرّت صلاة السفر وزيد في صلاة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ناهض على الوجوب، لأنّ صلاة السفر إذا كانت مفروضة ركعتين لم تجز الزيادة عليها كما أنّها لا تجوز الزيادة على أربع في الحضر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عائشة أنّ الصلاة أوّل ما فرضت ركعتين فأقرّت صلاة السفر وأتمّت صلاة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على لسان نبيّكم صلى الله عليه و آله و سلم في الحضر أربعاً، وفي السفر ركعتين، وفي الخوف 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موسى بن سلمة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كيف أُصلّي إذا كنت بمكّة إذا لم أُصلّ مع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سنّة أبي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عيسى بن حفص بن عاصم بن عمر بن الخطاب،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لنا الظهر ركعتين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صحبت رسول اللّه في السفر فلم يزد على ركعتين حتّى قبضه اللّه، وصحبت أبا بكر فلم يزد على ركعتين حتّى قبضه اللّه، وصحبت عمر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يزد على ركعتين حتّى قبضه اللّه، ثمّ صحبت عثمان فلم يزد على ركعتين حتّى قبضه اللّه، 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أنس أنّ رسول اللّه صلى الله عليه و آله و سلم صلّى الظهر بالمدينة أربعاً، وصلّى العصر بذي الحليفة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يحيى بن يزيد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عن 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خرج مسيرة ثلاثة أميال أو ثلاثة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الحديث أنّه صلى الله عليه و آله و سلم لا يقصر ما لم يصل إلى ثلاثة فراسخ، وهذا على خلاف المشهور ولذلك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على سبيل الاشتراط وإنّما وقع بحسب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كان يسافر بعيداً من وقت المقصورة فتدركه على ثلاثة أميال أو أكثر أو نحو ذلك فيصلّيها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شرحبيل بن السمط إلى قرية على رأس سبعة عشر أو ثمانية عشر ميلاً، فصلّى ركعتين، فقلت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صلّى بذي الحليفة ركعتين،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أفعل كما رأيت رسول اللّه صلى الله عليه و آله و سلم يفعل</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دالّ على أنّ رسول اللّه صلى الله عليه و آله و سلم يقصر في السفر دائماً، وإنّما الاختلاف في أنّ مبدأ القصر هو الخروج عن البلد كما جرى عليه عمر أو بعدن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مسيرة ثمانية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 شرحبيل على رأس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فيه، لأنّه تابعي فعل شيئاً يخالف الجمهور، أو يتأوّل على أنّها كانت في أثناء سفره لا أنّها غايته، وهذا التأويل ظاهر</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وقد مرّ كلامه أيضاً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فما هو موضع الخلاف، خارج عن إطار بحثنا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و سلم من المدينة إلى مكّة فصلّى ركعتين ركعتين حتّى 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أقام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قصر النبي في مكّة مع إقامته فيها عشرة أيّام وإن كان يوافق بعض المذاهب لكنّه يخالف مذهب الإمام مالك، كما يخالف مذهب الإمامية، فإنّ نية العشرة قاطعة للسفر موجبة للإتمام، ولعلّ الإقامة لم تكن عشرة كاملة بالضبط بل كانت عشرة عرفية وربما تنقص عن العشرة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الأحاديث التسعة نقلها مسلم في صحيحه، ولنذكر ما ورد من روايات أئمّة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وصلاة السفر تقصران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السفر أربعاً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إلى اللّه منه بريء</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المتمّم في السفر كالمقصّر في الحضر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رسول اللّه صلى الله عليه و آله و سلم قوماً صاموا حين أفطر وقصّر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إلى يوم القيامة، وإنّا لنعرف أبناءهم وأبناء أبنائهم إلى يومنا هذا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الكثيرة التي وردت في أبواب صلاة المسافر عن كتاب وسائل الشيعة، وفيما ذكرنا من الأحاديث وما تقدّم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غنى وكفاية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94" w:name="pg14912_141229"/>
    </w:p>
    <w:p>
      <w:pPr>
        <w:pStyle w:val="BookText"/>
        <w:rPr/>
      </w:pPr>
      <w:bookmarkEnd w:id="394"/>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395" w:name="__RefHeading___Toc1366155_388300464"/>
      <w:bookmarkStart w:id="396" w:name="_Toc152"/>
      <w:bookmarkEnd w:id="395"/>
      <w:r>
        <w:rPr/>
        <w:t>4</w:t>
      </w:r>
      <w:r>
        <w:rPr>
          <w:rtl w:val="true"/>
        </w:rPr>
        <w:t xml:space="preserve">. </w:t>
      </w:r>
      <w:r>
        <w:rPr>
          <w:rtl w:val="true"/>
        </w:rPr>
        <w:t>صلاة الخوف في الذكر الحكيم</w:t>
      </w:r>
      <w:bookmarkEnd w:id="396"/>
    </w:p>
    <w:p>
      <w:pPr>
        <w:pStyle w:val="Heading4"/>
        <w:numPr>
          <w:ilvl w:val="3"/>
          <w:numId w:val="1"/>
        </w:numPr>
        <w:rPr/>
      </w:pPr>
      <w:bookmarkStart w:id="397" w:name="__RefHeading___Toc1366157_388300464"/>
      <w:bookmarkStart w:id="398" w:name="_Toc153"/>
      <w:bookmarkEnd w:id="397"/>
      <w:r>
        <w:rPr>
          <w:rtl w:val="true"/>
        </w:rPr>
        <w:t>الآية الأُولى</w:t>
      </w:r>
      <w:r>
        <w:rPr>
          <w:rtl w:val="true"/>
        </w:rPr>
        <w:t>:</w:t>
      </w:r>
      <w:bookmarkEnd w:id="398"/>
    </w:p>
    <w:p>
      <w:pPr>
        <w:pStyle w:val="Heading5"/>
        <w:numPr>
          <w:ilvl w:val="4"/>
          <w:numId w:val="1"/>
        </w:numPr>
        <w:rPr/>
      </w:pPr>
      <w:bookmarkStart w:id="399" w:name="__RefHeading___Toc1366159_388300464"/>
      <w:bookmarkStart w:id="400" w:name="_Toc15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eastAsia="Amiri" w:cs="Amiri" w:ascii="Amiri" w:hAnsi="Amiri"/>
          <w:color w:val="111111"/>
          <w:sz w:val="28"/>
          <w:szCs w:val="28"/>
          <w:rtl w:val="true"/>
          <w:lang w:bidi="ar-SA"/>
        </w:rPr>
        <w:t>) .</w:t>
      </w:r>
      <w:r>
        <w:rPr>
          <w:rStyle w:val="FootnoteAnchor"/>
          <w:rtl w:val="true"/>
        </w:rPr>
        <w:footnoteReference w:id="329"/>
      </w:r>
    </w:p>
    <w:p>
      <w:pPr>
        <w:pStyle w:val="Heading5"/>
        <w:numPr>
          <w:ilvl w:val="4"/>
          <w:numId w:val="1"/>
        </w:numPr>
        <w:rPr/>
      </w:pPr>
      <w:bookmarkStart w:id="401" w:name="__RefHeading___Toc1366161_388300464"/>
      <w:bookmarkStart w:id="402" w:name="_Toc155"/>
      <w:bookmarkEnd w:id="401"/>
      <w:r>
        <w:rPr>
          <w:rtl w:val="true"/>
        </w:rPr>
        <w:t>المفردات</w:t>
      </w:r>
      <w:bookmarkEnd w:id="4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السلاح، كخمار وأخمرة</w:t>
      </w:r>
      <w:r>
        <w:rPr>
          <w:rFonts w:eastAsia="Amiri" w:cs="Amiri" w:ascii="Amiri" w:hAnsi="Amiri"/>
          <w:color w:val="111111"/>
          <w:sz w:val="28"/>
          <w:szCs w:val="28"/>
          <w:rtl w:val="true"/>
          <w:lang w:bidi="ar-SA"/>
        </w:rPr>
        <w:t>.</w:t>
      </w:r>
      <w:bookmarkStart w:id="403" w:name="pg14912_141230"/>
    </w:p>
    <w:p>
      <w:pPr>
        <w:pStyle w:val="BookText"/>
        <w:rPr/>
      </w:pPr>
      <w:bookmarkEnd w:id="403"/>
      <w:r>
        <w:rPr>
          <w:rFonts w:ascii="Amiri" w:hAnsi="Amiri" w:eastAsia="Amiri" w:cs="Amiri"/>
          <w:color w:val="111111"/>
          <w:sz w:val="28"/>
          <w:sz w:val="28"/>
          <w:szCs w:val="28"/>
          <w:rtl w:val="true"/>
          <w:lang w:bidi="ar-SA"/>
        </w:rPr>
        <w:t>وليأخذوا 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الحذر كناية عن شدّة الاحتراز عن العدو، بالاستعداد للدفاع</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366163_388300464"/>
      <w:bookmarkStart w:id="405" w:name="_Toc156"/>
      <w:bookmarkEnd w:id="404"/>
      <w:r>
        <w:rPr>
          <w:rtl w:val="true"/>
        </w:rPr>
        <w:t>التفسير</w:t>
      </w:r>
      <w:bookmarkEnd w:id="405"/>
    </w:p>
    <w:p>
      <w:pPr>
        <w:pStyle w:val="BookText"/>
        <w:rPr/>
      </w:pPr>
      <w:r>
        <w:rPr>
          <w:rFonts w:ascii="Amiri" w:hAnsi="Amiri" w:eastAsia="Amiri" w:cs="Amiri"/>
          <w:color w:val="111111"/>
          <w:sz w:val="28"/>
          <w:sz w:val="28"/>
          <w:szCs w:val="28"/>
          <w:rtl w:val="true"/>
          <w:lang w:bidi="ar-SA"/>
        </w:rPr>
        <w:t>من أنواع الصلوات صلاة الخوف، وذكر العلّامة لها أربع صور</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والمهم هو بيان الصورة التي جاء ذكرها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قليلة النظير في القرآن، حيث إنّها من قبيل البيان بإيراد المثال لتكون أوضح في عين أنّها أوجز وأجمل</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والنبي بعُسفان والمشركون بضجنان، فتواقفوا، فصلّى النبي صلى الله عليه و آله و سلم وأصحابه الظهر بتمام الركوع والسجود، فهمّ المشركون بأن يُغيروا عليهم،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صلاة أُخرى أحبّ إليهم من هذه، يعنون صلاةَ العصر، فأنزل اللّه عليه هذه الآية، فصلّى بهم العصر صلاة الخوف</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ومن هذا الزمان شُرّعت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السنّة قد تضمّنت بيان كيفية صلاة الخوف، وبها يتّضح مضمون الآية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 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صلاة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الإمام وتجيء طائفة من أصحابه فيقومون خلفه، وطائفة بإزاء العدو، فيصلّي بهم الإمام ركعة، ثمّ يقوم ويقومون معه فيمثل قائماً ويصلّون هم الركعة الثانية، ثمّ يسلّم بعضهم على بعض، ثمّ ينصرفون فيقومون في مقام</w:t>
      </w:r>
    </w:p>
    <w:p>
      <w:pPr>
        <w:pStyle w:val="BookText"/>
        <w:rPr/>
      </w:pPr>
      <w:r>
        <w:rPr>
          <w:rFonts w:ascii="Amiri" w:hAnsi="Amiri" w:eastAsia="Amiri" w:cs="Amiri"/>
          <w:color w:val="111111"/>
          <w:sz w:val="28"/>
          <w:sz w:val="28"/>
          <w:szCs w:val="28"/>
          <w:rtl w:val="true"/>
          <w:lang w:bidi="ar-SA"/>
        </w:rPr>
        <w:t>أصحابهم ويجيء الآخرون فيقومون خلف الإمام فيصلّي بهم الركعة الثانية، ثمّ يجلس الإمام فيقومون هم فيصلّون ركعة أُخرى، ثم يسلّم عليهم فينصرفون بتسليمه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وظاهر الرواية أنّ الصلاة إذا كانت ثنائية كالظهرين والعشاء صلّى الإمام بالأُولى ركعة وقام إلى الثانية ويسكت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مَنْ خلفه الإنفراد واجباً، ويتمّون بركعة أُخرى، ثم يستقبلون العدو، وتأتي الفرقة الأُخرى، فيحرمون ويدخلون معه في ثانية الإمام وهي أولاهم، فإذا جلس الإمام للتشهد أطال، ونهض مَنْ خلفه فأتمّوا وجلسوا وتشهد الإمام بهم وسلّم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وهل العدو كان في جانب القبلة أو في خلافها؟ و الظاهر هو الثاني لقوله سبحانه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سَجَدُوا فَلْيَكُونُوا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فالآية متضمّنة بيان صورة واحدة دون الصور الباقية، وبما أنّ مهمتنا تفسير الآية، فلنقتصر على هذه الصورة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خطاباً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بين المؤمنين، وبما أنّ الحكم ليس من خصائص النبي صلى الله عليه و آله و سلم، فهذا الحكم حكم كلّ إمام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أُريد ذكر الإقامة أو الأذان معها، ويحتمل أيضاً أنّه أُريد الصلاة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فَلْتَقُمْ طائِفَةٌ مِنْهُمْ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يقتدون بك ويبقى الآخرون مراقبين العدو، يحرسون المصلّين خوفاً من اعتداء العدو، ثمّ إنّ هؤلاء الذين دخلوا الصلاة مع النبي صلى الله عليه و آله و سلم أُمروا بأخذ أسلحتهم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الصلاة،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يدعوها وحدها، فيكونوا مستعدّين للقتال، واحتمال أنّ الأمر بأخذ السلاح راجع إلى الطائفة الحارسة، بعيد، وسيأتي في نفس الآية أنّ الطائفة الثانية إذا دخلوا في الصلاة في ثانية الإمام يأخذون أسلحتهم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سَجَدُوا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المصلّون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فَلْيَكُونُوا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الطائفة الحارسة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وأحوج ما يكون المصلّي للحراسة ساجداً لأنّه لا يرى حينئذٍ من يهمّ به، وعبّر بالسجود عن إتمام الصلاة؛ لأنّه آخر صلاة الطائفة الأُولى، ويجب حينئذٍ أن يكون الباقون مستعدّين للقيام مقامهم والصلاة مع النبي صلى الله عليه و آله و سلم كما صلّوا</w:t>
      </w:r>
      <w:r>
        <w:rPr>
          <w:rStyle w:val="FootnoteAnchor"/>
          <w:rtl w:val="true"/>
        </w:rPr>
        <w:footnoteReference w:id="335"/>
      </w:r>
      <w:r>
        <w:rPr>
          <w:rFonts w:ascii="Amiri" w:hAnsi="Amiri" w:eastAsia="Amiri" w:cs="Amiri"/>
          <w:color w:val="111111"/>
          <w:sz w:val="28"/>
          <w:sz w:val="28"/>
          <w:szCs w:val="28"/>
          <w:rtl w:val="true"/>
          <w:lang w:bidi="ar-SA"/>
        </w:rPr>
        <w:t>، فعندئذٍ تصل نوبة الطائفة الحارسة حتى يصلّوا مع النبي صلى الله عليه و آله و سلم، وعندئذٍ تحرسهم الطائفة الأُولى مثل السابقين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لْتَأْتِ طائِفَةٌ أُخْرى لَمْ يُصَلُّوا فَلْيُصَلُّوا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الحراسة عاقتهم عن الصلاة مع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لْيَأْخُذُوا حِذْرَهُمْ‌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التيقّظ والاحتراز من المخاوف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الطائفة الثانية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الأخذ بالحذر،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الأسلحة بخلاف الطائفة الأُولى فأمرهم بأخذ الأسلحة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بيّن وجه الأمر بأخذ الأمرين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اَلَّذِينَ كَفَرُوا</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تمنّى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تَغْفُلُونَ عَنْ أَسْلِحَتِكُمْ وَ أَمْتِعَتِكُمْ فَيَمِيلُونَ عَلَيْكُمْ مَيْلَةً‌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مشغولون بالصلاة واضعون للسلاح، وهذا هو السر لأمر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 بالتيقّظ وأخذ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استثنى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أمطروا، فشقّ عليهم حمل السلاح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بِكُمْ أَذىً مِنْ مَطَرٍ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بالجرح وغيره، ففي هاتين الحالتين لا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تَضَعُوا أَسْلِحَتَكُمْ‌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كونوا متيقّظين فإنّ العدو غير غافل، ثمّ إنّه سبحانه تطييباً لنفوس المسلمين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 لِلْكافِرِينَ عَذاباً مُهِيناً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ذكرنا يظهر النظر فيما رواه السيوطي عن أبي عياش الزرقي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رسول اللّه صلى الله عليه و آله و سلم بعُسفان، فاستقبلنا المشركون عليهم خالد بن الوليد وهم بيننا وبين القبلة، فصلّى بنا النبي صلى الله عليه و آله و سلم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على حال لو أصبنا غرّتهم،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عليهم الآن صلاة هي أحبّ إليهم من أبنائهم وأنفسهم، فنزل جبريل بهذه الآية بين 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فأمرهم رسول اللّه صلى الله عليه و آله و سلم فأخذوا السلاح وصففنا خلفه صفين، إلى آخر ما ذكره</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ذكر كان اللازم على الطائفة الحارسة الوقوف أمام النبيّ والمصلّين ليدفعوا عنهم شرّ هجوم العدو عليهم حين الركوع والسجود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6" w:name="pg14912_141234"/>
    </w:p>
    <w:p>
      <w:pPr>
        <w:pStyle w:val="BookText"/>
        <w:rPr/>
      </w:pPr>
      <w:bookmarkEnd w:id="406"/>
      <w:r>
        <w:rPr>
          <w:rFonts w:ascii="Amiri" w:hAnsi="Amiri" w:eastAsia="Amiri" w:cs="Amiri"/>
          <w:color w:val="111111"/>
          <w:sz w:val="28"/>
          <w:sz w:val="28"/>
          <w:szCs w:val="28"/>
          <w:rtl w:val="true"/>
          <w:lang w:bidi="ar-SA"/>
        </w:rPr>
        <w:t>هذا فيما إذا كانت الصلاة ثنائية، وأمّا إذا كانت ثلاثية فالإمام بالخيار، إن شاء صلّى بالطائفة الأُولى ركعة وبالثانية ركعتين، وإن شاء بالعكس</w:t>
      </w:r>
      <w:r>
        <w:rPr>
          <w:rFonts w:eastAsia="Amiri" w:cs="Amiri" w:ascii="Amiri" w:hAnsi="Amiri"/>
          <w:color w:val="111111"/>
          <w:sz w:val="28"/>
          <w:szCs w:val="28"/>
          <w:rtl w:val="true"/>
          <w:lang w:bidi="ar-SA"/>
        </w:rPr>
        <w:t>.</w:t>
      </w:r>
      <w:r>
        <w:rPr>
          <w:rStyle w:val="FootnoteAnchor"/>
          <w:rtl w:val="true"/>
        </w:rPr>
        <w:footnoteReference w:id="337"/>
      </w:r>
    </w:p>
    <w:p>
      <w:pPr>
        <w:pStyle w:val="Heading5"/>
        <w:numPr>
          <w:ilvl w:val="4"/>
          <w:numId w:val="1"/>
        </w:numPr>
        <w:rPr/>
      </w:pPr>
      <w:bookmarkStart w:id="407" w:name="__RefHeading___Toc1366165_388300464"/>
      <w:bookmarkStart w:id="408" w:name="_Toc157"/>
      <w:bookmarkEnd w:id="407"/>
      <w:r>
        <w:rPr>
          <w:rtl w:val="true"/>
        </w:rPr>
        <w:t>صلاة الخوف ثنائيّة في السفر والحضر</w:t>
      </w:r>
      <w:bookmarkEnd w:id="408"/>
    </w:p>
    <w:p>
      <w:pPr>
        <w:pStyle w:val="BookText"/>
        <w:rPr/>
      </w:pPr>
      <w:r>
        <w:rPr>
          <w:rFonts w:ascii="Amiri" w:hAnsi="Amiri" w:eastAsia="Amiri" w:cs="Amiri"/>
          <w:color w:val="111111"/>
          <w:sz w:val="28"/>
          <w:sz w:val="28"/>
          <w:szCs w:val="28"/>
          <w:rtl w:val="true"/>
          <w:lang w:bidi="ar-SA"/>
        </w:rPr>
        <w:t>ثمّ إنّ صلاة الخوف صلاة مقصورة، ولذلك عبّر المحقّق بلفظ ثنائية، وأراد رباعية المقصورة، روى الصدوق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وصلاة السفر، تقصران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وصلاة الخوف أحقّ أن تقصّر من صلاة السفر، لأنّ فيها خوفاً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والشاهد على ذلك أنّه لو كانت مقصورة في السفر كان اشتراط الخوف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شذّ قول الشيخ الطوسي حيث شرط في القصر الجماعة للآية، لكن إطلاق الصحيحة يخالفه، إذ لم يُقيد بالجماعة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66167_388300464"/>
      <w:bookmarkStart w:id="410" w:name="_Toc158"/>
      <w:bookmarkEnd w:id="409"/>
      <w:r>
        <w:rPr>
          <w:rtl w:val="true"/>
        </w:rPr>
        <w:t>الآية الثانية</w:t>
      </w:r>
      <w:r>
        <w:rPr>
          <w:rtl w:val="true"/>
        </w:rPr>
        <w:t>:</w:t>
      </w:r>
      <w:bookmarkEnd w:id="410"/>
    </w:p>
    <w:p>
      <w:pPr>
        <w:pStyle w:val="Heading5"/>
        <w:numPr>
          <w:ilvl w:val="4"/>
          <w:numId w:val="1"/>
        </w:numPr>
        <w:rPr/>
      </w:pPr>
      <w:bookmarkStart w:id="411" w:name="__RefHeading___Toc1366169_388300464"/>
      <w:bookmarkStart w:id="412" w:name="_Toc159"/>
      <w:bookmarkEnd w:id="411"/>
      <w:r>
        <w:rPr>
          <w:rtl w:val="true"/>
        </w:rPr>
        <w:t>اشارة</w:t>
      </w:r>
      <w:bookmarkEnd w:id="4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 .</w:t>
      </w:r>
      <w:r>
        <w:rPr>
          <w:rStyle w:val="FootnoteAnchor"/>
          <w:rtl w:val="true"/>
        </w:rPr>
        <w:footnoteReference w:id="339"/>
      </w:r>
      <w:bookmarkStart w:id="413" w:name="pg14912_141235"/>
    </w:p>
    <w:p>
      <w:pPr>
        <w:pStyle w:val="Heading5"/>
        <w:numPr>
          <w:ilvl w:val="4"/>
          <w:numId w:val="1"/>
        </w:numPr>
        <w:rPr/>
      </w:pPr>
      <w:bookmarkStart w:id="414" w:name="__RefHeading___Toc1366171_388300464"/>
      <w:bookmarkStart w:id="415" w:name="_Toc160"/>
      <w:bookmarkEnd w:id="413"/>
      <w:bookmarkEnd w:id="414"/>
      <w:r>
        <w:rPr>
          <w:rtl w:val="true"/>
        </w:rPr>
        <w:t>ذكر اللّه بعد إقامة الصلاة</w:t>
      </w:r>
      <w:bookmarkEnd w:id="415"/>
    </w:p>
    <w:p>
      <w:pPr>
        <w:pStyle w:val="BookText"/>
        <w:rPr/>
      </w:pPr>
      <w:r>
        <w:rPr>
          <w:rFonts w:ascii="Amiri" w:hAnsi="Amiri" w:eastAsia="Amiri" w:cs="Amiri"/>
          <w:color w:val="111111"/>
          <w:sz w:val="28"/>
          <w:sz w:val="28"/>
          <w:szCs w:val="28"/>
          <w:rtl w:val="true"/>
          <w:lang w:bidi="ar-SA"/>
        </w:rPr>
        <w:t>الآية خطاب لمَن صلّى صلاة الخوف وتفرض عليهم أن لا ينسوا ذكر اللّه بعد أداء الصلاة بل يذكرونه في عامّة الحالات، قائمين، قاعدين، مضطجعين، ألا بذكر اللّه تطمئن القلوب،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فرغتم من صلاة الخوف أيّها المؤمنون وأنتم في نفس الموقف لا تنسوا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قِياماً وَ قُعُوداً وَ عَلى جُنُوبِكُمْ‌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الحالات الثلاث بعد ترك القعود، وهي وضع الجنب على الأرض يميناً أو يساراً وحال الاستلقاء أيضاً لعدم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يحدّد صلاة الخوف بظروف خاصّة وهي فيما لو اشتدت الأزمة وخيف من هجوم العدو ولم تطمئن القلوب آنذاك، وأمّا إذا زال الخوف وحصلت الطمأنينة فعند ذلك يتمّون الصلاة،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اِطْمَأْنَنْتُمْ‌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زال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يقابل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فأُريد به الرجوع إلى الأوطان أو ترك العدو المعركة ولم يكن هناك سبب للتقصير كأن يكونوا قريبين من الوطن فالواجب عليهم ما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فريضة مؤقّتة منجّمة تؤدّى في أوقاتها ونجومها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موجوداً مفروضاً لا يسقط بحال حتى وجبت في الخوف والوجل، وأُمر الناس بإقامتها على وضع خاص، ما هذا إلّالأنّ الصلاة واجبة لا تسقط أبداً، وليس كالصوم حيث يسقط بالفدية</w:t>
      </w:r>
      <w:r>
        <w:rPr>
          <w:rFonts w:eastAsia="Amiri" w:cs="Amiri" w:ascii="Amiri" w:hAnsi="Amiri"/>
          <w:color w:val="111111"/>
          <w:sz w:val="28"/>
          <w:szCs w:val="28"/>
          <w:rtl w:val="true"/>
          <w:lang w:bidi="ar-SA"/>
        </w:rPr>
        <w:t>.</w:t>
      </w:r>
      <w:bookmarkStart w:id="416" w:name="pg14912_141236"/>
    </w:p>
    <w:p>
      <w:pPr>
        <w:pStyle w:val="BookText"/>
        <w:rPr/>
      </w:pPr>
      <w:bookmarkEnd w:id="416"/>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417" w:name="__RefHeading___Toc1366173_388300464"/>
      <w:bookmarkStart w:id="418" w:name="_Toc161"/>
      <w:bookmarkEnd w:id="417"/>
      <w:r>
        <w:rPr/>
        <w:t>5</w:t>
      </w:r>
      <w:r>
        <w:rPr>
          <w:rtl w:val="true"/>
        </w:rPr>
        <w:t xml:space="preserve">. </w:t>
      </w:r>
      <w:r>
        <w:rPr>
          <w:rtl w:val="true"/>
        </w:rPr>
        <w:t>صلاة المطاردة في الذكر الحكيم</w:t>
      </w:r>
      <w:bookmarkEnd w:id="418"/>
    </w:p>
    <w:p>
      <w:pPr>
        <w:pStyle w:val="Heading4"/>
        <w:numPr>
          <w:ilvl w:val="3"/>
          <w:numId w:val="1"/>
        </w:numPr>
        <w:rPr/>
      </w:pPr>
      <w:bookmarkStart w:id="419" w:name="__RefHeading___Toc1366175_388300464"/>
      <w:bookmarkStart w:id="420" w:name="_Toc162"/>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 .</w:t>
      </w:r>
      <w:r>
        <w:rPr>
          <w:rStyle w:val="FootnoteAnchor"/>
          <w:rtl w:val="true"/>
        </w:rPr>
        <w:footnoteReference w:id="341"/>
      </w:r>
    </w:p>
    <w:p>
      <w:pPr>
        <w:pStyle w:val="Heading4"/>
        <w:numPr>
          <w:ilvl w:val="3"/>
          <w:numId w:val="1"/>
        </w:numPr>
        <w:rPr/>
      </w:pPr>
      <w:bookmarkStart w:id="421" w:name="__RefHeading___Toc1366177_388300464"/>
      <w:bookmarkStart w:id="422" w:name="_Toc163"/>
      <w:bookmarkEnd w:id="421"/>
      <w:r>
        <w:rPr>
          <w:rtl w:val="true"/>
        </w:rPr>
        <w:t>المفردات</w:t>
      </w:r>
      <w:bookmarkEnd w:id="422"/>
    </w:p>
    <w:p>
      <w:pPr>
        <w:pStyle w:val="BookText"/>
        <w:rPr/>
      </w:pPr>
      <w:r>
        <w:rPr>
          <w:rFonts w:ascii="Amiri" w:hAnsi="Amiri" w:eastAsia="Amiri" w:cs="Amiri"/>
          <w:color w:val="111111"/>
          <w:sz w:val="28"/>
          <w:sz w:val="28"/>
          <w:szCs w:val="28"/>
          <w:rtl w:val="true"/>
          <w:lang w:bidi="ar-SA"/>
        </w:rPr>
        <w:t>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مطيعين، أو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 وهو الكائن على رجله، واقفاً كان أو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راكب كالفرسان جمع فارس، وكلّ شيء علا شيئاً فقد ركبه</w:t>
      </w:r>
      <w:r>
        <w:rPr>
          <w:rFonts w:eastAsia="Amiri" w:cs="Amiri" w:ascii="Amiri" w:hAnsi="Amiri"/>
          <w:color w:val="111111"/>
          <w:sz w:val="28"/>
          <w:szCs w:val="28"/>
          <w:rtl w:val="true"/>
          <w:lang w:bidi="ar-SA"/>
        </w:rPr>
        <w:t>.</w:t>
      </w:r>
      <w:r>
        <w:rPr>
          <w:rStyle w:val="FootnoteAnchor"/>
          <w:rtl w:val="true"/>
        </w:rPr>
        <w:footnoteReference w:id="342"/>
      </w:r>
    </w:p>
    <w:p>
      <w:pPr>
        <w:pStyle w:val="Heading4"/>
        <w:numPr>
          <w:ilvl w:val="3"/>
          <w:numId w:val="1"/>
        </w:numPr>
        <w:rPr/>
      </w:pPr>
      <w:bookmarkStart w:id="423" w:name="__RefHeading___Toc1366179_388300464"/>
      <w:bookmarkStart w:id="424" w:name="_Toc164"/>
      <w:bookmarkEnd w:id="423"/>
      <w:r>
        <w:rPr>
          <w:rtl w:val="true"/>
        </w:rPr>
        <w:t>التفسير</w:t>
      </w:r>
      <w:bookmarkEnd w:id="4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ناظرة إلى صورة شدّة الخوف، وذلك عند التحام القتال وعدم التمكّن من تركه لأحد، أو اشتدّ الخوف وإن لم يلتحم القتال، فلم يأمنوا أن يهجموا عليهم</w:t>
      </w:r>
    </w:p>
    <w:p>
      <w:pPr>
        <w:pStyle w:val="BookText"/>
        <w:rPr/>
      </w:pPr>
      <w:r>
        <w:rPr>
          <w:rFonts w:ascii="Amiri" w:hAnsi="Amiri" w:eastAsia="Amiri" w:cs="Amiri"/>
          <w:color w:val="111111"/>
          <w:sz w:val="28"/>
          <w:sz w:val="28"/>
          <w:szCs w:val="28"/>
          <w:rtl w:val="true"/>
          <w:lang w:bidi="ar-SA"/>
        </w:rPr>
        <w:t>لو ولّوا عنهم أو انقسموا، فيصلّون رجالاً ومشاةً على الأقدام وركباناً مستقبلي القبلة واجباً مع التمكّن، وغير مستقبليها مع عدمه على 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تمكّنوا من استيفاء الركوع والسجود، وجب، وإلّا أومأوا لركوعهم وسجودهم، ويكون السجود أخفض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تمكّنوا من أحدهما، وجب، ويتقدّمون ويتأخرون،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يمكنكم أن تقوموا قانتين موفين الصلاة حقّها لخوف عرض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 أَوْ رُكْباناً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مستقبلي القبلة وغير مستقبليها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إذا انتهى إلى حال لا يمكن معه الاستقرار وإيقاع الأفعال، بل إلى المسايفة والمعانقة، صلّى الناس فرادى بحسب إمكانهم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إذا عُلم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تؤكّد على المحافظة على الصلاة وأنّها لا تسقط بحال، حتى الخوف من العدو واللص والسبع، فيصلّى مهما أمكن،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راجلين أو على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دوابكم، والآية إشارة إلى صلاة الخوف من العدو وهي ركعتان في السفر والحضر، إلّاالمغرب فإنّه ثلاث ركعات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صلى ليلة الهرير خمس صلوات بالإيماء، وقيل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بالتكبير، وأنّ النبيّ صلى الله عليه و آله و سلم صلّى يوم الأحزاب إيماءً‌</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ساد الخوف، وأمّا في حالة الأمن فيصلون حسب ما تعلّموا،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كَما عَلَّمَكُمْ‌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صلّوا على السنّة المعروفة في الأمن بإتمام القيام والاستقبال فالركوع والسجود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25" w:name="pg14912_141239"/>
    </w:p>
    <w:p>
      <w:pPr>
        <w:pStyle w:val="BookText"/>
        <w:rPr/>
      </w:pPr>
      <w:bookmarkEnd w:id="425"/>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426" w:name="__RefHeading___Toc1366181_388300464"/>
      <w:bookmarkStart w:id="427" w:name="_Toc165"/>
      <w:bookmarkEnd w:id="426"/>
      <w:r>
        <w:rPr/>
        <w:t>6</w:t>
      </w:r>
      <w:r>
        <w:rPr>
          <w:rtl w:val="true"/>
        </w:rPr>
        <w:t xml:space="preserve">. </w:t>
      </w:r>
      <w:r>
        <w:rPr>
          <w:rtl w:val="true"/>
        </w:rPr>
        <w:t>صلاة الجمعة في الذكر الحكيم</w:t>
      </w:r>
      <w:bookmarkEnd w:id="427"/>
    </w:p>
    <w:p>
      <w:pPr>
        <w:pStyle w:val="Heading4"/>
        <w:numPr>
          <w:ilvl w:val="3"/>
          <w:numId w:val="1"/>
        </w:numPr>
        <w:rPr/>
      </w:pPr>
      <w:bookmarkStart w:id="428" w:name="__RefHeading___Toc1366183_388300464"/>
      <w:bookmarkStart w:id="429" w:name="_Toc166"/>
      <w:bookmarkEnd w:id="428"/>
      <w:r>
        <w:rPr>
          <w:rtl w:val="true"/>
        </w:rPr>
        <w:t>الآية الأُولى</w:t>
      </w:r>
      <w:bookmarkEnd w:id="429"/>
    </w:p>
    <w:p>
      <w:pPr>
        <w:pStyle w:val="Heading5"/>
        <w:numPr>
          <w:ilvl w:val="4"/>
          <w:numId w:val="1"/>
        </w:numPr>
        <w:rPr/>
      </w:pPr>
      <w:bookmarkStart w:id="430" w:name="__RefHeading___Toc1366185_388300464"/>
      <w:bookmarkStart w:id="431" w:name="_Toc167"/>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w:t>
      </w:r>
      <w:r>
        <w:rPr>
          <w:rStyle w:val="FootnoteAnchor"/>
          <w:rtl w:val="true"/>
        </w:rPr>
        <w:footnoteReference w:id="346"/>
      </w:r>
    </w:p>
    <w:p>
      <w:pPr>
        <w:pStyle w:val="Heading5"/>
        <w:numPr>
          <w:ilvl w:val="4"/>
          <w:numId w:val="1"/>
        </w:numPr>
        <w:rPr/>
      </w:pPr>
      <w:bookmarkStart w:id="432" w:name="__RefHeading___Toc1366187_388300464"/>
      <w:bookmarkStart w:id="433" w:name="_Toc168"/>
      <w:bookmarkEnd w:id="432"/>
      <w:r>
        <w:rPr>
          <w:rtl w:val="true"/>
        </w:rPr>
        <w:t>المفردات</w:t>
      </w:r>
      <w:bookmarkEnd w:id="433"/>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وجمعهما جُمَع وجُمَعات، وضمّ الميم لغة جمهور العرب، وسكونها لغة عُقيل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فهو كناية عن عدم اختصاص النداء بمناد خاص، بل في كلّ زمان قام إنسان بالنداء مع اجتماع سائر شرائطه يجب على المكلّف السعي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السريع وهو دون العدو، ويستعمل للجدّ في الأمر، خيراً كان أم شراً،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سَعى فِي خَرابِها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كناية عن الاهتمام بالوصول إلى محل النداء، بترك ما بيده من الأُمور، وأمّا تفسيره بالإسراع دون العدو فهو مخالف لما روي من استحباب السكينة والوقار إلّامع ضيق الوقت وخوف فوت الصلاة، فلا يبعد الإسراع حينئذٍ</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ويؤيّد ما ذكرنا ما روي من أنّ عبد اللّه بن مسعود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صلاة الجمعة بقرينة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مِنْ فَضْلِ اَللّهِ وَ اُذْكُرُوا اَللّهَ كَثِيراً لَعَلَّكُمْ تُفْلِحُونَ‌</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وتفسير الذكر برسول اللّه صلى الله عليه و آله و سلم غير تام، إذ لم يُعهد استعماله 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التاليتين، قال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34" w:name="pg14912_141241"/>
    </w:p>
    <w:p>
      <w:pPr>
        <w:pStyle w:val="BookText"/>
        <w:rPr/>
      </w:pPr>
      <w:bookmarkEnd w:id="434"/>
      <w:r>
        <w:rPr>
          <w:rFonts w:ascii="Amiri" w:hAnsi="Amiri" w:eastAsia="Amiri" w:cs="Amiri"/>
          <w:color w:val="111111"/>
          <w:sz w:val="28"/>
          <w:sz w:val="28"/>
          <w:szCs w:val="28"/>
          <w:rtl w:val="true"/>
          <w:lang w:bidi="ar-SA"/>
        </w:rPr>
        <w:t>عَلَيْكُمْ آياتِ اَللّهِ مُبَيِّناتٍ‌</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رسولاً مفعول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يتلو عليكم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سلمنا كونه المراد في الآية لكان لوجود القرينة دون المقام</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366189_388300464"/>
      <w:bookmarkStart w:id="436" w:name="_Toc169"/>
      <w:bookmarkEnd w:id="435"/>
      <w:r>
        <w:rPr>
          <w:rtl w:val="true"/>
        </w:rPr>
        <w:t>التفسير</w:t>
      </w:r>
      <w:bookmarkEnd w:id="436"/>
    </w:p>
    <w:p>
      <w:pPr>
        <w:pStyle w:val="BookText"/>
        <w:rPr/>
      </w:pPr>
      <w:r>
        <w:rPr>
          <w:rFonts w:ascii="Amiri" w:hAnsi="Amiri" w:eastAsia="Amiri" w:cs="Amiri"/>
          <w:color w:val="111111"/>
          <w:sz w:val="28"/>
          <w:sz w:val="28"/>
          <w:szCs w:val="28"/>
          <w:rtl w:val="true"/>
          <w:lang w:bidi="ar-SA"/>
        </w:rPr>
        <w:t>يخاطب اللّه سبحانه المجتمع الإيماني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على أنّ ما سيأتي فريضة عامّة للمؤمنين جمعاء،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فاستخدام 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اختصاص النداء بمناد خاصّ كما مرّ في تفسير المفردات، بل في كلّ زمان قام إنسان بالنداء مع اجتماع سائر شرائطه يجب السعي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على النداء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امشوا إليها مشياً سريعاً وذروا كلّ ما يلهيكم عن ذكر اللّه، وذكر البيع من باب المثال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ما في تلك الفريضة من الخير والبركة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 إِنْ كُنْتُمْ تَعْلَمُونَ‌</w:t>
      </w:r>
      <w:r>
        <w:rPr>
          <w:rFonts w:eastAsia="Amiri" w:cs="Amiri" w:ascii="Amiri" w:hAnsi="Amiri"/>
          <w:color w:val="111111"/>
          <w:sz w:val="28"/>
          <w:szCs w:val="28"/>
          <w:rtl w:val="true"/>
          <w:lang w:bidi="ar-SA"/>
        </w:rPr>
        <w:t>) .</w:t>
      </w:r>
    </w:p>
    <w:p>
      <w:pPr>
        <w:pStyle w:val="Heading4"/>
        <w:numPr>
          <w:ilvl w:val="3"/>
          <w:numId w:val="1"/>
        </w:numPr>
        <w:rPr/>
      </w:pPr>
      <w:bookmarkStart w:id="437" w:name="__RefHeading___Toc1366191_388300464"/>
      <w:bookmarkStart w:id="438" w:name="_Toc170"/>
      <w:bookmarkEnd w:id="437"/>
      <w:r>
        <w:rPr>
          <w:rtl w:val="true"/>
        </w:rPr>
        <w:t>الآية الثانية</w:t>
      </w:r>
      <w:bookmarkEnd w:id="438"/>
    </w:p>
    <w:p>
      <w:pPr>
        <w:pStyle w:val="Heading5"/>
        <w:numPr>
          <w:ilvl w:val="4"/>
          <w:numId w:val="1"/>
        </w:numPr>
        <w:rPr/>
      </w:pPr>
      <w:bookmarkStart w:id="439" w:name="__RefHeading___Toc1366193_388300464"/>
      <w:bookmarkStart w:id="440" w:name="_Toc171"/>
      <w:bookmarkEnd w:id="439"/>
      <w:r>
        <w:rPr>
          <w:rtl w:val="true"/>
        </w:rPr>
        <w:t>اشارة</w:t>
      </w:r>
      <w:bookmarkEnd w:id="4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441" w:name="pg14912_141242"/>
    </w:p>
    <w:p>
      <w:pPr>
        <w:pStyle w:val="Heading5"/>
        <w:numPr>
          <w:ilvl w:val="4"/>
          <w:numId w:val="1"/>
        </w:numPr>
        <w:rPr/>
      </w:pPr>
      <w:bookmarkStart w:id="442" w:name="__RefHeading___Toc1366195_388300464"/>
      <w:bookmarkStart w:id="443" w:name="_Toc172"/>
      <w:bookmarkEnd w:id="441"/>
      <w:bookmarkEnd w:id="442"/>
      <w:r>
        <w:rPr>
          <w:rtl w:val="true"/>
        </w:rPr>
        <w:t>المفردات</w:t>
      </w:r>
      <w:bookmarkEnd w:id="443"/>
    </w:p>
    <w:p>
      <w:pPr>
        <w:pStyle w:val="BookText"/>
        <w:rPr/>
      </w:pP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الفراغ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ابتغاء أسباب المعاش بقرينة النهي في الآية السابقة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للإيجاب، بل لرفع الحظر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اَلْبَيْعَ‌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ثبت في الأُصول أنّ الأمر بعد الحظر أو بعد توهّمه بمعنى رفع الحظر السابق</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366197_388300464"/>
      <w:bookmarkStart w:id="445" w:name="_Toc173"/>
      <w:bookmarkEnd w:id="444"/>
      <w:r>
        <w:rPr>
          <w:rtl w:val="true"/>
        </w:rPr>
        <w:t>التفسير</w:t>
      </w:r>
      <w:bookmarkEnd w:id="44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صلّيتم الجمعة وفرغتم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فَانْتَشِرُوا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الرزق في البيع والشراء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غير منكبّين على طلب المال والرزق؛ بل تطلبونه بذكر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الفلاح هو في الجمع بين طلب الدنيا وطلب الآخرة، والآية دليل على وجوب رعاية التوازن بين طلب الدنيا والآخرة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أقام صلاة الجمعة لأوّل مرّة في مسيره من قبا إلى المدينة،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 رسول اللّه صلى الله عليه و آله و سلم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سالم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فصلّاها في المسجد الذي في بطن الوادي، فكانت أوّل جمعة صلّاها بالمدينة</w:t>
      </w:r>
      <w:r>
        <w:rPr>
          <w:rFonts w:eastAsia="Amiri" w:cs="Amiri" w:ascii="Amiri" w:hAnsi="Amiri"/>
          <w:color w:val="111111"/>
          <w:sz w:val="28"/>
          <w:szCs w:val="28"/>
          <w:rtl w:val="true"/>
          <w:lang w:bidi="ar-SA"/>
        </w:rPr>
        <w:t>.</w:t>
      </w:r>
      <w:r>
        <w:rPr>
          <w:rStyle w:val="FootnoteAnchor"/>
          <w:rtl w:val="true"/>
        </w:rPr>
        <w:footnoteReference w:id="354"/>
      </w:r>
      <w:bookmarkStart w:id="446" w:name="pg14912_141243"/>
    </w:p>
    <w:p>
      <w:pPr>
        <w:pStyle w:val="BookText"/>
        <w:rPr/>
      </w:pPr>
      <w:bookmarkEnd w:id="4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الطبرسي الخطبة التي خطبها رسول اللّه صلى الله عليه و آله و 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أحمده وأستعينه واستغفره وأستهديه وأؤمن به ولا أكفره، وأعادي من يكفره، وأشهد أن لا إله إلّااللّه وحده لا شريك له، وأشهد أنّ محمداً عبده ورسوله، أرسله بالهدى والنور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ونقل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خطب يوم الجمعة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عليكم الجمعة، فمَن تركها في حياتي أو بعد موتي استخفافاً بها أو جحوداً لها، فلا جمع اللّه شمله، ولا بارك له في أمره، ألا ولا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w:t>
      </w:r>
      <w:r>
        <w:rPr>
          <w:rStyle w:val="FootnoteAnchor"/>
          <w:rtl w:val="true"/>
        </w:rPr>
        <w:footnoteReference w:id="355"/>
      </w:r>
    </w:p>
    <w:p>
      <w:pPr>
        <w:pStyle w:val="Heading4"/>
        <w:numPr>
          <w:ilvl w:val="3"/>
          <w:numId w:val="1"/>
        </w:numPr>
        <w:rPr/>
      </w:pPr>
      <w:bookmarkStart w:id="447" w:name="__RefHeading___Toc1366199_388300464"/>
      <w:bookmarkStart w:id="448" w:name="_Toc174"/>
      <w:bookmarkEnd w:id="447"/>
      <w:r>
        <w:rPr>
          <w:rtl w:val="true"/>
        </w:rPr>
        <w:t>الآية الثالثة</w:t>
      </w:r>
      <w:bookmarkEnd w:id="448"/>
    </w:p>
    <w:p>
      <w:pPr>
        <w:pStyle w:val="Heading5"/>
        <w:numPr>
          <w:ilvl w:val="4"/>
          <w:numId w:val="1"/>
        </w:numPr>
        <w:rPr/>
      </w:pPr>
      <w:bookmarkStart w:id="449" w:name="__RefHeading___Toc1366201_388300464"/>
      <w:bookmarkStart w:id="450" w:name="_Toc175"/>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 .</w:t>
      </w:r>
      <w:r>
        <w:rPr>
          <w:rStyle w:val="FootnoteAnchor"/>
          <w:rtl w:val="true"/>
        </w:rPr>
        <w:footnoteReference w:id="356"/>
      </w:r>
    </w:p>
    <w:p>
      <w:pPr>
        <w:pStyle w:val="Heading5"/>
        <w:numPr>
          <w:ilvl w:val="4"/>
          <w:numId w:val="1"/>
        </w:numPr>
        <w:rPr/>
      </w:pPr>
      <w:bookmarkStart w:id="451" w:name="__RefHeading___Toc1366203_388300464"/>
      <w:bookmarkStart w:id="452" w:name="_Toc176"/>
      <w:bookmarkEnd w:id="451"/>
      <w:r>
        <w:rPr>
          <w:rtl w:val="true"/>
        </w:rPr>
        <w:t>المفردات</w:t>
      </w:r>
      <w:bookmarkEnd w:id="452"/>
    </w:p>
    <w:p>
      <w:pPr>
        <w:pStyle w:val="BookText"/>
        <w:rPr/>
      </w:pP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الانفضاض من باب الانفعال، مطاوع فضّه، إذا فرّقه فتفرّق،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فانكسر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يلهي الإنسان، وأُريد هنا ضرب الطبل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التجارة</w:t>
      </w:r>
      <w:r>
        <w:rPr>
          <w:rFonts w:eastAsia="Amiri" w:cs="Amiri" w:ascii="Amiri" w:hAnsi="Amiri"/>
          <w:color w:val="111111"/>
          <w:sz w:val="28"/>
          <w:szCs w:val="28"/>
          <w:rtl w:val="true"/>
          <w:lang w:bidi="ar-SA"/>
        </w:rPr>
        <w:t>.</w:t>
      </w:r>
      <w:bookmarkStart w:id="453" w:name="pg14912_141244"/>
    </w:p>
    <w:p>
      <w:pPr>
        <w:pStyle w:val="Heading5"/>
        <w:numPr>
          <w:ilvl w:val="4"/>
          <w:numId w:val="1"/>
        </w:numPr>
        <w:rPr/>
      </w:pPr>
      <w:bookmarkStart w:id="454" w:name="__RefHeading___Toc1366205_388300464"/>
      <w:bookmarkStart w:id="455" w:name="_Toc177"/>
      <w:bookmarkEnd w:id="453"/>
      <w:bookmarkEnd w:id="454"/>
      <w:r>
        <w:rPr>
          <w:rtl w:val="true"/>
        </w:rPr>
        <w:t>التفسير</w:t>
      </w:r>
      <w:bookmarkEnd w:id="455"/>
    </w:p>
    <w:p>
      <w:pPr>
        <w:pStyle w:val="BookText"/>
        <w:rPr/>
      </w:pPr>
      <w:r>
        <w:rPr>
          <w:rFonts w:ascii="Amiri" w:hAnsi="Amiri" w:eastAsia="Amiri" w:cs="Amiri"/>
          <w:color w:val="111111"/>
          <w:sz w:val="28"/>
          <w:sz w:val="28"/>
          <w:szCs w:val="28"/>
          <w:rtl w:val="true"/>
          <w:lang w:bidi="ar-SA"/>
        </w:rPr>
        <w:t>اتّفق المفسّرون على أنّ الآية نزلت في عير وردت المدينة بضرب الطبل والنبي صلى الله عليه و آله و سلم يخطب فترك المصلّون المسجد متوجّهين إلى التجارة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عير يوم الجمعة ونحن مع النبي صلى الله عليه و آله و سلم، فثار الناس إلّااثنا عشر رجلاً،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للتجّار الواردين إلى المدينة طبل يضربونه إذا وردوا فيها لإخبار الناس، فكانوا إذا سمعوا صوت الطبل تركوا النبيّ صلى الله عليه و آله و سلم قائماً في الصلاة أو الخطبة وذهبوا إليها إمّا للمسارعة إلى التجارة لئلّا يفوتهم الربح، وإمّا لمحض الطبل والصوت، فنزل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يرزق من غير أن يسرع إلى التجارة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ثمّ إنّه سبحانه أمر نبيّه بتذكير المؤمنين بأنّ ما عند اللّه خير من التجارة التي انفضّوا إليها،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عِنْدَ اَللّهِ خَيْرٌ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الانفضاض وترك النبي صلى الله عليه و آله و سلم وهو يخطب، لأجل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اَلرّازِقِينَ‌</w:t>
      </w:r>
      <w:r>
        <w:rPr>
          <w:rFonts w:eastAsia="Amiri" w:cs="Amiri" w:ascii="Amiri" w:hAnsi="Amiri"/>
          <w:color w:val="111111"/>
          <w:sz w:val="28"/>
          <w:szCs w:val="28"/>
          <w:rtl w:val="true"/>
          <w:lang w:bidi="ar-SA"/>
        </w:rPr>
        <w:t>) .</w:t>
      </w:r>
    </w:p>
    <w:p>
      <w:pPr>
        <w:pStyle w:val="Heading5"/>
        <w:numPr>
          <w:ilvl w:val="4"/>
          <w:numId w:val="1"/>
        </w:numPr>
        <w:rPr/>
      </w:pPr>
      <w:bookmarkStart w:id="456" w:name="__RefHeading___Toc1366207_388300464"/>
      <w:bookmarkStart w:id="457" w:name="_Toc178"/>
      <w:bookmarkEnd w:id="456"/>
      <w:r>
        <w:rPr>
          <w:rtl w:val="true"/>
        </w:rPr>
        <w:t>وقت صلاة الجمعة بدءاً ونهاية</w:t>
      </w:r>
      <w:bookmarkEnd w:id="45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صلاة الجمعة وقت الظهر يوم الجمعة خاصّة وقت زوال الشمس، وهذا هو المشهور، فلا تصحّ الركعتان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مبدأ وقتها، فهل</w:t>
      </w:r>
    </w:p>
    <w:p>
      <w:pPr>
        <w:pStyle w:val="BookText"/>
        <w:rPr/>
      </w:pPr>
      <w:r>
        <w:rPr>
          <w:rFonts w:ascii="Amiri" w:hAnsi="Amiri" w:eastAsia="Amiri" w:cs="Amiri"/>
          <w:color w:val="111111"/>
          <w:sz w:val="28"/>
          <w:sz w:val="28"/>
          <w:szCs w:val="28"/>
          <w:rtl w:val="true"/>
          <w:lang w:bidi="ar-SA"/>
        </w:rPr>
        <w:t>يكفي وصول الشمس إلى دائرة نصف النهار ولو لم تزل عنها؟</w:t>
      </w:r>
    </w:p>
    <w:p>
      <w:pPr>
        <w:pStyle w:val="BookText"/>
        <w:rPr/>
      </w:pPr>
      <w:r>
        <w:rPr>
          <w:rFonts w:ascii="Amiri" w:hAnsi="Amiri" w:eastAsia="Amiri" w:cs="Amiri"/>
          <w:color w:val="111111"/>
          <w:sz w:val="28"/>
          <w:sz w:val="28"/>
          <w:szCs w:val="28"/>
          <w:rtl w:val="true"/>
          <w:lang w:bidi="ar-SA"/>
        </w:rPr>
        <w:t>المشهور عدم الجواز، بل يشترط زوالها عن الدائرة؛ ففي صحيح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يصلّي الجمعة حين تزول الشمس قدر شراك، ويخطب في الظلّ الأوّل،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و سلم قد زالت الشمس، فأنزل فصلّ‌، وإنّما جعلت الجمعة ركعتين، من أجل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صلاة حتّى ينزل الإمام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والشراك هو قطعة من الجلد تكون في أعلى النعل تربط من الجانبين لتوثق به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 شراك نعل رسول اللّه صلى الله عليه و آله و سلم فوصله بشيء جديد فجعل ينظر إليه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ليعجبه شراك نعله، فيدخل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يكفي أن تكون الشمس قد زالت عن الدائرة بمقدار أقل من الشبر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الجمعة حين تزول الشمس قدر شراك،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الفيّ في أصل الحائط من الجانب الشرقي عند الزوال، فصار في رؤيةص</w:t>
      </w:r>
      <w:r>
        <w:rPr>
          <w:rFonts w:eastAsia="Amiri" w:cs="Amiri" w:ascii="Amiri" w:hAnsi="Amiri"/>
          <w:color w:val="111111"/>
          <w:sz w:val="28"/>
          <w:szCs w:val="28"/>
          <w:rtl w:val="true"/>
          <w:lang w:bidi="ar-SA"/>
        </w:rPr>
        <w:t>.</w:t>
      </w:r>
      <w:bookmarkStart w:id="458" w:name="pg14912_141246"/>
    </w:p>
    <w:p>
      <w:pPr>
        <w:pStyle w:val="BookText"/>
        <w:rPr/>
      </w:pPr>
      <w:bookmarkEnd w:id="458"/>
      <w:r>
        <w:rPr>
          <w:rFonts w:ascii="Amiri" w:hAnsi="Amiri" w:eastAsia="Amiri" w:cs="Amiri"/>
          <w:color w:val="111111"/>
          <w:sz w:val="28"/>
          <w:sz w:val="28"/>
          <w:szCs w:val="28"/>
          <w:rtl w:val="true"/>
          <w:lang w:bidi="ar-SA"/>
        </w:rPr>
        <w:t>العين قدر الشراك، وهذا أقلّ ما يعلم به الزوال</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بل يعلم الزوال بأقلّ من ذلك بالآلات الحديثة</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366209_388300464"/>
      <w:bookmarkStart w:id="460" w:name="_Toc179"/>
      <w:bookmarkEnd w:id="459"/>
      <w:r>
        <w:rPr>
          <w:rtl w:val="true"/>
        </w:rPr>
        <w:t>آخر وقت صلاة الجمعة</w:t>
      </w:r>
      <w:bookmarkEnd w:id="460"/>
    </w:p>
    <w:p>
      <w:pPr>
        <w:pStyle w:val="BookText"/>
        <w:rPr/>
      </w:pPr>
      <w:r>
        <w:rPr>
          <w:rFonts w:ascii="Amiri" w:hAnsi="Amiri" w:eastAsia="Amiri" w:cs="Amiri"/>
          <w:color w:val="111111"/>
          <w:sz w:val="28"/>
          <w:sz w:val="28"/>
          <w:szCs w:val="28"/>
          <w:rtl w:val="true"/>
          <w:lang w:bidi="ar-SA"/>
        </w:rPr>
        <w:t>إنّما الكلام في آخر الوقت، فيعلم بملاحظة ما ورد في وقت نافلة الظهر والعصر المشهور أنّ وقت نافلة الظهر من الزوال إلى الذراع والعصر إلى الذراعين، أي سبعي الشاخص وأربعة أصابعه، فإذا خرج وقت نافلة الظهر دخل وقت فضيلة الظهر، كما أنّه إذا خرج وقت نافلة العصر دخل وقت فضيلة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ذلك فاعلم أنّه قد تضافرت الروايات على أنّ وقت صلاة الجمعة محدّد بمقدار نافلة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الذراعين أو سبعي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وقت فضيلة الظهر يخرج وقت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الروايات المتضافرة التي جمعها الشيخ الحرّ العاملي في الباب الثامن من أبواب صلاة الجمعة نأتي بقسم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الأشياء أشياء موسّعة وأشياء مضيّقة، فالصلاة ممّا وسّع فيه، تُقدّم مرّة وتؤخّر أُخرى، والجمعة ممّا ضيّق فيها، فإنّ وقتها يوم الجمعة ساعة تزول، ووقت العصر فيها وقت الظهر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زالت الشمس بمقدار الذراعين هو وقت الظهر في غير يوم الجمعة، وفي الوقت نفسه هو وقت صلاة العصر في يومها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أيضاً الشيخ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مضيّقة وأُموراً موسّعة، وإنّ الوقت وقتان، والصلاة ممّا فيه السعة، فربما عجّل رسول اللّه صلى الله عليه و آله و سلم وربما أخّر إلّاصلاة الجمعة، فإنّ صلاة الجمعة من الأمر المضيّق، إنّما لها وقت واحد حين تزول، ووقت العصر يوم الجمعة وقت الظهر في سائر الأيّام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إلّايوم الجمعة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والرواية تشير إلى أنّ المصلّي في غير الجمعة يتنفّل عند الزوال ولكنّه في هذا الوقت يصلّي الفريضة يوم الجمعة، وقد جاء هذا المضمون في الرواية السابعة والثامنة والتاسعة والعاشرة من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خروج وقت صلاة الجمعة بانتهاء وقت نافلة الظهر ما رواه الصدوق عن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الجمعة زوال الشمس، ووقت صلاة الظهر في السفر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النافلة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ووقت العصر يوم الجمعة في الحضر نحو من وقت الظهر في غير يوم الجمعة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ومن المعلوم أنّ وقت الظهر من غير يوم الجمعة عند صيرورة الظل ذراعين، وهذا الحدّ في يوم الجمعة وقت صلاتها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فالروايات الواردة في هذا الباب تناهز إحدى وعشرين رواية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61" w:name="pg14912_141248"/>
    </w:p>
    <w:p>
      <w:pPr>
        <w:pStyle w:val="BookText"/>
        <w:rPr/>
      </w:pPr>
      <w:bookmarkEnd w:id="461"/>
      <w:r>
        <w:rPr>
          <w:rFonts w:ascii="Amiri" w:hAnsi="Amiri" w:eastAsia="Amiri" w:cs="Amiri"/>
          <w:color w:val="111111"/>
          <w:sz w:val="28"/>
          <w:sz w:val="28"/>
          <w:szCs w:val="28"/>
          <w:rtl w:val="true"/>
          <w:lang w:bidi="ar-SA"/>
        </w:rPr>
        <w:t>تدلّ على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أوّل وقتها هو زوال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آخر وقتها أوّل وقت فضيلة الظهر في غير يوم الجمعة، بمعنى أنّه يخرج بصيرورة الظل ذراعين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لازم إقامة الجمعة بالزوال جواز تقديم الخطبتين عليه، وقد مرّ في رواية عبد اللّه بن سنان أنّ النبي صلى الله عليه و آله و سلم يخطب في الظل الأوّل، وقد مرّ تفسير الظل الأوّل بالظلّ الموجود في جانب الشرق فما لم تصل الشمس إلى دائرة نصف النهار يُسمّى بالظلّ الأوّل، فإذا رجع الظلّ إلى جانب الشرق ثانياً يُسمّى فيئاً أو ظلاً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بذلك فهو، وإلّا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تضافر من الروايات من أنّ وقت صلاة الجمعة هو الظهر أُريد به الصلاة مع خطبتيها، ولعلّ الوجه الثاني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الإمام إذا زالت الشمس بمقدار الشراك أن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فعلى أئمّة الجمعة الانتباه حتى لا تقع الصلاة بعد الذراعين، ولعلّه لما ذكرنا كانت الخطب المروية عن الرسول صلى الله عليه و آله و سلم والوصي عليه السلام خطباً قصيرة ليست بالطويلة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366211_388300464"/>
      <w:bookmarkStart w:id="463" w:name="_Toc180"/>
      <w:bookmarkEnd w:id="462"/>
      <w:r>
        <w:rPr>
          <w:rtl w:val="true"/>
        </w:rPr>
        <w:t>كيفية صلاة الجمعة</w:t>
      </w:r>
      <w:bookmarkEnd w:id="463"/>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كصلاة الصبح، ويستحب أن يقرأ في الركعة الأُولى سورة الجمعة وفي الثانية المنافقون، بعد الحمد في كلّ من الركعتين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الجمعة خطبتان يأتي بهما الإمام قبل الصلاة، وفيها قنوتان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bookmarkStart w:id="464" w:name="pg14912_141249"/>
    </w:p>
    <w:p>
      <w:pPr>
        <w:pStyle w:val="BookText"/>
        <w:rPr/>
      </w:pPr>
      <w:bookmarkEnd w:id="464"/>
      <w:r>
        <w:rPr>
          <w:rFonts w:ascii="Amiri" w:hAnsi="Amiri" w:eastAsia="Amiri" w:cs="Amiri"/>
          <w:color w:val="111111"/>
          <w:sz w:val="28"/>
          <w:sz w:val="28"/>
          <w:szCs w:val="28"/>
          <w:rtl w:val="true"/>
          <w:lang w:bidi="ar-SA"/>
        </w:rPr>
        <w:t>قبل ركوع الركعة الأُولى، والثاني بعد ركوع الركعة الثانية، إجماعاً وسنة</w:t>
      </w:r>
      <w:r>
        <w:rPr>
          <w:rFonts w:eastAsia="Amiri" w:cs="Amiri" w:ascii="Amiri" w:hAnsi="Amiri"/>
          <w:color w:val="111111"/>
          <w:sz w:val="28"/>
          <w:szCs w:val="28"/>
          <w:rtl w:val="true"/>
          <w:lang w:bidi="ar-SA"/>
        </w:rPr>
        <w:t>.</w:t>
      </w:r>
      <w:r>
        <w:rPr>
          <w:rStyle w:val="FootnoteAnchor"/>
          <w:rtl w:val="true"/>
        </w:rPr>
        <w:footnoteReference w:id="366"/>
      </w:r>
    </w:p>
    <w:p>
      <w:pPr>
        <w:pStyle w:val="Heading5"/>
        <w:numPr>
          <w:ilvl w:val="4"/>
          <w:numId w:val="1"/>
        </w:numPr>
        <w:rPr/>
      </w:pPr>
      <w:bookmarkStart w:id="465" w:name="__RefHeading___Toc1366213_388300464"/>
      <w:bookmarkStart w:id="466" w:name="_Toc181"/>
      <w:bookmarkEnd w:id="465"/>
      <w:r>
        <w:rPr>
          <w:rtl w:val="true"/>
        </w:rPr>
        <w:t>فلسفة كون الخطبتين قبل الصلاة</w:t>
      </w:r>
      <w:bookmarkEnd w:id="466"/>
    </w:p>
    <w:p>
      <w:pPr>
        <w:pStyle w:val="BookText"/>
        <w:rPr/>
      </w:pPr>
      <w:r>
        <w:rPr>
          <w:rFonts w:ascii="Amiri" w:hAnsi="Amiri" w:eastAsia="Amiri" w:cs="Amiri"/>
          <w:color w:val="111111"/>
          <w:sz w:val="28"/>
          <w:sz w:val="28"/>
          <w:szCs w:val="28"/>
          <w:rtl w:val="true"/>
          <w:lang w:bidi="ar-SA"/>
        </w:rPr>
        <w:t>ورد في الحديث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الخطبة يوم الجمعة في أوّل الصلاة وجعلت في العيدين بعد الصلاة؛ لأنّ الجمعة أمر دائم وتكون في الشهر مراراً وفي السنة كثيراً، وإذا كثر ذلك على الناس ملّوا وتركوا ولم يقيموا عليه وتفرّقوا عنه، فجعلت قبل الصلاة ليحتبسوا على الصلاة ولا يتفرّقوا ولا يذهبوا، وأمّا العيدين فإنّما هو في السنة مرّتين، وهو أعظم من الجمعة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أبطل اللّه قول اليهود في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افتخروا بأنّهم أولياء اللّه وأحباؤه، فكذّبهم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افتخروا بأنّهم أهل الكتاب والعرب لا كتاب لهم، فشبّههم بالحمار يحمل أسفاراً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افتخروا بالسبت، وأنّه ليس للمسلمين مثله، فشرّع اللّه لهم الجمعة</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467" w:name="__RefHeading___Toc1366215_388300464"/>
      <w:bookmarkStart w:id="468" w:name="_Toc182"/>
      <w:bookmarkEnd w:id="467"/>
      <w:r>
        <w:rPr>
          <w:rtl w:val="true"/>
        </w:rPr>
        <w:t>حكم صلاة الجمعة في عصر الغيبة</w:t>
      </w:r>
      <w:bookmarkEnd w:id="468"/>
    </w:p>
    <w:p>
      <w:pPr>
        <w:pStyle w:val="Heading5"/>
        <w:numPr>
          <w:ilvl w:val="4"/>
          <w:numId w:val="1"/>
        </w:numPr>
        <w:rPr/>
      </w:pPr>
      <w:bookmarkStart w:id="469" w:name="__RefHeading___Toc1366217_388300464"/>
      <w:bookmarkStart w:id="470" w:name="_Toc183"/>
      <w:bookmarkEnd w:id="469"/>
      <w:r>
        <w:rPr>
          <w:rtl w:val="true"/>
        </w:rPr>
        <w:t>اشارة</w:t>
      </w:r>
      <w:bookmarkEnd w:id="4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كلمة الأصحاب في حكم صلاة الجمعة في عصر الغيبة، ونشير</w:t>
      </w:r>
      <w:bookmarkStart w:id="471" w:name="pg14912_141250"/>
    </w:p>
    <w:p>
      <w:pPr>
        <w:pStyle w:val="BookText"/>
        <w:rPr/>
      </w:pPr>
      <w:bookmarkEnd w:id="471"/>
      <w:r>
        <w:rPr>
          <w:rFonts w:ascii="IRNazanin" w:hAnsi="IRNazanin" w:eastAsia="IRNazanin"/>
          <w:color w:val="111111"/>
          <w:sz w:val="28"/>
          <w:sz w:val="28"/>
          <w:szCs w:val="28"/>
          <w:rtl w:val="true"/>
          <w:lang w:bidi="fa-IR"/>
        </w:rPr>
        <w:t>إلى المهمّ من الأقوال</w:t>
      </w:r>
      <w:r>
        <w:rPr>
          <w:rFonts w:eastAsia="IRNazanin" w:cs="IRNazanin"/>
          <w:color w:val="111111"/>
          <w:sz w:val="28"/>
          <w:szCs w:val="28"/>
          <w:rtl w:val="true"/>
          <w:lang w:bidi="fa-IR"/>
        </w:rPr>
        <w:t>:</w:t>
      </w:r>
    </w:p>
    <w:p>
      <w:pPr>
        <w:pStyle w:val="Heading5"/>
        <w:numPr>
          <w:ilvl w:val="4"/>
          <w:numId w:val="1"/>
        </w:numPr>
        <w:rPr/>
      </w:pPr>
      <w:bookmarkStart w:id="472" w:name="__RefHeading___Toc1366219_388300464"/>
      <w:bookmarkStart w:id="473" w:name="_Toc184"/>
      <w:bookmarkEnd w:id="472"/>
      <w:r>
        <w:rPr>
          <w:rtl w:val="true"/>
        </w:rPr>
        <w:t>[</w:t>
      </w:r>
      <w:r>
        <w:rPr>
          <w:rtl w:val="true"/>
        </w:rPr>
        <w:t>القول</w:t>
      </w:r>
      <w:r>
        <w:rPr>
          <w:rtl w:val="true"/>
        </w:rPr>
        <w:t xml:space="preserve">] </w:t>
      </w:r>
      <w:r>
        <w:rPr>
          <w:rtl w:val="true"/>
        </w:rPr>
        <w:t>الأوّل</w:t>
      </w:r>
      <w:r>
        <w:rPr>
          <w:rtl w:val="true"/>
        </w:rPr>
        <w:t xml:space="preserve">: </w:t>
      </w:r>
      <w:r>
        <w:rPr>
          <w:rtl w:val="true"/>
        </w:rPr>
        <w:t>القول بالتحريم</w:t>
      </w:r>
      <w:bookmarkEnd w:id="473"/>
    </w:p>
    <w:p>
      <w:pPr>
        <w:pStyle w:val="Heading6"/>
        <w:numPr>
          <w:ilvl w:val="5"/>
          <w:numId w:val="1"/>
        </w:numPr>
        <w:rPr/>
      </w:pPr>
      <w:bookmarkStart w:id="474" w:name="__RefHeading___Toc1366221_388300464"/>
      <w:bookmarkStart w:id="475" w:name="_Toc185"/>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نسب إلى جماعة من أصحابنا تحريم صلاة الجمعة في عصر الغيبة، واستظهروه من كلامهم من اشتراط إقامة صلاة الجمعة بوجود الإمام الأصل أو مَن نصبه، ونشير إلى بعض من وقفنا على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سلّار في مراسمه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فرض مع حضور إمام الأصل، أو مَن يقوم مقامه، واجتماع خمسة نفر فصاعداً، الإمام أحدهم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علاء الدين أبو الحسن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صلاة الجمعة إذا تكاملت شروطها، فمنها ما يخصّها وهي حضور إمام الأصل، أو مَن نصبه وناب عنه لأهليته وكمال خصاله المعتبرة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فريضة على مَن لم يكن معذوراً بما سنذكره من الأعذار بشروط، أحدها حضور الإمام العادل أو مَن نصبه للصلاة، اجتماع خمسة نفر فصاعداً، الإمام أحدهم على الصحيح من المذهب</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الجمعة الإمام العادل أي المعصوم عندنا أو إذنه، أمّا اشتراط الإمام أو إذنه فهو مذهب علمائنا أجمع</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فلو أُريد من إذنه، المنصوبُ للإمامة فيكون موافقاً لما ذهب إليه الأعلام الثلاثة، ولو</w:t>
      </w:r>
    </w:p>
    <w:p>
      <w:pPr>
        <w:pStyle w:val="BookText"/>
        <w:rPr/>
      </w:pPr>
      <w:r>
        <w:rPr>
          <w:rFonts w:ascii="IRNazanin" w:hAnsi="IRNazanin" w:eastAsia="IRNazanin"/>
          <w:color w:val="111111"/>
          <w:sz w:val="28"/>
          <w:sz w:val="28"/>
          <w:szCs w:val="28"/>
          <w:rtl w:val="true"/>
          <w:lang w:bidi="fa-IR"/>
        </w:rPr>
        <w:t>أراد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العام، فهو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المحدّث البحراني القول بالتحريم عن ظاهر المرتضى في أجوبة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الميافارقيات، والعلّامة في جهاد التحرير، والشهيد في الذكرى‌</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بالتحريم قول شاذّ بين القدماء، نعم حُكي 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التحريم؛ فهو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الأمر بالمعروف والنهي عن المنكر،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ولفقهاء الطائفة أن يصلّوا بالناس في الأعياد والاستسقاء، وأمّا الجُمع فلا،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القطيفي المعاصر لمولانا الكركيّ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ابن أبي ظبية، وقوّاه في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البحث، وجهاد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في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واستظهره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أحوط، 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الطبرسيّ والتونيّ‌، وقد يلوح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جملي علم الهدى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بتحريم صلاة الجمعة في حال الغيبة أمر غريب جدّاً؛ وذلك لأنّه لو قيل بأنّ جوازها مشروط بالإمام الأصل أو مَن نصبه للإمامة، فلابدّ أن يُراد من الشرط الإمام الموصوف ببسط اليد، حيث يقيمها بنفسه وينصب النواب لإقامتها في سائر البلدان، دون الإمام المحدود من جانب الأعداء الذي ربما يقتدي بالإمام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الجائر أو يأمر شيعته بالاقتداء حفظاً للدماء، فإذا كان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المقتدر، يلزم أن يكون تشريع وجوب صلاة الجمعة محدّداً بعصر الرسالة وزمناً قليلاً من إمامة أمير المؤمنين عليه السلام وشهوراً من زمن إمامة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الوجوب بزمان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يقبله العقل الحصيف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كيف يصحّ لفقيه حصر وجوب صلاة نزلت في حقّها سورة كاملة، بسنين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التشريع في الحقيقة محدوداً بزمن قليل، فما معنى التأكيد المتضافر في نفس الآيات،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التعبير بالسعي أبلغ تعبير لبيان الاهتمام، كما أنّ وصف صلاة الجمعة بذكر اللّه، تأكيد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البيع كناية عن ترك كلّ ما يمتّ للدنيا بصلة، والحضور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تشويق إلى الجمعة وتوبيخ لمن 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توبيخ وذم لمن رجّح التجارة أو اللهو على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الإمام يقرأ 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w:t>
      </w:r>
      <w:bookmarkStart w:id="476" w:name="pg14912_141253"/>
    </w:p>
    <w:p>
      <w:pPr>
        <w:pStyle w:val="BookText"/>
        <w:rPr/>
      </w:pPr>
      <w:bookmarkEnd w:id="476"/>
      <w:r>
        <w:rPr>
          <w:rFonts w:ascii="Amiri" w:hAnsi="Amiri" w:eastAsia="Amiri" w:cs="Amiri"/>
          <w:color w:val="111111"/>
          <w:sz w:val="28"/>
          <w:sz w:val="28"/>
          <w:szCs w:val="28"/>
          <w:rtl w:val="true"/>
          <w:lang w:bidi="ar-SA"/>
        </w:rPr>
        <w:t>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يصف مَن ألهته الأُمور الدنيوية عن ذكر اللّه، بالخسران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الحاثّة على الاهتمام بصلاة الجمعة المذكورة في الوسائل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وسيوافيك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فتخصيص جميع ما ذكر بفترة محدّدة لا يقبله الذوق الفقهي</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366223_388300464"/>
      <w:bookmarkStart w:id="478" w:name="_Toc186"/>
      <w:bookmarkEnd w:id="477"/>
      <w:r>
        <w:rPr>
          <w:rtl w:val="true"/>
        </w:rPr>
        <w:t>أدلّة القائلين بشرطية الإمام المعصوم</w:t>
      </w:r>
      <w:bookmarkEnd w:id="478"/>
    </w:p>
    <w:p>
      <w:pPr>
        <w:pStyle w:val="Heading6"/>
        <w:numPr>
          <w:ilvl w:val="5"/>
          <w:numId w:val="1"/>
        </w:numPr>
        <w:rPr/>
      </w:pPr>
      <w:bookmarkStart w:id="479" w:name="__RefHeading___Toc1366225_388300464"/>
      <w:bookmarkStart w:id="480" w:name="_Toc187"/>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لا شكّ أنّ الأصل في العبادة، هو التحريم إذا لم يرد فيها الإذن، فالأصل مع القائلين بالتحريم إلّاإذا ثبت الإذن بإقامتها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بالحرمة في حال الغيبة قالوا بشرطية الإمام الأصل أو مَن نصبه، مستدلّين بروايات نذكرها تباعاً</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366227_388300464"/>
      <w:bookmarkStart w:id="482" w:name="_Toc188"/>
      <w:bookmarkEnd w:id="481"/>
      <w:r>
        <w:rPr/>
        <w:t>1</w:t>
      </w:r>
      <w:r>
        <w:rPr>
          <w:rtl w:val="true"/>
        </w:rPr>
        <w:t xml:space="preserve">. </w:t>
      </w:r>
      <w:r>
        <w:rPr>
          <w:rtl w:val="true"/>
        </w:rPr>
        <w:t>دعاء الإمام السجاد عليه السلام يوم الأضحى ويوم الجمعة</w:t>
      </w:r>
      <w:r>
        <w:rPr>
          <w:rtl w:val="true"/>
        </w:rPr>
        <w:t>:</w:t>
      </w:r>
      <w:bookmarkEnd w:id="4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المقام لخلفائك وأصفيائك ومواضع أُمنائك في الدرجة الرفيعة التي اختصصتهم بها قد ابتزّوها وأنت المقدّر لذلك لا يُغالب أمرُك ولا يُجاوز المحتومُ من تدبيرك كيف شئت وأنّى شئت، ولما أنت أعلم به غير متّهم على خلقك ولا لإرادتك، حتى عاد صفوتك وخلفاؤك مغلوبين مقهورين مبتزّين يرون حكمك مبدّلاً، وكتابك منبوذاً، وفرائضك محرّفة عن جهات أشراعك، وسنن نبيّك متروكة، اللّهم العن أعداءهم من الأوّلين والآخرين، ومَن</w:t>
      </w:r>
    </w:p>
    <w:p>
      <w:pPr>
        <w:pStyle w:val="BookText"/>
        <w:rPr/>
      </w:pPr>
      <w:r>
        <w:rPr>
          <w:rFonts w:ascii="Amiri" w:hAnsi="Amiri" w:eastAsia="Amiri" w:cs="Amiri"/>
          <w:color w:val="111111"/>
          <w:sz w:val="28"/>
          <w:sz w:val="28"/>
          <w:szCs w:val="28"/>
          <w:rtl w:val="true"/>
          <w:lang w:bidi="ar-SA"/>
        </w:rPr>
        <w:t>رضي بفعالهم وأشياعهم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إنّك حميد مجيد كصلواتك وبركاتك وتحياتك على أصفيائك إبراهيم وآل إبراهيم، وعجلّ الفرج والرّوح والنصرة والتمكين والتأييد لهم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صلاتي الأضحى والجمعة، فهو لخلفاء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أنّ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الإمامة والرئاسة الدينية التي من مظاهرها إقامة صلاتي الجمعة والعيدين،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عاد صفوتك وخلفاؤك مغلوبين مقهورين مبتزّين يرون حكمك مبدّلاً وكتابك منبوذاً، وفرائضك محرّفة عن جهات أشراعك، وسنن نبيك متروكة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تنديد الإمام عليه السلام إنّما هو لجماعة يقيمون صلاتي الجمعة والأضحى بعنوان الإمامة والخلافة، وبذلك اغتصبوا مقام صفوة أولياء اللّه، فإنّ إقامتهما بهذا العنوان من خصائصهم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أقامهما لا بهذا العنوان بل أقامهما بما أنّه من شيعة الإمام إجابة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 في أوّل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يوم مبارك ميمون، والمسلمون فيه مجتمعون في أقطار أرضك، يشهد السائل منهم الطالب والراغب والراهب وأنت الناظر في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تنديد الإمام وإنذاره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ضابطة كلّية في كلّ ما يمتّ للإمامة بصلة، فلو أخذ أحد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83" w:name="pg14912_141255"/>
    </w:p>
    <w:p>
      <w:pPr>
        <w:pStyle w:val="BookText"/>
        <w:rPr/>
      </w:pPr>
      <w:bookmarkEnd w:id="483"/>
      <w:r>
        <w:rPr>
          <w:rFonts w:ascii="Amiri" w:hAnsi="Amiri" w:eastAsia="Amiri" w:cs="Amiri"/>
          <w:color w:val="111111"/>
          <w:sz w:val="28"/>
          <w:sz w:val="28"/>
          <w:szCs w:val="28"/>
          <w:rtl w:val="true"/>
          <w:lang w:bidi="ar-SA"/>
        </w:rPr>
        <w:t>الفرائض المالية بما أنّه إمام الأُمّة وخليفة رسول اللّه صلى الله عليه و آله و سلم فهذا حرام، وأمّا إذا أخذها الفقيه بما أنّه من شيعة الإمام عليه السلام عملاً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الإمام عليه السلام ناظر إلى مَن يزاحمونهم في هذا المقام ويسلبون حقوقهم عنهم، وأمّا مَن كان مطيعاً لأمرهم ونهيهم وأقام الصلاة بهذا العنوان، فكلام الإمام عليه السلام منصرف عنه</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366229_388300464"/>
      <w:bookmarkStart w:id="485" w:name="_Toc189"/>
      <w:bookmarkEnd w:id="484"/>
      <w:r>
        <w:rPr/>
        <w:t>2</w:t>
      </w:r>
      <w:r>
        <w:rPr>
          <w:rtl w:val="true"/>
        </w:rPr>
        <w:t xml:space="preserve">. </w:t>
      </w:r>
      <w:r>
        <w:rPr>
          <w:rtl w:val="true"/>
        </w:rPr>
        <w:t>كان زرارة تاركاً لصلاة الجمعة</w:t>
      </w:r>
      <w:bookmarkEnd w:id="485"/>
    </w:p>
    <w:p>
      <w:pPr>
        <w:pStyle w:val="BookText"/>
        <w:rPr/>
      </w:pPr>
      <w:r>
        <w:rPr>
          <w:rFonts w:ascii="Amiri" w:hAnsi="Amiri" w:eastAsia="Amiri" w:cs="Amiri"/>
          <w:color w:val="111111"/>
          <w:sz w:val="28"/>
          <w:sz w:val="28"/>
          <w:szCs w:val="28"/>
          <w:rtl w:val="true"/>
          <w:lang w:bidi="ar-SA"/>
        </w:rPr>
        <w:t>ما رواه الشيخ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حثّنا أبو عبد اللّه عليه السلام 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زرارة ممّن يصلّي صلاة الجمعة، لم يكن معنى للحثّ عليها، ولذكّره بأنّي أُصلّيها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زرارة لم يكن يصلّي صلاة الجمعة، مخالف لما ذكره وليد هذا البيت الرفيع، غالب الزراري في ترجمة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كان وسيماً جسيماً، وكان يخرج إلى الجمعة وعلى رأسه برنس أسود وبين عينيه سجادة وفي يده عصا، فيقوم له الناس سماطين، ينظرون إليه لحسن هيئته، وربما رجع عن طريقه، وكان خصماً جدلاً، لا يقوم أحد لحجّته، إلّاأنّ العبادة</w:t>
      </w:r>
    </w:p>
    <w:p>
      <w:pPr>
        <w:pStyle w:val="BookText"/>
        <w:rPr/>
      </w:pPr>
      <w:r>
        <w:rPr>
          <w:rFonts w:ascii="Amiri" w:hAnsi="Amiri" w:eastAsia="Amiri" w:cs="Amiri"/>
          <w:color w:val="111111"/>
          <w:sz w:val="28"/>
          <w:sz w:val="28"/>
          <w:szCs w:val="28"/>
          <w:rtl w:val="true"/>
          <w:lang w:bidi="ar-SA"/>
        </w:rPr>
        <w:t>أشغلته عن الكلام، والمتكلّمون من الشيعة تلاميذه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القول بأنّ زرارة كان تاركاً لصلاة الجمعة مع أنّه يروي روايات عديدة عن الباقر عليه السلام ممّا يدلّ على وجوب صلاة الجمعة عيناً، وكفى في ذلك ما رواه في الوسائل في الباب الأوّل،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الباب الثاني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ونقتصر بذكر رواية واحدة وهي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عزّ وجلّ على الناس من الجمعة إلى الجمعة خمساً وثلاثين صلاة، منها صلاة 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كان يقيم الجمعة مع صلاة الآخرين، فحثّه الإمام على إقامة الجمعة بين أبناء الشيعة، وهو إمّا إذن خاص لزرارة، أو إذن عام للشيعة يعمّ الحضور وأيام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مفاد حديث زرارة، فما هو مفاد حديث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عن عبد الملك،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الجمعة</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عبد الملك لم يكن يشارك في صلاة المخالفين، فوبّخه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86" w:name="pg14912_141257"/>
    </w:p>
    <w:p>
      <w:pPr>
        <w:pStyle w:val="BookText"/>
        <w:rPr/>
      </w:pPr>
      <w:bookmarkEnd w:id="486"/>
      <w:r>
        <w:rPr>
          <w:rFonts w:ascii="Amiri" w:hAnsi="Amiri" w:eastAsia="Amiri" w:cs="Amiri"/>
          <w:color w:val="111111"/>
          <w:sz w:val="28"/>
          <w:sz w:val="28"/>
          <w:szCs w:val="28"/>
          <w:rtl w:val="true"/>
          <w:lang w:bidi="ar-SA"/>
        </w:rPr>
        <w:t>الإمام بأنّه يمكنه أن يقيم صلاة الجمعة بين أصحابه، والرواية كالسابقة إمّا إذن خاص له، أو إذن عام للشيعة بأن يقيموا صلاة الجمعة،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والتقييد بعدم الخوف؛ لأنّ إقامتها في تلك الظروف بلا إذن من الحكام كان يعدّ خروجاً عليهم كما سيوافيك</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366231_388300464"/>
      <w:bookmarkStart w:id="488" w:name="_Toc190"/>
      <w:bookmarkEnd w:id="487"/>
      <w:r>
        <w:rPr/>
        <w:t>3</w:t>
      </w:r>
      <w:r>
        <w:rPr>
          <w:rtl w:val="true"/>
        </w:rPr>
        <w:t xml:space="preserve">. </w:t>
      </w:r>
      <w:r>
        <w:rPr>
          <w:rtl w:val="true"/>
        </w:rPr>
        <w:t>إذن الإمام لترك صلاة الجمعة في يوم اجتمع فيه عيدان</w:t>
      </w:r>
      <w:bookmarkEnd w:id="488"/>
    </w:p>
    <w:p>
      <w:pPr>
        <w:pStyle w:val="BookText"/>
        <w:rPr/>
      </w:pPr>
      <w:r>
        <w:rPr>
          <w:rFonts w:ascii="Amiri" w:hAnsi="Amiri" w:eastAsia="Amiri" w:cs="Amiri"/>
          <w:color w:val="111111"/>
          <w:sz w:val="28"/>
          <w:sz w:val="28"/>
          <w:szCs w:val="28"/>
          <w:rtl w:val="true"/>
          <w:lang w:bidi="ar-SA"/>
        </w:rPr>
        <w:t>خبر إسحاق بن عمّار، عن جعفر، عن أبيه عليهما السلام أنّ علي بن أبي طالب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عيدان للناس في يوم واحد فإنّه ينبغي للإمام أن يقول للناس في خطبته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اجتمع لكم عيدان فأنا أُصلّيهما جميعاً، فمَن كان مكانه قاصياً فأحبّ أن ينصرف عن الآخر فقد أذنت 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ترك صلاة الجمعة للإمام المعصوم، إذا أدرك صلاة الأضحى أو صلاة الفطر، وأنّ له أن يأذن في تركها إذا رأى مصلحة في ذلك، وهذا يدلّ على كون إقامتها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وإن كان الإمام المعصوم، ولكنّه إخبار عن تشريع عام لأئمة الجمعة جمعاء،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مطلق مقيم الجمعة، ولا يُريد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عُلم أنّ الإذن في الترك بما أنّه حكم شرعي ليس من شؤون الإمام المعصوم، بل من شؤون إمام الجمعة وإن لم يكن معصوماً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الرواية بحاجة إلى توجيه؛ لأنّ التشريع بيد اللّه سبحانه ومن مراتب</w:t>
      </w:r>
      <w:bookmarkStart w:id="489" w:name="pg14912_141258"/>
    </w:p>
    <w:p>
      <w:pPr>
        <w:pStyle w:val="BookText"/>
        <w:rPr/>
      </w:pPr>
      <w:bookmarkEnd w:id="489"/>
      <w:r>
        <w:rPr>
          <w:rFonts w:ascii="Amiri" w:hAnsi="Amiri" w:eastAsia="Amiri" w:cs="Amiri"/>
          <w:color w:val="111111"/>
          <w:sz w:val="28"/>
          <w:sz w:val="28"/>
          <w:szCs w:val="28"/>
          <w:rtl w:val="true"/>
          <w:lang w:bidi="ar-SA"/>
        </w:rPr>
        <w:t>التوحيد، التوحيد في التشريع، فليس على الإمام على الإطلاق أن يتدخّل في التشريع، بأن يأذن بترك الفريضة، وعلى هذا فلا محيص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الشرعي في حقّ من كان مكانه قاصياً، له أن يُشارك في الصلاة الأُولى ويترك الصلاة الأُخرى، بيّن الإمام هذا الحكم الشرعي في تعبير عاطفي لطيف كماترى</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366233_388300464"/>
      <w:bookmarkStart w:id="491" w:name="_Toc191"/>
      <w:bookmarkEnd w:id="490"/>
      <w:r>
        <w:rPr/>
        <w:t>4</w:t>
      </w:r>
      <w:r>
        <w:rPr>
          <w:rtl w:val="true"/>
        </w:rPr>
        <w:t xml:space="preserve">. </w:t>
      </w:r>
      <w:r>
        <w:rPr>
          <w:rtl w:val="true"/>
        </w:rPr>
        <w:t>قولهم عليهم السلام لنا الجمعة</w:t>
      </w:r>
      <w:bookmarkEnd w:id="491"/>
    </w:p>
    <w:p>
      <w:pPr>
        <w:pStyle w:val="BookText"/>
        <w:rPr/>
      </w:pP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رسالة الفاضل بن عصفور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 ولنا الأنفال، ولنا الجمعة، ولنا صفو المال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نعثر على سنده، بأنّه على خلاف المطلوب أدلّ‌؛ لأنّ الخمس غير مشروط بحضور الإمام، مع أنّه ذكر مع الجمعة والأنفال وصفو المال</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366235_388300464"/>
      <w:bookmarkStart w:id="493" w:name="_Toc192"/>
      <w:bookmarkEnd w:id="492"/>
      <w:r>
        <w:rPr/>
        <w:t>5</w:t>
      </w:r>
      <w:r>
        <w:rPr>
          <w:rtl w:val="true"/>
        </w:rPr>
        <w:t xml:space="preserve">. </w:t>
      </w:r>
      <w:r>
        <w:rPr>
          <w:rtl w:val="true"/>
        </w:rPr>
        <w:t>الاستدلال بروايات ضعاف</w:t>
      </w:r>
      <w:bookmarkEnd w:id="49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والصدقات، والجمعة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فقد أُريد من الصدقات الزكوات، وهي غير مشروطة بحضور الإمام 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رسالة الفاضل بن عصفور، روى مرسلاً</w:t>
      </w:r>
    </w:p>
    <w:p>
      <w:pPr>
        <w:pStyle w:val="BookText"/>
        <w:rPr/>
      </w:pP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لنا والجماعة لشيعتنا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والحكومة لإمام المسلمين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العشيرة إذا كان عليهم أمير يقيم الحدود عليهم فقد وجب عليهما الجمعة والتشريق</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ناظرة إلى أنّه لا يجوز لأحد مزاحمة الإمام المعصوم في إقامة الجمعة، فمَن صلّى بعنوان أنّه أمير المؤمنين وخليفة المسلمين، فهو غاصب لحقوقهم؛ وأمّا من أقام معترفاً بحقّهم ممتثلاً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الروايات غير ناظرة إلى منعه،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ولا الحدود ولا الجمعة إلّابإمام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الإمام يهرب ولا يخلف أحداً يصلّي بالناس، كيف يصلّون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 كصلاتهم أربع ركعات</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إلّامع إمام عدل تقيّ‌</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ضعف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الأُمور الدينية على وجه الإطلاق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القاضي للقضاء، وبعث الجابي لأخذ الزكاة، وتعيين الإمام للمساجد العامّة حتى المؤذّن للصلاة كان يوم ذاك بيد الخلفاء من بعد النبي صلى الله عليه و آله و سلم، وكانت الممارسة لهذه الأُمور حتى إقامة صلاة الجمعة دليلاً على أنّ الممارس خليفة وإمام للناس أو مأذون منه، سواء أكانت الممارسة حقاً أم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والخلفاء بعد النبي صلى الله عليه و آله و سلم كانوا يمارسون هذه الأُمور بما أنّهم خلفاء الرسول وساسة البلاد، وبذلك كانوا يغرّون ضعفاء العقول ويجلبون عواطفهم وعقائدهم بصحّة خلافتهم؛ حتّى أنّ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دليلاً على شرطية إذن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ومعتمدنا فعل النبي صلى الله عليه و آله و سلم فإنّه كان يعيّن لإمامة الجمعة، وكذا الخلفاء بعده كما يعيّن للقضاء، فكما لا يصحّ أن ينصب الإنسان نفسه قاضياً من دون إذن الإمام، كذا إمامة الجمعة، وليس هذا قياساً بل استدلال بالعمل المستمر في الأعصار فمخالفته خرق للإجماع</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وفي هذه الظروف صدرت هذه الروايات قائلة بأنّ هذه الأُمور لإئمة الحقّ لا للأمويّين ولا للعباسيّين، وأنّهم ابتزّوها وسلبوها عنهم واستولوا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فبما أنّ ممارسة هذه الأُمور باسم الخلافة حقّ لأئمة أهل البيت عليهم السلام، فمَن مارسها بهذا العنوان فقد سلب حقّاً من أئمّة الحقّ‌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باسناده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من عيد للمسلمين أضحى ولا فطر إلّاويجدّد لآل محمد فيه 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وعلى هذا فهذه الروايات تندد بكلّ مَن أقام صلاة الجمعة وأخذ الخمس والفيء وغير ذلك بما أنّه إمام وخليفة أو مأذون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أقام صلاة الجمعة في غيبة الإمام أو حضوره من غير أن يكون له هذا الادّعاء، بل كانت الغاية العمل بكتاب اللّه وسنّة رسوله وامتثالاً لما أمر به أبو جعفر عليه السلام من إقامة صلاة الجمعة بين الشيعة، فلا صلة لهذه الروايات المنددة المنكرة لمن يقيمها بما أنّه خليفة الرسول أو المأذون من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لعاملي الزمان والمكان تأثيراً في استنباط الأحكام الشرعية، فهكذا للظروف السائدة حين صدور هذه الروايات تأثير في تفسير مرمى الروايات وهدفها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نظر إلى هذه الروايات مع قطع النظر عن ظروف الصدور يجعلها دليلاً على اختصاص إقامة صلاة الجمعة بهم وبإذنهم، وأمّا إذا نظر إليها مقرونةً بما ذكرنا من أنّ مَن كان يقيم صلاة الجمعة وأمثالها في تلك الظروف فإنّما كان يقيمها بما أنّه خليفة وإمام وقائد الأُمّة، أو مأذون منهم، وعلى هذا فلا صلة لهذه الروايات بعصر الغيبة الذي نفقد حضور الإمام، وإنّما نقيم الفريضة امتثالاً للكتاب بلا ادّعاء للمقيم ولا للمأمومين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أكثر هذه الروايات ضعفاً في السند والدلالة، وهي لا تقاوم الذكر الحكيم، ولا ما دلّ على وجوب الجمعة إذا توفّرت الشروط المجمع عليها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على شرطية إذن الإمام بما رواه الشيخ عن حمّاد بن عيسى،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94" w:name="pg14912_141262"/>
    </w:p>
    <w:p>
      <w:pPr>
        <w:pStyle w:val="BookText"/>
        <w:rPr/>
      </w:pPr>
      <w:bookmarkEnd w:id="494"/>
      <w:r>
        <w:rPr>
          <w:rFonts w:ascii="Amiri" w:hAnsi="Amiri" w:eastAsia="Amiri" w:cs="Amiri"/>
          <w:color w:val="111111"/>
          <w:sz w:val="28"/>
          <w:sz w:val="28"/>
          <w:szCs w:val="28"/>
          <w:rtl w:val="true"/>
          <w:lang w:bidi="ar-SA"/>
        </w:rPr>
        <w:t>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الخليفة مصراً من الأمصار 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لإحد غيره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ولا يخفى أنّ لسان الحديث يوحي صدوره عن تقية، وعلى فرض الصدور يختص بحال الحضور،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حمله في التهذيبين على التقية؛ لأنّه مذهب 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الخليفة إن كان معصوماً فلا يجوز لأحد من الرعية التقدّم عليه، وإن كان جائراً فالتقدّم عليه يوجب الفتنة والفساد، وفي هذا الحديث دلالة بحسب المفهوم على جواز التجميع لغير الإمام المعصوم إذا لم يكن هو شاهداً في البلد</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تمّ الكلام في القول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366237_388300464"/>
      <w:bookmarkStart w:id="496" w:name="_Toc193"/>
      <w:bookmarkEnd w:id="495"/>
      <w:r>
        <w:rPr>
          <w:rtl w:val="true"/>
        </w:rPr>
        <w:t>[</w:t>
      </w:r>
      <w:r>
        <w:rPr>
          <w:rtl w:val="true"/>
        </w:rPr>
        <w:t>القول</w:t>
      </w:r>
      <w:r>
        <w:rPr>
          <w:rtl w:val="true"/>
        </w:rPr>
        <w:t xml:space="preserve">] </w:t>
      </w:r>
      <w:r>
        <w:rPr>
          <w:rtl w:val="true"/>
        </w:rPr>
        <w:t>الثاني</w:t>
      </w:r>
      <w:r>
        <w:rPr>
          <w:rtl w:val="true"/>
        </w:rPr>
        <w:t xml:space="preserve">: </w:t>
      </w:r>
      <w:r>
        <w:rPr>
          <w:rtl w:val="true"/>
        </w:rPr>
        <w:t>القول بالتخيير</w:t>
      </w:r>
      <w:bookmarkEnd w:id="496"/>
    </w:p>
    <w:p>
      <w:pPr>
        <w:pStyle w:val="Heading6"/>
        <w:numPr>
          <w:ilvl w:val="5"/>
          <w:numId w:val="1"/>
        </w:numPr>
        <w:rPr/>
      </w:pPr>
      <w:bookmarkStart w:id="497" w:name="__RefHeading___Toc1366239_388300464"/>
      <w:bookmarkStart w:id="498" w:name="_Toc194"/>
      <w:bookmarkEnd w:id="497"/>
      <w:r>
        <w:rPr>
          <w:rtl w:val="true"/>
        </w:rPr>
        <w:t>اشارة</w:t>
      </w:r>
      <w:bookmarkEnd w:id="4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القول بالوجوب التخييري لصلاة الجمعة في عصر الغيبة، 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القدامى والمتأخّرين،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النهاية والمبسوط والمصباح وجامع الشرائع والشرائع والنافع والمعتبر والتخليص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وحواشي الشهيد والبيان وغاية المراد كما سمعت، والموجز الحاوي والمقتصر وتعليق الإرشاد والميسيّة والروض والمقاصد العليّة</w:t>
      </w:r>
      <w:bookmarkStart w:id="499" w:name="pg14912_141263"/>
    </w:p>
    <w:p>
      <w:pPr>
        <w:pStyle w:val="BookText"/>
        <w:rPr/>
      </w:pPr>
      <w:bookmarkEnd w:id="499"/>
      <w:r>
        <w:rPr>
          <w:rFonts w:ascii="Amiri" w:hAnsi="Amiri" w:eastAsia="Amiri" w:cs="Amiri"/>
          <w:color w:val="111111"/>
          <w:sz w:val="28"/>
          <w:sz w:val="28"/>
          <w:szCs w:val="28"/>
          <w:rtl w:val="true"/>
          <w:lang w:bidi="ar-SA"/>
        </w:rPr>
        <w:t>وتمهيد القواعد والذكرى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صريحهما، وهو المنقول عن القاضي وكذا المفيد والتقيّ على ما عرفت</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وقد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تخييراً أو لا تجب عيناً إذا صلّاها غير المعصوم والمنصوب من قبله،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عيناً عقدها، و إذا عقدت يجب الحضور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الفيض في الرسالة الخاصّة لبيان حكم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بالخيار في إنشائها وجمع العدد لها وتعيين الإمام لأجلها، فإذا فعلوا ذلك وعزموا على فعلها تعيّن على كلّ مَن اجتمعت له الشرائط الأُخر، حضورها، ولا يسع لأحد التخلّف عنها حينئذ، لا أنّ لآحاد الناس حينئذٍ التخيير في حضورها وعدمه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الحضور وإن انعقدت، أو عَلِمَ أنّ جمعاً من المؤمنين اجتمع فيهم العددُ المعتبر وحصل لإمامهم شروط الإمامة وأنّهم يعقدونها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بالتخيير يتم بالكلام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366241_388300464"/>
      <w:bookmarkStart w:id="501" w:name="_Toc195"/>
      <w:bookmarkEnd w:id="500"/>
      <w:r>
        <w:rPr>
          <w:rtl w:val="true"/>
        </w:rPr>
        <w:t>الأوّل</w:t>
      </w:r>
      <w:r>
        <w:rPr>
          <w:rtl w:val="true"/>
        </w:rPr>
        <w:t xml:space="preserve">: </w:t>
      </w:r>
      <w:r>
        <w:rPr>
          <w:rtl w:val="true"/>
        </w:rPr>
        <w:t>دراسة القول على ضوء القواعد الأوّلية</w:t>
      </w:r>
      <w:bookmarkEnd w:id="50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التخييري يتميّز عن الواجب التعييني، هو أنّ الشارع إذا أراد فعلاً</w:t>
      </w:r>
    </w:p>
    <w:p>
      <w:pPr>
        <w:pStyle w:val="BookText"/>
        <w:rPr/>
      </w:pPr>
      <w:r>
        <w:rPr>
          <w:rFonts w:ascii="Amiri" w:hAnsi="Amiri" w:eastAsia="Amiri" w:cs="Amiri"/>
          <w:color w:val="111111"/>
          <w:sz w:val="28"/>
          <w:sz w:val="28"/>
          <w:szCs w:val="28"/>
          <w:rtl w:val="true"/>
          <w:lang w:bidi="ar-SA"/>
        </w:rPr>
        <w:t xml:space="preserve">معيّناً، فهو تعييني، وإن أراد به الدائر بين متعدّد نوعاً فتخييري، ثمّ إنّ مقتضى القاعدة الأوّلية عدم ثبوت التخييري؛ وذلك لأنّ حضور المعصوم إمّا شرط لمشروعية الجمعة، أو شرط لوجوبها؛ فعلى الأوّل، تكون الصلاة محرّمة لعدم كونها مشروعة،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الحضور شرطاً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الوجوب بانتفاء شرطه، فمن أين جاء الوجوب التخييري بعد انتفاء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الجامع لشرائط الفتوى منصوب من قبل الإمام ولهذا تمضي أحكامه وتجب مساعدته على إقامة الحدود والقضاء بين الناس، فلتكن صلاة الجمعة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الجامع للشرائط منصوب من قبل الإمام لإجراء الأحكام الباقية بحالها، والمفروض في المقام احتمال انتفاء وجوب صلاة الجمعة بانتفاء شرطه، ومعه كيف صار واجباً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الواجب أمراً معيّناً، لا كليّاً مردّداً بين الجمعة والظهر، فإذا ارتفع الوجوب التعييني بانتفاء شرطه، فتبديل التعييني إلى التخييري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بدلية الظهر للجمعة كانت ثابتة في عصر الظهور، بشهادة أنّ من لم يتمكّن من الواجب تجب عليه صلاة الظهر بدلاً عنها، فليكن عصر الغيبة كذلك، فكلّ مَن لا يتمكّن من إقامة الصلاة مع الإمام المنصوب تنتقل وظيفته إلى الظهر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بدلية الظهر ثبتت لمن فاتته صلاة الجمعة بعد وجوبها عليه، وأين هذا من بدلية الظهر لمن لم تفته وبإمكانه اقامتها؟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الوجوب التخييريّ؟</w:t>
      </w:r>
      <w:r>
        <w:rPr>
          <w:rFonts w:eastAsia="Amiri" w:cs="Amiri" w:ascii="Amiri" w:hAnsi="Amiri"/>
          <w:color w:val="111111"/>
          <w:sz w:val="28"/>
          <w:szCs w:val="28"/>
          <w:rtl w:val="true"/>
          <w:lang w:bidi="ar-SA"/>
        </w:rPr>
        <w:t>!</w:t>
      </w:r>
      <w:bookmarkStart w:id="502" w:name="pg14912_141265"/>
    </w:p>
    <w:p>
      <w:pPr>
        <w:pStyle w:val="Heading6"/>
        <w:numPr>
          <w:ilvl w:val="5"/>
          <w:numId w:val="1"/>
        </w:numPr>
        <w:rPr/>
      </w:pPr>
      <w:bookmarkStart w:id="503" w:name="__RefHeading___Toc1366243_388300464"/>
      <w:bookmarkStart w:id="504" w:name="_Toc196"/>
      <w:bookmarkEnd w:id="502"/>
      <w:bookmarkEnd w:id="503"/>
      <w:r>
        <w:rPr>
          <w:rtl w:val="true"/>
        </w:rPr>
        <w:t>المقام الثاني</w:t>
      </w:r>
      <w:r>
        <w:rPr>
          <w:rtl w:val="true"/>
        </w:rPr>
        <w:t xml:space="preserve">: </w:t>
      </w:r>
      <w:r>
        <w:rPr>
          <w:rtl w:val="true"/>
        </w:rPr>
        <w:t>دراسة القول حسب الأدلة الاجتهادية</w:t>
      </w:r>
      <w:bookmarkEnd w:id="504"/>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في قرية صلّوا الجمعة أربع ركعات، فإن كان لهم مَن يخطب لهم جمعوا إذا كانوا خمس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 السيد الخوانساري قدس سره بعد ذكر الرواية حيث إنّ صدر هذه الرواية يدلّ على أنّ الساكنين في قرية من القرى يجب عليهم في يوم الجمعة صلاة الظهر أربع ركعات، ووجه التقييد بكونهم في قرية مع أنّ الأحكام لا تختصّ بأهل الأمصار، هو أنّ القرى ليس فيها السلطان أو نائبه بحيث يسوقهم إلى الاجتماع للجمعة، ولكن إقامة الجمعة باختيارهم مع إمام منهم كانت راجحة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الرواية 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الأُولى ناظرة إلى قرية بعيدة عمّن يخطب ولم يكن عندهم مَن يقوم بصلاة الجمعة بشرائطها وآدابها، إذ ليست الخطبتان مورد كلّ شارد ووارد، وهؤلاء يصلّون صلاة الظهر، ولذلك أخرج أهل قرية من القرى عن إقامة صلاة الجمعة لعدم وجود خطيب يقوم بأمر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الفقرة الثانية فهي ناظرة لجمع يتمكّن من إقامة الجمعة، فأي صلة للرواية بالوجوب التخييري في زمان الغيبة‌؟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يتمكّن من الخطيب يصلّي الظهر، والمتمكّن يصلّي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الماء يتوضّأ، ومن لم يجد يتيمّم، وما في</w:t>
      </w:r>
    </w:p>
    <w:p>
      <w:pPr>
        <w:pStyle w:val="BookText"/>
        <w:rPr/>
      </w:pPr>
      <w:r>
        <w:rPr>
          <w:rFonts w:ascii="Amiri" w:hAnsi="Amiri" w:eastAsia="Amiri" w:cs="Amiri"/>
          <w:color w:val="111111"/>
          <w:sz w:val="28"/>
          <w:sz w:val="28"/>
          <w:szCs w:val="28"/>
          <w:rtl w:val="true"/>
          <w:lang w:bidi="ar-SA"/>
        </w:rPr>
        <w:t>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إقامة الجمعة باختيارهم مع إمام منهم كانت راجحة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خارج عن مفهوم الرواية، وليس في الرواية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عليه غير واحد من القائلين بالتخيير، وهو أنّ مقتضى الكتاب والسنّة هو الوجوب العيني غير أنّ الإجماع الذي هو أحد الأدلّة، دلّ على عدمه، والجمع بينه وبين الكتاب والسنّة، حمل الوجوب على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الشهيد الثاني هذا الدليل بصورة السؤال والجواب،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الدالّة على الوجوب إنّما استفيد منها الوجوب العيني، كما هو موضع وفاق بالنسبة إلى حالة الحضور، ومدّعاكم الوجوب التخييري،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الوجوب ومطلقه مشترك بين العيني والتخييري، ومن حقّ المشترك أن لا يخصّص بأحد معنييه إلّابقرينة صارفة عن الآخر أو مخصّصة، والوجوب العيني منفيّ حال الغيبة بالإجماع، فيختصّ الفرد الآخر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وقال في كتاب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 لقوّة الأوامر المطلقة والعامّة بها في الكتاب والسنّة، وإجماع المسلمين على وجوبها في الجملة</w:t>
      </w:r>
      <w:r>
        <w:rPr>
          <w:rStyle w:val="FootnoteAnchor"/>
          <w:rtl w:val="true"/>
        </w:rPr>
        <w:footnoteReference w:id="404"/>
      </w:r>
      <w:r>
        <w:rPr>
          <w:rFonts w:ascii="Amiri" w:hAnsi="Amiri" w:eastAsia="Amiri" w:cs="Amiri"/>
          <w:color w:val="111111"/>
          <w:sz w:val="28"/>
          <w:sz w:val="28"/>
          <w:szCs w:val="28"/>
          <w:rtl w:val="true"/>
          <w:lang w:bidi="ar-SA"/>
        </w:rPr>
        <w:t>، أمّا الوجوب العيني فمنتف إجماعاً، فيبقى التخييري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دعواهم الإجماع على عدم الوجوب لكان القول به في غاية القوّة</w:t>
      </w:r>
      <w:r>
        <w:rPr>
          <w:rFonts w:eastAsia="Amiri" w:cs="Amiri" w:ascii="Amiri" w:hAnsi="Amiri"/>
          <w:color w:val="111111"/>
          <w:sz w:val="28"/>
          <w:szCs w:val="28"/>
          <w:rtl w:val="true"/>
          <w:lang w:bidi="ar-SA"/>
        </w:rPr>
        <w:t>».</w:t>
      </w:r>
      <w:r>
        <w:rPr>
          <w:rStyle w:val="FootnoteAnchor"/>
        </w:rPr>
        <w:footnoteReference w:id="40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التخييري، فللأخبار المثبتة للوجوب لها عموماً، والوجوب ماهية كلّية صادقة على جميع أفرادها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وربما تقف على نظير هذه الكلمات في توجيه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المحصّل على نفي الوجوب العيني غير حاصل، والمنقول منه غير طائل، وذلك لأنّ قسماً كبيراً من القدماء اختاروا الوجوب العيني، وسيوافيك ذكر كلماتهم في نهاية البحث عن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الكلمات الصريحة من قدماء الشيعة، كيف يمكن ادّعاء الإجماع على نفي الوجوب العيني، حتى تكون قرينة على التصرّف في الآية والروايات بحملها على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تمحّلوا لتصحيح هذا الإجماع المدّعى في المقام فاصطنعوا له دليلاً ليجدوا إليه سبيلاً،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لمّا كان مظنّة النزاع ومثار الفتن، والحكمة موجبة لحسم مادة الاختلاف، فالواجب قصر الأمر في ذلك على الإمام بأن يكون هو المباشر لهذه الصلاة، أو الإذن فيها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رفع الفتنة تصدّي الفقيه الجامع للشرائط لتعيين الإمام للجمعة في البلاد و المدن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علم الأُصول أنّ صيغة الأمر إذا جرّدت عن القرينة تنصرف إلى العيني والنفسي والتعييني،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قولهم عليهم السلام في الروايات، منصرف إلى العيني، فليس له إلّامدلول واحد، فإذا قام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05" w:name="pg14912_141268"/>
    </w:p>
    <w:p>
      <w:pPr>
        <w:pStyle w:val="BookText"/>
        <w:rPr/>
      </w:pPr>
      <w:bookmarkEnd w:id="505"/>
      <w:r>
        <w:rPr>
          <w:rFonts w:ascii="Amiri" w:hAnsi="Amiri" w:eastAsia="Amiri" w:cs="Amiri"/>
          <w:color w:val="111111"/>
          <w:sz w:val="28"/>
          <w:sz w:val="28"/>
          <w:szCs w:val="28"/>
          <w:rtl w:val="true"/>
          <w:lang w:bidi="ar-SA"/>
        </w:rPr>
        <w:t>الإجماع على عدم الوجوب العيني، تسقط الآية عن الدلالة على حكم آخر، فمن أين جاء الوجوب التخييري‌؟ فما استدلّ به النراقي وقبله الشهيد الثاني ناقلاً عن القائلين، مبني على أنّ مدلول الآية وجوب مجرّد عن الدلالة على العينية والتخييرية، فإذا انتفى أحد الفرضين يبقى الفرض الآخر، ومن المعلوم أنّه خلاف التحقيق</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1366245_388300464"/>
      <w:bookmarkStart w:id="507" w:name="_Toc197"/>
      <w:bookmarkEnd w:id="506"/>
      <w:r>
        <w:rPr>
          <w:rtl w:val="true"/>
        </w:rPr>
        <w:t>الاستدلال على الوجوب التخييري بالاستبعادات</w:t>
      </w:r>
      <w:bookmarkEnd w:id="507"/>
    </w:p>
    <w:p>
      <w:pPr>
        <w:pStyle w:val="BookText"/>
        <w:rPr/>
      </w:pPr>
      <w:r>
        <w:rPr>
          <w:rFonts w:ascii="Amiri" w:hAnsi="Amiri" w:eastAsia="Amiri" w:cs="Amiri"/>
          <w:color w:val="111111"/>
          <w:sz w:val="28"/>
          <w:sz w:val="28"/>
          <w:szCs w:val="28"/>
          <w:rtl w:val="true"/>
          <w:lang w:bidi="ar-SA"/>
        </w:rPr>
        <w:t>إنّ السيد الخوئي رحمه الله لمّا أذعن بأنّ مقتضى الأخبار هو الوجوب التعييني</w:t>
      </w:r>
      <w:r>
        <w:rPr>
          <w:rStyle w:val="FootnoteAnchor"/>
          <w:rtl w:val="true"/>
        </w:rPr>
        <w:footnoteReference w:id="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هنا أُموراً تمنعنا من الأخذ بظاهرها ولا مناص من حملها على الوجوب التخييري</w:t>
      </w:r>
      <w:r>
        <w:rPr>
          <w:rStyle w:val="FootnoteAnchor"/>
          <w:rtl w:val="true"/>
        </w:rPr>
        <w:footnoteReference w:id="409"/>
      </w:r>
      <w:r>
        <w:rPr>
          <w:rFonts w:ascii="Amiri" w:hAnsi="Amiri" w:eastAsia="Amiri" w:cs="Amiri"/>
          <w:color w:val="111111"/>
          <w:sz w:val="28"/>
          <w:sz w:val="28"/>
          <w:szCs w:val="28"/>
          <w:rtl w:val="true"/>
          <w:lang w:bidi="ar-SA"/>
        </w:rPr>
        <w:t>يجمعها عنوان الاستبعاد، وذكر في ذلك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الجمعة لو كانت واجبة تعيينية لشاع ذلك وذاع، ولكان من المسلّمات الواضحات نظير غيرها من الفرائض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القول بالوجوب التعييني من أحد من العلماء في المسألة على اختلاف آرائهم في مشروعيتها في عصر الغيبة وعدمها</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التعييني أمر مسلّم بين سائر الفرق الإسلامية، وأمّا الشيعة فقد ذهب جمع من القدماء إلى وجوبها التعييني كالكليني والصدوق والحلبي وغيرهم، وبما أنّ القيام بهذا الأمر من شؤون الإمام المعصوم، ولم يكن</w:t>
      </w:r>
    </w:p>
    <w:p>
      <w:pPr>
        <w:pStyle w:val="BookText"/>
        <w:rPr/>
      </w:pPr>
      <w:r>
        <w:rPr>
          <w:rFonts w:ascii="Amiri" w:hAnsi="Amiri" w:eastAsia="Amiri" w:cs="Amiri"/>
          <w:color w:val="111111"/>
          <w:sz w:val="28"/>
          <w:sz w:val="28"/>
          <w:szCs w:val="28"/>
          <w:rtl w:val="true"/>
          <w:lang w:bidi="ar-SA"/>
        </w:rPr>
        <w:t>ذلك ميسوراً لأئمّة الحق عليهم السلام صار ذلك سبباً لاختلاف العلماء في وجوبها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مفوضاً إلى الأئمّة وكانوا قائمين بنصب الإمام في البلاد لما اختلف في الوجوب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الجمعة لو كانت واجبة تعيينية فلماذا جرت سيرة أصحابهم عليهم السلام على عدم إقامتها في زمانهم على جلالتهم في الفقه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أن يكونوا متجاهرين بالفسق لتركهم واجباً تعيينياً في حقّهم وفريضة من فرائض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أهملوا ما وجب في الشريعة المقدّسة ولم يعتنوا بالأخبار التي رووها بأنفسهم عن أئمّتهم عليهم السلام ولم يعملوا على طبقها؟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إعراض أصحابنا عن إقامة صلاة الجمعة، وقد عرفت حال الحديث عن زرارة وهو أنّه كان يشارك العامّة في 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عبد الملك بن أعين غير مشارك لشبهة أنّ الإمام ليس بعادل، فأمره الإمام بإقامتها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دليلاً على إعراض الأصحاب عن إقامة صلاة الجمعة في أعصارهم، ومَن أعرض فإنّما أعرض عن شبهة ودليل وهو مثلاً عدم عدالة إمام الجمعة، مع التسليم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استفدنا من الروايات الواردة أنّ سيرة أصحاب الأئمّة عليهم السلام كانت جارية على ترك الجمعة</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الفيض في الوافي بابين تحت عنوانين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الجمعة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الصلاة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ممّا ورد فيه من الروايات أنّ أكثر الأصحاب كانوا يصلّون الجمعة معهم وربما يعيد بعضهم الصلاة لأجل كون الإمام غير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فيه ما يدلّ على أنّهم إذا صلّوا الجمعة في وقت فصلّوا معهم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أمّا الباب الثاني فقد أورد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فيه ثمانية أحاديث تحثّ على الصلاة معهم، وحمل الروايات على غير صلاة الجمعة كما ترى</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عدم الحضور لصلاة الجمعة على مَن كان بعيداً عنها بأزيد من فرسخين، وقد عُدّ هذا من جملة المستثنيات، والوجه في دلالتها على عدم وجوب الجمعة تعييناً أنّ الحضور لها إذا لم يكن واجباً على النائي بأزيد من فرسخين وبنينا على أنّ صلاة الجمعة واجبة تعيينية لوجبت إقامتها على مَن كان بعيداً عنها بأزيد من فرسخين في محلّه</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عدم كون صلاة الجمعة واجبة تعييناً حتى في عصر الرسول صلى الله عليه و آله و سلم والوصي عليه السلام، وهذا خلاف المجمع عليه، فالظاهر أنّ كلمة الفقهاء متّفقة على وجوبها تعييناً في عصر الرسول والوصي إذا كان متمكّناً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إقامتها ونصب الإمام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أفاده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مفروضنا وجوبها على كلّ مكلّف تعييناً، وإمام الجماعة يوجد في كلّ قرية ومكان من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استثناء مَن بعد فرسخين لأجل صعوبة عودته إلى محلّ إقامة الجمعة، فلأجل ذلك سقط عنه التكليف كما سقط عن أصناف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إقامتها في محلّه فلعدم وجود مَن يقوم بإيراد الخطبتين وإقامة الصلاة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أنّ كلّ جماعة ومنهم أهل القرى إذا كان فيهم مَن يخطب لهم لصلاة الجمعة وجبت عليهم صلاة الجمعة، وإلّا يصلون ظهراً أربع ركعات؛ كصحيحة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في قرية هل يصلون الجمعة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أربعاً إذا لم يكن مَن يخطب</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بتلك الروايات أنّ المراد بمَن يخطب في هذه الأخبار ليس مجرّد مَن يتمكّن من إقامة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قادراً عليها فعلاً، لأنّه فرض نادر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هناك مَن يقدم لإقامة الخطبة فعلاً ومتهيّئاً لذلك وجبت الجمعة، وإن لم يقدم بالفعل مع قدرته عليها سقطت وصلّوا الظهر جماعة، وهذا كما ترى لا يلائم الوجوب التعييني، إذ عليه يجب الإقدام والتصدي للخطبة تعييناً وتركها موجب للفسق</w:t>
      </w:r>
      <w:r>
        <w:rPr>
          <w:rFonts w:eastAsia="Amiri" w:cs="Amiri" w:ascii="Amiri" w:hAnsi="Amiri"/>
          <w:color w:val="111111"/>
          <w:sz w:val="28"/>
          <w:szCs w:val="28"/>
          <w:rtl w:val="true"/>
          <w:lang w:bidi="ar-SA"/>
        </w:rPr>
        <w:t>.</w:t>
      </w:r>
      <w:r>
        <w:rPr>
          <w:rStyle w:val="FootnoteAnchor"/>
        </w:rPr>
        <w:footnoteReference w:id="41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بصدد بيان تنجيز التكليف على المكلّفين بأنّه لو وجد فيهم مَن يخطب فيتنجّز الوجوب على الجميع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تخلّف الجامع للصفات عن القيام بالإمامة والخطابة فقد عصى وفسق وسقط التكليف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البعيد أن ينحصر الخطيب بفرد واحد، إذ في وسع كثير من الناس أن يؤم ويقتصر في الخطابة بأقلّ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الواجب هو التحميد والثناء وقراءة سورة والوعظ المتحقّق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فهو ليس أمراً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المعهود من صلاة الجمعة في تلك الأيام هو إقامتها بخطبتين لهما تأثير خاص في أذهان المصلين، وليس مثل هذا شأن كلّ شارد ووارد، ولذلك كثيراً ما يتّفق عدم وجوده؛ وعلى هذا فالإمام عليه السلام يفصّل بين وجود الشرط وعدمه، ففي الأوّل تجب عليهم الجمعة، وفي الثاني تجب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كلامه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جميع ما قدّمناه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استدلّ بها الخصم وإن كانت ظاهرة في الوجوب التعييني بالظهور الإطلاقي، إلّاأنّه لا يسعنا الأخذ بهذا الظهور لأجل تلكم القرائن والشواهد التي منها بعض نفس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حملها على الوجوب التخييري</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أنّه ليس للقول بالوجوب التخييري أي دليل صالح، إلّاإذا قلنا بأنّها كانت كذلك منذ عصر الرسالة كما عليه صريح كلامه، وهو بعيد عن ظاهر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08" w:name="pg14912_141273"/>
    </w:p>
    <w:p>
      <w:pPr>
        <w:pStyle w:val="BookText"/>
        <w:rPr/>
      </w:pPr>
      <w:bookmarkEnd w:id="508"/>
      <w:r>
        <w:rPr>
          <w:rFonts w:ascii="Amiri" w:hAnsi="Amiri" w:eastAsia="Amiri" w:cs="Amiri"/>
          <w:color w:val="111111"/>
          <w:sz w:val="28"/>
          <w:sz w:val="28"/>
          <w:szCs w:val="28"/>
          <w:rtl w:val="true"/>
          <w:lang w:bidi="ar-SA"/>
        </w:rPr>
        <w:t>النصوص وكلمات العلماء</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366247_388300464"/>
      <w:bookmarkStart w:id="510" w:name="_Toc198"/>
      <w:bookmarkEnd w:id="509"/>
      <w:r>
        <w:rPr>
          <w:rtl w:val="true"/>
        </w:rPr>
        <w:t>القول الثالث</w:t>
      </w:r>
      <w:r>
        <w:rPr>
          <w:rtl w:val="true"/>
        </w:rPr>
        <w:t xml:space="preserve">: </w:t>
      </w:r>
      <w:r>
        <w:rPr>
          <w:rtl w:val="true"/>
        </w:rPr>
        <w:t>الوجوب التعييني في عصري الحضور والغيبة</w:t>
      </w:r>
      <w:bookmarkEnd w:id="510"/>
    </w:p>
    <w:p>
      <w:pPr>
        <w:pStyle w:val="Heading6"/>
        <w:numPr>
          <w:ilvl w:val="5"/>
          <w:numId w:val="1"/>
        </w:numPr>
        <w:rPr/>
      </w:pPr>
      <w:bookmarkStart w:id="511" w:name="__RefHeading___Toc1366249_388300464"/>
      <w:bookmarkStart w:id="512" w:name="_Toc199"/>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الشهيد الثاني في رسالته، وولده في رسالته، وسبطه والشيخ نجيب الدين والمولى الخراسانيّ في كتابيه، والكاشانيّ في المفاتيح والشهاب الثاقب والوافي، والشيخ سليمان في رسالتيه، والسيّد عبد العظيم والشيخ أحمد الخطيّ ومولانا الحرّ في الوسائل، ومولانا الشيخ أحمد الجزائري في الشافية، وصاحب الحدائق، والسيد عليّ صائغ، واحتمله احتمالاً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ونسبوه إلى المفيد في المقنعة وكتاب الإشراف وإلى أبي الفتح الكراجكيّ وإلى أبي الصلاح التقيّ‌، وإلى ظاهر الصدوق في المقنع والأمالي، وإلى الشيخ في التهذيب، وإلى الشيخ عماد الدين الطبرسي،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به، والإشعار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وسيوافيك ذكر كلمات القدماء في نهاية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شيء فالآية ظاهرة في الوجوب التعييني حيث لم يذكر البدل 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وتؤيّده سيرة النبي الأكرم صلى الله عليه و آله و سلم حيث إنّه لم يعدل يوم الجمعة في الحضر إلى الظهر أبداً، وهو دليل على كونها واجباً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عدم عدوله لأجل كون صلاة الجمعة أفضل الفردين،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دلالة الكتاب العزيز على الحكم ثمّ ندرس الروايات بصورة طوائف أربع</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أمّا الكتاب فقد مرّ تفسير الآيات وأنّ دلالتها على الوجوب التعييني واضحة حيث تدلّ على وجوب السعي إلى ذكر اللّه وترك البيع؛ وقد مرّ أنّ المراد من الذكر في الآية هو صلاة الجمعة، أو خطبتها، أو هما معاً؛ ويعضد ذلك 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وعجّلوا، فإنّه يوم مضيّق على المسلمين فيه، وثواب أعمال المسلمين فيه على قدر ما ضيّق عليهم، والحسنة والسيئة تضاعف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بلغني أنّ أصحاب النبي صلى الله عليه و آله و سلم كانوا يتجهّزون للجمعة يوم الخميس لأنّه يوم مضيّق على المسلمين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ثمّ إنّه أُورد على الاستدلال بالآية بأُمور واهية،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موضوعة للعموم، فلا يلزم وجوب السعي كلّما تحقّق النداء، بل يتحقّق بالمرّة، وهي عند تحقّق الشرط</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لم تكن موضوعة للعموم، لكن المتبادر من أمثال الموارد، 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السعي ولو في الجملة بحيث يتحقّق بالمرّة، على خلاف الإجماع، فلا مناص من الحمل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الآية معلّق على ثبوت الأذان، فمن أين ثبت وجوب الصلاة مطلقاً؛ بل تجب إذا أذّنوا، دون ما لو لم يأذّنوا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السعي إلى الصلاة، على الأذان لأجل أنّ المراد دخول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يوم الجمعة بأن نودي بالنداء المقرر المعهود المستمر كلّ يوم، فاسعوا إلى ذكر اللّه، وصلّوا صلاة الجمعة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الخطابات القرآنية بالحاضرين، ولا يشمل مَن سيوجد إلّا بدليل خارجي، وليس إلّاالإجماع وهو غير موجود في المقام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القرآنية أشبه بقضايا حقيقية تعمّ المكلّفين كلّاً في زمانه، فتخصيص الآيات القرآنية بجمع قليل حين نزول القرآن، حاكٍ عن أنّ القائل فرض الخطابات خطابات شخصية مع أنّه أشبه بالخطابات الواردة في الوصايا والكتب والقوانين العامّة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وهناك إشكالات أُخرى لا تليق بأن تُذكر ويجاب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هذهي</w:t>
      </w:r>
      <w:r>
        <w:rPr>
          <w:rFonts w:eastAsia="Amiri" w:cs="Amiri" w:ascii="Amiri" w:hAnsi="Amiri"/>
          <w:color w:val="111111"/>
          <w:sz w:val="28"/>
          <w:szCs w:val="28"/>
          <w:rtl w:val="true"/>
          <w:lang w:bidi="ar-SA"/>
        </w:rPr>
        <w:t>.</w:t>
      </w:r>
      <w:bookmarkStart w:id="513" w:name="pg14912_141276"/>
    </w:p>
    <w:p>
      <w:pPr>
        <w:pStyle w:val="BookText"/>
        <w:rPr/>
      </w:pPr>
      <w:bookmarkEnd w:id="513"/>
      <w:r>
        <w:rPr>
          <w:rFonts w:ascii="Amiri" w:hAnsi="Amiri" w:eastAsia="Amiri" w:cs="Amiri"/>
          <w:color w:val="111111"/>
          <w:sz w:val="28"/>
          <w:sz w:val="28"/>
          <w:szCs w:val="28"/>
          <w:rtl w:val="true"/>
          <w:lang w:bidi="ar-SA"/>
        </w:rPr>
        <w:t>المناقشات إنّما نبعت من القول بتحريم الجمعة أو عدم وجوبها، فصار ذلك سبباً لمثل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الكتاب العزيز</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366251_388300464"/>
      <w:bookmarkStart w:id="515" w:name="_Toc200"/>
      <w:bookmarkEnd w:id="514"/>
      <w:r>
        <w:rPr>
          <w:rtl w:val="true"/>
        </w:rPr>
        <w:t>الاستدلال بالروايات</w:t>
      </w:r>
      <w:bookmarkEnd w:id="515"/>
    </w:p>
    <w:p>
      <w:pPr>
        <w:pStyle w:val="Heading6"/>
        <w:numPr>
          <w:ilvl w:val="5"/>
          <w:numId w:val="1"/>
        </w:numPr>
        <w:rPr/>
      </w:pPr>
      <w:bookmarkStart w:id="516" w:name="__RefHeading___Toc1366253_388300464"/>
      <w:bookmarkStart w:id="517" w:name="_Toc201"/>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وقبل الدخول بالاستدلال بالروايات نذكر ما ذكره بعض الأعاظم حول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الكبير الشيخ محمد تقي المجلسي، والد العلّامة المجلسي صاحب البحار، حيث وصف مجموع الروايات الواردة حول صلاة الجمعة بالنحو التالي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مجموع الأخبار مائتي حديث، فالّذي يدلّ بظاهره على الوجوب خمسون حديثاً، والذي يدلّ على الوجوب بصريحه من الصّحاح والحسان والموثّقات وغيرها أربعون حديثاً، والذي يدلّ على المشروعية في الجملة أعمّ من أن يكون عينياً أو تخييرياً تسعون حديثاً، والذي يدلّ بعمومه على وجوب الجمعة وفضلها عشرون حديثاً، ثمّ الذي يدلّ بصريحه على وجوب الجمعة إلى يوم القيامة حديثان، والذي يدل على عدم اشتراط الإذن بظاهره ستة عشر حديثاً، بل أكثرها كذلك كما مرّت الإشارة إليه في تضاعيف الفصول، وأكثرها أيضاً يدل على الوجوب العيني كما أُشير إليه</w:t>
      </w:r>
      <w:r>
        <w:rPr>
          <w:rFonts w:eastAsia="Amiri" w:cs="Amiri" w:ascii="Amiri" w:hAnsi="Amiri"/>
          <w:color w:val="111111"/>
          <w:sz w:val="28"/>
          <w:szCs w:val="28"/>
          <w:rtl w:val="true"/>
          <w:lang w:bidi="ar-SA"/>
        </w:rPr>
        <w:t>.</w:t>
      </w:r>
      <w:r>
        <w:rPr>
          <w:rStyle w:val="FootnoteAnchor"/>
          <w:rtl w:val="true"/>
        </w:rPr>
        <w:footnoteReference w:id="427"/>
      </w:r>
      <w:bookmarkStart w:id="518" w:name="pg14912_141277"/>
    </w:p>
    <w:p>
      <w:pPr>
        <w:pStyle w:val="Heading6"/>
        <w:numPr>
          <w:ilvl w:val="5"/>
          <w:numId w:val="1"/>
        </w:numPr>
        <w:rPr/>
      </w:pPr>
      <w:bookmarkStart w:id="519" w:name="__RefHeading___Toc1366255_388300464"/>
      <w:bookmarkStart w:id="520" w:name="_Toc202"/>
      <w:bookmarkEnd w:id="518"/>
      <w:bookmarkEnd w:id="519"/>
      <w:r>
        <w:rPr>
          <w:rtl w:val="true"/>
        </w:rPr>
        <w:t>الطائفة الأُولى</w:t>
      </w:r>
      <w:r>
        <w:rPr>
          <w:rtl w:val="true"/>
        </w:rPr>
        <w:t xml:space="preserve">: </w:t>
      </w:r>
      <w:r>
        <w:rPr>
          <w:rtl w:val="true"/>
        </w:rPr>
        <w:t>ما يذكر مَن تجب عليه صلاة الجمعة من دون أن يذكر حضور الإمام</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زرارة بن أعين،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وجلّ على الناس من الجمعة إلى الجمعة خمساً وثلاثين صلاة، منها صلاة 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فرضها اللّه عزّ وجلّ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العدد المخصوص، ودلالتهاعلى وجوبها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جدّاً، وقد عرفت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في أماليه بسند صحيح عن زرارة بن أعين،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والاجتماع إليها فريضة مع الإمام، فإن ترك رجل من غير علّة ثلاثة جُمع فقد ترك ثلاث فرائض، ولا يدع ثلاث فرائض من غير علّة إلّامنافق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من الوسائل عن عقاب الأعمال للصدوق 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وهي متّحدة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فلزرارة في هذه الطائفة روايتان لا ثلاث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أورد عليه سيد مشايخنا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ليس بصدد بيان وجوب</w:t>
      </w:r>
    </w:p>
    <w:p>
      <w:pPr>
        <w:pStyle w:val="BookText"/>
        <w:rPr/>
      </w:pPr>
      <w:r>
        <w:rPr>
          <w:rFonts w:ascii="Amiri" w:hAnsi="Amiri" w:eastAsia="Amiri" w:cs="Amiri"/>
          <w:color w:val="111111"/>
          <w:sz w:val="28"/>
          <w:sz w:val="28"/>
          <w:szCs w:val="28"/>
          <w:rtl w:val="true"/>
          <w:lang w:bidi="ar-SA"/>
        </w:rPr>
        <w:t>إقامة الجمعة فضلاً عن وجوبها على كلّ أحد وإن لم يؤذن له من قبل الإمام، ولا في مقام بيان شروط الانعقاد؛ بل هو بصدد بيان وجوب حضور الجمعة والسعي إليها بعد ما فرض انعقادها بشرائطها، ويشهد لذلك استثناء الذين لا يجب عليهم الحضور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وفي موضع آخر يقرر ذلك الاشكال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الحديث بصدد بيان الوظيفة لنفسه أو لعمّاله بل بصدد بيان وظيفة الناس بالنسبة إلى الجمعات التي كانت تنعقد بشرائطها،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الحضور والسعي إليها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فرض انعقادها بشرائطها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الجمعات التي كانت تنعقد بشرائطها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الجمعات المعقودة من قبل حكّام بني أُمية وبني العباس، فهذا على خلاف المقصود أدلّ‌، حيث يلازم عدم اشتراط إقامتها بإمام الأصل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الجمعات المعقودة من الشيعة بإذنهم فإنّ المفروض عدمه، إذ لم يكن للشيعة آنذاك جمعات معقودة حتى يكون الحديث ناظراً إليها إلّانادراً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أنّها بصدد بيان وجوبها على الناس إلّامَن استثني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بسند صحيح عن أبي بصير ومحمد بن مسلم جميعاً،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في كلّ سبعة أيام خمساً وثلاثين صلاة، منها صلاة واجبة على كلّ مسلم أن يشهدها إلّاخمسة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والمسافر، والمرأة، والصبي</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وقد أورد عليه سيد مشايخنا بمثل ما أورده على الرواية السابقة، من 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وجوب السعي والحضور بعد ما فرض انعقاد الجمعة وليست بصدد بيان وجوب العقد</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ما سبق، ماذا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فرض انعقاد الجمعة، فإنّ المنعقد آنذاك بين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زمن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صحيح غير منعقد كصلاتهم عليهم السلام أو مَن نصبوه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بسند صحيح عن منصور بن حازم،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واجب على كلّ أحد، لا يعذر الناس فيها إلّاخمسة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وأورد عليه أيضاً بمثل ما سبق، من أنّ الحديث بصدد بيان وجوب الحضور، بعد انعقادها بشرائطها لا وجوب عقد الجمعة وإقامتها على الناس</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 من الاحتمال لا يتبادر إلى أذهان أصحاب الأئمّة عليهم السلام فضلاً عن غيرهم، بل المتلقّى هو أنّ صلاة الجمعة واجبة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بوظيفته، فعلى الإمام إلقاء الخطبة وإقامة الصلاة، وعلىح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المأمومين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 الحضور والعقد والإقامة، أمر مغفول عنه عند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الفريقان عن النبي الأكرم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طويلة نقلها المخالف والمؤالف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فرض عليكم الجمعة، فمَن تركها في حياتي أو بعد موتي استخفافاً بها أو جحوداً لها، فلا جمع اللّه شمله، ولا بارك له في أمره، ألا ولا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ورواه الشهيد الثاني في رسالته مع هذا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تركها في حياتي أو بعد مماتي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سيد مشايخنا قدس سره بنفس ما أورده على الأحاديث الماضية بأنّه بصدد بيان وجوب السعي والحضور لا بوجوب العقد والإقامة، إضافة إلى أنّ المتبادر هو إمام الأصل</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ولا يخفى ضعف كلا الوجهين، أمّا الأوّل فإنّ التفصيل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السعي ووجوب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الأذهان العرفية؛ بل المتبادر الحثّ على صلاة الجمعة كلّ حسب وظيفته؛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الإمام هو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لكثرة إطلاق الإمام في روايات كثيرة على غير المعصوم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21" w:name="pg14912_141281"/>
    </w:p>
    <w:p>
      <w:pPr>
        <w:pStyle w:val="Heading6"/>
        <w:numPr>
          <w:ilvl w:val="5"/>
          <w:numId w:val="1"/>
        </w:numPr>
        <w:rPr/>
      </w:pPr>
      <w:bookmarkStart w:id="522" w:name="__RefHeading___Toc1366257_388300464"/>
      <w:bookmarkStart w:id="523" w:name="_Toc203"/>
      <w:bookmarkEnd w:id="521"/>
      <w:bookmarkEnd w:id="522"/>
      <w:r>
        <w:rPr>
          <w:rtl w:val="true"/>
        </w:rPr>
        <w:t>الطائفة الثانية</w:t>
      </w:r>
      <w:r>
        <w:rPr>
          <w:rtl w:val="true"/>
        </w:rPr>
        <w:t xml:space="preserve">: </w:t>
      </w:r>
      <w:r>
        <w:rPr>
          <w:rtl w:val="true"/>
        </w:rPr>
        <w:t>ما يدلّ على البعث على الإقامة مع عدم كون المقيم هو المعصوم</w:t>
      </w:r>
      <w:bookmarkEnd w:id="523"/>
    </w:p>
    <w:p>
      <w:pPr>
        <w:pStyle w:val="BookText"/>
        <w:rPr/>
      </w:pPr>
      <w:r>
        <w:rPr>
          <w:rFonts w:ascii="Amiri" w:hAnsi="Amiri" w:eastAsia="Amiri" w:cs="Amiri"/>
          <w:color w:val="111111"/>
          <w:sz w:val="28"/>
          <w:sz w:val="28"/>
          <w:szCs w:val="28"/>
          <w:rtl w:val="true"/>
          <w:lang w:bidi="ar-SA"/>
        </w:rPr>
        <w:t>إنّ في الروايات الواردة حول صلاة الجمعة ما يدلّ على أنّ الإمام المعصوم كان يحثّ شيعته على إقامة صلاة الجمعة ولم يكن هو المقيم، كما لم يكن هناك أي إجازة من الحكام، وإليك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حثّنا أبو عبد اللّه عليه السلام 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والمتبادر من الرواية أنّ الإمام أكّد على إقامة صلاة الجمعة فيما بينهم، أو الحضور في جمعات الآخرين من الشيعة، وأمّا الحضور في جمعات المخالفين فهو بعيد جدّاً؛ وبذلك يظهر ضعف ما أُورد على الاستدلال بالرواية من أنّ المقصود الترغيب في حضور جمعات المخالفين لئلّا تظهر مخالفة الأئمّة عليهم السلام وشيعتهم لخلفاء الوقت وعمّالهم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هذا الاحتمال، وإلّا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عنيت عند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سيد مشايخنا البروجردي قدس سره أورد على الاستدلال بوجهين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ترغيبهم في حضور الجمعات التي كان يقيمها المنصوبون من قبل الأئمّة عليهم السلام، إذ من المحتمل كون أشخاص معينين منصوبين من قبلهم لإقامتها في بعض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الظروف السائدة على أئمّة أهل البيت عليهم السلام كانت تمنع من نصب أشخاص لإقامة الجمعة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نصب لم يخف على زرارة وأضرابه، بل كان زرارة أولى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هذا الكلام منه عليه السلام نصباً أو إذناً لهم، إمّا بأن يكون نصباً لأشخاص معيّنين خاطبهم بكلامه، أو بأن يكون إذناً لهم بما أنّهم فقهاء، فيعمّ جميع فقهاء الشيعة، أو بأن يكون إذناً لهم بما أنّهم مؤمنون، فيعمّ جميع المؤمنين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احتمالاً آخر أقرب إلى اللفظ وهو تحريض زرارة وأمثاله على العمل بالفريضة الواردة في كتاب اللّه، وإقامتها وعقدها بين الشيعة حسب 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القارئ لولا أنّ صلاة الجمعة صارت موضع النقاش والجدال عبر قرون عشرة، لما خطر ببال أحد أمثال هذه الاحتمالات حول هذه الروايات الحاثّة على إقامة الجمعة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اشتمال كونه إذناً لزرارة يدفعه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عنيت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الملك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صحيح، وأمّا عبد الملك بن أعين، يقول سيد مشايخنا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وثاقته وتشيّعه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ممّا رواه الكشي كونه شيعياً ثقة؛ روى الكشي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بعد موت 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أبا ضريس كنّا عنده خيرتك من خلقك، فصيّره في ثقل محمد صلواتك عليه وآله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النوم، فتذكرت،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مثل أبي الضريس لم يأت بعد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وقد أورد السيد البروجردي على الاستدلال بإشكالين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كلام الإمام عليه السلام، فليست الرواية ظاهرة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الجملة ليست من كلام الإمام، ولكن أي فريضة يحتمل أنّ عبد الملك تركها غير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الظاهر أنّه عليه السلام كان بينه وبين عبد الملك مكاتبات من قبل، ولعلّه كان بين تلك المكاتبات قرينة على أنّ المقصود هو التوبيخ على ترك الحضور للجمعة المنعقدة بإذن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الاحتمال جارٍ في أكثر الروايات في غالب الأبواب، ولازم ذلك ترك العمل بالروايات لأجل هذا النوع من الاحتمالات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صدور الكلام المذكور تقية، من عدّة كانوا حاضرين عنده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على هذا 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24" w:name="pg14912_141284"/>
    </w:p>
    <w:p>
      <w:pPr>
        <w:pStyle w:val="BookText"/>
        <w:rPr/>
      </w:pPr>
      <w:bookmarkEnd w:id="5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في قرية، هل يصلون الجمعة جماعة‌؟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أربعاً إذا لم يكن مَن يخطب</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في قرية صلّوا الجمعة أربع ركعات، فإن كان لهم مَن يخطب لهم، جمّعوا إذا كانوا خمس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إنّ مفاد الروايتين هو كون الفريضة صلاة الظهر إذا لم يكن عندهم مَن يخطب، وصلاة الجمعة إذا كان لهم مَن يخطب، ومع ذلك فالميزان وجود الشرط الأهم،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الذي يخطب، فإنّ الخطبتين ليستا أمراً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البروجردي احتمل أن يكون المراد بالجمعة صلاة الظهر يوم الجمعة، ويكون السؤال عن أهل القرية من جهة أنّهم لا يتمكّنون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الجمعة لعدم وجود 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السؤال عن صلاة الظهر يوم الجمعة فما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خمس نفر، وإنّما جعلت ركعتين لمكان الخطبتين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366259_388300464"/>
      <w:bookmarkStart w:id="526" w:name="_Toc204"/>
      <w:bookmarkEnd w:id="525"/>
      <w:r>
        <w:rPr>
          <w:rtl w:val="true"/>
        </w:rPr>
        <w:t>الطائفة الثالثة</w:t>
      </w:r>
      <w:r>
        <w:rPr>
          <w:rtl w:val="true"/>
        </w:rPr>
        <w:t xml:space="preserve">: </w:t>
      </w:r>
      <w:r>
        <w:rPr>
          <w:rtl w:val="true"/>
        </w:rPr>
        <w:t>ما يركّز على الوجوب عند العدد المخصوص</w:t>
      </w:r>
      <w:bookmarkEnd w:id="5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باسناده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w:t>
      </w:r>
    </w:p>
    <w:p>
      <w:pPr>
        <w:pStyle w:val="BookText"/>
        <w:rPr/>
      </w:pPr>
      <w:r>
        <w:rPr>
          <w:rFonts w:ascii="Amiri" w:hAnsi="Amiri" w:eastAsia="Amiri" w:cs="Amiri"/>
          <w:color w:val="111111"/>
          <w:sz w:val="28"/>
          <w:sz w:val="28"/>
          <w:szCs w:val="28"/>
          <w:rtl w:val="true"/>
          <w:lang w:bidi="ar-SA"/>
        </w:rPr>
        <w:t>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ودلالة الرواية على الوجوب التعييني عند وجود العدد المذكور، واضحة، وأنّه يأمّ بعضهم بعضاً وكذلك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الاستدلال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انصراف البعض فيه إلى البعض الخاص الذي يكون إقامة الجمعة وقراءة الخطبة من وظائفه ومناصبه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المراد بالبعض الإمام الأصل أو مَن نصبه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لأبي جعفر عليه السلام والمخاطب هم المسلمون، فاحتمال كون المراد من البعض هو الإمام الأصل، كماترى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 المظنون جدّاً أن يكون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الصدوق، كما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أيّ قرينة على كونه من كلامه، خصوصاً أنّه يلزم أن يكون في كلام الصدوق شيء ليس في كلام الإمام،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 بعضهم وخطبهم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27" w:name="pg14912_141286"/>
    </w:p>
    <w:p>
      <w:pPr>
        <w:pStyle w:val="Heading6"/>
        <w:numPr>
          <w:ilvl w:val="5"/>
          <w:numId w:val="1"/>
        </w:numPr>
        <w:rPr/>
      </w:pPr>
      <w:bookmarkStart w:id="528" w:name="__RefHeading___Toc1366261_388300464"/>
      <w:bookmarkStart w:id="529" w:name="_Toc205"/>
      <w:bookmarkEnd w:id="527"/>
      <w:bookmarkEnd w:id="528"/>
      <w:r>
        <w:rPr>
          <w:rtl w:val="true"/>
        </w:rPr>
        <w:t>الطائفة الرابعة</w:t>
      </w:r>
      <w:r>
        <w:rPr>
          <w:rtl w:val="true"/>
        </w:rPr>
        <w:t xml:space="preserve">: </w:t>
      </w:r>
      <w:r>
        <w:rPr>
          <w:rtl w:val="true"/>
        </w:rPr>
        <w:t>ما ورد في أنّ الخطيب ليس هو الإمام الأصل</w:t>
      </w:r>
      <w:bookmarkEnd w:id="529"/>
    </w:p>
    <w:p>
      <w:pPr>
        <w:pStyle w:val="BookText"/>
        <w:rPr/>
      </w:pPr>
      <w:r>
        <w:rPr>
          <w:rFonts w:ascii="Amiri" w:hAnsi="Amiri" w:eastAsia="Amiri" w:cs="Amiri"/>
          <w:color w:val="111111"/>
          <w:sz w:val="28"/>
          <w:sz w:val="28"/>
          <w:szCs w:val="28"/>
          <w:rtl w:val="true"/>
          <w:lang w:bidi="ar-SA"/>
        </w:rPr>
        <w:t xml:space="preserve">قد ورد في تعليم الخطبة ما يدلّ على أنّ الخطيب غير الإمام، وهي خطبة مفصّلة رواها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نقتبس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ونستعينه ونستغفره ونستهديه ونعوذ باللّه من شرور أنفسنا ومن سيئات أعمالنا، مَن يهدي اللّه فلا مضلّ له، ومَن يضلل فلا هادي له، وأشهد أن لا إله إلّااللّه وحده لا شريك له، وأشهد أنّ محمداً عبده ورسوله، انتجبه لولايته واختصّه برسالته وأكرمه بالنبوّة، أميناً على غيبه ورحمة للعالمين، وصلّى اللّه على محمّد وآله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وأُخوفكم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سورة من القرآن وادعو ربك وصلّ على النبي صلى الله عليه و آله و سلم وادعو للمؤمنين والمؤمنات، ثم تجلس، قدر ما تمكن هنيهة ثم تقوم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نحمده ونستعينه، ونستغفره ونستهديه، ونؤمن به، ونتوكّل عليه، ونعوذ باللّه من شرور أنفسنا ومن سيئات أعمالنا، مَن يهدي اللّه فلا مضلّ له، ومن يُضلل فلا هادِيَ له، وأشهدُ أن لا إله إلّااللّه وحده لا شريك له، وأشهد أنّ محمّداً عبده ورسوله أرسله بالهدى ودين الحقّ ليُظهرَه على الدِّين كلّه ولو كره المشركون، وجعله رحمةً للعالمين بشيراً ونذيراً وداعياً إلى اللّه بإذنه وسراجاً منيراً، مَن يُطِعِ اللّهَ ورسوله فقد رشد، ومن يَعصيهما فقد غَوى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الّذي ينفعُ بطاعته مَن أطاعه، والّذي يَضرّ بمعصيته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إليه مَعادكم وعليه حسابكم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وصيةُ اللّه فيكم وفي الذين من قبلكم،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وَصَّيْنَا اَلَّذِينَ أُوتُوا اَلْكِتابَ مِنْ قَبْلِكُمْ‌</w:t>
      </w:r>
    </w:p>
    <w:p>
      <w:pPr>
        <w:pStyle w:val="BookText"/>
        <w:rPr/>
      </w:pPr>
      <w:r>
        <w:rPr>
          <w:rFonts w:ascii="Amiri" w:hAnsi="Amiri" w:eastAsia="Amiri" w:cs="Amiri"/>
          <w:color w:val="111111"/>
          <w:sz w:val="28"/>
          <w:sz w:val="28"/>
          <w:szCs w:val="28"/>
          <w:rtl w:val="true"/>
          <w:lang w:bidi="ar-SA"/>
        </w:rPr>
        <w:t>وَ إِيّاكُمْ أَنِ اِتَّقُوا اَللّهَ وَ إِنْ تَكْفُرُوا فَإِنَّ لِلّهِ ما فِي اَلسَّماواتِ وَ ما فِي اَلْأَرْضِ وَ كانَ اَللّهُ غَنِيًّا حَمِيداً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انتفعوا بموعظة اللّه وألزموا كتابه فإنّه أبلغُ الموعظة وخيرُ الأُمور في المعاد عاقبة، ولقد اتّخذ اللّه الحجّة فلا يَهلكُ مَن هلك إلّاعن بيّنة، ولا يحيى مَن حيّ إلّاعن بيّنة، وقد بلّغ رسول اللّه صلى الله عليه و آله و سلم الذي أرسل به فألزموا وصيّته وما ترك فيكم من بعده من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بيته، اللّذين لا يضلّ مَن تمسّك بهما ولا يهتدي من تركهما، اللّهمّ صلّ على محمّد عبدك ورسولك سيّد المرسلين وإمام المتّقين ورسول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أمير المؤمنين ووصيّ رسول ربّ العالمين، ثمّ تُسمّي الأئمّة حتّى تنتهي إلى صاحبك،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له فتحاً يسيراً، وانصره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دينك وسنّة نبيّك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في سبيلك وترزقنا فيها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حمّلتنا من الحقّ فعرّفناهُ‌، وما قصرنا عنه فعلمناه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 اللّه على عدوّه ويسأل لنفسه وأصحابه ثم يرفعون أيديهم فيسألون اللّه حوائجهم كلّها حتّى إذا فرغ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ويكون آخر كلامه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30" w:name="pg14912_141288"/>
    </w:p>
    <w:p>
      <w:pPr>
        <w:pStyle w:val="BookText"/>
        <w:rPr/>
      </w:pPr>
      <w:bookmarkEnd w:id="530"/>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تذكّر فتنفعه الذّكرى ثمّ ينزل</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إنّ الرواية بصدد تعليم الشيعة كيفية إيراد الخطبة في جمعاتهم، عندما تمكّنوا من إقامتها، وليس الخطيب ولا الإمام الأصل أو مَن نصبه، مقصودين فيها، فلو كانت الجمعة منحصرة بعصرهم وبمن نصبوه لصارت الرواية قليلة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يمكن أن يستدل به على الوجوب التعييني، وهناك روايات أُخرى مبثوثة في الوسائل يمكن الاستدلال بها على المقصود، ولكن فيما ذكرنا كفاية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366263_388300464"/>
      <w:bookmarkStart w:id="532" w:name="_Toc206"/>
      <w:bookmarkEnd w:id="531"/>
      <w:r>
        <w:rPr>
          <w:rtl w:val="true"/>
        </w:rPr>
        <w:t>بقيت هنا أسئلة نطرحها على طاولة البحث</w:t>
      </w:r>
      <w:bookmarkEnd w:id="532"/>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بالواجب التعييني قول شاذ أعرض عنه الأصحاب عبر القرون، والأدلّة الدالّة عليه تكون أيضاً معرض عنها، فكيف أفتيتم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بالوجوب التعييني لم يكن قولاً شاذاً عبر القرون، بل قال به جمع كثير نذكر أسماءهم إلى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فرض على المؤمنين حضورها مع الإمام في المصر الذي هو فيه، وحضورها مع إمرته في الأمصار والقرى النائية عنه، ومَن كان خارجاً من مصر أو قرية إذا غدا من أهله بعدما صلّى الغداة فيدرك الجمعة، فإتيان الجمعة عليه فرض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خارجاً من مصر أو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من الجمعة إلى الجمعة خمساً وثلاثين صلاة، منها صلاة واحدة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صلّاها وحده فليصلّها أربعاً كصلاة الظهر في سائر الأيام، فإذا اجتمع يوم الجمعة سبعة ولم يخافوا، أمّهم بعضهم وخطبهم</w:t>
      </w:r>
      <w:r>
        <w:rPr>
          <w:rFonts w:eastAsia="Amiri" w:cs="Amiri" w:ascii="Amiri" w:hAnsi="Amiri"/>
          <w:color w:val="111111"/>
          <w:sz w:val="28"/>
          <w:szCs w:val="28"/>
          <w:rtl w:val="true"/>
          <w:lang w:bidi="ar-SA"/>
        </w:rPr>
        <w:t>.</w:t>
      </w:r>
      <w:r>
        <w:rPr>
          <w:rStyle w:val="FootnoteAnchor"/>
        </w:rPr>
        <w:footnoteReference w:id="44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الرواية جاءت عن الصادقين عليهما السلام أنّ اللّه عزّ وجلّ فرض على عباده من الجمعة إلى الجمعة خمساً وثلاثين صلاة، لم يفرض فيها الاجتماع إلّافي صلاة الجمعة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w:t>
      </w:r>
      <w:r>
        <w:rPr>
          <w:rStyle w:val="FootnoteAnchor"/>
          <w:rtl w:val="true"/>
        </w:rPr>
        <w:footnoteReference w:id="444"/>
      </w:r>
      <w:r>
        <w:rPr>
          <w:rFonts w:ascii="Amiri" w:hAnsi="Amiri" w:eastAsia="Amiri" w:cs="Amiri"/>
          <w:color w:val="111111"/>
          <w:sz w:val="28"/>
          <w:sz w:val="28"/>
          <w:szCs w:val="28"/>
          <w:rtl w:val="true"/>
          <w:lang w:bidi="ar-SA"/>
        </w:rPr>
        <w:t xml:space="preserve">ففرضها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على ما قدّمناه، إلّاأنّه بشريطة حضور إمام مأمون على صفات يتقدّم الجماعة، ويخطبهم خطبتين، يسقط بهما وبالاجتماع عن المجتمعين من الأربع الرّكعات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 الإمام وجبت الجمعة على سائر المكلفين إلّامَن عذّره اللّه تعالى منهم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الجمعة إلّابإمام الملّة، أو منصوب من قبله، أو بمَن يتكامل له صفات إمام الجماعة عند تعذّر الأمرين،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تكاملت هذه الشروط انعقدت جمعة وانتقل فرض الظهر من أربع ركعات إلى ركعتين بعد الخطبة</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باب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يجتمع المؤمنون في زمان التقية بحيث لا ضرر عليهم فيصلّوا جمعة بخطبتين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باب الأمر بالمعروف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لفقهاء أهل الحقّ أن يجمعوا بالناس في الصلوات كلّها، وصلاة الجمعة والعيدين ويخطبون الخطبتين، ويصلّون بهم صلاة الكسوف ما لم يخافوا في ذلك ضرراً، فإن خافوا في ذلك الضرر لم يجز لهم التعرّض لذلك على حال</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الفتح الكراجكي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حضرت العدّة التي تصحّ أن تنعقد بحضورها الجماعة يوم الجمعة، وكان إمامهم مرضياً متمكّناً من إقامة الصلاة في وقتها، وإيراد الخطبة على وجهها وكانوا حاضرين آمنين ذكوراً بالغين كاملي، العقول، أصحّاء، وجبت عليهم فريضة الجمعة جماعة، وكان على الإمام أن يخطب بهم خطبتين ويصلّي بهم بعدها ركعتين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الجمعة ركعتين بدلاً عن الظهر بشرط الإمام أو نائبه، وفي الغيبة تجمّع الفقهاء مع الأمن</w:t>
      </w:r>
      <w:r>
        <w:rPr>
          <w:rFonts w:eastAsia="Amiri" w:cs="Amiri" w:ascii="Amiri" w:hAnsi="Amiri"/>
          <w:color w:val="111111"/>
          <w:sz w:val="28"/>
          <w:szCs w:val="28"/>
          <w:rtl w:val="true"/>
          <w:lang w:bidi="ar-SA"/>
        </w:rPr>
        <w:t>.</w:t>
      </w:r>
      <w:r>
        <w:rPr>
          <w:rStyle w:val="FootnoteAnchor"/>
        </w:rPr>
        <w:footnoteReference w:id="44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الكركي المعروف بالمحقّق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نور الدين علي بن الحسين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وجوبها التخييري وأنّها أفضل الأفراد ويتعيّن الوجوب مع الفقيه الجامع للشرائط، النائب للإمام على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الجدال بين المحقّق الكركي ومعاصره الشيخ إبراهيم بن سليمان القطيفي البحراني الغروي كان على أشدّه، فألّف الثاني رسالة في حرمة صلاة الجمعة في عصر الغيبة ردّاً على المحقّق الثاني</w:t>
      </w:r>
      <w:r>
        <w:rPr>
          <w:rFonts w:eastAsia="Amiri" w:cs="Amiri" w:ascii="Amiri" w:hAnsi="Amiri"/>
          <w:color w:val="111111"/>
          <w:sz w:val="28"/>
          <w:szCs w:val="28"/>
          <w:rtl w:val="true"/>
          <w:lang w:bidi="ar-SA"/>
        </w:rPr>
        <w:t>.</w:t>
      </w:r>
      <w:r>
        <w:rPr>
          <w:rStyle w:val="FootnoteAnchor"/>
        </w:rPr>
        <w:footnoteReference w:id="45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اتّفقوا على وجوبها عيناً مع حضور الإمام أو نائبه الخاص، وإنّما اختلفوا فيه في حال الغيبة وعدم وجود المأذون له فيها على الخصوص،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 أن يكون إجماعاً أو هو إجماع على قاعدتهم المشهورة من أنّ المخالف إذا كان معلوم النسب لا يقدح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وجوبها أيضاً مع اجتماع باقي الشرائط 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ذكر الأقوال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نعتمده من هذه الأقوال ونختاره وندين اللّه تعالى به هو المذهب الأوّل</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العاملي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رسالته الموسومة بالعقد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يتحتم فعله في زماننا، صلاة الجمعة لدفع تشنيع أهل السنّة، إذ يعتقدون إنّنا نخالف اللّه ورسوله وإجماع العلماء في تركها،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الحال معهم، إمّا بطريق الوجوب التخييري وإمّا بطريق وجوبها من القرآن وأحاديث النبي صلى الله عليه و آله و سلم والأئمّة عليهم السلام الكثيرة الصحيحة الصريحة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كلامه وجوبها،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استفيد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الجمعة على كلّ مؤمن بعد النداء يوم الجمعة مطلقاً وتحريم البيع حينئذٍ ثمّ إباحته بعدها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شمس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دراسة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فالأخبار الواردة بوجوب الجمعة مستفيضة بل متواترة، وتوقّفها على الإمام أو نائبه غير ثابت، بل قد بيّنا أنّه لا دليل عليه، واللازم من ذلك الوجوب العيني إن لم ينعقد الإجماع القطعي على خلافه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هذه اثنا عشر نصّاً نقتصر بها، وأمّا الإشارة إلى مَن قال بالوجوب بعد هؤلاء فخارج عن وضع كتابنا، وكلّ ذلك يدلّ على عدم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p>
    <w:p>
      <w:pPr>
        <w:pStyle w:val="BookText"/>
        <w:rPr/>
      </w:pPr>
      <w:r>
        <w:rPr>
          <w:rFonts w:ascii="Amiri" w:hAnsi="Amiri" w:eastAsia="Amiri" w:cs="Amiri"/>
          <w:color w:val="111111"/>
          <w:sz w:val="28"/>
          <w:sz w:val="28"/>
          <w:szCs w:val="28"/>
          <w:rtl w:val="true"/>
          <w:lang w:bidi="ar-SA"/>
        </w:rPr>
        <w:t>لو كانت صلاة الجمعة واجبة بالوجوب التعييني لعلمه الفقهاء من أصحاب الأئمّة عليهم السلام ووصلت إلينا بنقل السلف‌؟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والأُصوليّين اتّفقوا على أنّ الأمر ظاهر في التعييني دون التخييري، والنفسي دون الغيري، والعيني دون الكفائي، فكفى ذلك في الدلالة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الوجوب الوارد في سورة الجمعة حول صلاتها واجب تعييني لا تخييري، نفسي لا غيري، عيني لا كفائي، ولأجل هذا الظهور لم تكن هناك حاجة بالتصريح، على أنّ الأخبار الحاثّة على السعي إلى صلاة الجمعة، بل إلى عقدها كافية في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تصريح أصحاب الأئمّة بالوجوب التعييني فلأجل عدم وجود الخلاف بينهم في أنّها فريضة تعيينية، فكأنّ تسليمهم قلباً وعملاً أغناهم عن عنوان المسألة وبيان حكمها وإنّما ظهر الخلاف في العصور المتأخّرة بعد عصر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ملتزمين بهذه الصلاة إمّا بالمشاركة في صلاة الآخرين كما ظهر ممّا نقلناه في أحوال زرارة بن أعين، أو بالانعقاد مستقلّاً، فعدم وجود فكرة الخلاف سبّب عدم التصريح بالحكم، ولذلك لاترى أي سؤال عن حكم صلاة الجمعة في الأسئلة التي طرحت على أئمّة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الثالث</w:t>
      </w:r>
    </w:p>
    <w:p>
      <w:pPr>
        <w:pStyle w:val="BookText"/>
        <w:rPr/>
      </w:pPr>
      <w:r>
        <w:rPr>
          <w:rFonts w:ascii="Amiri" w:hAnsi="Amiri" w:eastAsia="Amiri" w:cs="Amiri"/>
          <w:color w:val="111111"/>
          <w:sz w:val="28"/>
          <w:sz w:val="28"/>
          <w:szCs w:val="28"/>
          <w:rtl w:val="true"/>
          <w:lang w:bidi="ar-SA"/>
        </w:rPr>
        <w:t>لو لم يشترط حضور السلطان العادل أو مَن نصبه كان لكلّ واحد عقدها وإقامتها ولم يتكلّف الناس في تلك الأعصار على الفرسخين مع سهولة اجتماع الخمسة أو السبعة، وأقلّ الواجب من الخطبة أمر سهل يتعلّمه كلّ أحد؟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الخطيب العادل الذي تطمئن إليه نفوس البلد أو القرية، ليس من الأُمور السهلة جدّاً، ولذلك جاء في غير واحد من الأخبار بإقامة الجمعة</w:t>
      </w:r>
    </w:p>
    <w:p>
      <w:pPr>
        <w:pStyle w:val="BookText"/>
        <w:rPr/>
      </w:pPr>
      <w:r>
        <w:rPr>
          <w:rFonts w:ascii="Amiri" w:hAnsi="Amiri" w:eastAsia="Amiri" w:cs="Amiri"/>
          <w:color w:val="111111"/>
          <w:sz w:val="28"/>
          <w:sz w:val="28"/>
          <w:szCs w:val="28"/>
          <w:rtl w:val="true"/>
          <w:lang w:bidi="ar-SA"/>
        </w:rPr>
        <w:t>إذا فرض وجود مَن يخطب</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فلو كان وجوده في كلّ مجتمع من مجتمعات المسلمين معلوماً ضرورياً، لكان الشرط المذكور ملحقاً باللغو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المرتكز في أذهان المسلمين من صلاة الجمعة ليس مجرّد الاقتصار على صعود الخطيب المنبر والاكتفاء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ثم ينزل مع قراءة سورة الإخلاص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الخطباء في الأمصار والقرى؛ بل المرتكز أنّها صلاة لها كيان وعظمة وللخطيب مهابة حين إلقاء الخطبة ولكلامه تأثير في المخاطبين، ولذلك كان أصحاب رسول اللّه يتهيّأون لتلك الفريضة يوم الخميس كما مرّ، فمثل هذه الصلاة والخطيب لم يكن أمراً متوفّراً في كلّ قرية، ولذلك سمحوا لسكّان الفرسخين أن يصلّوا الظهر مكان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الرابع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هو بنفسه يعقد الجمعة ويقيمها، وكذلك الخلفاء من بعده حتّى أمير المؤمنين عليه السلام، فكان الخلفاء ينصبون في البلدان أشخاصاً معيّنين لإقامتها، ولم يُعهد في تلك الأعصار تصدّي غير المنصوبين لإقامتها، وصار هذا الأمر مركوزاً في أذهان جميع المسلمين حتى أصحاب الأئمّة عليهم السلام، فكان جميع الأخبار الصادرة عنهم عليهم السلام ملقاة إلى الذين ارتكز في أذهانهم كون إقامة الجهة من خصائص الخلفاء والأُمراء</w:t>
      </w:r>
      <w:r>
        <w:rPr>
          <w:rFonts w:eastAsia="Amiri" w:cs="Amiri" w:ascii="Amiri" w:hAnsi="Amiri"/>
          <w:color w:val="111111"/>
          <w:sz w:val="28"/>
          <w:szCs w:val="28"/>
          <w:rtl w:val="true"/>
          <w:lang w:bidi="ar-SA"/>
        </w:rPr>
        <w:t>.</w:t>
      </w:r>
      <w:r>
        <w:rPr>
          <w:rStyle w:val="FootnoteAnchor"/>
        </w:rPr>
        <w:footnoteReference w:id="45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معتمدنا فعل النبي صلى الله عليه و آله و سلم فإنّه كان يعيّن لإمامة الجمعة وكذا الخلفاء من بعده، فكما لا يصحّ أن ينصب الإنسان نفسه قاضياً من دون إذن الإمام، كذا إمام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نقف على حديث على أنّ النبيّ صلى الله عليه و آله و سلم نصب شخصاً لخصوص إقامة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ينصّب الوالي وهو يقوم بمسؤوليات منها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أرسل رسول اللّه صلى الله عليه و آله و سلم مصعب بن عمير إلى يثرب لتعليم الناس القرآن والصلاة وإقامتها، وما ذلك إلّالأنّ المسلمين لم يكونوا عارفين بالقرآن والصلاة وأحكامها، فالنصب في هذه الموارد التي لا يقيمها في المحل إلّا المنصوب لا يدلّ على شرطية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فاقد للظهور فلا يدلّ على الشرطية، ولعلّ النصب حتى في غير مورد مصعب كان لأنّ صلاة الجمعة صلاة خاصّة ولها خصوصيات لا يقوم بها إمام الجماعة في أيّام الرسالة، فلذلك كان يعيّن من يقوم بهذه الفريضة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من تشبيه المقام بالقضاء تشبيه مع الفارق؛ لأنّ القضاء تصرّف في النفوس والأموال ولا يصحّ لإنسان أن ينصب نفسه للقضاء لتلك الغاية، وهذا بخلاف إمامة صلاة الجمعة إذ ليس له إلّاالأمر بالتقوى وإنذار الناس، فلو اجتمع في إنسان شيء من الثقافة وحفظ القرآن والحديث فهذا ما يقبله الناس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نصب الخلفاء أشخاص معيّنين لإقامة الجمعة فلأنّ منبر هذه الصلاة كانت وسيلة لدعم خلافتهم ودعوة الناس إليهم، ولا فرق في ذلك بين الأمويّين</w:t>
      </w:r>
    </w:p>
    <w:p>
      <w:pPr>
        <w:pStyle w:val="BookText"/>
        <w:rPr/>
      </w:pPr>
      <w:r>
        <w:rPr>
          <w:rFonts w:ascii="Amiri" w:hAnsi="Amiri" w:eastAsia="Amiri" w:cs="Amiri"/>
          <w:color w:val="111111"/>
          <w:sz w:val="28"/>
          <w:sz w:val="28"/>
          <w:szCs w:val="28"/>
          <w:rtl w:val="true"/>
          <w:lang w:bidi="ar-SA"/>
        </w:rPr>
        <w:t>والعباسيّين وغيرهم، فإنّهم اتّخذوها وسيلة لدعم منصبهم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أنّ الإقامة منصب جمع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الخامس</w:t>
      </w:r>
    </w:p>
    <w:p>
      <w:pPr>
        <w:pStyle w:val="BookText"/>
        <w:rPr/>
      </w:pPr>
      <w:r>
        <w:rPr>
          <w:rFonts w:ascii="Amiri" w:hAnsi="Amiri" w:eastAsia="Amiri" w:cs="Amiri"/>
          <w:color w:val="111111"/>
          <w:sz w:val="28"/>
          <w:sz w:val="28"/>
          <w:szCs w:val="28"/>
          <w:rtl w:val="true"/>
          <w:lang w:bidi="ar-SA"/>
        </w:rPr>
        <w:t>روى الفضل بن شاذان عن الإمام الرضا عليه السلام ما يظهر منه شرطية النصب، وقد جاء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صلاة الجمعة إذا كانت مع الإمام ركعتين وإذا كانت بغير إمام ركعتين وركعتين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الصلاة مع الإمام أتم وأكمل لعلمه وفقهه وفضله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الجمعة عيد، وصلاة العيد ركعتان، ولم تقصر لمكان الخطبتين،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الخطبة‌؟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فأراد أن يكون للإمام سبب إلى موعظتهم وترغيبهم في الطاعة وترهيبهم من المعصية، وتوقيفهم على ما أراد من مصلحة دينهم ودنياهم، ويخبرهم بما ورد عليهم من 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الأحوال التي لهم فيها المضرة والمنفعة، ولا يكون الصائرَ في الصلاة، منفصلاً وليس بفاعل غيره ممّن يؤمّ الناس في غير يوم الجمعة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بهذه الرواية على أنّ المراد من الإمام غير إمام الجماعة الذي لا يشترط فيه إلّاالعدالة، وقد اشترط في إمام صلاة الجمعة أُمور أُخرى، وذلك بالتمسّك بالمقاطع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مع الإمام ركعتين وإذا كانت بغير إمام ركعتين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يدلّ على أنّ إمام الجمعة إمام مطلق غير إمام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صلّوا الظهر فإنّما يصلّون جماعة، ومع ذلك يصدق عليهم أنّهم صلّوا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مغايرة الإمامين من حيث المقدرة على إلقاء الخطبتين، إذ ليس كلّ إمام للجماعة قادراً عليها، لما عرفت من أنّ لصلاة الجمعة كياناً خاصّاً وللإمام مهابة، ولكلامه تأثيراً، وليس ذلك فعل كلّ شارد ووارد، وأين ذلك من كونه إماماً معصوماً أو نائباً عنه‌؟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مع الإمام أتمّ وأكمل لعلمه وفقهه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ليس من صفات إمام الجماعة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واردة مورد الغالب فإنّ الغالب تصدي منصب الجمعة من قبل العالم الفقيه لا العامّي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يدلّ على كون الإمام موصوفاً بهذه الصفات وهي أعمّ من كونه منصوباً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يصدق على 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النسخ مختلفة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لا للأمير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بفاعل غيره ممّن يؤمّ الناس في 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أوضح تعبير على اختلاف الإمامين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أنّه لا يدلّ على أزيد من كون إمام الجمعة موصوفاً بصفات خاصّة والتي لا تعتبر في إمام الجماعة، وأين هذا من المدّعى من كونه معصوماً أو منصوباً منه‌؟ على أنّ صاحب الوسائل ذكر أنّ تلك الفقرة غيرق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ويخبرهم بما ورد عليهم من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إمام الجماعة مع المأمومين سيان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مورد الغالب، فبما أنّ صلاة الجمعة صلاة خاصّة في كلّ أُسبوع، فتكون مشروطة بخطبتين لا يقدم أحد على عقدها إلّامَن كان له اطّلاع واسع على ما يجري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أنّه لا يدلّ على لزوم كون الإمام منصوباً، بل يدلّ على كون الإمام مطّلعاً عمّا يجري على المسلمين من الحوادث والكوارث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السادس</w:t>
      </w:r>
    </w:p>
    <w:p>
      <w:pPr>
        <w:pStyle w:val="BookText"/>
        <w:rPr/>
      </w:pPr>
      <w:r>
        <w:rPr>
          <w:rFonts w:ascii="Amiri" w:hAnsi="Amiri" w:eastAsia="Amiri" w:cs="Amiri"/>
          <w:color w:val="111111"/>
          <w:sz w:val="28"/>
          <w:sz w:val="28"/>
          <w:szCs w:val="28"/>
          <w:rtl w:val="true"/>
          <w:lang w:bidi="ar-SA"/>
        </w:rPr>
        <w:t>ما ورد في رواية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 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وقاضيه، والمدعي حقّاً، والمدّعى عليه، والشاهدان، والذي يضرب الحدود بين يدي الإمام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الحديث من المعضلات إذ لم يقل أحد من الفقهاء بشرطية حضور من ذكر في الرواية من القاضي والمدّعي والمدّعى عليه، فالحديث مردود إليهم عليهم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إلى العلّة في اعتبار العدد إذ التمدّن لا يخلو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من مخاصمة لا تكاد تتحقّق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صدر الحديث عن تقية لاشتراطهم التمدّن في الجمعة، وذلك لعدم اشتراط وجود هذه الأشخاص بعينها في انعقاد الجمعة بالاتّفاق</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السؤال السابع روى الشيخ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واجبة على من إن صلّى الغداة في أهله أدرك الجمعة، وكان رسول اللّه صلى الله عليه و آله و سلم إنّما يصلّي العصر في وقت الظهر في سائر الأيام، كي إذا قضوا الصلاة مع رسول اللّه صلى الله عليه و آله و سلم رجعوا إلى رحالهم قبل الليل، وذلك سنّة إلى يوم القيامة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قال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أنّ إقامة الجمعة ليست بيد كلّ أحد، وكذلك جميع الروايات الدالّة على وجوب حضور الجمعة على من بعد عنها بفرسخين وعدم وجوبه على مَن بعد بالأزيد، كيف ولو لم تشترط بحضور السلطان العادل أو مَن نصبه وكان لكلّ أحد عقدها وإقامتها لم يتكلّف الناس في تلك الأعصار طي الفرسخين مع سهولة اجتماع الخمسة أو السبعة، وأقلّ الواجب من الخطبة أيضاً يسهل تعلّمه لكلّ أحد</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سؤالاً جديداً بل هو نفس السؤال الثالث، وقد عرفت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متلّقى الناس من أنّ صلاة الجمعة لم تكن صلاة كسائر الصلوات اليومية، بل كانت عندهم لها مكانة خاصّة من حيث إيراد الخطبتين وغيرهما، ولذلك لم يكن القائم بذلك متوفّراً في القرى والقصبات وإلّا لم يسمح للمتواجد في الأزيد من الفرسخين ترك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الأسئلة المطروحة حول وجوب الجمعة تعيينياً، غير أنّ هنا أمراً لابدّ منه وهو أنّ لصلاة الجمعة وقتاً وكيفية وإماماً وخطيباً ومكاناً محدّداً بحدود، فإجراؤها بحاجة إلى أن يكون هناك مسؤول يُشرف على هذه الأُمور وينظّمها، إذ فرق بينها وبين الصلوات اليومية العادية، فالمشرف في عصر الظهور هو الإمام عليه السلام، وأمّا في عصر الغيبة فالمشرف عليها هو الفقيه الجامع للشرائط أو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فليست صلاة الجمعة أمراً يقيمها كلّ أحد، بل لابدّ من كون الإمام منصوباً من مقام خاص، وهو أحد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ضعف ما ذكره بعضهم من أنّ الاجتماع لمّا كان مظنّة النزاع ومثار الفتن، والحكمة موجبة لحسم مادة الاختلاف، فالواجب قصر الأمر في ذلك على الإمام بأن يكون هو المباشر لهذه الصلاة أو الإذن فيها، وأنّ النبي صلى الله عليه و آله و سلم ومَن بعده من الخلفاء كانوا يعيّنون أئمة الجمعات</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قد عرفت أنّ رفع الفتنة، يحصل بإشراف سلطان عادل، أو فقيه جامع للشرائط يشرف على إقامة الصلاة في البلاد حتى لا تتثنى الصلاتان في مكان أقلّ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33" w:name="pg14912_141301"/>
    </w:p>
    <w:p>
      <w:pPr>
        <w:pStyle w:val="Heading4"/>
        <w:numPr>
          <w:ilvl w:val="3"/>
          <w:numId w:val="1"/>
        </w:numPr>
        <w:rPr/>
      </w:pPr>
      <w:bookmarkStart w:id="534" w:name="__RefHeading___Toc1366265_388300464"/>
      <w:bookmarkStart w:id="535" w:name="_Toc207"/>
      <w:bookmarkEnd w:id="533"/>
      <w:bookmarkEnd w:id="534"/>
      <w:r>
        <w:rPr>
          <w:rtl w:val="true"/>
        </w:rPr>
        <w:t>فرع</w:t>
      </w:r>
      <w:r>
        <w:rPr>
          <w:rtl w:val="true"/>
        </w:rPr>
        <w:t xml:space="preserve">: </w:t>
      </w:r>
      <w:r>
        <w:rPr>
          <w:rtl w:val="true"/>
        </w:rPr>
        <w:t>تعدّد الجمعة في أقلّ من فرسخ</w:t>
      </w:r>
      <w:bookmarkEnd w:id="535"/>
    </w:p>
    <w:p>
      <w:pPr>
        <w:pStyle w:val="BookText"/>
        <w:rPr/>
      </w:pPr>
      <w:r>
        <w:rPr>
          <w:rFonts w:ascii="Amiri" w:hAnsi="Amiri" w:eastAsia="Amiri" w:cs="Amiri"/>
          <w:color w:val="111111"/>
          <w:sz w:val="28"/>
          <w:sz w:val="28"/>
          <w:szCs w:val="28"/>
          <w:rtl w:val="true"/>
          <w:lang w:bidi="ar-SA"/>
        </w:rPr>
        <w:t>الغرض النهائي من دراسة آيات الأحكام هو تبيين مضامينها ومفاهيمها وأمّا الفروع المترتبة عليها المذكورة في الكتب الفقهية فغير مطروحة لنا، إلّاأنا عدلنا عن ذلك الأصل في هذا الفرع ليعلم أنّ تعدد الجمعة في أقلّ من فرسخ يعدّ بدعة أصفق عليها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هناك جمعة أُخرى، وبينهما دون ثلاثة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أميال تساوي فرسخاً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اتّفقتا بطلتا، وإن سبقت إحداهما ولو بتكبيرة الإحرام بطلت المتأخّرة، ولو لم تتحقّق السابقة أعادا ظهراً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وربما يتصوّر أنّ هذا الحكم من خصائص الفقه الإمامي ولكن بعد الرجوع إلى ما عليه فقهاء السنّة يعلم أنّ هذه هي سنّة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عبد اللّه بن الصدّيق الغماري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إتقان الصنعة في تحقيق معنى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الجمعة لم يكن في عهد النبي صلى الله عليه و آله و سلم ولا في عهد الصحابة والتابعين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البيهقي في المعرفة من طريق أبي داود في المراسيل عن بكير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المدينة تسعة مساجد مع مسجده صلى الله عليه و آله و سلم، يسمع أهلها أذان بلال فيصلّون في مساجدهم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يصلّون الجمعة في شيء من تلك المساجد إلّامسجد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صلاة أهل العوالي مع النبي صلى الله عليه و آله و سلم الجمعة 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أهل قباء معه، كما رواه ابن ماجة وابن</w:t>
      </w:r>
    </w:p>
    <w:p>
      <w:pPr>
        <w:pStyle w:val="BookText"/>
        <w:rPr/>
      </w:pP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ذي الحليفة كانوا يجمعون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أنّه أذن لأحد في إقامة الجمعة في شيء من مساجد المدينة، ولا في القرى التي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الأثرم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جمعتين في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الناس أنّ الجمعة لم تكن تصلى في عهد النبي صلى الله عليه و آله و سلم وفي عهد الخلفاء الراشدين إلّافي مسجد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تعطيل الناس مساجدهم يوم الجمعة واجتماعهم في مسجد واحد، أبين البيان بأنّ الجمعة خلاف سائر الصلوات وأنّها لا تصلى إلّافي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وذكر الحافظ ابن عساكر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كتب إلى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أبي موسى، وإلى عمرو بن العاص، وإلى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مسجداً جامعاً ومسجداً للقبائل، فإذا كان يوم الجمعة انضموا إلى المسجد الجامع، فشهدوا الجمعة</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الحافظ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جمعة أحدثت في الإسلام في بلد، مع قيام الجمعة القديمة، في أيام المعتضد في دار الخلافة، يعني بغداد، من غير بناء مسجد لإقامة الجمعة، وسبب ذلك، خشية الخلفاء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ثمانين ومائتين، ثم بني في أيام المكتفي، مسجد فجمعوا فيه</w:t>
      </w:r>
      <w:r>
        <w:rPr>
          <w:rFonts w:eastAsia="Amiri" w:cs="Amiri" w:ascii="Amiri" w:hAnsi="Amiri"/>
          <w:color w:val="111111"/>
          <w:sz w:val="28"/>
          <w:szCs w:val="28"/>
          <w:rtl w:val="true"/>
          <w:lang w:bidi="ar-SA"/>
        </w:rPr>
        <w:t>.</w:t>
      </w:r>
      <w:r>
        <w:rPr>
          <w:rStyle w:val="FootnoteAnchor"/>
        </w:rPr>
        <w:footnoteReference w:id="46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36" w:name="pg14912_141303"/>
    </w:p>
    <w:p>
      <w:pPr>
        <w:pStyle w:val="BookText"/>
        <w:rPr/>
      </w:pPr>
      <w:bookmarkEnd w:id="536"/>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537" w:name="__RefHeading___Toc1366267_388300464"/>
      <w:bookmarkStart w:id="538" w:name="_Toc208"/>
      <w:bookmarkEnd w:id="537"/>
      <w:r>
        <w:rPr/>
        <w:t>7</w:t>
      </w:r>
      <w:r>
        <w:rPr>
          <w:rtl w:val="true"/>
        </w:rPr>
        <w:t xml:space="preserve">. </w:t>
      </w:r>
      <w:r>
        <w:rPr>
          <w:rtl w:val="true"/>
        </w:rPr>
        <w:t>الجهر والمخافتة في الصلاة</w:t>
      </w:r>
      <w:bookmarkEnd w:id="538"/>
    </w:p>
    <w:p>
      <w:pPr>
        <w:pStyle w:val="Heading4"/>
        <w:numPr>
          <w:ilvl w:val="3"/>
          <w:numId w:val="1"/>
        </w:numPr>
        <w:rPr/>
      </w:pPr>
      <w:bookmarkStart w:id="539" w:name="__RefHeading___Toc1366269_388300464"/>
      <w:bookmarkStart w:id="540" w:name="_Toc209"/>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 .</w:t>
      </w:r>
      <w:r>
        <w:rPr>
          <w:rStyle w:val="FootnoteAnchor"/>
          <w:rtl w:val="true"/>
        </w:rPr>
        <w:footnoteReference w:id="467"/>
      </w:r>
    </w:p>
    <w:p>
      <w:pPr>
        <w:pStyle w:val="Heading4"/>
        <w:numPr>
          <w:ilvl w:val="3"/>
          <w:numId w:val="1"/>
        </w:numPr>
        <w:rPr/>
      </w:pPr>
      <w:bookmarkStart w:id="541" w:name="__RefHeading___Toc1366271_388300464"/>
      <w:bookmarkStart w:id="542" w:name="_Toc210"/>
      <w:bookmarkEnd w:id="541"/>
      <w:r>
        <w:rPr>
          <w:rtl w:val="true"/>
        </w:rPr>
        <w:t>المفردات</w:t>
      </w:r>
      <w:bookmarkEnd w:id="542"/>
    </w:p>
    <w:p>
      <w:pPr>
        <w:pStyle w:val="BookText"/>
        <w:rPr/>
      </w:pPr>
      <w:r>
        <w:rPr>
          <w:rFonts w:ascii="Amiri" w:hAnsi="Amiri" w:eastAsia="Amiri" w:cs="Amiri"/>
          <w:color w:val="111111"/>
          <w:sz w:val="28"/>
          <w:sz w:val="28"/>
          <w:szCs w:val="28"/>
          <w:rtl w:val="true"/>
          <w:lang w:bidi="ar-SA"/>
        </w:rPr>
        <w:t>ادعوا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سمّوه بأحد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تسارّوا فيما بينهم، واللغة الدارجة هي المخافتة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أخفت فليست لغة دارجة، نعم هو كثير الورود في الكتب الفقهية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الأصل، فإذا اقترن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أفادت الشرط، ولذلك جزم الفعل بعدها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الجواب مقروناً بالفاء،</w:t>
      </w:r>
      <w:bookmarkStart w:id="543" w:name="pg14912_141304"/>
    </w:p>
    <w:p>
      <w:pPr>
        <w:pStyle w:val="BookText"/>
        <w:rPr/>
      </w:pPr>
      <w:bookmarkEnd w:id="543"/>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اَلْأَسْماءُ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والجملة الاسمية إذا وقعت جواباً تلزمها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جزاء يمتنع جعله شرطاً فالفاء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المشركون ينزعجون من سماع كلمة الرحمن، وقد حكاه عنهم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اُسْجُدُوا لِلرَّحْمنِ قالُوا وَ مَا اَلرَّحْمنُ أَ نَسْجُدُ لِما تَأْمُرُنا وَ زادَهُمْ نُفُوراً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أهل السِّير أنّه لمّا جرى الصلح بين قريش المشركة وبين النبي صلى الله عليه و آله و سلم في الحديبية، دعا النبيّ صلى الله عليه و آله و سلم عليّاً ليكتب وثيقة الصلح، فلمّا أمره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هذا، ولكن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Style w:val="FootnoteAnchor"/>
          <w:rtl w:val="true"/>
        </w:rPr>
        <w:footnoteReference w:id="469"/>
      </w:r>
    </w:p>
    <w:p>
      <w:pPr>
        <w:pStyle w:val="Heading4"/>
        <w:numPr>
          <w:ilvl w:val="3"/>
          <w:numId w:val="1"/>
        </w:numPr>
        <w:rPr/>
      </w:pPr>
      <w:bookmarkStart w:id="544" w:name="__RefHeading___Toc1366273_388300464"/>
      <w:bookmarkStart w:id="545" w:name="_Toc211"/>
      <w:bookmarkEnd w:id="544"/>
      <w:r>
        <w:rPr>
          <w:rtl w:val="true"/>
        </w:rPr>
        <w:t>التفسير</w:t>
      </w:r>
      <w:bookmarkEnd w:id="5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في دعائه بأي اسم كان، ثم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يشير إلى كمال من كمالاته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الدعاء فيذكره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فيقع الكلام في ما هو المراد من الصلاة، وهل هي بمعنى الدعاء، أم العبادة المعروفة‌؟ والظاهر هو الأوّل، أي دعاء اللّه بأسمائه، والشاهد على ذلك تقدّم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فللداعي أن يتّخذ طريقاً وسطاً بين الجهر والمخافتة، وبما أنّه أُريد من المخافتة هو التسارّ، يكون المراد من الجهر هو رفع الصوت بشدّة، فيجب أن يكون الداعي داعياً للّه لا</w:t>
      </w:r>
    </w:p>
    <w:p>
      <w:pPr>
        <w:pStyle w:val="BookText"/>
        <w:rPr/>
      </w:pPr>
      <w:r>
        <w:rPr>
          <w:rFonts w:ascii="Amiri" w:hAnsi="Amiri" w:eastAsia="Amiri" w:cs="Amiri"/>
          <w:color w:val="111111"/>
          <w:sz w:val="28"/>
          <w:sz w:val="28"/>
          <w:szCs w:val="28"/>
          <w:rtl w:val="true"/>
          <w:lang w:bidi="ar-SA"/>
        </w:rPr>
        <w:t>بصورة سرّية حتى لا يسمع نفسه، ولا بصورة جهرية أي رفع الصوت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الجهر في اللغة بمعنى رفع الصوت على وجه الإطلاق خفيفاً كان أو شديداً، غير أنّ المراد به في الآية بقرينة المخافتة هي رفع الصوت بشدّة، ولولا المقابلة لما فسّر الجهر برفع الصوت شديداً، وبما ذكرنا ورد التفسير عن الإمام الصادق عليه السلام، روى سماعة مضمراً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 دون سمعك، والجهر أن ترفع صوتك شديداً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وقد روي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ليس بأصم ولا غائب هو بينكم وبين رؤوس رحالكم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بدعائك ولا تخافت بها ولكن بين ذلك</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والمروي عن ابن عباس وإن ورد في رفع الصوت في الدعاء، ولكن يمكن أن تكون ضابطة كلّية في أكثر المجالات التي يتوجّه فيها الإنسان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بعض الروايات أنّ الصلاة في الآية بمعنى العبادة المعروفة، فقد روى علي بن إبراهيم بسند 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أعلى الإمام أن يُسمع مَن خلفه وإن كثروا؟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ليقرأ قراءة وسطاً، يقول اللّه تبارك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وممّا ذكرنا يعلم أنّ كيفية صلاتنا في الظهرين لا تخالف الآية، فإنّ تلك الكيفية ليست جهراً كما هو واضح لما مرّ من أنّه هو رفع الصوت شديداً وفي الوقت نفسه ليست مخافتة أيضاً؛ لأنّها عبارة عمّا لا يسمع القارئ نفسه، والرائج هو سماع نفسه وإن لم يسمع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بَيْنَ ذلِكَ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وقريب من ذلك ما رواه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بها رفع الصوت شديداً والمخافته ما لم تسمع أُذنيك، واقرأ قراءة وسطاً ما بين ذلك وابتغ بين ذلك سبيلاً</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رأيت بعض من لم يكن له إلمام باللغة العربية كان يجهر في الظهرين بزعم أنّ الكيفية الرائجة مخافتة منهية، مع أنّك قد عرفت أنّ الآية لو كانت ناظرة إلى العبادة المعروفة فالمراد من الجهر ليس هو مطلق رفع الصوت؛ بل رفعه بشدّة فيشكّل قرينة على أنّ المخافتة هي التسارّ الذي لا يسمع حتى نفسه، وعليه تكون قراءة الصلاة على نحو الإخفات الذي يسمع المصلّي كلامه أو يسمعه الواقف إلى جانبه من مصاديق الآية فليست جهراً ولا مخافتة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46" w:name="pg14912_141307"/>
    </w:p>
    <w:p>
      <w:pPr>
        <w:pStyle w:val="BookText"/>
        <w:rPr/>
      </w:pPr>
      <w:bookmarkEnd w:id="546"/>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547" w:name="__RefHeading___Toc1366275_388300464"/>
      <w:bookmarkStart w:id="548" w:name="_Toc212"/>
      <w:bookmarkEnd w:id="547"/>
      <w:r>
        <w:rPr/>
        <w:t>8</w:t>
      </w:r>
      <w:r>
        <w:rPr>
          <w:rtl w:val="true"/>
        </w:rPr>
        <w:t xml:space="preserve">. </w:t>
      </w:r>
      <w:r>
        <w:rPr>
          <w:rtl w:val="true"/>
        </w:rPr>
        <w:t>التسليم على النبيّ صلى الله عليه و آله و سلم في التشهّد</w:t>
      </w:r>
      <w:bookmarkEnd w:id="548"/>
    </w:p>
    <w:p>
      <w:pPr>
        <w:pStyle w:val="Heading4"/>
        <w:numPr>
          <w:ilvl w:val="3"/>
          <w:numId w:val="1"/>
        </w:numPr>
        <w:rPr/>
      </w:pPr>
      <w:bookmarkStart w:id="549" w:name="__RefHeading___Toc1366277_388300464"/>
      <w:bookmarkStart w:id="550" w:name="_Toc213"/>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w:t>
      </w:r>
      <w:r>
        <w:rPr>
          <w:rStyle w:val="FootnoteAnchor"/>
          <w:rtl w:val="true"/>
        </w:rPr>
        <w:footnoteReference w:id="475"/>
      </w:r>
    </w:p>
    <w:p>
      <w:pPr>
        <w:pStyle w:val="Heading4"/>
        <w:numPr>
          <w:ilvl w:val="3"/>
          <w:numId w:val="1"/>
        </w:numPr>
        <w:rPr/>
      </w:pPr>
      <w:bookmarkStart w:id="551" w:name="__RefHeading___Toc1366279_388300464"/>
      <w:bookmarkStart w:id="552" w:name="_Toc214"/>
      <w:bookmarkEnd w:id="551"/>
      <w:r>
        <w:rPr>
          <w:rtl w:val="true"/>
        </w:rPr>
        <w:t>المفردات</w:t>
      </w:r>
      <w:bookmarkEnd w:id="552"/>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طلب الرحمة، وإذا نسبت إلى اللّه سبحانه جُرّدت عن الطلب، والغاية هي الاعتناء بشرف النبيّ ورفع شأنه، ومن هنا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اللّه محمداً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تشريف آدم بالسجود 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الانقياد،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التسليم هو الوارد في التشهّد،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وعليه الزمخشري والقاضي في تفسيريهما، وذكره الشيخ الطوسي في تبيانه،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لقضية العطف، حيث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حيث يدلّ على التغاير فالآية تدلّ على طلب الرحمة للنبيّ أوّلاً والسلام عليه في التشهّد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والصلاة على النبيّ صلى الله عليه و آله و سلم في التشهّد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الصلوات عليه خارج التشهّد عند ذكر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اتّحدت المذاهب الأربعة مضافاً إلى الإمامية بدخول السلام على النبيّ في التشهّد، فإنّ صيغ التشهّد عند المذاهب وإن كانت تختلف، لكن الجميع يشتمل على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وجوب التسليم، قال الشافعية والمالكية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واجب، 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والظاهر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بالوجوب هو الشافعي في التشهّد الأخير، والباقي على الاستحباب</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الصلاة على النبي صلى الله عليه و آله و سلم في التشهّد فقد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53" w:name="pg14912_141309"/>
    </w:p>
    <w:p>
      <w:pPr>
        <w:pStyle w:val="BookText"/>
        <w:rPr/>
      </w:pPr>
      <w:bookmarkEnd w:id="553"/>
      <w:r>
        <w:rPr>
          <w:rFonts w:ascii="Amiri" w:hAnsi="Amiri" w:eastAsia="Amiri" w:cs="Amiri"/>
          <w:color w:val="111111"/>
          <w:sz w:val="28"/>
          <w:sz w:val="28"/>
          <w:szCs w:val="28"/>
          <w:rtl w:val="true"/>
          <w:lang w:bidi="ar-SA"/>
        </w:rPr>
        <w:t>الصلاة على النبي فرض في التشهّدين، وركن من أركان الصلاة، وبه قال الشافعي في التشهّد الأخير،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وأبو مسعود البدري الأنصاري واسمه عقبة بن عمر، وابن عمر، وجابر،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والأوزاعي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واجب</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والمسألة فقهية فهي بحاجة إلى دراسة أدلّة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فالتسليم على النبيّ جزء من التشهّد، وهو غير التسليم الذي يخرج به المصلّي عن الصلاة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366281_388300464"/>
      <w:bookmarkStart w:id="555" w:name="_Toc215"/>
      <w:bookmarkEnd w:id="554"/>
      <w:r>
        <w:rPr>
          <w:rtl w:val="true"/>
        </w:rPr>
        <w:t>الآية دالّة على أنّ النبيّ حيّ‌</w:t>
      </w:r>
      <w:bookmarkEnd w:id="555"/>
    </w:p>
    <w:p>
      <w:pPr>
        <w:pStyle w:val="BookText"/>
        <w:rPr/>
      </w:pPr>
      <w:r>
        <w:rPr>
          <w:rFonts w:ascii="Amiri" w:hAnsi="Amiri" w:eastAsia="Amiri" w:cs="Amiri"/>
          <w:color w:val="111111"/>
          <w:sz w:val="28"/>
          <w:sz w:val="28"/>
          <w:szCs w:val="28"/>
          <w:rtl w:val="true"/>
          <w:lang w:bidi="ar-SA"/>
        </w:rPr>
        <w:t>وهنا أمر نعطف نظر القارئ إليه وهو أنّ الآمرين بالمعروف والناهين عن المنكر في مكّة المكرّمة والمدينة المنوّرة يمنعون من الصلاة على أولياء اللّه، قائلين بأنّ الموت صار حاجزاً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الذكر الحكيم أنّ اللّه سبحانه يصلّي على النبي صلى الله عليه و آله و سلم وملائكته يصلّون عليه، ويأمر المؤمنين بالصلوات عليه، فلو كان الموت حاجزاً فما معنى الأمر بالصلاة والتسليم على النبي صلى الله عليه و آله و 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هؤلاء يرون الموت فناءً للإنسان، بحيث لا يبقى منه شيء، ولكن القرآن يرى الموت انتقال الإنسان من دار إلى دار، وعند ذلك يصبح السلام أمراً معقولاً</w:t>
      </w:r>
      <w:r>
        <w:rPr>
          <w:rFonts w:eastAsia="Amiri" w:cs="Amiri" w:ascii="Amiri" w:hAnsi="Amiri"/>
          <w:color w:val="111111"/>
          <w:sz w:val="28"/>
          <w:szCs w:val="28"/>
          <w:rtl w:val="true"/>
          <w:lang w:bidi="ar-SA"/>
        </w:rPr>
        <w:t>.</w:t>
      </w:r>
      <w:bookmarkStart w:id="556" w:name="pg14912_141310"/>
    </w:p>
    <w:p>
      <w:pPr>
        <w:pStyle w:val="Heading4"/>
        <w:numPr>
          <w:ilvl w:val="3"/>
          <w:numId w:val="1"/>
        </w:numPr>
        <w:rPr/>
      </w:pPr>
      <w:bookmarkStart w:id="557" w:name="__RefHeading___Toc1366283_388300464"/>
      <w:bookmarkStart w:id="558" w:name="_Toc216"/>
      <w:bookmarkEnd w:id="556"/>
      <w:bookmarkEnd w:id="557"/>
      <w:r>
        <w:rPr>
          <w:rtl w:val="true"/>
        </w:rPr>
        <w:t>المقام الثاني</w:t>
      </w:r>
      <w:r>
        <w:rPr>
          <w:rtl w:val="true"/>
        </w:rPr>
        <w:t xml:space="preserve">: </w:t>
      </w:r>
      <w:r>
        <w:rPr>
          <w:rtl w:val="true"/>
        </w:rPr>
        <w:t>الصلاة على النبيّ عند ذكر اسمه</w:t>
      </w:r>
      <w:bookmarkEnd w:id="558"/>
    </w:p>
    <w:p>
      <w:pPr>
        <w:pStyle w:val="BookText"/>
        <w:rPr/>
      </w:pPr>
      <w:r>
        <w:rPr>
          <w:rFonts w:ascii="Amiri" w:hAnsi="Amiri" w:eastAsia="Amiri" w:cs="Amiri"/>
          <w:color w:val="111111"/>
          <w:sz w:val="28"/>
          <w:sz w:val="28"/>
          <w:szCs w:val="28"/>
          <w:rtl w:val="true"/>
          <w:lang w:bidi="ar-SA"/>
        </w:rPr>
        <w:t>هذا كلّه حول المقام الأوّل، وأمّا المقام الثاني وهو وجوب الصلاة على النبي صلى الله عليه و آله و سلم في غير الصلاة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الدين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الكرخي إلى وجوبها في العمر مرّة، وقال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واختاره الزمخشري، ونقل عن ابن بابويه من أصحابنا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والظاهر من أصحابنا هو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تقدير فسواء أكان واجباً أو مستحبّاً، إنّما الكلام في كيفية الصلاة عليه، فقد علّم رسول اللّه صلى الله عليه و آله و سلم المسلمين، كيفية الصلاة عليه في حديث نقله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محدثّو أهل السنّة، فقد رووا الحديث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السلام عليك فكيف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آل إبراهيم إنّك حميد مجيد، اللّهمّ بارك على محمد وعلى آل محمّد كما باركت على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w:t>
      </w:r>
      <w:r>
        <w:rPr>
          <w:rStyle w:val="FootnoteAnchor"/>
          <w:rtl w:val="true"/>
        </w:rPr>
        <w:footnoteReference w:id="481"/>
      </w:r>
      <w:r>
        <w:rPr>
          <w:rFonts w:ascii="Amiri" w:hAnsi="Amiri" w:eastAsia="Amiri" w:cs="Amiri"/>
          <w:color w:val="111111"/>
          <w:sz w:val="28"/>
          <w:sz w:val="28"/>
          <w:szCs w:val="28"/>
          <w:rtl w:val="true"/>
          <w:lang w:bidi="ar-SA"/>
        </w:rPr>
        <w:t>إلّاأنّ الترمذي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في الموضعين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في صحيحه بإسناده عن عبد الرحمن بن أبي ليلى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لقيني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w:t>
      </w:r>
    </w:p>
    <w:p>
      <w:pPr>
        <w:pStyle w:val="BookText"/>
        <w:rPr/>
      </w:pPr>
      <w:r>
        <w:rPr>
          <w:rFonts w:ascii="Amiri" w:hAnsi="Amiri" w:eastAsia="Amiri" w:cs="Amiri"/>
          <w:color w:val="111111"/>
          <w:sz w:val="28"/>
          <w:sz w:val="28"/>
          <w:szCs w:val="28"/>
          <w:rtl w:val="true"/>
          <w:lang w:bidi="ar-SA"/>
        </w:rPr>
        <w:t>الصلاة عليكم أهل البيت فإنّ اللّه قد علّمنا كيف نسلّم‌؟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إنّك حميد مجيد، اللّهمّ 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الصلاة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المرتكز هو الصلاة على النبي وأهل بيته فما في بعض الروايات من إدخال الأزواج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أزواجه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 به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مع ما ورد من الذم لبعضهنّ في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فقد رواه الشيخ الطوسي في كتاب المجالس باسناده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علّمتنا السلام عليك، فكيف الصلاة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على إبراهيم وآل إبراهيم إنّك حميد مجيد، وبارك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وبذلك يُعلم أنّ الصلوات على النبي بحذف الآل يخالف ما أمر به النبي صلى الله عليه و آله و سلم، وأعجب منه أنّهم حذفوا الآل، وعندما أتوا بالآل أضافوا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 في أي آية أو حديث أنّ النبي صلى الله عليه و آله و سلم صلّى على الصحابة بما هم صحابة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أمر النبي صلى الله عليه و آله و سلم أن يصلّي على مَن يأخذ منهم الزكاة،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59" w:name="pg14912_141312"/>
    </w:p>
    <w:p>
      <w:pPr>
        <w:pStyle w:val="BookText"/>
        <w:rPr/>
      </w:pPr>
      <w:bookmarkEnd w:id="55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إلى الصلاة على مَن يؤدّي زكاة ماله من غير فرق بين الصحابي وغيره، وليس كلّ صحابي أدّى زكاته إلى النبي صلى الله عليه و آله و سلم، ولذلك أفتى الفقهاء باستحباب الصلاة على المؤدّي للزكاة حين أدائها، وأيّ صلة للآية بالصلاة على الصحابي في كلّ وقت‌؟</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366285_388300464"/>
      <w:bookmarkStart w:id="561" w:name="_Toc217"/>
      <w:bookmarkEnd w:id="560"/>
      <w:r>
        <w:rPr>
          <w:rtl w:val="true"/>
        </w:rPr>
        <w:t>الصلاة على النبيّ صلى الله عليه و آله و سلم إذا لم يذكر الآل فيها</w:t>
      </w:r>
      <w:r>
        <w:rPr>
          <w:rtl w:val="true"/>
        </w:rPr>
        <w:t>:</w:t>
      </w:r>
      <w:bookmarkEnd w:id="561"/>
    </w:p>
    <w:p>
      <w:pPr>
        <w:pStyle w:val="BookText"/>
        <w:rPr/>
      </w:pPr>
      <w:r>
        <w:rPr>
          <w:rFonts w:ascii="Amiri" w:hAnsi="Amiri" w:eastAsia="Amiri" w:cs="Amiri"/>
          <w:color w:val="111111"/>
          <w:sz w:val="28"/>
          <w:sz w:val="28"/>
          <w:szCs w:val="28"/>
          <w:rtl w:val="true"/>
          <w:lang w:bidi="ar-SA"/>
        </w:rPr>
        <w:t xml:space="preserve">إنّ حذف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على خلاف ما رواه في تعليم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روي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الإمام الشافعي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لا صلاة له صحيحة، فيكون موافقاً لقوله بوجوب الصلاة على الآل، ويحتمل لا صلاة كاملة، فيوافق أظهر قوليه</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كلام لبعض المحقّقين من أهل السنّة حول الصلاة على النبي صلى الله عليه و آله و سلم</w:t>
      </w:r>
    </w:p>
    <w:p>
      <w:pPr>
        <w:pStyle w:val="BookText"/>
        <w:rPr/>
      </w:pPr>
      <w:r>
        <w:rPr>
          <w:rFonts w:ascii="Amiri" w:hAnsi="Amiri" w:eastAsia="Amiri" w:cs="Amiri"/>
          <w:color w:val="111111"/>
          <w:sz w:val="28"/>
          <w:sz w:val="28"/>
          <w:szCs w:val="28"/>
          <w:rtl w:val="true"/>
          <w:lang w:bidi="ar-SA"/>
        </w:rPr>
        <w:t>نأتي بنصّه،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الصلاة المأمور بها التي وردت هي المقرونة بالآل، فقد علّم النبي صلى الله عليه و آله و سلم أُمّته الصلاة المأمور بها في كتاب اللّه مقرونة بالآل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اللّهمّ صلّ على محمد عبدك ورسولك النبي الأُمّيّ وعلى آل محمد، كما صلّيت على إبراهيم وعلى آل إبراهيم، وبارك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صلّى على النبي صلى الله عليه و آله و سلم من غير أن يذكرهم في صلاته لم يأت كامل الصلاة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جرينا على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خالف سنّة الرسول يكون بدعة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 هذه الصلوات بدعة ضلالة، أي حرام فضلاً عن أن يكون لها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الأصل الذي قال به مخالفوهم من أنّ مخالفة السنّة ليس بدعة ضلالة، فيحصل بها ثواب أصل الصلاة وإن لم يحصل بها الثواب الكامل الذي يحصل بموافقة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يلحق كثير من الناس في كلّ صلاة يصلّونها على النبي صلى الله عليه و آله و سلم الصلاة على الصحابة رضوان اللّه عليهم، ولم تجئ رواية صحيحة بالصلاة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أصل هؤلاء من أنّ مخالفة فِعْل الرسول صلى الله عليه و آله و سلم ليس بدعة ضلالة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يكون هذا الإلحاق مخالفاً للسنّة؛ لأنّ النبي صلى الله عليه و آله و سلم ترك الصلاة على الصحابة في حديث التعليم، ممّا يدلّ على أنّها مخصوصة للآل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قرّرناه يكون قولها زيادة على المشروع لا يراد بها إلّاالدعاء لهم فيحصل به الدعاء لهم</w:t>
      </w:r>
      <w:r>
        <w:rPr>
          <w:rFonts w:eastAsia="Amiri" w:cs="Amiri" w:ascii="Amiri" w:hAnsi="Amiri"/>
          <w:color w:val="111111"/>
          <w:sz w:val="28"/>
          <w:szCs w:val="28"/>
          <w:rtl w:val="true"/>
          <w:lang w:bidi="ar-SA"/>
        </w:rPr>
        <w:t>.</w:t>
      </w:r>
      <w:r>
        <w:rPr>
          <w:rStyle w:val="FootnoteAnchor"/>
        </w:rPr>
        <w:footnoteReference w:id="48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62" w:name="pg14912_141314"/>
    </w:p>
    <w:p>
      <w:pPr>
        <w:pStyle w:val="Heading4"/>
        <w:numPr>
          <w:ilvl w:val="3"/>
          <w:numId w:val="1"/>
        </w:numPr>
        <w:rPr/>
      </w:pPr>
      <w:bookmarkStart w:id="563" w:name="__RefHeading___Toc1366287_388300464"/>
      <w:bookmarkStart w:id="564" w:name="_Toc218"/>
      <w:bookmarkEnd w:id="562"/>
      <w:bookmarkEnd w:id="563"/>
      <w:r>
        <w:rPr>
          <w:rtl w:val="true"/>
        </w:rPr>
        <w:t>ما ذا يراد من الآل‌؟</w:t>
      </w:r>
      <w:bookmarkEnd w:id="564"/>
    </w:p>
    <w:p>
      <w:pPr>
        <w:pStyle w:val="BookText"/>
        <w:rPr/>
      </w:pPr>
      <w:r>
        <w:rPr>
          <w:rFonts w:ascii="Amiri" w:hAnsi="Amiri" w:eastAsia="Amiri" w:cs="Amiri"/>
          <w:color w:val="111111"/>
          <w:sz w:val="28"/>
          <w:sz w:val="28"/>
          <w:szCs w:val="28"/>
          <w:rtl w:val="true"/>
          <w:lang w:bidi="ar-SA"/>
        </w:rPr>
        <w:t>وأمّا ما هو المراد من الآل‌؟ فقد قام النبيّ صلى الله عليه و آله و سلم في غير موقف من المواقف بتبيينه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و 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r>
        <w:rPr>
          <w:rStyle w:val="FootnoteAnchor"/>
          <w:rtl w:val="true"/>
        </w:rPr>
        <w:footnoteReference w:id="490"/>
      </w:r>
      <w:r>
        <w:rPr>
          <w:rFonts w:ascii="Amiri" w:hAnsi="Amiri" w:eastAsia="Amiri" w:cs="Amiri"/>
          <w:color w:val="111111"/>
          <w:sz w:val="28"/>
          <w:sz w:val="28"/>
          <w:szCs w:val="28"/>
          <w:rtl w:val="true"/>
          <w:lang w:bidi="ar-SA"/>
        </w:rPr>
        <w:t>دعا رسول اللّه صلى الله عليه و آله و 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حتى أنّ النبيّ صلى الله عليه و آله و سلم أخرج بعض أزواجه عن كونهم من أهل البيت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عمر بن أبي سلمة ربيب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r>
        <w:rPr>
          <w:rStyle w:val="FootnoteAnchor"/>
          <w:rtl w:val="true"/>
        </w:rPr>
        <w:footnoteReference w:id="493"/>
      </w:r>
      <w:bookmarkStart w:id="565" w:name="pg14912_141315"/>
    </w:p>
    <w:p>
      <w:pPr>
        <w:pStyle w:val="BookText"/>
        <w:rPr/>
      </w:pPr>
      <w:bookmarkEnd w:id="565"/>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566" w:name="__RefHeading___Toc1366289_388300464"/>
      <w:bookmarkStart w:id="567" w:name="_Toc219"/>
      <w:bookmarkEnd w:id="566"/>
      <w:r>
        <w:rPr/>
        <w:t>9</w:t>
      </w:r>
      <w:r>
        <w:rPr>
          <w:rtl w:val="true"/>
        </w:rPr>
        <w:t xml:space="preserve">. </w:t>
      </w:r>
      <w:r>
        <w:rPr>
          <w:rtl w:val="true"/>
        </w:rPr>
        <w:t>الاستماع والإنصات عند قراءة القرآن</w:t>
      </w:r>
      <w:bookmarkEnd w:id="567"/>
    </w:p>
    <w:p>
      <w:pPr>
        <w:pStyle w:val="Heading4"/>
        <w:numPr>
          <w:ilvl w:val="3"/>
          <w:numId w:val="1"/>
        </w:numPr>
        <w:rPr/>
      </w:pPr>
      <w:bookmarkStart w:id="568" w:name="__RefHeading___Toc1366291_388300464"/>
      <w:bookmarkStart w:id="569" w:name="_Toc220"/>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 .</w:t>
      </w:r>
      <w:r>
        <w:rPr>
          <w:rStyle w:val="FootnoteAnchor"/>
          <w:rtl w:val="true"/>
        </w:rPr>
        <w:footnoteReference w:id="494"/>
      </w:r>
    </w:p>
    <w:p>
      <w:pPr>
        <w:pStyle w:val="Heading4"/>
        <w:numPr>
          <w:ilvl w:val="3"/>
          <w:numId w:val="1"/>
        </w:numPr>
        <w:rPr/>
      </w:pPr>
      <w:bookmarkStart w:id="570" w:name="__RefHeading___Toc1366293_388300464"/>
      <w:bookmarkStart w:id="571" w:name="_Toc221"/>
      <w:bookmarkEnd w:id="570"/>
      <w:r>
        <w:rPr>
          <w:rtl w:val="true"/>
        </w:rPr>
        <w:t>المفردات</w:t>
      </w:r>
      <w:bookmarkEnd w:id="571"/>
    </w:p>
    <w:p>
      <w:pPr>
        <w:pStyle w:val="BookText"/>
        <w:rPr/>
      </w:pPr>
      <w:r>
        <w:rPr>
          <w:rFonts w:ascii="Amiri" w:hAnsi="Amiri" w:eastAsia="Amiri" w:cs="Amiri"/>
          <w:color w:val="111111"/>
          <w:sz w:val="28"/>
          <w:sz w:val="28"/>
          <w:szCs w:val="28"/>
          <w:rtl w:val="true"/>
          <w:lang w:bidi="ar-SA"/>
        </w:rPr>
        <w:t>استمعوا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اصغوا لغاية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من المفسّرين فرّق بين الاستماع والإنصات،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 القرآن فاستمعوا له، غير أنّ ظاهر العطف هو المغايرة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أن استمع بمعنى سمع، والإنصات توطين النفس على الاستماع مع السكوت</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ولكن الظاهر من الحديث النبوي أنّ الإنصات هو السكوت، ففي الحديث</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572" w:name="pg14912_141316"/>
    </w:p>
    <w:p>
      <w:pPr>
        <w:pStyle w:val="BookText"/>
        <w:rPr/>
      </w:pPr>
      <w:bookmarkEnd w:id="572"/>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الاستماع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وعلى هذا فمعنى الآية إذا قرئ القرآن فاستمعوا واسكتوا لأجل الاستماع، ويشهد على ما ذكرنا من أنّ الإنصات بمعنى السكوت ما يأتي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فظاهر المجموع هو السكوت لغاية الاستماع</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366295_388300464"/>
      <w:bookmarkStart w:id="574" w:name="_Toc222"/>
      <w:bookmarkEnd w:id="573"/>
      <w:r>
        <w:rPr>
          <w:rtl w:val="true"/>
        </w:rPr>
        <w:t>التفسير</w:t>
      </w:r>
      <w:bookmarkEnd w:id="574"/>
    </w:p>
    <w:p>
      <w:pPr>
        <w:pStyle w:val="BookText"/>
        <w:rPr/>
      </w:pPr>
      <w:r>
        <w:rPr>
          <w:rFonts w:ascii="Amiri" w:hAnsi="Amiri" w:eastAsia="Amiri" w:cs="Amiri"/>
          <w:color w:val="111111"/>
          <w:sz w:val="28"/>
          <w:sz w:val="28"/>
          <w:szCs w:val="28"/>
          <w:rtl w:val="true"/>
          <w:lang w:bidi="ar-SA"/>
        </w:rPr>
        <w:t>تدلّ الآية على أنّه إذا قرئ القرآن فعليكم باستماعه والسكوت مادام القرآن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الخطاب للمؤمنين دون الكافرين؛ لأنّ عمل الكافرين على ضد هذه الآية كما حكى عنهم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لا تَسْمَعُوا لِهذَا اَلْقُرْآنِ وَ اِلْغَوْا فِيهِ‌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ومع ذلك لم يحكم بالترّحم بصورة قاطعة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بين العمل وقبوله، موانع وعراقيل ربما تمنع عن قبوله، ولذلك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القطع والجزم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بالاستماع والإنصات حين قراءة القرآن لغاية تكريمه، فالمتكلّم هو اللّه سبحانه عن لسان الوحي، ومقتضى ذلك حفظ الأدب في ذلك المقام، مضافاً إلى ما فيه من الهداية والرحمة للمؤمنين</w:t>
      </w:r>
      <w:r>
        <w:rPr>
          <w:rFonts w:eastAsia="Amiri" w:cs="Amiri" w:ascii="Amiri" w:hAnsi="Amiri"/>
          <w:color w:val="111111"/>
          <w:sz w:val="28"/>
          <w:szCs w:val="28"/>
          <w:rtl w:val="true"/>
          <w:lang w:bidi="ar-SA"/>
        </w:rPr>
        <w:t>.</w:t>
      </w:r>
      <w:bookmarkStart w:id="575" w:name="pg14912_141317"/>
    </w:p>
    <w:p>
      <w:pPr>
        <w:pStyle w:val="Heading4"/>
        <w:numPr>
          <w:ilvl w:val="3"/>
          <w:numId w:val="1"/>
        </w:numPr>
        <w:rPr/>
      </w:pPr>
      <w:bookmarkStart w:id="576" w:name="__RefHeading___Toc1366297_388300464"/>
      <w:bookmarkStart w:id="577" w:name="_Toc223"/>
      <w:bookmarkEnd w:id="575"/>
      <w:bookmarkEnd w:id="576"/>
      <w:r>
        <w:rPr>
          <w:rtl w:val="true"/>
        </w:rPr>
        <w:t>اختصاص السكوت بحال الصلاة عند قراءة الإمام</w:t>
      </w:r>
      <w:bookmarkEnd w:id="577"/>
    </w:p>
    <w:p>
      <w:pPr>
        <w:pStyle w:val="BookText"/>
        <w:rPr/>
      </w:pPr>
      <w:r>
        <w:rPr>
          <w:rFonts w:ascii="Amiri" w:hAnsi="Amiri" w:eastAsia="Amiri" w:cs="Amiri"/>
          <w:color w:val="111111"/>
          <w:sz w:val="28"/>
          <w:sz w:val="28"/>
          <w:szCs w:val="28"/>
          <w:rtl w:val="true"/>
          <w:lang w:bidi="ar-SA"/>
        </w:rPr>
        <w:t>ثمّ إنّ هنا 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منها اختصاص مورد الآية هو الصلاة خاصّة خلف الإمام الذي يُؤتَّم به إذا سمعت قراءته،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أبي جعفر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يتكلّمون في صلاتهم، ويسلّم بعضهم على بعض، وإذا دخل داخل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صلّيتم‌؟ أجابوه، فنهوا عن ذلك، وأُمروا بالاستماع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السيوطي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فقرأ خلفه قوم،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 أَنْصِتُوا</w:t>
      </w:r>
      <w:r>
        <w:rPr>
          <w:rFonts w:eastAsia="Amiri" w:cs="Amiri" w:ascii="Amiri" w:hAnsi="Amiri"/>
          <w:color w:val="111111"/>
          <w:sz w:val="28"/>
          <w:szCs w:val="28"/>
          <w:rtl w:val="true"/>
          <w:lang w:bidi="ar-SA"/>
        </w:rPr>
        <w:t>)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به الخطبة حيث أُمروا بالإنصات والاستماع إلى خطبة الإمام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في الخطبة والصلاة جميعاً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الأقوال الأوّل؛ لأنّه لا حال يجب فيها الإنصات لقراءة القرآن إلّاحال قراءة الإمام في الصلاة، فإنّ على المأموم الإنصات والإستماع</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بعض الروايات يؤيّد هذا القول ففي صحيحة معاوية بن وهب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 القوم وأنت لا ترضى به في صلاة يجهر فيها</w:t>
      </w:r>
    </w:p>
    <w:p>
      <w:pPr>
        <w:pStyle w:val="BookText"/>
        <w:rPr/>
      </w:pPr>
      <w:r>
        <w:rPr>
          <w:rFonts w:ascii="Amiri" w:hAnsi="Amiri" w:eastAsia="Amiri" w:cs="Amiri"/>
          <w:color w:val="111111"/>
          <w:sz w:val="28"/>
          <w:sz w:val="28"/>
          <w:szCs w:val="28"/>
          <w:rtl w:val="true"/>
          <w:lang w:bidi="ar-SA"/>
        </w:rPr>
        <w:t>بالقراءة‌؟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كتاب اللّه يتلى فأنصت له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وفي رواية عمرو بن الربيع النصري عن جعفر بن محمد عليهما السلام أنّه سئل عن القراءة خلف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تتولّاه وتثق به يجزيك قراءته؛ وإن أحببت أن تقرأ فاقرأ فيما يخافت فيه، فإذا جهر فأنصت،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أَنْصِتُوا لَعَلَّكُمْ تُرْحَمُونَ‌</w:t>
      </w:r>
      <w:r>
        <w:rPr>
          <w:rFonts w:eastAsia="Amiri" w:cs="Amiri" w:ascii="Amiri" w:hAnsi="Amiri"/>
          <w:color w:val="111111"/>
          <w:sz w:val="28"/>
          <w:szCs w:val="28"/>
          <w:rtl w:val="true"/>
          <w:lang w:bidi="ar-SA"/>
        </w:rPr>
        <w:t>)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السكوت مطلقاً، ويدلّ عليه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أنّ عليّاً كان في صلاة الصبح فقرأ ابن الكوّاء وهو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فأنصت علي عليه السلام تعظيماً للقرآن حتى فرغ من الآية، ثم عاد في قراءته، ثم أعاد ابن الكوّاء الآية فأنصت علي عليه السلام أيضاً ثم قرأ فأعاد ابن الكوّاء فأنصت علي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ولكن في دلالته أيضاً على الوجوب تأمّل، لأنّ الفعل أعمّ من الوجوب لاحتمال كونه مستحباً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الإنصات للقرآن في الصلاة وفي غيرها، وإذا قرئ عندك القرآن وجب عليك الإنصات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والاستماع</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الطائفتين، فيجب الإنصات عند قراءة الإمام، كما يجب عند سماع قراءة القرآن، فهنا حكمان مثبتان لموضوعين مختلفين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لولا السيرة العملية على عدم الوجوب في غير حال الصلاة، مضافاً إلى شأن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الأحوط هو الإنصات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78" w:name="pg14912_141320"/>
    </w:p>
    <w:p>
      <w:pPr>
        <w:pStyle w:val="BookText"/>
        <w:rPr/>
      </w:pPr>
      <w:bookmarkEnd w:id="578"/>
      <w:r>
        <w:rPr>
          <w:rFonts w:ascii="Amiri" w:hAnsi="Amiri" w:eastAsia="Amiri" w:cs="Amiri"/>
          <w:color w:val="111111"/>
          <w:sz w:val="28"/>
          <w:sz w:val="28"/>
          <w:szCs w:val="28"/>
          <w:rtl w:val="true"/>
          <w:lang w:bidi="ar-SA"/>
        </w:rPr>
        <w:t>أحكام الصلاة</w:t>
      </w:r>
    </w:p>
    <w:p>
      <w:pPr>
        <w:pStyle w:val="Heading3"/>
        <w:numPr>
          <w:ilvl w:val="2"/>
          <w:numId w:val="1"/>
        </w:numPr>
        <w:rPr/>
      </w:pPr>
      <w:bookmarkStart w:id="579" w:name="__RefHeading___Toc1366299_388300464"/>
      <w:bookmarkStart w:id="580" w:name="_Toc224"/>
      <w:bookmarkEnd w:id="579"/>
      <w:r>
        <w:rPr/>
        <w:t>10</w:t>
      </w:r>
      <w:r>
        <w:rPr>
          <w:rtl w:val="true"/>
        </w:rPr>
        <w:t xml:space="preserve">. </w:t>
      </w:r>
      <w:r>
        <w:rPr>
          <w:rtl w:val="true"/>
        </w:rPr>
        <w:t>سجود التلاوة</w:t>
      </w:r>
      <w:bookmarkEnd w:id="580"/>
    </w:p>
    <w:p>
      <w:pPr>
        <w:pStyle w:val="Heading4"/>
        <w:numPr>
          <w:ilvl w:val="3"/>
          <w:numId w:val="1"/>
        </w:numPr>
        <w:rPr/>
      </w:pPr>
      <w:bookmarkStart w:id="581" w:name="__RefHeading___Toc1366301_388300464"/>
      <w:bookmarkStart w:id="582" w:name="_Toc225"/>
      <w:bookmarkEnd w:id="581"/>
      <w:r>
        <w:rPr>
          <w:rtl w:val="true"/>
        </w:rPr>
        <w:t>الآية الأُولى</w:t>
      </w:r>
      <w:bookmarkEnd w:id="58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w:t>
      </w:r>
      <w:r>
        <w:rPr>
          <w:rStyle w:val="FootnoteAnchor"/>
          <w:rtl w:val="true"/>
        </w:rPr>
        <w:footnoteReference w:id="504"/>
      </w:r>
    </w:p>
    <w:p>
      <w:pPr>
        <w:pStyle w:val="Heading4"/>
        <w:numPr>
          <w:ilvl w:val="3"/>
          <w:numId w:val="1"/>
        </w:numPr>
        <w:rPr/>
      </w:pPr>
      <w:bookmarkStart w:id="583" w:name="__RefHeading___Toc1366303_388300464"/>
      <w:bookmarkStart w:id="584" w:name="_Toc226"/>
      <w:bookmarkEnd w:id="583"/>
      <w:r>
        <w:rPr>
          <w:rtl w:val="true"/>
        </w:rPr>
        <w:t>الآية الثانية</w:t>
      </w:r>
      <w:bookmarkEnd w:id="58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اَللَّيْلُ وَ اَلنَّهارُ وَ اَلشَّمْسُ وَ اَلْقَمَرُ لا تَسْجُدُوا لِلشَّمْسِ وَ لا لِلْقَمَرِ وَ اُسْجُدُوا لِلّهِ اَلَّذِي خَلَقَهُنَّ إِنْ كُنْتُمْ إِيّاهُ تَعْبُدُونَ‌</w:t>
      </w:r>
      <w:r>
        <w:rPr>
          <w:rFonts w:eastAsia="Amiri" w:cs="Amiri" w:ascii="Amiri" w:hAnsi="Amiri"/>
          <w:color w:val="111111"/>
          <w:sz w:val="28"/>
          <w:szCs w:val="28"/>
          <w:rtl w:val="true"/>
          <w:lang w:bidi="ar-SA"/>
        </w:rPr>
        <w:t>) .</w:t>
      </w:r>
      <w:r>
        <w:rPr>
          <w:rStyle w:val="FootnoteAnchor"/>
          <w:rtl w:val="true"/>
        </w:rPr>
        <w:footnoteReference w:id="505"/>
      </w:r>
    </w:p>
    <w:p>
      <w:pPr>
        <w:pStyle w:val="Heading4"/>
        <w:numPr>
          <w:ilvl w:val="3"/>
          <w:numId w:val="1"/>
        </w:numPr>
        <w:rPr/>
      </w:pPr>
      <w:bookmarkStart w:id="585" w:name="__RefHeading___Toc1366305_388300464"/>
      <w:bookmarkStart w:id="586" w:name="_Toc227"/>
      <w:bookmarkEnd w:id="585"/>
      <w:r>
        <w:rPr>
          <w:rtl w:val="true"/>
        </w:rPr>
        <w:t>الآية الثالثة</w:t>
      </w:r>
      <w:bookmarkEnd w:id="5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bookmarkStart w:id="587" w:name="pg14912_141321"/>
    </w:p>
    <w:p>
      <w:pPr>
        <w:pStyle w:val="BookText"/>
        <w:rPr/>
      </w:pPr>
      <w:bookmarkEnd w:id="587"/>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 .</w:t>
      </w:r>
      <w:r>
        <w:rPr>
          <w:rStyle w:val="FootnoteAnchor"/>
          <w:rtl w:val="true"/>
        </w:rPr>
        <w:footnoteReference w:id="506"/>
      </w:r>
    </w:p>
    <w:p>
      <w:pPr>
        <w:pStyle w:val="Heading4"/>
        <w:numPr>
          <w:ilvl w:val="3"/>
          <w:numId w:val="1"/>
        </w:numPr>
        <w:rPr/>
      </w:pPr>
      <w:bookmarkStart w:id="588" w:name="__RefHeading___Toc1366307_388300464"/>
      <w:bookmarkStart w:id="589" w:name="_Toc228"/>
      <w:bookmarkEnd w:id="588"/>
      <w:r>
        <w:rPr>
          <w:rtl w:val="true"/>
        </w:rPr>
        <w:t>الآية الرابعة</w:t>
      </w:r>
      <w:bookmarkEnd w:id="58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تُطِعْهُ وَ اُسْجُدْ وَ اِقْتَرِبْ‌</w:t>
      </w:r>
      <w:r>
        <w:rPr>
          <w:rFonts w:eastAsia="Amiri" w:cs="Amiri" w:ascii="Amiri" w:hAnsi="Amiri"/>
          <w:color w:val="111111"/>
          <w:sz w:val="28"/>
          <w:szCs w:val="28"/>
          <w:rtl w:val="true"/>
          <w:lang w:bidi="ar-SA"/>
        </w:rPr>
        <w:t>) .</w:t>
      </w:r>
      <w:r>
        <w:rPr>
          <w:rStyle w:val="FootnoteAnchor"/>
          <w:rtl w:val="true"/>
        </w:rPr>
        <w:footnoteReference w:id="507"/>
      </w:r>
    </w:p>
    <w:p>
      <w:pPr>
        <w:pStyle w:val="Heading4"/>
        <w:numPr>
          <w:ilvl w:val="3"/>
          <w:numId w:val="1"/>
        </w:numPr>
        <w:rPr/>
      </w:pPr>
      <w:bookmarkStart w:id="590" w:name="__RefHeading___Toc1366309_388300464"/>
      <w:bookmarkStart w:id="591" w:name="_Toc229"/>
      <w:bookmarkEnd w:id="590"/>
      <w:r>
        <w:rPr>
          <w:rtl w:val="true"/>
        </w:rPr>
        <w:t>حكم سجود التلاوة</w:t>
      </w:r>
      <w:bookmarkEnd w:id="59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تضافرت الروايات عن أئمّة أهل البيت عليهم السلام على وجوب سجود العزيمة في السور الأربع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الطبرسي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تنزيل، وحم السجدة، والنجم، واقرأ باسم ربّك، وماعداها في جميع القرآن مسنون وليس بمفروض</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وأمّا الأمر بالسجود في السور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الرعد، النحل، الإسراء، مريم، والحج في موضعين، والفرقان، والنحل، وص، والإنشقاق، فالسجود فيها مندوب حسب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فقه أهل السنّة، فقد جاء في الموسوعة الفقهية الكويتية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الفقهاء على مشروعية سجود التلاوة، أواجب هو أو مندوب‌؟ فذهب الشافعية والحنابلة إلى أنّ سجود التلاوة سُنّة مؤكّدة، وليس بواجب، قائلاً بأنّ النبي صلى الله عليه و آله و سلم تركه وقد قُرئت عليه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فقهاء المالكية في حكم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سنّة غير مؤكّدة أو فضيلة، وذهب الحنفية إلى أنّ سجود التلاوة وبدله كالإيماء واجب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على مَن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ولحديث أبي هريرة،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 ابن آدم السجدة فسجد اعتزل الشيطان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وفي رواية أبي كريب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ويلي أمر ابن آدم بالسجود فسجد فله الجنة، وأُمرت بالسجود فأبيت فلي النار</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92" w:name="pg14912_141323"/>
    </w:p>
    <w:p>
      <w:pPr>
        <w:pStyle w:val="Heading4"/>
        <w:numPr>
          <w:ilvl w:val="3"/>
          <w:numId w:val="1"/>
        </w:numPr>
        <w:rPr/>
      </w:pPr>
      <w:bookmarkStart w:id="593" w:name="__RefHeading___Toc1366311_388300464"/>
      <w:bookmarkStart w:id="594" w:name="_Toc230"/>
      <w:bookmarkEnd w:id="592"/>
      <w:bookmarkEnd w:id="593"/>
      <w:r>
        <w:rPr>
          <w:rtl w:val="true"/>
        </w:rPr>
        <w:t>عدم جواز قراءة إحدى سور العزائم في الفريضة</w:t>
      </w:r>
      <w:bookmarkEnd w:id="59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كلمة فقهاء الإمامية على حرمة قراءة سورة من العزائم في الفريضة، روى الشيخ الطوسي بإسناده عن زرارة،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510"/>
      </w:r>
      <w:bookmarkStart w:id="595" w:name="pg14912_141324"/>
    </w:p>
    <w:p>
      <w:pPr>
        <w:pStyle w:val="Heading2"/>
        <w:numPr>
          <w:ilvl w:val="1"/>
          <w:numId w:val="1"/>
        </w:numPr>
        <w:rPr/>
      </w:pPr>
      <w:bookmarkStart w:id="596" w:name="__RefHeading___Toc1366313_388300464"/>
      <w:bookmarkStart w:id="597" w:name="_Toc231"/>
      <w:bookmarkEnd w:id="595"/>
      <w:bookmarkEnd w:id="596"/>
      <w:r>
        <w:rPr>
          <w:rtl w:val="true"/>
        </w:rPr>
        <w:t>الفصل الثالث</w:t>
      </w:r>
      <w:r>
        <w:rPr>
          <w:rtl w:val="true"/>
        </w:rPr>
        <w:t xml:space="preserve">: </w:t>
      </w:r>
      <w:r>
        <w:rPr>
          <w:rtl w:val="true"/>
        </w:rPr>
        <w:t>أحكام الصيام في الذكر الحكيم</w:t>
      </w:r>
      <w:bookmarkEnd w:id="597"/>
    </w:p>
    <w:p>
      <w:pPr>
        <w:pStyle w:val="Heading3"/>
        <w:numPr>
          <w:ilvl w:val="2"/>
          <w:numId w:val="1"/>
        </w:numPr>
        <w:rPr/>
      </w:pPr>
      <w:bookmarkStart w:id="598" w:name="__RefHeading___Toc1366315_388300464"/>
      <w:bookmarkStart w:id="599" w:name="_Toc232"/>
      <w:bookmarkEnd w:id="598"/>
      <w:r>
        <w:rPr>
          <w:rtl w:val="true"/>
        </w:rPr>
        <w:t>اشارة</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الصيام فريضة مكتوبة في عامّة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الإفطار عزيمة على المريض والمسافر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شهر رمضان وحكم المريض والمسافر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الرفث إلى النساء في ليالي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الصوم زماناً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مباشرة النساء في الاعتكاف</w:t>
      </w:r>
      <w:r>
        <w:rPr>
          <w:rFonts w:eastAsia="Amiri" w:cs="Amiri" w:ascii="Amiri" w:hAnsi="Amiri"/>
          <w:color w:val="111111"/>
          <w:sz w:val="28"/>
          <w:szCs w:val="28"/>
          <w:rtl w:val="true"/>
          <w:lang w:bidi="ar-SA"/>
        </w:rPr>
        <w:t>.</w:t>
      </w:r>
      <w:bookmarkStart w:id="600" w:name="pg14912_141326"/>
    </w:p>
    <w:p>
      <w:pPr>
        <w:pStyle w:val="BookText"/>
        <w:rPr/>
      </w:pPr>
      <w:bookmarkEnd w:id="600"/>
      <w:r>
        <w:rPr>
          <w:rFonts w:ascii="Amiri" w:hAnsi="Amiri" w:eastAsia="Amiri" w:cs="Amiri"/>
          <w:color w:val="111111"/>
          <w:sz w:val="28"/>
          <w:sz w:val="28"/>
          <w:szCs w:val="28"/>
          <w:rtl w:val="true"/>
          <w:lang w:bidi="ar-SA"/>
        </w:rPr>
        <w:t>أحكام الصيام</w:t>
      </w:r>
    </w:p>
    <w:p>
      <w:pPr>
        <w:pStyle w:val="Heading3"/>
        <w:numPr>
          <w:ilvl w:val="2"/>
          <w:numId w:val="1"/>
        </w:numPr>
        <w:rPr/>
      </w:pPr>
      <w:bookmarkStart w:id="601" w:name="__RefHeading___Toc1366317_388300464"/>
      <w:bookmarkStart w:id="602" w:name="_Toc233"/>
      <w:bookmarkEnd w:id="601"/>
      <w:r>
        <w:rPr/>
        <w:t>1</w:t>
      </w:r>
      <w:r>
        <w:rPr>
          <w:rtl w:val="true"/>
        </w:rPr>
        <w:t xml:space="preserve">. </w:t>
      </w:r>
      <w:r>
        <w:rPr>
          <w:rtl w:val="true"/>
        </w:rPr>
        <w:t>الصيام فريضة مكتوبة في عامّة الشرائع</w:t>
      </w:r>
      <w:bookmarkEnd w:id="602"/>
    </w:p>
    <w:p>
      <w:pPr>
        <w:pStyle w:val="Heading4"/>
        <w:numPr>
          <w:ilvl w:val="3"/>
          <w:numId w:val="1"/>
        </w:numPr>
        <w:rPr/>
      </w:pPr>
      <w:bookmarkStart w:id="603" w:name="__RefHeading___Toc1366319_388300464"/>
      <w:bookmarkStart w:id="604" w:name="_Toc234"/>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إنّ الصيام فريضة شرعت في الشرائع السابقة أيضاً ولها آثار بنّاءة على الصعيد الفردي والاجتماعي، وسيوافيك في ثنايا البحث ما يترتّب على هذه الفريضة من المصالح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حول الصيام عدد من الآيات الكريمة ندرسها على التوالي</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366321_388300464"/>
      <w:bookmarkStart w:id="606" w:name="_Toc235"/>
      <w:bookmarkEnd w:id="605"/>
      <w:r>
        <w:rPr>
          <w:rtl w:val="true"/>
        </w:rPr>
        <w:t>الآية الأُولى</w:t>
      </w:r>
      <w:bookmarkEnd w:id="606"/>
    </w:p>
    <w:p>
      <w:pPr>
        <w:pStyle w:val="Heading5"/>
        <w:numPr>
          <w:ilvl w:val="4"/>
          <w:numId w:val="1"/>
        </w:numPr>
        <w:rPr/>
      </w:pPr>
      <w:bookmarkStart w:id="607" w:name="__RefHeading___Toc1366323_388300464"/>
      <w:bookmarkStart w:id="608" w:name="_Toc236"/>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Style w:val="FootnoteAnchor"/>
          <w:rtl w:val="true"/>
        </w:rPr>
        <w:footnoteReference w:id="511"/>
      </w:r>
    </w:p>
    <w:p>
      <w:pPr>
        <w:pStyle w:val="Heading5"/>
        <w:numPr>
          <w:ilvl w:val="4"/>
          <w:numId w:val="1"/>
        </w:numPr>
        <w:rPr/>
      </w:pPr>
      <w:bookmarkStart w:id="609" w:name="__RefHeading___Toc1366325_388300464"/>
      <w:bookmarkStart w:id="610" w:name="_Toc237"/>
      <w:bookmarkEnd w:id="609"/>
      <w:r>
        <w:rPr>
          <w:rtl w:val="true"/>
        </w:rPr>
        <w:t>المفردات</w:t>
      </w:r>
      <w:bookmarkEnd w:id="61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اللغة مطلق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منظور عن أبي عبيدة قوله</w:t>
      </w:r>
      <w:r>
        <w:rPr>
          <w:rFonts w:eastAsia="Amiri" w:cs="Amiri" w:ascii="Amiri" w:hAnsi="Amiri"/>
          <w:color w:val="111111"/>
          <w:sz w:val="28"/>
          <w:szCs w:val="28"/>
          <w:rtl w:val="true"/>
          <w:lang w:bidi="ar-SA"/>
        </w:rPr>
        <w:t>:</w:t>
      </w:r>
      <w:bookmarkStart w:id="611" w:name="pg14912_141327"/>
    </w:p>
    <w:p>
      <w:pPr>
        <w:pStyle w:val="BookText"/>
        <w:rPr/>
      </w:pPr>
      <w:bookmarkEnd w:id="611"/>
      <w:r>
        <w:rPr>
          <w:rFonts w:ascii="Amiri" w:hAnsi="Amiri" w:eastAsia="Amiri" w:cs="Amiri"/>
          <w:color w:val="111111"/>
          <w:sz w:val="28"/>
          <w:sz w:val="28"/>
          <w:szCs w:val="28"/>
          <w:rtl w:val="true"/>
          <w:lang w:bidi="ar-SA"/>
        </w:rPr>
        <w:t>كلّ ممسك عن طعام أو كلام أو سير فهو صائم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الطعام والشرب والكلام والنكاح، ويؤيّد ذلك قوله سبحانه مخاطباً مريم العذراء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فَقُولِي إِنِّي نَذَرْتُ لِلرَّحْمنِ صَوْماً فَلَنْ أُكَلِّمَ اَلْيَوْمَ إِنْسِيًّا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فقولها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أُكَلِّمَ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لما نذرته من الصوم،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الكلام في المقام، لا الطعام والشراب، ولكن الصوم في عرف الشرع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المفطرات من طلوع الفجر إلى الليل مع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الشرائع النازلة على الأنبياء السابقين خصوصاً على النّبيّين موسى وعيسى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الوقاية، وكأنّ الصوم وقاية يتّخذها الصائم عن العقوبة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366327_388300464"/>
      <w:bookmarkStart w:id="613" w:name="_Toc238"/>
      <w:bookmarkEnd w:id="612"/>
      <w:r>
        <w:rPr>
          <w:rtl w:val="true"/>
        </w:rPr>
        <w:t>التفسير</w:t>
      </w:r>
      <w:bookmarkEnd w:id="613"/>
    </w:p>
    <w:p>
      <w:pPr>
        <w:pStyle w:val="Heading4"/>
        <w:numPr>
          <w:ilvl w:val="3"/>
          <w:numId w:val="1"/>
        </w:numPr>
        <w:rPr/>
      </w:pPr>
      <w:bookmarkStart w:id="614" w:name="__RefHeading___Toc1366329_388300464"/>
      <w:bookmarkStart w:id="615" w:name="_Toc239"/>
      <w:bookmarkEnd w:id="614"/>
      <w:r>
        <w:rPr>
          <w:rtl w:val="true"/>
        </w:rPr>
        <w:t>تشريع الصوم في أيام معدودة</w:t>
      </w:r>
      <w:bookmarkEnd w:id="61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سبحانه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هي الغاية من الخطاب فهي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فرض عليكم الإمساك عمّا تنازع إليه النفس، من طعام وشراب ونكاح، وغير ذلك،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أُريد بها الإنشاء،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سبحانه عن تشريع الصوم على أهل الملل السابقة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مثل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اَلَّذِينَ‌</w:t>
      </w:r>
      <w:bookmarkStart w:id="616" w:name="pg14912_141328"/>
    </w:p>
    <w:p>
      <w:pPr>
        <w:pStyle w:val="BookText"/>
        <w:rPr/>
      </w:pPr>
      <w:bookmarkEnd w:id="616"/>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هو أصل الكتابة لا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الغاية فيشير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المعاصي، إذ مَن قدر على ترك الشهوات المحلّلة من الطعام والشراب والنساء وغير ذلك، فيكون أكثر استعداداً على ترك المحرّمات، خصوصاً أنّ الصائم يترك المحلّلات طلباً لرضاه سبحانه وتقرّباً إليه، وهو في هذه الحالة قلّما يفكّر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الإحصاءات التي تصدرها مراكز الشرطة عن انخفاض عدد الجرائم في أيام شهر رمضان المبارك، بل ربّما تصل في ليالي القدر إلى حدّ الصفر، فكأنّ الصائم بصومه يرفع مقامه عن حدّ البهيمة إلى حدّ الملائكة، فيكون معصوماً نسبياً، ولذلك عُرّف الصوم بأنّه جُنّة من النار</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وقال الإمام الصادق عليه السلام عن آبائه عليهم السلام أنّ النبيّ صلى الله عليه و آله و سلم علّم أصحابه كيفية مواجهة الشيطان‌؟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 والصدقة تكسر ظهره، والحبّ في اللّه والمؤازرة على العمل الصالح يقطع دابره، والاستغفار يقطع وتينه</w:t>
      </w:r>
      <w:r>
        <w:rPr>
          <w:rFonts w:eastAsia="Amiri" w:cs="Amiri" w:ascii="Amiri" w:hAnsi="Amiri"/>
          <w:color w:val="111111"/>
          <w:sz w:val="28"/>
          <w:szCs w:val="28"/>
          <w:rtl w:val="true"/>
          <w:lang w:bidi="ar-SA"/>
        </w:rPr>
        <w:t>».</w:t>
      </w:r>
      <w:r>
        <w:rPr>
          <w:rStyle w:val="FootnoteAnchor"/>
          <w:rtl w:val="true"/>
        </w:rPr>
        <w:footnoteReference w:id="515"/>
      </w:r>
    </w:p>
    <w:p>
      <w:pPr>
        <w:pStyle w:val="Heading4"/>
        <w:numPr>
          <w:ilvl w:val="3"/>
          <w:numId w:val="1"/>
        </w:numPr>
        <w:rPr/>
      </w:pPr>
      <w:bookmarkStart w:id="617" w:name="__RefHeading___Toc1366331_388300464"/>
      <w:bookmarkStart w:id="618" w:name="_Toc240"/>
      <w:bookmarkEnd w:id="617"/>
      <w:r>
        <w:rPr>
          <w:rtl w:val="true"/>
        </w:rPr>
        <w:t>بقي هنا أمران</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الوجه لذكر أنّ الصوم كان مفروضاً على مَن سبق من الأُمم من أهل الكتاب أيضاً؟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ما يدلّ على وجود الصوم في التوراة والإنجيل‌؟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الصوم خصوصاً في الجزيرة العربية في فصل</w:t>
      </w:r>
    </w:p>
    <w:p>
      <w:pPr>
        <w:pStyle w:val="BookText"/>
        <w:rPr/>
      </w:pPr>
      <w:r>
        <w:rPr>
          <w:rFonts w:ascii="Amiri" w:hAnsi="Amiri" w:eastAsia="Amiri" w:cs="Amiri"/>
          <w:color w:val="111111"/>
          <w:sz w:val="28"/>
          <w:sz w:val="28"/>
          <w:szCs w:val="28"/>
          <w:rtl w:val="true"/>
          <w:lang w:bidi="ar-SA"/>
        </w:rPr>
        <w:t>الصيف أمراً شاقّاً، جاء البيان القرآني يذكر بما يُسهّل الأمر على المسلمين من أنّ فرض الصوم ليس أمراً بدعياً، بل اللّه سبحانه كتبه على مَن سبق من أهل الملل، ولعلّه إلى ما ذكر يشير السيد الطباطبائي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ذهن المخاطب إلى تشريع صوم رمضان بإرفاق وملائمة بذكر ما يرتفع معه الاستيحاش والاضطراب ويحصل به تطيّب النفس، بأنّه أمر سبق فرضه على غيركم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ويؤيّد ما ذكره أنّه سبحانه يفرض وجوب الصوم بأُمور مخفّفة، فتارة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بأنّ المريض والمسافر لا يصومان وإنّما يقضيان، وأنّ المطيق يكتفي بالفدية، كلّ ذلك لأجل أن يقع الصيام موقع القبول ولا يتلقّاه المكلّف بأنّه أمر 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وجود الصيام حتى بين الوثنيّين، يقول صاحب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الصوم مشروع في جميع الملل حتى الوثنية فهو معروف عند قدماء المصريّين في أيام وثنيّتهم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وثنيّو الهند وغيرهم يصومون إلى الآن</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إنّما الكلام في صوم اليهود والنصارى، أمّا اليهود فقد جاء في التوراة أنّ موسى عليه السلام صام أربعين يوماً، وإليك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في الجبل أربعين نهاراً وأربعين ليلة لا آكل خبزاً ولا أشرب ماء</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مؤلّف قاموس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كانوا يصومون غالباً حينما تتاح لهم الفرصة للإعراب عن عجزهم وتواضعهم أمام اللّه، ليعترفوا بذنوبهم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الصوم والتوبة، وليحصلوا على رضاء حضرة القدس الإلهي</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وأمّا النصارى فالمسيح عليه السلام صام أربعين يوماً، فقد جاء في إنجيل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اصعد يسوع إلى البرية من الروح ليهرب من إبليس، فبعد ما صام أربعين نهاراً وأربعين ليلة جاء أخيراً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وأشهر صومهم وأقدمه الصوم الكبير، قبل عيد الفصح، وهو الذي صامه موسى وكان يصومه عيسى والحواريون</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الآيات في قصّة زكريا ومريم أنّهما كانا يصومان عن الكلام مع الصيام عن الطعام والشراب والنساء</w:t>
      </w:r>
      <w:r>
        <w:rPr>
          <w:rFonts w:eastAsia="Amiri" w:cs="Amiri" w:ascii="Amiri" w:hAnsi="Amiri"/>
          <w:color w:val="111111"/>
          <w:sz w:val="28"/>
          <w:szCs w:val="28"/>
          <w:rtl w:val="true"/>
          <w:lang w:bidi="ar-SA"/>
        </w:rPr>
        <w:t>.</w:t>
      </w:r>
      <w:r>
        <w:rPr>
          <w:rStyle w:val="FootnoteAnchor"/>
        </w:rPr>
        <w:footnoteReference w:id="52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19" w:name="pg14912_141331"/>
    </w:p>
    <w:p>
      <w:pPr>
        <w:pStyle w:val="BookText"/>
        <w:rPr/>
      </w:pPr>
      <w:bookmarkEnd w:id="619"/>
      <w:r>
        <w:rPr>
          <w:rFonts w:ascii="Amiri" w:hAnsi="Amiri" w:eastAsia="Amiri" w:cs="Amiri"/>
          <w:color w:val="111111"/>
          <w:sz w:val="28"/>
          <w:sz w:val="28"/>
          <w:szCs w:val="28"/>
          <w:rtl w:val="true"/>
          <w:lang w:bidi="ar-SA"/>
        </w:rPr>
        <w:t>أحكام الصيام</w:t>
      </w:r>
    </w:p>
    <w:p>
      <w:pPr>
        <w:pStyle w:val="Heading3"/>
        <w:numPr>
          <w:ilvl w:val="2"/>
          <w:numId w:val="1"/>
        </w:numPr>
        <w:rPr/>
      </w:pPr>
      <w:bookmarkStart w:id="620" w:name="__RefHeading___Toc1366333_388300464"/>
      <w:bookmarkStart w:id="621" w:name="_Toc241"/>
      <w:bookmarkEnd w:id="620"/>
      <w:r>
        <w:rPr/>
        <w:t>2</w:t>
      </w:r>
      <w:r>
        <w:rPr>
          <w:rtl w:val="true"/>
        </w:rPr>
        <w:t xml:space="preserve">. </w:t>
      </w:r>
      <w:r>
        <w:rPr>
          <w:rtl w:val="true"/>
        </w:rPr>
        <w:t>الإفطار عزيمة على المريض والمسافر</w:t>
      </w:r>
      <w:bookmarkEnd w:id="621"/>
    </w:p>
    <w:p>
      <w:pPr>
        <w:pStyle w:val="Heading4"/>
        <w:numPr>
          <w:ilvl w:val="3"/>
          <w:numId w:val="1"/>
        </w:numPr>
        <w:rPr/>
      </w:pPr>
      <w:bookmarkStart w:id="622" w:name="__RefHeading___Toc1366335_388300464"/>
      <w:bookmarkStart w:id="623" w:name="_Toc242"/>
      <w:bookmarkEnd w:id="622"/>
      <w:r>
        <w:rPr>
          <w:rtl w:val="true"/>
        </w:rPr>
        <w:t>الآية الثانية</w:t>
      </w:r>
      <w:bookmarkEnd w:id="623"/>
    </w:p>
    <w:p>
      <w:pPr>
        <w:pStyle w:val="Heading5"/>
        <w:numPr>
          <w:ilvl w:val="4"/>
          <w:numId w:val="1"/>
        </w:numPr>
        <w:rPr/>
      </w:pPr>
      <w:bookmarkStart w:id="624" w:name="__RefHeading___Toc1366337_388300464"/>
      <w:bookmarkStart w:id="625" w:name="_Toc243"/>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eastAsia="Amiri" w:cs="Amiri" w:ascii="Amiri" w:hAnsi="Amiri"/>
          <w:color w:val="111111"/>
          <w:sz w:val="28"/>
          <w:szCs w:val="28"/>
          <w:rtl w:val="true"/>
          <w:lang w:bidi="ar-SA"/>
        </w:rPr>
        <w:t>) .</w:t>
      </w:r>
      <w:r>
        <w:rPr>
          <w:rStyle w:val="FootnoteAnchor"/>
          <w:rtl w:val="true"/>
        </w:rPr>
        <w:footnoteReference w:id="523"/>
      </w:r>
    </w:p>
    <w:p>
      <w:pPr>
        <w:pStyle w:val="Heading5"/>
        <w:numPr>
          <w:ilvl w:val="4"/>
          <w:numId w:val="1"/>
        </w:numPr>
        <w:rPr/>
      </w:pPr>
      <w:bookmarkStart w:id="626" w:name="__RefHeading___Toc1366339_388300464"/>
      <w:bookmarkStart w:id="627" w:name="_Toc244"/>
      <w:bookmarkEnd w:id="626"/>
      <w:r>
        <w:rPr>
          <w:rtl w:val="true"/>
        </w:rPr>
        <w:t>المفردات</w:t>
      </w:r>
      <w:bookmarkEnd w:id="627"/>
    </w:p>
    <w:p>
      <w:pPr>
        <w:pStyle w:val="BookText"/>
        <w:rPr/>
      </w:pP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تصوموا أياماً، فيكون بدلاً عمّا تقدّم من لفظ الصيام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مسافراً، ولعلّه لبيان أنّ الموضوع كون الإنسان في حال</w:t>
      </w:r>
      <w:bookmarkStart w:id="628" w:name="pg14912_141332"/>
    </w:p>
    <w:p>
      <w:pPr>
        <w:pStyle w:val="BookText"/>
        <w:rPr/>
      </w:pPr>
      <w:bookmarkEnd w:id="628"/>
      <w:r>
        <w:rPr>
          <w:rFonts w:ascii="Amiri" w:hAnsi="Amiri" w:eastAsia="Amiri" w:cs="Amiri"/>
          <w:color w:val="111111"/>
          <w:sz w:val="28"/>
          <w:sz w:val="28"/>
          <w:szCs w:val="28"/>
          <w:rtl w:val="true"/>
          <w:lang w:bidi="ar-SA"/>
        </w:rPr>
        <w:t>السفر، فخرج ما إذا كان في بلده، وهو يُريد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محصورات، مضبوطات، وهو إشارة إلى كون الأيام قلائل، قال سبحانه في قصة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يستطيع الصوم إلّابمشقة كبيرة، وهو من الإطاقة،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 الشيء إذا كانت قدرته عليه في نهاية الضعف، بحيث يتحمّله مع مشقّة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أكثر من مسكين واحد أو أطعم المسكين الواحد أكثر من قدر الكفاية</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366341_388300464"/>
      <w:bookmarkStart w:id="630" w:name="_Toc245"/>
      <w:bookmarkEnd w:id="629"/>
      <w:r>
        <w:rPr>
          <w:rtl w:val="true"/>
        </w:rPr>
        <w:t>التفسير</w:t>
      </w:r>
      <w:bookmarkEnd w:id="630"/>
    </w:p>
    <w:p>
      <w:pPr>
        <w:pStyle w:val="BookText"/>
        <w:rPr/>
      </w:pPr>
      <w:r>
        <w:rPr>
          <w:rFonts w:ascii="Amiri" w:hAnsi="Amiri" w:eastAsia="Amiri" w:cs="Amiri"/>
          <w:color w:val="111111"/>
          <w:sz w:val="28"/>
          <w:sz w:val="28"/>
          <w:szCs w:val="28"/>
          <w:rtl w:val="true"/>
          <w:lang w:bidi="ar-SA"/>
        </w:rPr>
        <w:t>هذه الآية وما بعدها من الآيتين كسبيكة ذهب متّسقة السياق، واضحة المعنى والمرمى‌، نزل بها أمين الوحي على قلب سيد المرسلين في السنة الثانية من الهجرة تعليماً للعباد وأنّهم بين من يصوم الشهر إذا شهده ومن لا يصوم كالمريض والمسافر ويقضي في أيام أُخر، أو لا يصوم ويعطي الفدية كالمطيق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الآية السابقة على أنّ الصيام فُرض على المؤمنين، وأمّا ما هو حدّه من حيث القلّة والكثرة‌؟ وعلى مَن يجب وعلى مَن لا يجب‌؟ فجاء البيان القرآني يشرح لنا هذه الأُمور،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بفعل مقدّر، أي صوموا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أيّاماً قلائل، حتى لا يستثقلها بعض المؤمنين، وأمّا تعيين هذه</w:t>
      </w:r>
    </w:p>
    <w:p>
      <w:pPr>
        <w:pStyle w:val="BookText"/>
        <w:rPr/>
      </w:pPr>
      <w:r>
        <w:rPr>
          <w:rFonts w:ascii="Amiri" w:hAnsi="Amiri" w:eastAsia="Amiri" w:cs="Amiri"/>
          <w:color w:val="111111"/>
          <w:sz w:val="28"/>
          <w:sz w:val="28"/>
          <w:szCs w:val="28"/>
          <w:rtl w:val="true"/>
          <w:lang w:bidi="ar-SA"/>
        </w:rPr>
        <w:t>الأيام من حيث الشهور، فسيأتي في الآية التالية،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يستثني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ثلاثة،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مطيقاً، يصوم بجهد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الصوم على كلّ مكلّف إلّاهذه الطوائف الثلاث، وبذلك ارتفع الإبهام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يجب وعلى مَن لا يجب‌؟</w:t>
      </w:r>
    </w:p>
    <w:p>
      <w:pPr>
        <w:pStyle w:val="BookText"/>
        <w:rPr/>
      </w:pPr>
      <w:r>
        <w:rPr>
          <w:rFonts w:ascii="Amiri" w:hAnsi="Amiri" w:eastAsia="Amiri" w:cs="Amiri"/>
          <w:color w:val="111111"/>
          <w:sz w:val="28"/>
          <w:sz w:val="28"/>
          <w:szCs w:val="28"/>
          <w:rtl w:val="true"/>
          <w:lang w:bidi="ar-SA"/>
        </w:rPr>
        <w:t>أمّا الطائفتان الأوليان فقد كتب عليهم صيام عدّة من أيّام أُخر، فهم يفطرون ويقضون الصيام في تلك الأيام،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الآية يدلّ على أنّ واجب هاتين الطائفتين هو الإفطار والقضاء بعد شهر رمضان، وأمّا ما هو حدّ المرض‌؟ فمناسبة الحكم والموضوع تشهد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الذي يضرُّ به الصوم، دونما إذا لم يكن مضرّاً؛ وذلك لأنّ الآية في مقام الإرفاق وهي تختص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مرسلاً، جازماً بصحّته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وأمّا الطائفة الثالثة وهو المطيق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مَن يصومون ولكن ببذل جهد كبير، وطاقة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 به الإنسان نفسه من مال يبذله في عبادة قصّر فيها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فبما أنّ المطيق سقط عنه الفرض فهو بالمفاداة يجبر بها ما فاته من آثار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مقدار الفدية، فالمشهور، أنّه مدّ؛ وقد روى الكليني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به العطاش لا حرج عليهما أن يفطرا في شهر رمضان، ويتصدّق كلّ واحد منهما في كلّ يوم بمدّ من طعام، ولا قضاء عليهما، فإن لم يقدرا فلا شيء عليهما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وقد ورد في بعض الروايات أنّه يتصدّق في كلّ يوم بمدّين من طعام، وحمل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من المقدار هو أقلّ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على المدّ أو المدّين شيئاً أو يزد على أكثر من مسكين واحد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مرجع هذه الفقرة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31" w:name="pg14912_141335"/>
    </w:p>
    <w:p>
      <w:pPr>
        <w:pStyle w:val="BookText"/>
        <w:rPr/>
      </w:pPr>
      <w:bookmarkEnd w:id="631"/>
      <w:r>
        <w:rPr>
          <w:rFonts w:ascii="Amiri" w:hAnsi="Amiri" w:eastAsia="Amiri" w:cs="Amiri"/>
          <w:color w:val="111111"/>
          <w:sz w:val="28"/>
          <w:sz w:val="28"/>
          <w:szCs w:val="28"/>
          <w:rtl w:val="true"/>
          <w:lang w:bidi="ar-SA"/>
        </w:rPr>
        <w:t>ثمّ إنّه 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الإفطار في السفر عزيمة أو رخصة‌؟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إفطار المطيق عزيمة أو رخصة‌؟ وإليك دراسة الموضعين</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366343_388300464"/>
      <w:bookmarkStart w:id="633" w:name="_Toc246"/>
      <w:bookmarkEnd w:id="632"/>
      <w:r>
        <w:rPr>
          <w:rtl w:val="true"/>
        </w:rPr>
        <w:t>الموضع الأوّل</w:t>
      </w:r>
      <w:r>
        <w:rPr>
          <w:rtl w:val="true"/>
        </w:rPr>
        <w:t xml:space="preserve">: </w:t>
      </w:r>
      <w:r>
        <w:rPr>
          <w:rtl w:val="true"/>
        </w:rPr>
        <w:t>هل الإفطار في السفر عزيمة أو رخصة‌؟</w:t>
      </w:r>
      <w:bookmarkEnd w:id="633"/>
    </w:p>
    <w:p>
      <w:pPr>
        <w:pStyle w:val="Heading5"/>
        <w:numPr>
          <w:ilvl w:val="4"/>
          <w:numId w:val="1"/>
        </w:numPr>
        <w:rPr/>
      </w:pPr>
      <w:bookmarkStart w:id="634" w:name="__RefHeading___Toc1366345_388300464"/>
      <w:bookmarkStart w:id="635" w:name="_Toc247"/>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اتّفقت كلمة الفقهاء على مشروعية الإفطار في السفر، تبعاً للذكر الحكيم والسنّة المتواترة، إلّاأنّهم اختلفوا في كونه عزيمة أو رخصة، نظير الخلاف في كون القصر فيه واجباً أو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تبعاً لأئمّة أهل البيت عليهم السلام والظاهرية إلى كون الإفطار عزيمة لا رخصة، واختاره جمع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توضيح ما عليه الظاهرية في كلام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جمهور أهل السنّة وفيهم فقهاء المذاهب الأربعة إلى كون الإفطار رخصة، وإن اختلفوا في أفضلية الإفطار أو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سفر يجب فيه التقصير في الصلاة يجب فيه الإفطار، وقد بيّنا كيفية الخلاف فيه، فإذا حصل مسافراً لا يجوز له فيه أن يصوم، فإن صامه كان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هريرة وستة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أن يصوم ويقضي وبين أن يفطر ويقضي، فوافقنا في وجوب القضاء، وخالف في جواز الصوم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والشافعي ومالك وعامّة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أن يصوم ولا يقضي وبين أن يفطر ويقضي، وبه قال ابن عباس</w:t>
      </w:r>
      <w:r>
        <w:rPr>
          <w:rFonts w:eastAsia="Amiri" w:cs="Amiri" w:ascii="Amiri" w:hAnsi="Amiri"/>
          <w:color w:val="111111"/>
          <w:sz w:val="28"/>
          <w:szCs w:val="28"/>
          <w:rtl w:val="true"/>
          <w:lang w:bidi="ar-SA"/>
        </w:rPr>
        <w:t>.</w:t>
      </w:r>
      <w:bookmarkStart w:id="636" w:name="pg14912_141336"/>
    </w:p>
    <w:p>
      <w:pPr>
        <w:pStyle w:val="BookText"/>
        <w:rPr/>
      </w:pPr>
      <w:bookmarkEnd w:id="636"/>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يصوم، فإن صامه فلا قضاء عليه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وها نحن ندرس حكم المسألة على ضوء القرآن الكريم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 سبحانه حكم المريض والمسافر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والإمعان في الآيتين يثبت أنّ الإفطار عزيمة وذلك بوجوه أربعة</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366347_388300464"/>
      <w:bookmarkStart w:id="638" w:name="_Toc248"/>
      <w:bookmarkEnd w:id="637"/>
      <w:r>
        <w:rPr>
          <w:rtl w:val="true"/>
        </w:rPr>
        <w:t>الأوّل</w:t>
      </w:r>
      <w:r>
        <w:rPr>
          <w:rtl w:val="true"/>
        </w:rPr>
        <w:t xml:space="preserve">: </w:t>
      </w:r>
      <w:r>
        <w:rPr>
          <w:rtl w:val="true"/>
        </w:rPr>
        <w:t>ترتّب الوجوب على العنوانين</w:t>
      </w:r>
      <w:bookmarkEnd w:id="638"/>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يترتّب على المريض والمسافر وجوب صيام أيّام أُخر، وهذا هو الظاهر من غير واحد من المفسّرين حيث يفسّرونه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صوم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صوم عدّة الأيام التي أفطرها في مرضه أو في سفره من أيام أُخر</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المريض والمسافر لا يصومان في حال المرض والسفر، لما في ذلك من المشقّة عليهما، بل يفطران ويقضيان بعدّة ذلك من أيام أُخر</w:t>
      </w:r>
      <w:r>
        <w:rPr>
          <w:rFonts w:eastAsia="Amiri" w:cs="Amiri" w:ascii="Amiri" w:hAnsi="Amiri"/>
          <w:color w:val="111111"/>
          <w:sz w:val="28"/>
          <w:szCs w:val="28"/>
          <w:rtl w:val="true"/>
          <w:lang w:bidi="ar-SA"/>
        </w:rPr>
        <w:t>.</w:t>
      </w:r>
      <w:r>
        <w:rPr>
          <w:rStyle w:val="FootnoteAnchor"/>
          <w:rtl w:val="true"/>
        </w:rPr>
        <w:footnoteReference w:id="533"/>
      </w:r>
      <w:bookmarkStart w:id="639" w:name="pg14912_141337"/>
    </w:p>
    <w:p>
      <w:pPr>
        <w:pStyle w:val="BookText"/>
        <w:rPr/>
      </w:pPr>
      <w:bookmarkEnd w:id="639"/>
      <w:r>
        <w:rPr>
          <w:rFonts w:ascii="Amiri" w:hAnsi="Amiri" w:eastAsia="Amiri" w:cs="Amiri"/>
          <w:color w:val="111111"/>
          <w:sz w:val="28"/>
          <w:sz w:val="28"/>
          <w:szCs w:val="28"/>
          <w:rtl w:val="true"/>
          <w:lang w:bidi="ar-SA"/>
        </w:rPr>
        <w:t xml:space="preserve">إنّ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الصوم في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تعييني لا تخييري؛ لأنّه الأصل في الوجوب دون الآخر لاحتياجه إلى البيان الزائد، فإذا وجب الصيام تعييناً في تلك الأيام يحرم الصوم عليهما في شهر رمضان، إذ لا صوم في الشريعة الإسلامية في كلّ السنة إلّاصوماً واحداً، ويصير الصيام فيه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فاء الترتيب التي تدلّ على ترتّب وجوب صيام الأيام الأُخر، على كون المكلّف مريضاً أو على سفر، بحيث يكون كلّ من المرض والسفر موضوعاً مستقلّاً لوجوب الصيام في أيام أُخر، وجوباً تعيينيّاً لا يعدل به إلى غيره، ولازم ذلك حرمة الصيام في شهر رمضان؛ لعدم وجوب صومين في سنة واحدة</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366349_388300464"/>
      <w:bookmarkStart w:id="641" w:name="_Toc249"/>
      <w:bookmarkEnd w:id="640"/>
      <w:r>
        <w:rPr>
          <w:rtl w:val="true"/>
        </w:rPr>
        <w:t>الثاني</w:t>
      </w:r>
      <w:r>
        <w:rPr>
          <w:rtl w:val="true"/>
        </w:rPr>
        <w:t xml:space="preserve">: </w:t>
      </w:r>
      <w:r>
        <w:rPr>
          <w:rtl w:val="true"/>
        </w:rPr>
        <w:t>التقابل بين الجملتين</w:t>
      </w:r>
      <w:bookmarkEnd w:id="641"/>
    </w:p>
    <w:p>
      <w:pPr>
        <w:pStyle w:val="BookText"/>
        <w:rPr/>
      </w:pPr>
      <w:r>
        <w:rPr>
          <w:rFonts w:ascii="Amiri" w:hAnsi="Amiri" w:eastAsia="Amiri" w:cs="Amiri"/>
          <w:color w:val="111111"/>
          <w:sz w:val="28"/>
          <w:sz w:val="28"/>
          <w:szCs w:val="28"/>
          <w:rtl w:val="true"/>
          <w:lang w:bidi="ar-SA"/>
        </w:rPr>
        <w:t>إنّ في الآية تقابلاً بين الجملتين، الأُولى تدلّ على الأمر بالصوم، والجملة الثانية تدلّ على النهي عنه، فالأمر ظاهر في الوجوب والنهي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الثالثة التي سيأتي تفسيرها، أعني قوله سبحانه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يشهد الشهر مصحّاً إمّا لكونه مريضاً أو مسافراً فلا يصمه، بل يصوم 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الطائفة الأُولى ولا تصوم الطائفتان الثانية والثالثة، والنهي ظاهر في الحرمة التعيينية؛ وقد أُشير إلى هذا الاستدلال في رواية عبيد بن زرارة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bookmarkStart w:id="642" w:name="pg14912_141338"/>
    </w:p>
    <w:p>
      <w:pPr>
        <w:pStyle w:val="BookText"/>
        <w:rPr/>
      </w:pPr>
      <w:bookmarkEnd w:id="642"/>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 مَن شهد الشهر فليصمه، ومَن سافر فلا يصمه</w:t>
      </w:r>
      <w:r>
        <w:rPr>
          <w:rFonts w:eastAsia="Amiri" w:cs="Amiri" w:ascii="Amiri" w:hAnsi="Amiri"/>
          <w:color w:val="111111"/>
          <w:sz w:val="28"/>
          <w:szCs w:val="28"/>
          <w:rtl w:val="true"/>
          <w:lang w:bidi="ar-SA"/>
        </w:rPr>
        <w:t>».</w:t>
      </w:r>
      <w:r>
        <w:rPr>
          <w:rStyle w:val="FootnoteAnchor"/>
          <w:rtl w:val="true"/>
        </w:rPr>
        <w:footnoteReference w:id="534"/>
      </w:r>
    </w:p>
    <w:p>
      <w:pPr>
        <w:pStyle w:val="Heading5"/>
        <w:numPr>
          <w:ilvl w:val="4"/>
          <w:numId w:val="1"/>
        </w:numPr>
        <w:rPr/>
      </w:pPr>
      <w:bookmarkStart w:id="643" w:name="__RefHeading___Toc1366351_388300464"/>
      <w:bookmarkStart w:id="644" w:name="_Toc250"/>
      <w:bookmarkEnd w:id="643"/>
      <w:r>
        <w:rPr>
          <w:rtl w:val="true"/>
        </w:rPr>
        <w:t>الثالث</w:t>
      </w:r>
      <w:r>
        <w:rPr>
          <w:rtl w:val="true"/>
        </w:rPr>
        <w:t xml:space="preserve">: </w:t>
      </w:r>
      <w:r>
        <w:rPr>
          <w:rtl w:val="true"/>
        </w:rPr>
        <w:t>ذكر المريض والمسافر في سياق واحد</w:t>
      </w:r>
      <w:bookmarkEnd w:id="644"/>
    </w:p>
    <w:p>
      <w:pPr>
        <w:pStyle w:val="BookText"/>
        <w:rPr/>
      </w:pPr>
      <w:r>
        <w:rPr>
          <w:rFonts w:ascii="Amiri" w:hAnsi="Amiri" w:eastAsia="Amiri" w:cs="Amiri"/>
          <w:color w:val="111111"/>
          <w:sz w:val="28"/>
          <w:sz w:val="28"/>
          <w:szCs w:val="28"/>
          <w:rtl w:val="true"/>
          <w:lang w:bidi="ar-SA"/>
        </w:rPr>
        <w:t>إنّ الآية ذكرت المريض والمسافر في سياق واحد، وحكمت عليهما بحكم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الرخصة في حقّ المسافر فقط؟ أو تعمّ المسافر والمريض‌؟</w:t>
      </w:r>
    </w:p>
    <w:p>
      <w:pPr>
        <w:pStyle w:val="BookText"/>
        <w:rPr/>
      </w:pPr>
      <w:r>
        <w:rPr>
          <w:rFonts w:ascii="Amiri" w:hAnsi="Amiri" w:eastAsia="Amiri" w:cs="Amiri"/>
          <w:color w:val="111111"/>
          <w:sz w:val="28"/>
          <w:sz w:val="28"/>
          <w:szCs w:val="28"/>
          <w:rtl w:val="true"/>
          <w:lang w:bidi="ar-SA"/>
        </w:rPr>
        <w:t>فالأوّل يستلزم التفكيك، فإنّ ظاهر الآية أنّ الصنفين في الحكم على غرار واحد لا يختلفان، فالحكم بجواز الإفطار في المسافر دون المريض لا يناسب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فهل يصحّ لفقيه أن يفتي بالترخيص في المريض إذا كان الصوم ضارّاً أو شاقّاً عليه‌؟ فإنّ الإضرار بالنفس حرام في الشريعة المقدّسة، كما أنّ الإحراج في امتثال الفرائض ليس مكتوباً ولا مجعولاً في الشرع،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535"/>
      </w:r>
    </w:p>
    <w:p>
      <w:pPr>
        <w:pStyle w:val="Heading5"/>
        <w:numPr>
          <w:ilvl w:val="4"/>
          <w:numId w:val="1"/>
        </w:numPr>
        <w:rPr/>
      </w:pPr>
      <w:bookmarkStart w:id="645" w:name="__RefHeading___Toc1366353_388300464"/>
      <w:bookmarkStart w:id="646" w:name="_Toc251"/>
      <w:bookmarkEnd w:id="645"/>
      <w:r>
        <w:rPr>
          <w:rtl w:val="true"/>
        </w:rPr>
        <w:t>الرابع</w:t>
      </w:r>
      <w:r>
        <w:rPr>
          <w:rtl w:val="true"/>
        </w:rPr>
        <w:t xml:space="preserve">: </w:t>
      </w:r>
      <w:r>
        <w:rPr>
          <w:rtl w:val="true"/>
        </w:rPr>
        <w:t>الواجب من أوّل الأمر هو صيام أيام أُخر</w:t>
      </w:r>
      <w:bookmarkEnd w:id="6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المكتوب على الصنفين من أوّل الأمر هو الصيام في أيّام أُخر، فإذا كان الصيام واجباً على عامّة المكلّفين وكان المكتوب عليهم من أوّل الأمر هو الصيام في أيام أُخر، فصيامهم في شهر رمضان يكون بدعة وتشريعاً محرّماً،</w:t>
      </w:r>
      <w:bookmarkStart w:id="647" w:name="pg14912_141339"/>
    </w:p>
    <w:p>
      <w:pPr>
        <w:pStyle w:val="BookText"/>
        <w:rPr/>
      </w:pPr>
      <w:bookmarkEnd w:id="647"/>
      <w:r>
        <w:rPr>
          <w:rFonts w:ascii="Amiri" w:hAnsi="Amiri" w:eastAsia="Amiri" w:cs="Amiri"/>
          <w:color w:val="111111"/>
          <w:sz w:val="28"/>
          <w:sz w:val="28"/>
          <w:szCs w:val="28"/>
          <w:rtl w:val="true"/>
          <w:lang w:bidi="ar-SA"/>
        </w:rPr>
        <w:t>لاتّفاق الأُمّة على عدم وجوب صومين طول السنة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366355_388300464"/>
      <w:bookmarkStart w:id="649" w:name="_Toc252"/>
      <w:bookmarkEnd w:id="648"/>
      <w:r>
        <w:rPr>
          <w:rtl w:val="true"/>
        </w:rPr>
        <w:t xml:space="preserve">تقدير </w:t>
      </w:r>
      <w:r>
        <w:rPr>
          <w:rtl w:val="true"/>
        </w:rPr>
        <w:t>«</w:t>
      </w:r>
      <w:r>
        <w:rPr>
          <w:rtl w:val="true"/>
        </w:rPr>
        <w:t>فأفطر</w:t>
      </w:r>
      <w:r>
        <w:rPr>
          <w:rtl w:val="true"/>
        </w:rPr>
        <w:t xml:space="preserve">» </w:t>
      </w:r>
      <w:r>
        <w:rPr>
          <w:rtl w:val="true"/>
        </w:rPr>
        <w:t>لتطبيق الآية على المذهب</w:t>
      </w:r>
      <w:bookmarkEnd w:id="649"/>
    </w:p>
    <w:p>
      <w:pPr>
        <w:pStyle w:val="BookText"/>
        <w:rPr/>
      </w:pPr>
      <w:r>
        <w:rPr>
          <w:rFonts w:ascii="Amiri" w:hAnsi="Amiri" w:eastAsia="Amiri" w:cs="Amiri"/>
          <w:color w:val="111111"/>
          <w:sz w:val="28"/>
          <w:sz w:val="28"/>
          <w:szCs w:val="28"/>
          <w:rtl w:val="true"/>
          <w:lang w:bidi="ar-SA"/>
        </w:rPr>
        <w:t>لا شكّ أنّ هذه الوجوه لم تكن خافية على مفسّري أهل السنّة، ولذلك نراهم عند تفسير الآية تفسيراً حرفياً أتوا ببعض الجمل التي تدلّ على وجوب الصيام في الأيام الأُخر لا التخيير بين الصيام والإفطار، ومع ذلك ذهب جُلّهم إلى أنّ الإفطار رخصة، وما هذا إلّالأنّهم لمّا وقفوا على أنّ مذاهب أئمتهم في الفقه على الرخصة، جنحوا إلى تأويل هذه الفقرات، فقدّروا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وكأنّه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لو لم يفطر لما وجب صيام تلك الأيام، ومن المعلوم أنّ الإفطار يكون رخصة لا عزيمة، لكن الكلام في التعرّف على دليلهم على ذلك التقدير 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المتّفق عليه أنّ القرآن في مقام التشريع يجب أن يكون بيّن المراد واضح المقصود، فلو كان الحكم مفروضاً على هذا التقدير كان عليه أن يشير إليه في واحدة من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أشرنا إليه في صدر المقام وهو أنّ الفقيه يجب أن يفهم الآية بعيداً عن آراء مذهبه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صاحب تفسير المنار وقف على مفاد الآية لكنّه تأوّلها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السلف في هذه المسألة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الصوم في السفر عن الفرض، بل مَن صام في السفر وجب عليه قضاؤه في الحضر، لظاهر قوله 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عدّة، أو فالواجب عدّة، وتأوّله</w:t>
      </w:r>
      <w:bookmarkStart w:id="650" w:name="pg14912_141340"/>
    </w:p>
    <w:p>
      <w:pPr>
        <w:pStyle w:val="BookText"/>
        <w:rPr/>
      </w:pPr>
      <w:bookmarkEnd w:id="650"/>
      <w:r>
        <w:rPr>
          <w:rFonts w:ascii="Amiri" w:hAnsi="Amiri" w:eastAsia="Amiri" w:cs="Amiri"/>
          <w:color w:val="111111"/>
          <w:sz w:val="28"/>
          <w:sz w:val="28"/>
          <w:szCs w:val="28"/>
          <w:rtl w:val="true"/>
          <w:lang w:bidi="ar-SA"/>
        </w:rPr>
        <w:t>الجمهور بأنّ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فعدّة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ولا ينقضي تعجّبي منه، حيث إنّه يصفه بأنّه تأويل، ومع ذلك يصرّ على صحّة فتوى الجمهور، ومع أنّه يندّد في ثنايا تفسيره بجملة من المقلّدين لأئمة مذاهبهم حيث يؤوّلون ظواهر الآية تطبيقاً لها لفتوى مذهب إمامهم، ويقول في مسألة الطلاق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اختار فيها تبعاً لظاهر القرآن بأنّه لا يقع إلّامرّة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مجادلة المقلّدين أو إرجاع القضاة والمفتين عن مذاهبهم فإنّ أكثرهم يطّلع على هذه النصوص في كتب الحديث وغيرها ولا يبالي بها، لأنّ العمل عندهم على أقوال كتبهم دون كتاب اللّه وسنّة رسوله</w:t>
      </w:r>
      <w:r>
        <w:rPr>
          <w:rFonts w:eastAsia="Amiri" w:cs="Amiri" w:ascii="Amiri" w:hAnsi="Amiri"/>
          <w:color w:val="111111"/>
          <w:sz w:val="28"/>
          <w:szCs w:val="28"/>
          <w:rtl w:val="true"/>
          <w:lang w:bidi="ar-SA"/>
        </w:rPr>
        <w:t>.</w:t>
      </w:r>
      <w:r>
        <w:rPr>
          <w:rStyle w:val="FootnoteAnchor"/>
          <w:rtl w:val="true"/>
        </w:rPr>
        <w:footnoteReference w:id="537"/>
      </w:r>
    </w:p>
    <w:p>
      <w:pPr>
        <w:pStyle w:val="Heading4"/>
        <w:numPr>
          <w:ilvl w:val="3"/>
          <w:numId w:val="1"/>
        </w:numPr>
        <w:rPr/>
      </w:pPr>
      <w:bookmarkStart w:id="651" w:name="__RefHeading___Toc1366357_388300464"/>
      <w:bookmarkStart w:id="652" w:name="_Toc253"/>
      <w:bookmarkEnd w:id="651"/>
      <w:r>
        <w:rPr>
          <w:rtl w:val="true"/>
        </w:rPr>
        <w:t>الموضع الثاني</w:t>
      </w:r>
      <w:r>
        <w:rPr>
          <w:rtl w:val="true"/>
        </w:rPr>
        <w:t xml:space="preserve">: </w:t>
      </w:r>
      <w:r>
        <w:rPr>
          <w:rtl w:val="true"/>
        </w:rPr>
        <w:t>هل إفطار المطيق عزيمة أو رخصة‌؟</w:t>
      </w:r>
      <w:bookmarkEnd w:id="652"/>
    </w:p>
    <w:p>
      <w:pPr>
        <w:pStyle w:val="BookText"/>
        <w:rPr/>
      </w:pPr>
      <w:r>
        <w:rPr>
          <w:rFonts w:ascii="Amiri" w:hAnsi="Amiri" w:eastAsia="Amiri" w:cs="Amiri"/>
          <w:color w:val="111111"/>
          <w:sz w:val="28"/>
          <w:sz w:val="28"/>
          <w:szCs w:val="28"/>
          <w:rtl w:val="true"/>
          <w:lang w:bidi="ar-SA"/>
        </w:rPr>
        <w:t>أُريد من المطيق مَن يقدر على الصوم بجهد ومشقّة ببذل جميع طاقاته،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غايته، وهو اسم لمقدار ما يمكن أن يفعله بمشقّة منه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شعر عامر بن فهيرة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امرئ مجاهد بطوقه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والثور يحمي أُمَّهُ بروقه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أقصى غايته، وهو اسم لمقدار ما يمكن أن يفعله بمشقّة منه</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ومصداق المطيق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الفقهاء الشيخ والشيخة وذو العطاش، والحق</w:t>
      </w:r>
    </w:p>
    <w:p>
      <w:pPr>
        <w:pStyle w:val="BookText"/>
        <w:rPr/>
      </w:pPr>
      <w:r>
        <w:rPr>
          <w:rFonts w:ascii="Amiri" w:hAnsi="Amiri" w:eastAsia="Amiri" w:cs="Amiri"/>
          <w:color w:val="111111"/>
          <w:sz w:val="28"/>
          <w:sz w:val="28"/>
          <w:szCs w:val="28"/>
          <w:rtl w:val="true"/>
          <w:lang w:bidi="ar-SA"/>
        </w:rPr>
        <w:t xml:space="preserve">أنّه ليس لعنواني الشيخ والشيخة مدخلية في الحكم، ولذلك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المراد بالشيخ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بقاء صحّة مزاجهما على تعدّد الأكل والشرب في أزمنة متقاربة للاستبانة لا لمزيد الهضم، ولا ريب في منافاته للصوم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ثم يشير إلى نقد ما ذكره القاموس من التحديد بالسن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افطار المطيق عزيمة، حيث إنّ ظاهر الآية أنّ المكتوب على المطيق هو الفدية لا غير نظير ما ذكرنا في المريض والمسافر، وأمّا الروايات فيمكن استظهار العزيمة من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به العطاش لا حرج عليهما أن يفطرا في شهر رمضان، ويتصدّق كلّ واحد منهما في كلّ يوم بمدّ</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ضعف عن صوم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كلّ يوم بما يجزي من طعام مسكين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وقد مرّ أنّ ظاهر الآية هو العزيمة حيث إنّ ظاهرها أنّ المكتوب على المطيقين هو الفدية لا غير، نظير ما ذكرنا في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أكثرها بصدد بيان الفدية، وليست بصدد بيان كونها عزيمة أو رخصة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تصحّ استفادة العزيمة وتعيّن الدية في الروايتين الماضيتين بالبيانب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كلّ يوم بما يجزي من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سنان،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ويتصدّق كلّ واحد منهما في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ظاهر في كون التصدّق واجباً تعيينيّاً لا تخييرياً، إذ لو كان كذلك كان عليه أن يأتي بالعِدْل الآخر، فالسكوت مع كونه في مقام البيان آية كونه تعيينيّاً مع أنّه لم يرد في رواية ضعيفة فضلاً عن غيرها أنّه مخيّر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يمكن الاعتماد على ظهور قوله في صدر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عليهما أن يفطرا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ورد في محلّ توهّم الحظر، فالهدف رفع ذلك التوهّم، أي لا يحرم الإفطار، وأمّا كونه واجباً أو رخصة فخارج عن مصبّ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جماعة منهم المحدّث البحراني والماتن إلى التخيير،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هو من أمكنه الصوم بمشقّة، فإنّه قد جوّز له الإفطار والفدية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وقد عرفت مدلول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الفقرتين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أنّ مَن زاد في الفدية فهو خير له، فلو زاد في الإطعام على مسكين واحد، أو أطعم على أكثر من مسكين واحد فهو خير له، والمقصود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معنى المال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وقع ذريعة للقائلين بالرخصة في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يقول بالرخصة في المريض والمسافر أو بخصوص المسافر يتّخذ ذلك ذريعة للرخصة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فيها لأهل الرخص وأنّ الصيام في رمضان خير لهم من الترخّص بالإفطار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الثانية تتشكّل من أربع فقرات بعد بيان أنّ الواجب لا يتجاوز عن كونه أياماً معدودات،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وقد جاءت الفقرتان الثانية والثالثة بصيغة الغائب، بخلاف الأخيرة التي جاءت بصيغة الخطاب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على أنّ الفقرة الأخيرة منقطعة عن الثانية والثالثة هذا من جانب ومن جانب آخر لا يمكن أن تكون ناظرةً إلى الفقرة الأُولى فقط لما مرّ من عدم صحّة التفكيك، فيكون دليلاً على أنّه تأكيد للخطاب الأوّل بعد التفصيل، أعني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53" w:name="pg14912_141344"/>
    </w:p>
    <w:p>
      <w:pPr>
        <w:pStyle w:val="BookText"/>
        <w:rPr/>
      </w:pPr>
      <w:bookmarkEnd w:id="653"/>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الخطاب راجعاً لأهل الرخص فلابدّ أن يرجع إلى خصوص المسافر، لا إلى المريض، لافتراض كون الصوم مضرّاً له؛ ولا إلى المطيق لفرض كونه حرجياً، وقد رفع وجوب الصوم عنه ولم يشرع في حقّه، فإذا اختصّ رجوعه إلى المسافر كان مقتضى سياق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يصوم المسافر خير من أن يفطر، يعني بصيغة الغائب لا بصيغة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فالفقرة ناظرة إلى عامّة الحالات على النحو المذكور فيها، فيكون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 غير المريض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المريض والمسافر يفطران ويصومان في أيّام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المطيق يفطر ويفدي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تصوموا على النحو الماضي هو خير لكم، لأنّ فيه جمعاً بين الفريضة وعدم الحرج</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366359_388300464"/>
      <w:bookmarkStart w:id="655" w:name="_Toc254"/>
      <w:bookmarkEnd w:id="654"/>
      <w:r>
        <w:rPr>
          <w:rtl w:val="true"/>
        </w:rPr>
        <w:t>الروايات تؤيّد أنّ الإفطار عزيمة</w:t>
      </w:r>
      <w:bookmarkEnd w:id="6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الآيات تدلّ بوضوح على أنّ الإفطار عزيمة وليس برخصة، وأنّ المذكورين في الآيات هم أصحاب عزائم لا أصحاب رخص، ومن حسن الحظ أنّ الروايات الواردة عن أئمّة أهل البيت عليهم السلام وما رواه أهل السنّة عن النبي الأكرم صلى الله عليه و آله و سلم يدلّ على العزيمة، أمّا القسم الأوّل فالمجال لا يسع لنقله فمن أراد</w:t>
      </w:r>
    </w:p>
    <w:p>
      <w:pPr>
        <w:pStyle w:val="BookText"/>
        <w:rPr/>
      </w:pPr>
      <w:r>
        <w:rPr>
          <w:rFonts w:ascii="Amiri" w:hAnsi="Amiri" w:eastAsia="Amiri" w:cs="Amiri"/>
          <w:color w:val="111111"/>
          <w:sz w:val="28"/>
          <w:sz w:val="28"/>
          <w:szCs w:val="28"/>
          <w:rtl w:val="true"/>
          <w:lang w:bidi="ar-SA"/>
        </w:rPr>
        <w:t>التوسّع فليرجع إلى وسائل الشيعة</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جابر بن عبد اللّه أنّ رسول اللّه صلى الله عليه و آله و سلم خرج عام الفتح إلى مكّة في رمضان فصام حتى بلغ كراع الغميم فصام الناس، ثمّ دعا بقدح من ماء فرفعه حتّى نظر الناس إليه، ثم شرب،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قد صام‌؟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والمراد من العصيان هو مخالفة أمر الرسول صلى الله عليه و آله و سلم، يقول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فَقَدْ ضَلَّ ضَلالاً مُبِيناً</w:t>
      </w:r>
      <w:r>
        <w:rPr>
          <w:rFonts w:eastAsia="Amiri" w:cs="Amiri" w:ascii="Amiri" w:hAnsi="Amiri"/>
          <w:color w:val="111111"/>
          <w:sz w:val="28"/>
          <w:szCs w:val="28"/>
          <w:rtl w:val="true"/>
          <w:lang w:bidi="ar-SA"/>
        </w:rPr>
        <w:t>) .</w:t>
      </w:r>
      <w:r>
        <w:rPr>
          <w:rStyle w:val="FootnoteAnchor"/>
          <w:rtl w:val="true"/>
        </w:rPr>
        <w:footnoteReference w:id="549"/>
      </w:r>
      <w:r>
        <w:rPr>
          <w:rFonts w:ascii="Amiri" w:hAnsi="Amiri" w:eastAsia="Amiri" w:cs="Amiri"/>
          <w:color w:val="111111"/>
          <w:sz w:val="28"/>
          <w:sz w:val="28"/>
          <w:szCs w:val="28"/>
          <w:rtl w:val="true"/>
          <w:lang w:bidi="ar-SA"/>
        </w:rPr>
        <w:t>والعجب ممّن يريد إحياء مذهب إمامه يحمل الحديث على أنّ أمره صلى الله عليه و آله و سلم كان أمراً استحبابياً، لكنّه بمعزل من الواقع، فأين الاستحباب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ماجة في سننه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صائم رمضان في السفر كالمفطر في الحضر</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الحديث على كون الإفطار عزيمة، واضحة، فإنّ الإفطار في الحضر إذا كان إثماً وحراماً فيكون المنزّل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للمسافر في نفس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وحراماً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56" w:name="pg14912_141346"/>
    </w:p>
    <w:p>
      <w:pPr>
        <w:pStyle w:val="BookText"/>
        <w:rPr/>
      </w:pPr>
      <w:bookmarkEnd w:id="656"/>
      <w:r>
        <w:rPr>
          <w:rFonts w:ascii="Amiri" w:hAnsi="Amiri" w:eastAsia="Amiri" w:cs="Amiri"/>
          <w:color w:val="111111"/>
          <w:sz w:val="28"/>
          <w:sz w:val="28"/>
          <w:szCs w:val="28"/>
          <w:rtl w:val="true"/>
          <w:lang w:bidi="ar-SA"/>
        </w:rPr>
        <w:t>أحكام الصيام</w:t>
      </w:r>
    </w:p>
    <w:p>
      <w:pPr>
        <w:pStyle w:val="Heading3"/>
        <w:numPr>
          <w:ilvl w:val="2"/>
          <w:numId w:val="1"/>
        </w:numPr>
        <w:rPr/>
      </w:pPr>
      <w:bookmarkStart w:id="657" w:name="__RefHeading___Toc1366361_388300464"/>
      <w:bookmarkStart w:id="658" w:name="_Toc255"/>
      <w:bookmarkEnd w:id="657"/>
      <w:r>
        <w:rPr/>
        <w:t>3</w:t>
      </w:r>
      <w:r>
        <w:rPr>
          <w:rtl w:val="true"/>
        </w:rPr>
        <w:t xml:space="preserve">. </w:t>
      </w:r>
      <w:r>
        <w:rPr>
          <w:rtl w:val="true"/>
        </w:rPr>
        <w:t>نزول القرآن في شهر رمضان وحكم المريض و المسافر</w:t>
      </w:r>
      <w:bookmarkEnd w:id="658"/>
    </w:p>
    <w:p>
      <w:pPr>
        <w:pStyle w:val="Heading4"/>
        <w:numPr>
          <w:ilvl w:val="3"/>
          <w:numId w:val="1"/>
        </w:numPr>
        <w:rPr/>
      </w:pPr>
      <w:bookmarkStart w:id="659" w:name="__RefHeading___Toc1366363_388300464"/>
      <w:bookmarkStart w:id="660" w:name="_Toc256"/>
      <w:bookmarkEnd w:id="659"/>
      <w:r>
        <w:rPr>
          <w:rtl w:val="true"/>
        </w:rPr>
        <w:t>الآية الثالثة</w:t>
      </w:r>
      <w:bookmarkEnd w:id="660"/>
    </w:p>
    <w:p>
      <w:pPr>
        <w:pStyle w:val="Heading5"/>
        <w:numPr>
          <w:ilvl w:val="4"/>
          <w:numId w:val="1"/>
        </w:numPr>
        <w:rPr/>
      </w:pPr>
      <w:bookmarkStart w:id="661" w:name="__RefHeading___Toc1366365_388300464"/>
      <w:bookmarkStart w:id="662" w:name="_Toc257"/>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eastAsia="Amiri" w:cs="Amiri" w:ascii="Amiri" w:hAnsi="Amiri"/>
          <w:color w:val="111111"/>
          <w:sz w:val="28"/>
          <w:szCs w:val="28"/>
          <w:rtl w:val="true"/>
          <w:lang w:bidi="ar-SA"/>
        </w:rPr>
        <w:t>) .</w:t>
      </w:r>
      <w:r>
        <w:rPr>
          <w:rStyle w:val="FootnoteAnchor"/>
          <w:rtl w:val="true"/>
        </w:rPr>
        <w:footnoteReference w:id="551"/>
      </w:r>
    </w:p>
    <w:p>
      <w:pPr>
        <w:pStyle w:val="Heading5"/>
        <w:numPr>
          <w:ilvl w:val="4"/>
          <w:numId w:val="1"/>
        </w:numPr>
        <w:rPr/>
      </w:pPr>
      <w:bookmarkStart w:id="663" w:name="__RefHeading___Toc1366367_388300464"/>
      <w:bookmarkStart w:id="664" w:name="_Toc258"/>
      <w:bookmarkEnd w:id="663"/>
      <w:r>
        <w:rPr>
          <w:rtl w:val="true"/>
        </w:rPr>
        <w:t>المفردات</w:t>
      </w:r>
      <w:bookmarkEnd w:id="664"/>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أشهر، وجمع كثرته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وقع الشمس على الرمل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بين الحقّ والباطل</w:t>
      </w:r>
      <w:r>
        <w:rPr>
          <w:rFonts w:eastAsia="Amiri" w:cs="Amiri" w:ascii="Amiri" w:hAnsi="Amiri"/>
          <w:color w:val="111111"/>
          <w:sz w:val="28"/>
          <w:szCs w:val="28"/>
          <w:rtl w:val="true"/>
          <w:lang w:bidi="ar-SA"/>
        </w:rPr>
        <w:t>.</w:t>
      </w:r>
      <w:bookmarkStart w:id="665" w:name="pg14912_141347"/>
    </w:p>
    <w:p>
      <w:pPr>
        <w:pStyle w:val="BookText"/>
        <w:rPr/>
      </w:pPr>
      <w:bookmarkEnd w:id="665"/>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العسر</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366369_388300464"/>
      <w:bookmarkStart w:id="667" w:name="_Toc259"/>
      <w:bookmarkEnd w:id="666"/>
      <w:r>
        <w:rPr>
          <w:rtl w:val="true"/>
        </w:rPr>
        <w:t>التفسير</w:t>
      </w:r>
      <w:bookmarkEnd w:id="667"/>
    </w:p>
    <w:p>
      <w:pPr>
        <w:pStyle w:val="BookText"/>
        <w:rPr/>
      </w:pPr>
      <w:r>
        <w:rPr>
          <w:rFonts w:ascii="Amiri" w:hAnsi="Amiri" w:eastAsia="Amiri" w:cs="Amiri"/>
          <w:color w:val="111111"/>
          <w:sz w:val="28"/>
          <w:sz w:val="28"/>
          <w:szCs w:val="28"/>
          <w:rtl w:val="true"/>
          <w:lang w:bidi="ar-SA"/>
        </w:rPr>
        <w:t>الآية تتضمّن 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أيام الصيام في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اشتمال القرآن على البيّنات والفرقان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شهد الشهر فعليه أن يصومه من الرؤية إلى الرؤية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المريض والمسافر يفطران ويصومان في أيّام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إرادته سبحانه في حقّ المكلّفين على اليسر دون العسر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سبحانه بإكمال العدّة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هذه الأُمور واحداً تلو الآخر</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66371_388300464"/>
      <w:bookmarkStart w:id="669" w:name="_Toc260"/>
      <w:bookmarkEnd w:id="668"/>
      <w:r>
        <w:rPr>
          <w:rtl w:val="true"/>
        </w:rPr>
        <w:t>الأمر الأوّل</w:t>
      </w:r>
      <w:r>
        <w:rPr>
          <w:rtl w:val="true"/>
        </w:rPr>
        <w:t xml:space="preserve">: </w:t>
      </w:r>
      <w:r>
        <w:rPr>
          <w:rtl w:val="true"/>
        </w:rPr>
        <w:t>تحديد أيام الصيام في شهر رمضان</w:t>
      </w:r>
      <w:bookmarkEnd w:id="6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الآية السابقة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كتب عليكم الصيام في أيام معدودات، ولمّا كانت الفقرة مبهمة وأنّ هذه الأيام في أي شهر من الشهور الإثني عشر، جاءت آيتنا هذه ترفع الإبهام عن هذه الأيام بالقول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يُعلم وجه كونه مرفوعاً حيث إنّها خبر لمبتدأ محذوف أي هي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هذا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سمّوا الشهور بالأزمنة التي وقعت فيها، فوافق رمضان أيام رمض</w:t>
      </w:r>
      <w:bookmarkStart w:id="670" w:name="pg14912_141348"/>
    </w:p>
    <w:p>
      <w:pPr>
        <w:pStyle w:val="BookText"/>
        <w:rPr/>
      </w:pPr>
      <w:bookmarkEnd w:id="670"/>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العرب قبل الإسلام كانوا يُسمّون الشهور بالأزمنة الّتي وقعت فيها، فسمّوا هذا الشهر رمضاناً، لأنّ التسمية بها كانت في الصيف وفي رمض الحرّ</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366373_388300464"/>
      <w:bookmarkStart w:id="672" w:name="_Toc261"/>
      <w:bookmarkEnd w:id="671"/>
      <w:r>
        <w:rPr>
          <w:rtl w:val="true"/>
        </w:rPr>
        <w:t>الأمر الثاني</w:t>
      </w:r>
      <w:r>
        <w:rPr>
          <w:rtl w:val="true"/>
        </w:rPr>
        <w:t xml:space="preserve">: </w:t>
      </w:r>
      <w:r>
        <w:rPr>
          <w:rtl w:val="true"/>
        </w:rPr>
        <w:t>نزول القرآن في شهر رمضان</w:t>
      </w:r>
      <w:bookmarkEnd w:id="672"/>
    </w:p>
    <w:p>
      <w:pPr>
        <w:pStyle w:val="Heading5"/>
        <w:numPr>
          <w:ilvl w:val="4"/>
          <w:numId w:val="1"/>
        </w:numPr>
        <w:rPr/>
      </w:pPr>
      <w:bookmarkStart w:id="673" w:name="__RefHeading___Toc1366375_388300464"/>
      <w:bookmarkStart w:id="674" w:name="_Toc262"/>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لا شكّ أنّ القرآن نزل في هذا الشهر، وقد جاء ذكره في موضعين آخرين،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جانب ومن جانب آخر إنّه سبحانه يذكر نزول القرآن على النبي صلى الله عليه و آله و سلم نجوماً، ويقول في نقد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عَلَيْهِ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لِنُثَبِّتَ بِهِ فُؤادَكَ وَ رَتَّلْناهُ تَرْتِيلاً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الجمع بين هاتين الطائفتين‌؟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الأُمور المتواترة نزول القرآن نجوماً حسب الأسئلة والحوادث، وهذا أمر ثابت فوق التواتر، فنزول القرآن في ليلة القدر كيف ينسجم مع نزوله نجوماً؟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المفسرين أجابوا عن السؤال بوجوه مختلفة، أكثرها خالٍ عن الدليل، والذي يمكن أن يقال هو ما ذكره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p>
    <w:p>
      <w:pPr>
        <w:pStyle w:val="BookText"/>
        <w:rPr/>
      </w:pP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ونأتي ببعض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نزول القرآن في ليلة القدر هو نزول جملة منه في ليلة القدر، لا كلّه، والقرآن كما يطلق على المجموع يطلق على بعض أجزائه، فأمّا أن يكون نزل بأسره وجميعه في ليلة القدر، فهو بعيد عمّا يقتضيه ظاهر القرآن، والمتواتر من الأخبار، وإجماع العلماء على اختلافهم في الآراء</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بالوجدان أنّ قسماً من الآيات لم ينزل في ليلة القدر،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الآيات التي تدلّ على نزول القرآن في ليلة القدر،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الآيات تتعلّق بحوادث وقعت في المدينة المنوّرة، كحكم الظهار، الذي يحكيه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والإخبار عن نصر اللّه ودخول الناس في دين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والإخبار عن مجيء المنافقين وشهادتهم على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وكذلك الآيات التي تحكي عن تآمر اليهود والمنافقين ضد الإسلام، فهل يمكن القول بأنّها نزلت في ليلة القدر وأنّه سبحانه أخبر عن وجود الحوادث بلفظها وعينها مع أنّها لم تقع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75" w:name="pg14912_141350"/>
    </w:p>
    <w:p>
      <w:pPr>
        <w:pStyle w:val="BookText"/>
        <w:rPr/>
      </w:pPr>
      <w:bookmarkEnd w:id="675"/>
      <w:r>
        <w:rPr>
          <w:rFonts w:ascii="Amiri" w:hAnsi="Amiri" w:eastAsia="Amiri" w:cs="Amiri"/>
          <w:color w:val="111111"/>
          <w:sz w:val="28"/>
          <w:sz w:val="28"/>
          <w:szCs w:val="28"/>
          <w:rtl w:val="true"/>
          <w:lang w:bidi="ar-SA"/>
        </w:rPr>
        <w:t>بعد، وإنّما تقع في المستقبل، ومَن تتّبع هذا القسم من الآيات التي تخبر عن المستقبل، يقف على أنّه لا يمكن القول بنزول جميع الآيات في ليلة القدر أو في مكّة المكرّمة، فلا محيص من القول من أنّ المراد نزول قسم كبير من القرآن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النحو ينسجم الأمران،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في ليلة واحدة، أي قسم كبير منه، ونزوله نجوماً على طول ثلاث عشرة سنة</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366377_388300464"/>
      <w:bookmarkStart w:id="677" w:name="_Toc263"/>
      <w:bookmarkEnd w:id="676"/>
      <w:r>
        <w:rPr>
          <w:rtl w:val="true"/>
        </w:rPr>
        <w:t>الإجابة عن سؤال آخر</w:t>
      </w:r>
      <w:bookmarkEnd w:id="677"/>
    </w:p>
    <w:p>
      <w:pPr>
        <w:pStyle w:val="BookText"/>
        <w:rPr/>
      </w:pPr>
      <w:r>
        <w:rPr>
          <w:rFonts w:ascii="Amiri" w:hAnsi="Amiri" w:eastAsia="Amiri" w:cs="Amiri"/>
          <w:color w:val="111111"/>
          <w:sz w:val="28"/>
          <w:sz w:val="28"/>
          <w:szCs w:val="28"/>
          <w:rtl w:val="true"/>
          <w:lang w:bidi="ar-SA"/>
        </w:rPr>
        <w:t>وبما ذكرنا يظهر الجواب عن سؤال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تدلّ على نزول القرآن في شهر رمضان، هذا من جانب ومن جانب آخر أنّ بعثة النبي صلى الله عليه و آله و سلم وفق روايات أهل البيت عليهم السلام كانت في اليوم السابع والعشرين من شهر رجب، ومن المعلوم أنّ البعثة كانت مرفقة بنزول عدّة من الآيات التي وردت في سورة العلق، فكيف يمكن الجمع بينهما؟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نزول عدد كبير من الآيات في ليلة القدر، لا ينافي نزول آيات معدودة في غيرها، أي في اليوم السابع والعشرين من شهر رجب، ولذلك اتّفقت الروايات على نزول آيات خمس من أوّل سورة العلق لدى البعثة،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678" w:name="pg14912_141351"/>
    </w:p>
    <w:p>
      <w:pPr>
        <w:pStyle w:val="BookText"/>
        <w:rPr/>
      </w:pPr>
      <w:bookmarkEnd w:id="678"/>
      <w:r>
        <w:rPr>
          <w:rFonts w:ascii="Amiri" w:hAnsi="Amiri" w:eastAsia="Amiri" w:cs="Amiri"/>
          <w:color w:val="111111"/>
          <w:sz w:val="28"/>
          <w:sz w:val="28"/>
          <w:szCs w:val="28"/>
          <w:rtl w:val="true"/>
          <w:lang w:bidi="ar-SA"/>
        </w:rPr>
        <w:t>وما ذكرنا من وجه الجمع أوضح من جميع الوجوه التي ذكرت في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آخر وهو أنّ السؤال الثاني مبني على وجود المقارنة بين بعثة النبي بالرسالة ونزول القرآن في ذلك اليوم، أو نزول آيات خمس من سورة العلق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الدليل الدالّ على التقارن بين الأمرين غير نقي السند، وقد أوضحنا حاله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ولذلك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تشرّف بالنبوّة والرسالة في اليوم السابع والعشرين، وأمّا الآيات الخمس فقد نزلت في شهر رمضان في نفس السنة،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366379_388300464"/>
      <w:bookmarkStart w:id="680" w:name="_Toc264"/>
      <w:bookmarkEnd w:id="679"/>
      <w:r>
        <w:rPr>
          <w:rtl w:val="true"/>
        </w:rPr>
        <w:t>الأمر الثالث</w:t>
      </w:r>
      <w:r>
        <w:rPr>
          <w:rtl w:val="true"/>
        </w:rPr>
        <w:t xml:space="preserve">: </w:t>
      </w:r>
      <w:r>
        <w:rPr>
          <w:rtl w:val="true"/>
        </w:rPr>
        <w:t>اشتمال القرآن على البيّنات والفرقان</w:t>
      </w:r>
      <w:bookmarkEnd w:id="680"/>
    </w:p>
    <w:p>
      <w:pPr>
        <w:pStyle w:val="BookText"/>
        <w:rPr/>
      </w:pPr>
      <w:r>
        <w:rPr>
          <w:rFonts w:ascii="Amiri" w:hAnsi="Amiri" w:eastAsia="Amiri" w:cs="Amiri"/>
          <w:color w:val="111111"/>
          <w:sz w:val="28"/>
          <w:sz w:val="28"/>
          <w:szCs w:val="28"/>
          <w:rtl w:val="true"/>
          <w:lang w:bidi="ar-SA"/>
        </w:rPr>
        <w:t>أُريد من البيّنات ما هو الهادي إلى وظائف الناس عقيدة وتكليفاً، فالقرآن يهدي المجتمع الإنساني إلى ما هو الحقّ فيما يرجع إلى العقل النظري وما يرجع إلى العقل العملي،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بَيِّناتٍ مِنَ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دلالات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فرقاناً؛ فلأنّه بدلائله الرصينة يفرّق بين الحقّ والباطل، والظاهر أنّه وصف لعامّة آيات القرآن الكريم؛ ولكن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الكتاب،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الواجب العمل به</w:t>
      </w:r>
      <w:r>
        <w:rPr>
          <w:rFonts w:eastAsia="Amiri" w:cs="Amiri" w:ascii="Amiri" w:hAnsi="Amiri"/>
          <w:color w:val="111111"/>
          <w:sz w:val="28"/>
          <w:szCs w:val="28"/>
          <w:rtl w:val="true"/>
          <w:lang w:bidi="ar-SA"/>
        </w:rPr>
        <w:t>».</w:t>
      </w:r>
      <w:r>
        <w:rPr>
          <w:rStyle w:val="FootnoteAnchor"/>
          <w:rtl w:val="true"/>
        </w:rPr>
        <w:footnoteReference w:id="563"/>
      </w:r>
      <w:bookmarkStart w:id="681" w:name="pg14912_141352"/>
    </w:p>
    <w:p>
      <w:pPr>
        <w:pStyle w:val="Heading4"/>
        <w:numPr>
          <w:ilvl w:val="3"/>
          <w:numId w:val="1"/>
        </w:numPr>
        <w:rPr/>
      </w:pPr>
      <w:bookmarkStart w:id="682" w:name="__RefHeading___Toc1366381_388300464"/>
      <w:bookmarkStart w:id="683" w:name="_Toc265"/>
      <w:bookmarkEnd w:id="681"/>
      <w:bookmarkEnd w:id="682"/>
      <w:r>
        <w:rPr>
          <w:rtl w:val="true"/>
        </w:rPr>
        <w:t>الأمر الرابع</w:t>
      </w:r>
      <w:r>
        <w:rPr>
          <w:rtl w:val="true"/>
        </w:rPr>
        <w:t xml:space="preserve">: </w:t>
      </w:r>
      <w:r>
        <w:rPr>
          <w:rtl w:val="true"/>
        </w:rPr>
        <w:t>مَن شهد الشهر فعليه الصوم</w:t>
      </w:r>
      <w:bookmarkEnd w:id="683"/>
    </w:p>
    <w:p>
      <w:pPr>
        <w:pStyle w:val="BookText"/>
        <w:rPr/>
      </w:pPr>
      <w:r>
        <w:rPr>
          <w:rFonts w:ascii="Amiri" w:hAnsi="Amiri" w:eastAsia="Amiri" w:cs="Amiri"/>
          <w:color w:val="111111"/>
          <w:sz w:val="28"/>
          <w:sz w:val="28"/>
          <w:szCs w:val="28"/>
          <w:rtl w:val="true"/>
          <w:lang w:bidi="ar-SA"/>
        </w:rPr>
        <w:t>لمّا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من حيث الزمان والعدد، رفع الإجمال الأوّل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وأمّا الإجمال الثاني فقد رفع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شهده من هلال إلى هلال ومن رؤية إلى رؤية، فليصمه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366383_388300464"/>
      <w:bookmarkStart w:id="685" w:name="_Toc266"/>
      <w:bookmarkEnd w:id="684"/>
      <w:r>
        <w:rPr>
          <w:rtl w:val="true"/>
        </w:rPr>
        <w:t>الأمر الخامس</w:t>
      </w:r>
      <w:r>
        <w:rPr>
          <w:rtl w:val="true"/>
        </w:rPr>
        <w:t xml:space="preserve">: </w:t>
      </w:r>
      <w:r>
        <w:rPr>
          <w:rtl w:val="true"/>
        </w:rPr>
        <w:t>المريض والمسافر يفطران ويصومان في أيام أُخر</w:t>
      </w:r>
      <w:bookmarkEnd w:id="685"/>
    </w:p>
    <w:p>
      <w:pPr>
        <w:pStyle w:val="BookText"/>
        <w:rPr/>
      </w:pPr>
      <w:r>
        <w:rPr>
          <w:rFonts w:ascii="Amiri" w:hAnsi="Amiri" w:eastAsia="Amiri" w:cs="Amiri"/>
          <w:color w:val="111111"/>
          <w:sz w:val="28"/>
          <w:sz w:val="28"/>
          <w:szCs w:val="28"/>
          <w:rtl w:val="true"/>
          <w:lang w:bidi="ar-SA"/>
        </w:rPr>
        <w:t>فقد استثني من إيجاب الصوم لمَن شهد الشهر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والمسافر، فالواجب عليهم صوم عدّة من أيام أُخر،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يقع الكلام في ما هو الوجه في ذكر المريض والمسافر؟ فقد تقدّم حكمه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أنّه ربما يتوهّم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ناسخ للترخيص المتقدّم في الآية السابقة في حقّ هاتين الطائفتين المذكورتين، فكرّر ذلك ليكون ردّاً لهذين الوهمين،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التكرار لوجه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لرد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التأكيد على أنّ الإفطار لهذين الطائفتين عزيمة لا رخصة</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366385_388300464"/>
      <w:bookmarkStart w:id="687" w:name="_Toc267"/>
      <w:bookmarkEnd w:id="686"/>
      <w:r>
        <w:rPr>
          <w:rtl w:val="true"/>
        </w:rPr>
        <w:t>الأمر السادس</w:t>
      </w:r>
      <w:r>
        <w:rPr>
          <w:rtl w:val="true"/>
        </w:rPr>
        <w:t xml:space="preserve">: </w:t>
      </w:r>
      <w:r>
        <w:rPr>
          <w:rtl w:val="true"/>
        </w:rPr>
        <w:t>تعلّق إرادة اللّه في حقّ المكلّفين على اليسر دون العسر</w:t>
      </w:r>
      <w:bookmarkEnd w:id="687"/>
    </w:p>
    <w:p>
      <w:pPr>
        <w:pStyle w:val="Heading5"/>
        <w:numPr>
          <w:ilvl w:val="4"/>
          <w:numId w:val="1"/>
        </w:numPr>
        <w:rPr/>
      </w:pPr>
      <w:bookmarkStart w:id="688" w:name="__RefHeading___Toc1366387_388300464"/>
      <w:bookmarkStart w:id="689" w:name="_Toc268"/>
      <w:bookmarkEnd w:id="688"/>
      <w:r>
        <w:rPr>
          <w:rtl w:val="true"/>
        </w:rPr>
        <w:t>اشارة</w:t>
      </w:r>
      <w:bookmarkEnd w:id="6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التشريع الإسلامي من الطهارة إلى الديات مبني على اليسر دون العسر، ولذلك أمر المصحّ‌</w:t>
      </w:r>
      <w:bookmarkStart w:id="690" w:name="pg14912_141353"/>
    </w:p>
    <w:p>
      <w:pPr>
        <w:pStyle w:val="BookText"/>
        <w:rPr/>
      </w:pPr>
      <w:bookmarkEnd w:id="690"/>
      <w:r>
        <w:rPr>
          <w:rFonts w:ascii="Amiri" w:hAnsi="Amiri" w:eastAsia="Amiri" w:cs="Amiri"/>
          <w:color w:val="111111"/>
          <w:sz w:val="28"/>
          <w:sz w:val="28"/>
          <w:szCs w:val="28"/>
          <w:rtl w:val="true"/>
          <w:lang w:bidi="ar-SA"/>
        </w:rPr>
        <w:t>بالصوم لكونه متمكّناً منه، كما أمر المريض والمسافر بالإفطار؛ لأنّ الصوم شاق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وقد استخرج الفقهاء من الآية الأخيرة قاعدة كلّية تستنبط منها أحكام كلّيّة، ويشهد عليها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w:t>
      </w:r>
      <w:r>
        <w:rPr>
          <w:rFonts w:eastAsia="Amiri" w:cs="Amiri" w:ascii="Amiri" w:hAnsi="Amiri"/>
          <w:color w:val="111111"/>
          <w:sz w:val="28"/>
          <w:szCs w:val="28"/>
          <w:rtl w:val="true"/>
          <w:lang w:bidi="ar-SA"/>
        </w:rPr>
        <w:t>)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وقوله تعالى في آيات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التشريع الإسلامي منزّه عن تكليف الإنسان فوق طاقته</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366389_388300464"/>
      <w:bookmarkStart w:id="692" w:name="_Toc269"/>
      <w:bookmarkEnd w:id="691"/>
      <w:r>
        <w:rPr>
          <w:rtl w:val="true"/>
        </w:rPr>
        <w:t>سؤال وإجابة</w:t>
      </w:r>
      <w:bookmarkEnd w:id="6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مع أنّا نلمس الحرج في التكاليف الشاقّة والأحكام الصعبة، وأهل العرف يعدّونه عسراً وحرجاً وضيقاً، كالصوم في اليوم الحار الطويل، والحجّ للنائي، ولزوم الثبات في مقاومة الكفّار، وحرمة الفرار، والتوضّؤ بالماء البارد في الشتاء وفي السفر، ومجاهدة النفس، والسعي في طلب العلم في البلاد البعيدة، وعدم الخوف من لومة لائم، في بيان أحكام اللّه وإجراء حدوده، والجهاد في سبيله، ونظائر ذلك‌؟</w:t>
      </w:r>
      <w:r>
        <w:rPr>
          <w:rFonts w:eastAsia="Amiri" w:cs="Amiri" w:ascii="Amiri" w:hAnsi="Amiri"/>
          <w:color w:val="111111"/>
          <w:sz w:val="28"/>
          <w:szCs w:val="28"/>
          <w:rtl w:val="true"/>
          <w:lang w:bidi="ar-SA"/>
        </w:rPr>
        <w:t>!</w:t>
      </w:r>
      <w:bookmarkStart w:id="693" w:name="pg14912_141354"/>
    </w:p>
    <w:p>
      <w:pPr>
        <w:pStyle w:val="BookText"/>
        <w:rPr/>
      </w:pPr>
      <w:bookmarkEnd w:id="693"/>
      <w:r>
        <w:rPr>
          <w:rFonts w:ascii="Amiri" w:hAnsi="Amiri" w:eastAsia="Amiri" w:cs="Amiri"/>
          <w:color w:val="111111"/>
          <w:sz w:val="28"/>
          <w:sz w:val="28"/>
          <w:szCs w:val="28"/>
          <w:rtl w:val="true"/>
          <w:lang w:bidi="ar-SA"/>
        </w:rPr>
        <w:t>وقد أجاب القوم عن هذه الشبهة بوجوه متعدّدة تعرّضنا لذكرها في كتابنا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الإيضاحات السنية للقواعد الفقهية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ونأتي في المقام بموجز ما فصّلناه فيها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بني على الحرج والعسر، بحيث يكون الحرج موضوعاً ومقوّماً لها، وهذا كالجهاد والحج، والمرابطة، فإنّ خصيصة هذه الأحكام الحرج والعسر، وقد شُرّعت لمصالح في تثبيت الأمن، 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يعني غير هذه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التي ليس الحرج مقوّماً لها، بل يعرضها الحرج والضرر، وهذا كالصلاة والصوم، فإنّها بالذات ليست حرجية، وإنّما يعرضها الحرج في ظروف خاصّة، وآيات الباب ناظرة إلى هذا النوع من الأحكام</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366391_388300464"/>
      <w:bookmarkStart w:id="695" w:name="_Toc270"/>
      <w:bookmarkEnd w:id="694"/>
      <w:r>
        <w:rPr>
          <w:rtl w:val="true"/>
        </w:rPr>
        <w:t>الأمر السابع</w:t>
      </w:r>
      <w:r>
        <w:rPr>
          <w:rtl w:val="true"/>
        </w:rPr>
        <w:t xml:space="preserve">: </w:t>
      </w:r>
      <w:r>
        <w:rPr>
          <w:rtl w:val="true"/>
        </w:rPr>
        <w:t>أمره سبحانه بإكمال العدّة والتكبير</w:t>
      </w:r>
      <w:bookmarkEnd w:id="695"/>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تعليم كيفية القضاء بأنّهما يقضيان حسب عدد ما أفطرا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يعطف على إكمال العدّة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لِتُكَبِّرُوا اَللّهَ عَلى 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 تكبير يوم الفطر الذي ورد استحبابه في ذلك اليوم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تكبير الفطر عقيب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الآخرة</w:t>
      </w:r>
      <w:bookmarkStart w:id="696" w:name="pg14912_141355"/>
    </w:p>
    <w:p>
      <w:pPr>
        <w:pStyle w:val="BookText"/>
        <w:rPr/>
      </w:pPr>
      <w:bookmarkEnd w:id="696"/>
      <w:r>
        <w:rPr>
          <w:rFonts w:ascii="Amiri" w:hAnsi="Amiri" w:eastAsia="Amiri" w:cs="Amiri"/>
          <w:color w:val="111111"/>
          <w:sz w:val="28"/>
          <w:sz w:val="28"/>
          <w:szCs w:val="28"/>
          <w:rtl w:val="true"/>
          <w:lang w:bidi="ar-SA"/>
        </w:rPr>
        <w:t>والغداة وصلاة العيد 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يوم الفطر</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وهو إشارة إلى التكبيرات التي يردّدها المصلّون جماعة قبل وبعد صلاة العيد،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إلّااللّه واللّه أكبر، اللّه أكبر وللّه الحمد، اللّه أكبر على ما هدانا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لتشكروا اللّه سبحانه على نعمه، ومنها تشريع الصوم على ما فيه من المنافع والمصالح لحال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بحرف الترجي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جهل حال المكلّف من حيث هوهو، من القيام بالشكر أولا، دون اللّه سبحانه فإنّه عالم بما أنّه سوف يشكر أو لا يشكر</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366393_388300464"/>
      <w:bookmarkStart w:id="698" w:name="_Toc271"/>
      <w:bookmarkEnd w:id="697"/>
      <w:r>
        <w:rPr>
          <w:rtl w:val="true"/>
        </w:rPr>
        <w:t>الآثار البنّاءة للصوم</w:t>
      </w:r>
      <w:bookmarkEnd w:id="698"/>
    </w:p>
    <w:p>
      <w:pPr>
        <w:pStyle w:val="BookText"/>
        <w:rPr/>
      </w:pPr>
      <w:r>
        <w:rPr>
          <w:rFonts w:ascii="Amiri" w:hAnsi="Amiri" w:eastAsia="Amiri" w:cs="Amiri"/>
          <w:color w:val="111111"/>
          <w:sz w:val="28"/>
          <w:sz w:val="28"/>
          <w:szCs w:val="28"/>
          <w:rtl w:val="true"/>
          <w:lang w:bidi="ar-SA"/>
        </w:rPr>
        <w:t>تضمّنت الروايات بيان آثار الصوم، وقد خطب النبي صلى الله عليه و آله و سلم في آخر جمعة من شعبان خطبة، وردت فيها إشارات إلى آثار الصوم وفوائده، فمَن أراد الاطّلاع فعليه الرجوع إلى مصادرها</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699" w:name="__RefHeading___Toc1366395_388300464"/>
      <w:bookmarkStart w:id="700" w:name="_Toc272"/>
      <w:bookmarkEnd w:id="699"/>
      <w:r>
        <w:rPr>
          <w:rtl w:val="true"/>
        </w:rPr>
        <w:t>الآثار الاجتماعية للصوم</w:t>
      </w:r>
      <w:bookmarkEnd w:id="70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آثار الصوم الاجتماعية أنّ الصائم يتحسّس فيه آلام الجوع والفقر، فقد سأل هشام بن الحكم أبا عبد اللّه عليه السلام عن علّة الصيام‌؟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عزّ وجلّ الصيام ليستوي به الغني والفقير، وذلك أنّ الغني لم يكن ليجد مسَّ الجوع</w:t>
      </w:r>
    </w:p>
    <w:p>
      <w:pPr>
        <w:pStyle w:val="BookText"/>
        <w:rPr/>
      </w:pPr>
      <w:r>
        <w:rPr>
          <w:rFonts w:ascii="Amiri" w:hAnsi="Amiri" w:eastAsia="Amiri" w:cs="Amiri"/>
          <w:color w:val="111111"/>
          <w:sz w:val="28"/>
          <w:sz w:val="28"/>
          <w:szCs w:val="28"/>
          <w:rtl w:val="true"/>
          <w:lang w:bidi="ar-SA"/>
        </w:rPr>
        <w:t>فيرحم الفقير، لأنّ الغني كلّما أراد شيئاً قدر عليه، فأراد اللّه عزّ وجلّ أن يسوّي بين خلقه وأن يذيق الغنيّ مسّ الجوع والألم، ليرقَّ على الضعيف فيرحم الجائع</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هذا كلّه حول الآثار الروحية والاجتماعية، وأمّا الفوائد الصحيّة لبدن الإنسان فيكفي في ذلك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 والحمية هي الدواء</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فالإنسان إذا استمر في الأكل والشرب على طول سنة، تتراكم المواد الغذائية الزائدة في بدنه، فالإمساك مدّة معيّنة يوجب ذوبان هذه المواد والتخلّص منها ومن أضرارها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الإمساك عن الطعام والشراب في شهر واحد يورث استراحة كافية ومناسبة لجهاز الهضم وتنظيفه، بشرط أن لا يكثر الصائم من الطعام عند الإفطار والسحور، لكي يحصل على الآثار الصحّية لهذه العبادة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الآثار التي ذكرها الأطباء حول الإمساك عن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01" w:name="pg14912_141357"/>
    </w:p>
    <w:p>
      <w:pPr>
        <w:pStyle w:val="BookText"/>
        <w:rPr/>
      </w:pPr>
      <w:bookmarkEnd w:id="701"/>
      <w:r>
        <w:rPr>
          <w:rFonts w:ascii="Amiri" w:hAnsi="Amiri" w:eastAsia="Amiri" w:cs="Amiri"/>
          <w:color w:val="111111"/>
          <w:sz w:val="28"/>
          <w:sz w:val="28"/>
          <w:szCs w:val="28"/>
          <w:rtl w:val="true"/>
          <w:lang w:bidi="ar-SA"/>
        </w:rPr>
        <w:t>أحكام الصيام</w:t>
      </w:r>
    </w:p>
    <w:p>
      <w:pPr>
        <w:pStyle w:val="Heading3"/>
        <w:numPr>
          <w:ilvl w:val="2"/>
          <w:numId w:val="1"/>
        </w:numPr>
        <w:rPr/>
      </w:pPr>
      <w:bookmarkStart w:id="702" w:name="__RefHeading___Toc1366397_388300464"/>
      <w:bookmarkStart w:id="703" w:name="_Toc273"/>
      <w:bookmarkEnd w:id="702"/>
      <w:r>
        <w:rPr/>
        <w:t>4</w:t>
      </w:r>
      <w:r>
        <w:rPr>
          <w:rtl w:val="true"/>
        </w:rPr>
        <w:t xml:space="preserve"> </w:t>
      </w:r>
      <w:r>
        <w:rPr>
          <w:rtl w:val="true"/>
        </w:rPr>
        <w:t xml:space="preserve">و </w:t>
      </w:r>
      <w:r>
        <w:rPr/>
        <w:t>5</w:t>
      </w:r>
      <w:r>
        <w:rPr>
          <w:rtl w:val="true"/>
        </w:rPr>
        <w:t xml:space="preserve"> </w:t>
      </w:r>
      <w:r>
        <w:rPr>
          <w:rtl w:val="true"/>
        </w:rPr>
        <w:t xml:space="preserve">و </w:t>
      </w:r>
      <w:r>
        <w:rPr/>
        <w:t>6</w:t>
      </w:r>
      <w:r>
        <w:rPr>
          <w:rtl w:val="true"/>
        </w:rPr>
        <w:t xml:space="preserve"> </w:t>
      </w:r>
      <w:r>
        <w:rPr/>
        <w:t>1</w:t>
      </w:r>
      <w:r>
        <w:rPr>
          <w:rtl w:val="true"/>
        </w:rPr>
        <w:t xml:space="preserve">. </w:t>
      </w:r>
      <w:r>
        <w:rPr>
          <w:rtl w:val="true"/>
        </w:rPr>
        <w:t xml:space="preserve">تحليل الرفث إلى النساء في ليالي شهر رمضان </w:t>
      </w:r>
      <w:r>
        <w:rPr/>
        <w:t>2</w:t>
      </w:r>
      <w:r>
        <w:rPr>
          <w:rtl w:val="true"/>
        </w:rPr>
        <w:t xml:space="preserve">. </w:t>
      </w:r>
      <w:r>
        <w:rPr>
          <w:rtl w:val="true"/>
        </w:rPr>
        <w:t xml:space="preserve">حد الصوم زماناً </w:t>
      </w:r>
      <w:r>
        <w:rPr/>
        <w:t>3</w:t>
      </w:r>
      <w:r>
        <w:rPr>
          <w:rtl w:val="true"/>
        </w:rPr>
        <w:t xml:space="preserve">. </w:t>
      </w:r>
      <w:r>
        <w:rPr>
          <w:rtl w:val="true"/>
        </w:rPr>
        <w:t>حرمة مباشرة النساء في إعتكاف</w:t>
      </w:r>
      <w:bookmarkEnd w:id="703"/>
    </w:p>
    <w:p>
      <w:pPr>
        <w:pStyle w:val="Heading4"/>
        <w:numPr>
          <w:ilvl w:val="3"/>
          <w:numId w:val="1"/>
        </w:numPr>
        <w:rPr/>
      </w:pPr>
      <w:bookmarkStart w:id="704" w:name="__RefHeading___Toc1366399_388300464"/>
      <w:bookmarkStart w:id="705" w:name="_Toc274"/>
      <w:bookmarkEnd w:id="704"/>
      <w:r>
        <w:rPr>
          <w:rtl w:val="true"/>
        </w:rPr>
        <w:t>الآية الرابعة</w:t>
      </w:r>
      <w:bookmarkEnd w:id="705"/>
    </w:p>
    <w:p>
      <w:pPr>
        <w:pStyle w:val="Heading5"/>
        <w:numPr>
          <w:ilvl w:val="4"/>
          <w:numId w:val="1"/>
        </w:numPr>
        <w:rPr/>
      </w:pPr>
      <w:bookmarkStart w:id="706" w:name="__RefHeading___Toc1366401_388300464"/>
      <w:bookmarkStart w:id="707" w:name="_Toc275"/>
      <w:bookmarkEnd w:id="706"/>
      <w:r>
        <w:rPr>
          <w:rtl w:val="true"/>
        </w:rPr>
        <w:t>اشارة</w:t>
      </w:r>
      <w:bookmarkEnd w:id="70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 .</w:t>
      </w:r>
      <w:r>
        <w:rPr>
          <w:rStyle w:val="FootnoteAnchor"/>
          <w:rtl w:val="true"/>
        </w:rPr>
        <w:footnoteReference w:id="574"/>
      </w:r>
      <w:bookmarkStart w:id="708" w:name="pg14912_141358"/>
    </w:p>
    <w:p>
      <w:pPr>
        <w:pStyle w:val="Heading5"/>
        <w:numPr>
          <w:ilvl w:val="4"/>
          <w:numId w:val="1"/>
        </w:numPr>
        <w:rPr/>
      </w:pPr>
      <w:bookmarkStart w:id="709" w:name="__RefHeading___Toc1366403_388300464"/>
      <w:bookmarkStart w:id="710" w:name="_Toc276"/>
      <w:bookmarkEnd w:id="708"/>
      <w:bookmarkEnd w:id="709"/>
      <w:r>
        <w:rPr>
          <w:rtl w:val="true"/>
        </w:rPr>
        <w:t>المفردات</w:t>
      </w:r>
      <w:bookmarkEnd w:id="710"/>
    </w:p>
    <w:p>
      <w:pPr>
        <w:pStyle w:val="BookText"/>
        <w:rPr/>
      </w:pP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متضمّن بما يستقبح ذكره من ذكر الجماع ودواعيه، وجُعل كناية عن الجماع، وعُدّي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معنى الإفضاء</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به، وجعل اللباس لكلّ ما يغطي الإنسان عن قبيح، وجعل الزوج والزوجة لباساً من حيث إنّه يمنعها ويصدّها عن تعاطي القبيح، كما تمنعه أيضاً عن تعاطيه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الرازي وجوهاً خمسة في تشبيه الزوجين باللباس، ثانيها ما ذكره الراغب بوجه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الزوجان لباساً ليستر كلّ واحد منهما صاحبه عمّا لا يحلّ كما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ثلثي دينه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شدّة المخالطة والملامسة والانضمام، بمخالطة الثياب وملامستها وانضمامها لصاحبها</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ولا يخفى أنّ الوجه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ألبسة لكم، حتّى يوافق الخبر للمبتدأ، لأجل أنّ اللّباس مصدر، يستعمل في المفرد والجمع، والغرض من التشبيه هو التعليل للتحليل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يخونه خوناً وخيانة، إذا لم يف له، وخان الرجلُ الرجلَ إذا لم يؤدِّ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وناقض العهد خائن، 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الاختيان من الخيانة،</w:t>
      </w:r>
    </w:p>
    <w:p>
      <w:pPr>
        <w:pStyle w:val="BookText"/>
        <w:rPr/>
      </w:pPr>
      <w:r>
        <w:rPr>
          <w:rFonts w:ascii="Amiri" w:hAnsi="Amiri" w:eastAsia="Amiri" w:cs="Amiri"/>
          <w:color w:val="111111"/>
          <w:sz w:val="28"/>
          <w:sz w:val="28"/>
          <w:szCs w:val="28"/>
          <w:rtl w:val="true"/>
          <w:lang w:bidi="ar-SA"/>
        </w:rPr>
        <w:t>كالاكتساب من الكسب، فيه زيادة وشدّة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وأُريد من الخيانة هنا الجماع المحرّم الذي يعدّ نوع خيانة على النفس بعد ما حرّمه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المباشرة، كناية عن الاستمتاع بالجماع، وهذا التعبير يدلّ على أدب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يشير إليه إلّابالكناية كالدخول والمسّ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وجمعه خيوط، والخياط الإبرة الّتي يخاط بها،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 .</w:t>
      </w:r>
      <w:r>
        <w:rPr>
          <w:rStyle w:val="FootnoteAnchor"/>
          <w:rtl w:val="true"/>
        </w:rPr>
        <w:footnoteReference w:id="579"/>
      </w:r>
      <w:r>
        <w:rPr>
          <w:rFonts w:ascii="Amiri" w:hAnsi="Amiri" w:eastAsia="Amiri" w:cs="Amiri"/>
          <w:color w:val="111111"/>
          <w:sz w:val="28"/>
          <w:sz w:val="28"/>
          <w:szCs w:val="28"/>
          <w:rtl w:val="true"/>
          <w:lang w:bidi="ar-SA"/>
        </w:rPr>
        <w:t>والخيط الأبيض كناية عن تميّز بياض النهار من سواد الليل، فالفجر فجران، الفجر الكاذب وهو على شكل عمود من الضوء يظهر في السماء كذنب الثعلب، ثم يزول ويظهر بعده الفجر الصادق، وهو بياض شفَّاف أُفقي يظهر في أُفق السماء كخيط أبيض يظهر إلى جوار الخيط الأسود،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الليل، وهذا هو الصبح الصادق، وبه يتعلّق حكم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عديّ بن حاتم قال للنبيّ إنّي وضعت خيطين من شعر، أبيض وأسود، فكنت أنظر فيهما فلا يتبيّن لي، فضحك رسول اللّه حتّى رؤيت نواجذه،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حاتم، إنّما ذلك بياض النهار وسواد الليل</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عَديّ بن حاتم كان عربياً صميماً، عارفاً بالاستعارات والكنايات بين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العربية، والقرآن نزل بلسان عربيّ مبين، فمن البعيد جداً أن لا يفهم مَن هذا هو شأنه، ما يفهمه غيره من أوساط الناس، حتى يقارن بين خيطين لتمييز الأسود من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فيدلّ على أنّ الحديث مكذوب على لسان النبيّ وعديّ وإن نقله أعلام التفسير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نقله الراغب في ذيل الحديث، قول رسول اللّه صلى الله عليه و آله و سلم أيضاً لعدي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لعريض القفا، إنّما ذلك بياض النهار وسواد الليل</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وقد أخذ هذا الكلام من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عدي بن حاتم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الخيط الأبيض من الخيط الأسود أهما الخيطان‌؟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لعريض القفا إن أبصرت الخيطين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هو سواد الليل وبياض النهار</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صلى الله عليه و آله و سلم هو النموذج الأكمل للخلق السامي ومن البعيد جداً ممّن وصفه الباري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أن يتكلّم بما مرّ، مع أنّ عدي بن حاتم كان شريفاً في قومه وعزيزاً، كيف وهو ابن حاتم الّذي ضرب به المثل في السخاء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وصف بهذا الوصف إلّالأنّه وابنه حجر كانا من أصحاب الإمام علي عليه السلام وقد شهد الوالد حرب الجمل وقتل ابناه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11" w:name="pg14912_141361"/>
    </w:p>
    <w:p>
      <w:pPr>
        <w:pStyle w:val="BookText"/>
        <w:rPr/>
      </w:pPr>
      <w:bookmarkEnd w:id="711"/>
      <w:r>
        <w:rPr>
          <w:rFonts w:ascii="Amiri" w:hAnsi="Amiri" w:eastAsia="Amiri" w:cs="Amiri"/>
          <w:color w:val="111111"/>
          <w:sz w:val="28"/>
          <w:sz w:val="28"/>
          <w:szCs w:val="28"/>
          <w:rtl w:val="true"/>
          <w:lang w:bidi="ar-SA"/>
        </w:rPr>
        <w:t>دخل عدي بن حاتم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الطرفات‌؟ يعني أولاده، وما قصد معاوية بذلك إلّاالشماتة وجرح قلب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علي قدّم أولادك وأخّر أولاده،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ما أنصفته قتل وبقيت بعده حيّاً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الشيء وملازمته على سبيل التعظيم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به الاحتباس في المسجد على سبيل القربة</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والاعتكاف في الشرع أن يقيم الإنسان في المسجد الجامع ثلاثة أيام بليلتين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على أن لا يخرج من المسجد إلّالحاجة ضرورية، ويعود بعد قضائها مباشرة، ويحرم على المعتكف مباشرة النساء ليلاً ونهاراً حتّى التقبيل واللمس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الشيئين الّذي يمنع اختلاط أحدهما بالآخر،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حدّاً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أحكام اللّه حدوداً؛ لأنّه يتميّز بها الحلال عن الحرام والواجب عن غيره</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366405_388300464"/>
      <w:bookmarkStart w:id="713" w:name="_Toc277"/>
      <w:bookmarkEnd w:id="712"/>
      <w:r>
        <w:rPr>
          <w:rtl w:val="true"/>
        </w:rPr>
        <w:t>التفسير</w:t>
      </w:r>
      <w:bookmarkEnd w:id="713"/>
    </w:p>
    <w:p>
      <w:pPr>
        <w:pStyle w:val="BookText"/>
        <w:rPr/>
      </w:pPr>
      <w:r>
        <w:rPr>
          <w:rFonts w:ascii="Amiri" w:hAnsi="Amiri" w:eastAsia="Amiri" w:cs="Amiri"/>
          <w:color w:val="111111"/>
          <w:sz w:val="28"/>
          <w:sz w:val="28"/>
          <w:szCs w:val="28"/>
          <w:rtl w:val="true"/>
          <w:lang w:bidi="ar-SA"/>
        </w:rPr>
        <w:t>الآية تتضمّن بيان أحكام ثلاثة</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366407_388300464"/>
      <w:bookmarkStart w:id="715" w:name="_Toc278"/>
      <w:bookmarkEnd w:id="714"/>
      <w:r>
        <w:rPr/>
        <w:t>1</w:t>
      </w:r>
      <w:r>
        <w:rPr>
          <w:rtl w:val="true"/>
        </w:rPr>
        <w:t xml:space="preserve">. </w:t>
      </w:r>
      <w:r>
        <w:rPr>
          <w:rtl w:val="true"/>
        </w:rPr>
        <w:t xml:space="preserve">تحليل الرفث إلى النساء في ليالي شهر رمضان </w:t>
      </w:r>
      <w:r>
        <w:rPr/>
        <w:t>2</w:t>
      </w:r>
      <w:r>
        <w:rPr>
          <w:rtl w:val="true"/>
        </w:rPr>
        <w:t xml:space="preserve">. </w:t>
      </w:r>
      <w:r>
        <w:rPr>
          <w:rtl w:val="true"/>
        </w:rPr>
        <w:t xml:space="preserve">حدّ الصوم زماناً </w:t>
      </w:r>
      <w:r>
        <w:rPr/>
        <w:t>3</w:t>
      </w:r>
      <w:r>
        <w:rPr>
          <w:rtl w:val="true"/>
        </w:rPr>
        <w:t xml:space="preserve">. </w:t>
      </w:r>
      <w:r>
        <w:rPr>
          <w:rtl w:val="true"/>
        </w:rPr>
        <w:t>حرمة مباشرة النساء في الاعتكاف</w:t>
      </w:r>
      <w:bookmarkEnd w:id="7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بيان هذه الأُمور</w:t>
      </w:r>
      <w:r>
        <w:rPr>
          <w:rFonts w:eastAsia="Amiri" w:cs="Amiri" w:ascii="Amiri" w:hAnsi="Amiri"/>
          <w:color w:val="111111"/>
          <w:sz w:val="28"/>
          <w:szCs w:val="28"/>
          <w:rtl w:val="true"/>
          <w:lang w:bidi="ar-SA"/>
        </w:rPr>
        <w:t>:</w:t>
      </w:r>
      <w:bookmarkStart w:id="716" w:name="pg14912_141362"/>
    </w:p>
    <w:p>
      <w:pPr>
        <w:pStyle w:val="BookText"/>
        <w:rPr/>
      </w:pPr>
      <w:bookmarkEnd w:id="716"/>
      <w:r>
        <w:rPr>
          <w:rFonts w:ascii="Amiri" w:hAnsi="Amiri" w:eastAsia="Amiri" w:cs="Amiri"/>
          <w:color w:val="111111"/>
          <w:sz w:val="28"/>
          <w:sz w:val="28"/>
          <w:szCs w:val="28"/>
          <w:rtl w:val="true"/>
          <w:lang w:bidi="ar-SA"/>
        </w:rPr>
        <w:t>أحكام الصيام</w:t>
      </w:r>
    </w:p>
    <w:p>
      <w:pPr>
        <w:pStyle w:val="Heading4"/>
        <w:numPr>
          <w:ilvl w:val="3"/>
          <w:numId w:val="1"/>
        </w:numPr>
        <w:rPr/>
      </w:pPr>
      <w:bookmarkStart w:id="717" w:name="__RefHeading___Toc1366409_388300464"/>
      <w:bookmarkStart w:id="718" w:name="_Toc279"/>
      <w:bookmarkEnd w:id="717"/>
      <w:r>
        <w:rPr/>
        <w:t>4</w:t>
      </w:r>
      <w:r>
        <w:rPr>
          <w:rtl w:val="true"/>
        </w:rPr>
        <w:t xml:space="preserve">. </w:t>
      </w:r>
      <w:r>
        <w:rPr>
          <w:rtl w:val="true"/>
        </w:rPr>
        <w:t>تحليل الرفث إلى النساء في ليالي شهر رمضان</w:t>
      </w:r>
      <w:bookmarkEnd w:id="718"/>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الأكلّ محرّماً في شهر رمضان بالليل بعد النوم، وكان النكاح حراماً بالليل والنهار في شهر رمضان، وكان رجل من أصحاب رسول اللّه يقال له مطعم بن جبير، أخو عبداللّه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الرماة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مطعم بن جبير شيخاً ضعيفاً، وكان صائماً، فأبطأت عليه أهله بالطعام، فنام قبل أن يفطر، فلمّا انتبه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عليّ الأكل في هذه الليلة، فلمّا أصبح حضر حفر الخندق، فأُغمي عليه، فرآه رسول اللّه صلى الله عليه و آله و سلم فرقّ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قوم من الشباب ينكحون بالليل سرّاً في شهر رمضان، فأنزل اللّه هذه الآية، فأحلّ النكاح بالليل في شهر رمضان، والأكل بعد النوم إلى طلوع الفجر</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كثير هذه الرواية أيضاً ولكنّه قال إنّ الرجل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صرمة الأنصاري</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إذا تبيّن ذلك فاعلم أنّ للنفس ميولاً لا يملك الإنسان كبح جماحها في كثير من الأحيان، ويشبعها مستخفياً من الناس، أو محرّفاً دين اللّه، فالأفضل تحليل الشيء المرغوب إن كان هناك وجه للتحليل، كي لا يتمادى الإنسان في الغيّ‌</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فلمّا كان الإمساك عن الأكل والشرب بعد النوم في ليلة الصيام، أو الإمساك عن مباشرة النساء في الشهر كلّه، أمراً شاقّاً، استدعت الحكمة تحليل الأمرين،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الليلة الّتي يصبح المرء عنها صائماً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إِلى نِسائِكُمْ‌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مباشرتهن، ثم علّل التحليل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تفسير المفردات كيفية كون كلّ من الرجل والمرأة لباساً للآخر حيث يحفظ كلّ واحد منهما الطرف الآخر من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شدّة المخالطة والملامسة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مسّ النساء في ليالي شهر رمضان ممنوعاً غير أنّ بعض الشباب كانوا ينكحون بالليل سرّاً، فاقتضت الحكمة تحليل الرفث في ليلة شهر رمضان إلى طلوع الفجر الصادق،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الفقرة تدلّ على استمرار العمل المحظور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تَخْتانُونَ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قوله سبحانه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فالمباشر قبل التحليل يظلم نفسه ويخونها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الأمر مستمراً، جاء البيان القرآني بالإخبار عن العفو عمّا سبق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رجع عليكم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فهذان التعبيران يدلّان على صدور المعصية من هؤلاء، إذ لولا المعصية فما معنى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اللّه عليهم وعفوه عنهم مضافاً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تَخْتانُونَ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 رحمه الله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تَخْتانُونَ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استعارة، لأنّ خيانة الإنسان نفسه لا تصحّ على الحقيقة، وإنّما المراد أنّه سبحانه خفّف عنهم التكليف في ليالي الصيام بأن أباحهم فيها مع أكل الطعام وشرب الشراب، والإفضاء إلى النساء، ولو منعهم من ذلك لعلم أنّ كثيراً منهم يخلع عذار الصبر ويضعف عن مغالبة النفس فيواقع المعصية بفعل ما حظر عليه من غشيان النساء، فيكون قد سبب لنفسه العقاب ونقصها الثواب، فكأنّه قد خانها في نفي المنافع عنها وجرّ المضار إليها، وأصل الخيانة في كلامهم النقص، فعلى هذا الوجه تحمل خيانة النفس</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الحكمة تحليل ذلك فجاء البيان القرآني لبيان التحليل، وقال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اتّضحت المصلحة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الأمر ورد في مورد توهّم الحظر، فهو يدلّ على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جواز الرفث ليلة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719" w:name="pg14912_141365"/>
    </w:p>
    <w:p>
      <w:pPr>
        <w:pStyle w:val="BookText"/>
        <w:rPr/>
      </w:pPr>
      <w:bookmarkEnd w:id="719"/>
      <w:r>
        <w:rPr>
          <w:rFonts w:ascii="Amiri" w:hAnsi="Amiri" w:eastAsia="Amiri" w:cs="Amiri"/>
          <w:color w:val="111111"/>
          <w:sz w:val="28"/>
          <w:sz w:val="28"/>
          <w:szCs w:val="28"/>
          <w:rtl w:val="true"/>
          <w:lang w:bidi="ar-SA"/>
        </w:rPr>
        <w:t>أحكام الصيام</w:t>
      </w:r>
    </w:p>
    <w:p>
      <w:pPr>
        <w:pStyle w:val="Heading4"/>
        <w:numPr>
          <w:ilvl w:val="3"/>
          <w:numId w:val="1"/>
        </w:numPr>
        <w:rPr/>
      </w:pPr>
      <w:bookmarkStart w:id="720" w:name="__RefHeading___Toc1366411_388300464"/>
      <w:bookmarkStart w:id="721" w:name="_Toc280"/>
      <w:bookmarkEnd w:id="720"/>
      <w:r>
        <w:rPr/>
        <w:t>5</w:t>
      </w:r>
      <w:r>
        <w:rPr>
          <w:rtl w:val="true"/>
        </w:rPr>
        <w:t xml:space="preserve">. </w:t>
      </w:r>
      <w:r>
        <w:rPr>
          <w:rtl w:val="true"/>
        </w:rPr>
        <w:t>حدّ الصوم زماناً</w:t>
      </w:r>
      <w:bookmarkEnd w:id="721"/>
    </w:p>
    <w:p>
      <w:pPr>
        <w:pStyle w:val="BookText"/>
        <w:rPr/>
      </w:pPr>
      <w:r>
        <w:rPr>
          <w:rFonts w:ascii="Amiri" w:hAnsi="Amiri" w:eastAsia="Amiri" w:cs="Amiri"/>
          <w:color w:val="111111"/>
          <w:sz w:val="28"/>
          <w:sz w:val="28"/>
          <w:szCs w:val="28"/>
          <w:rtl w:val="true"/>
          <w:lang w:bidi="ar-SA"/>
        </w:rPr>
        <w:t>هذا هو الحكم الثالث وفي الوقت نفسه الأمر الثاني الذي تضمّنت الآية بيانه، قد تقدّم أنّ الصيام أياماً معدودة، كما تقدّم أنّ تلك الأيام في شهر رمضان، بقي الكلام لبيان حدّ الصيام زماناً، وهذا هو الذي يبيّن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والخيط الأبيض فوق الأُفق، والخيط الأسود يكون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فمبدأ الصيام أوّل الفجر ومنتهاه أوّل الليل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الرضي رحمه الله عن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استعارة عجيبة 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بياض الصبح من سواد الليل، والخيطان هاهنا مجاز، وإنّما شبههما بذلك لأن بياض الصبح يكون في أوّل طلوعه مشرقاً خافياً ويكون سواد الليل منقضياً موليّاً، فهما جميعاً ضعيفان إلّاأنّ هذا يزداد انتشاراً وهذا يزداد استسراراً</w:t>
      </w:r>
      <w:r>
        <w:rPr>
          <w:rFonts w:eastAsia="Amiri" w:cs="Amiri" w:ascii="Amiri" w:hAnsi="Amiri"/>
          <w:color w:val="111111"/>
          <w:sz w:val="28"/>
          <w:szCs w:val="28"/>
          <w:rtl w:val="true"/>
          <w:lang w:bidi="ar-SA"/>
        </w:rPr>
        <w:t>.</w:t>
      </w:r>
      <w:r>
        <w:rPr>
          <w:rStyle w:val="FootnoteAnchor"/>
          <w:rtl w:val="true"/>
        </w:rPr>
        <w:footnoteReference w:id="591"/>
      </w:r>
      <w:bookmarkStart w:id="722" w:name="pg14912_141366"/>
    </w:p>
    <w:p>
      <w:pPr>
        <w:pStyle w:val="BookText"/>
        <w:rPr/>
      </w:pPr>
      <w:bookmarkEnd w:id="722"/>
      <w:r>
        <w:rPr>
          <w:rFonts w:ascii="Amiri" w:hAnsi="Amiri" w:eastAsia="Amiri" w:cs="Amiri"/>
          <w:color w:val="111111"/>
          <w:sz w:val="28"/>
          <w:sz w:val="28"/>
          <w:szCs w:val="28"/>
          <w:rtl w:val="true"/>
          <w:lang w:bidi="ar-SA"/>
        </w:rPr>
        <w:t>أحكام الصيام</w:t>
      </w:r>
    </w:p>
    <w:p>
      <w:pPr>
        <w:pStyle w:val="Heading4"/>
        <w:numPr>
          <w:ilvl w:val="3"/>
          <w:numId w:val="1"/>
        </w:numPr>
        <w:rPr/>
      </w:pPr>
      <w:bookmarkStart w:id="723" w:name="__RefHeading___Toc1366413_388300464"/>
      <w:bookmarkStart w:id="724" w:name="_Toc281"/>
      <w:bookmarkEnd w:id="723"/>
      <w:r>
        <w:rPr/>
        <w:t>6</w:t>
      </w:r>
      <w:r>
        <w:rPr>
          <w:rtl w:val="true"/>
        </w:rPr>
        <w:t xml:space="preserve">. </w:t>
      </w:r>
      <w:r>
        <w:rPr>
          <w:rtl w:val="true"/>
        </w:rPr>
        <w:t>حرمة مباشرة النساء في الإعتكاف</w:t>
      </w:r>
      <w:bookmarkEnd w:id="724"/>
    </w:p>
    <w:p>
      <w:pPr>
        <w:pStyle w:val="BookText"/>
        <w:rPr/>
      </w:pPr>
      <w:r>
        <w:rPr>
          <w:rFonts w:ascii="Amiri" w:hAnsi="Amiri" w:eastAsia="Amiri" w:cs="Amiri"/>
          <w:color w:val="111111"/>
          <w:sz w:val="28"/>
          <w:sz w:val="28"/>
          <w:szCs w:val="28"/>
          <w:rtl w:val="true"/>
          <w:lang w:bidi="ar-SA"/>
        </w:rPr>
        <w:t>لمّا كانت مباشرة النساء في الاعتكاف ممنوعة مطلقاً ما دام الرجل معتكفاً من غير فرق بين الليل والنهار، جاء البيان القرآني لاستثنائه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تبيّن ذلك فاللّه سبحانه يوصي المؤمنين بالتعرّف على حدود اللّه وعدم تجاوزها، وعبّر عن التجاوز بالنهي عن القرب منها، ليكون آكد في النهي عن المقصود،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ورد من أوّل الآية إلى هنا تحديدات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 .</w:t>
      </w:r>
      <w:r>
        <w:rPr>
          <w:rStyle w:val="FootnoteAnchor"/>
          <w:rtl w:val="true"/>
        </w:rPr>
        <w:footnoteReference w:id="59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كاف التشبيه واسم الإشارة، والكاف بمعنى مثل 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سبق من أحكام الصيام، أي مثل</w:t>
      </w:r>
    </w:p>
    <w:p>
      <w:pPr>
        <w:pStyle w:val="BookText"/>
        <w:rPr/>
      </w:pPr>
      <w:r>
        <w:rPr>
          <w:rFonts w:ascii="Amiri" w:hAnsi="Amiri" w:eastAsia="Amiri" w:cs="Amiri"/>
          <w:color w:val="111111"/>
          <w:sz w:val="28"/>
          <w:sz w:val="28"/>
          <w:szCs w:val="28"/>
          <w:rtl w:val="true"/>
          <w:lang w:bidi="ar-SA"/>
        </w:rPr>
        <w:t xml:space="preserve">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آياتِهِ‌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أحكامه وحدوده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المخالفة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آيات أحكام الصيام</w:t>
      </w:r>
      <w:bookmarkStart w:id="725" w:name="pg14912_141368"/>
    </w:p>
    <w:p>
      <w:pPr>
        <w:pStyle w:val="Heading2"/>
        <w:numPr>
          <w:ilvl w:val="1"/>
          <w:numId w:val="1"/>
        </w:numPr>
        <w:rPr/>
      </w:pPr>
      <w:bookmarkStart w:id="726" w:name="__RefHeading___Toc1366415_388300464"/>
      <w:bookmarkStart w:id="727" w:name="_Toc282"/>
      <w:bookmarkEnd w:id="725"/>
      <w:bookmarkEnd w:id="726"/>
      <w:r>
        <w:rPr>
          <w:rtl w:val="true"/>
        </w:rPr>
        <w:t>الفصل الرابع</w:t>
      </w:r>
      <w:r>
        <w:rPr>
          <w:rtl w:val="true"/>
        </w:rPr>
        <w:t xml:space="preserve">: </w:t>
      </w:r>
      <w:r>
        <w:rPr>
          <w:rtl w:val="true"/>
        </w:rPr>
        <w:t>أحكام الزكاة في الذكر الحكيم</w:t>
      </w:r>
      <w:bookmarkEnd w:id="727"/>
    </w:p>
    <w:p>
      <w:pPr>
        <w:pStyle w:val="Heading3"/>
        <w:numPr>
          <w:ilvl w:val="2"/>
          <w:numId w:val="1"/>
        </w:numPr>
        <w:rPr/>
      </w:pPr>
      <w:bookmarkStart w:id="728" w:name="__RefHeading___Toc1366417_388300464"/>
      <w:bookmarkStart w:id="729" w:name="_Toc283"/>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المنابع المالية للحكومة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إخراج الزكاة من المال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اكتناز العملة قبل إخراج زكاتها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أخذ الزكاة على النبي وعلى مَن يقوم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مصارف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إخراج الطيب من الأموال للزكاة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التقرّب في إعطاء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 بالصدقات أو إخفاؤها؟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اللازم في الإنفاق‌؟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عن إتباع الإنفاق بالمنّ والأذى</w:t>
      </w:r>
      <w:r>
        <w:rPr>
          <w:rFonts w:eastAsia="IRNazanin" w:cs="IRNazanin"/>
          <w:color w:val="111111"/>
          <w:sz w:val="28"/>
          <w:szCs w:val="28"/>
          <w:rtl w:val="true"/>
          <w:lang w:bidi="fa-IR"/>
        </w:rPr>
        <w:t>.</w:t>
      </w:r>
      <w:bookmarkStart w:id="730" w:name="pg14912_141370"/>
    </w:p>
    <w:p>
      <w:pPr>
        <w:pStyle w:val="Heading3"/>
        <w:numPr>
          <w:ilvl w:val="2"/>
          <w:numId w:val="1"/>
        </w:numPr>
        <w:rPr/>
      </w:pPr>
      <w:bookmarkStart w:id="731" w:name="__RefHeading___Toc1366419_388300464"/>
      <w:bookmarkStart w:id="732" w:name="_Toc284"/>
      <w:bookmarkEnd w:id="730"/>
      <w:bookmarkEnd w:id="731"/>
      <w:r>
        <w:rPr>
          <w:rtl w:val="true"/>
        </w:rPr>
        <w:t>أحكام الزكاة</w:t>
      </w:r>
      <w:bookmarkEnd w:id="732"/>
    </w:p>
    <w:p>
      <w:pPr>
        <w:pStyle w:val="BookText"/>
        <w:rPr/>
      </w:pPr>
      <w:r>
        <w:rPr>
          <w:rFonts w:ascii="Amiri" w:hAnsi="Amiri" w:eastAsia="Amiri" w:cs="Amiri"/>
          <w:color w:val="111111"/>
          <w:sz w:val="28"/>
          <w:sz w:val="28"/>
          <w:szCs w:val="28"/>
          <w:rtl w:val="true"/>
          <w:lang w:bidi="ar-SA"/>
        </w:rPr>
        <w:t xml:space="preserve">قد ورد لفظ الزكاة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الفريضة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كما ورد لفظ الصدقات سبع مرّات، ومن المعلوم أنّ الزكاة ضريبة مالية بها قوام المجتمع، ولذلك جاء الأمر بالزكاة وراء الأمر بالصلاة في كثير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نبحث عن الآيات التي تقع في طريق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الورود في تفسير مثل هذه الآيات، نشير إلى المنابع المالية للحكومة الإسلامية، فنقول</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366421_388300464"/>
      <w:bookmarkStart w:id="734" w:name="_Toc285"/>
      <w:bookmarkEnd w:id="733"/>
      <w:r>
        <w:rPr>
          <w:rtl w:val="true"/>
        </w:rPr>
        <w:t>المنابع المالية للحكومة الإسلامية</w:t>
      </w:r>
      <w:bookmarkEnd w:id="734"/>
    </w:p>
    <w:p>
      <w:pPr>
        <w:pStyle w:val="Heading4"/>
        <w:numPr>
          <w:ilvl w:val="3"/>
          <w:numId w:val="1"/>
        </w:numPr>
        <w:rPr/>
      </w:pPr>
      <w:bookmarkStart w:id="735" w:name="__RefHeading___Toc1366423_388300464"/>
      <w:bookmarkStart w:id="736" w:name="_Toc286"/>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لا شكّ أنّ للإسلام برامج خاصّة في إدارة البلد ورفع حاجاته، إذ لا تقوم الحكومة في بلدٍ ما إلّاإذا كانت لها منابع مالية تعتمد عليها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أغلق في وجه حكومته كلّ السبل غير المشروعة التي تعتمد عليها الحكومات الحاضرة، كالضرائب المأخوذة على تجارة الخمور والبغاء والقمار وما شابهها، ولكنّه فتح بدلاً من ذلك منابع أُخرى ذكرنا تفصيلها في</w:t>
      </w:r>
      <w:bookmarkStart w:id="737" w:name="pg14912_141371"/>
    </w:p>
    <w:p>
      <w:pPr>
        <w:pStyle w:val="BookText"/>
        <w:rPr/>
      </w:pPr>
      <w:bookmarkEnd w:id="737"/>
      <w:r>
        <w:rPr>
          <w:rFonts w:ascii="Amiri" w:hAnsi="Amiri" w:eastAsia="Amiri" w:cs="Amiri"/>
          <w:color w:val="111111"/>
          <w:sz w:val="28"/>
          <w:sz w:val="28"/>
          <w:szCs w:val="28"/>
          <w:rtl w:val="true"/>
          <w:lang w:bidi="ar-SA"/>
        </w:rPr>
        <w:t xml:space="preserve">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وإليك ذكر هذه المنابع على وجه الإجمال</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366425_388300464"/>
      <w:bookmarkStart w:id="739" w:name="_Toc287"/>
      <w:bookmarkEnd w:id="738"/>
      <w:r>
        <w:rPr/>
        <w:t>1</w:t>
      </w:r>
      <w:r>
        <w:rPr>
          <w:rtl w:val="true"/>
        </w:rPr>
        <w:t xml:space="preserve">. </w:t>
      </w:r>
      <w:r>
        <w:rPr>
          <w:rtl w:val="true"/>
        </w:rPr>
        <w:t>الأنفال</w:t>
      </w:r>
      <w:bookmarkEnd w:id="739"/>
    </w:p>
    <w:p>
      <w:pPr>
        <w:pStyle w:val="BookText"/>
        <w:rPr/>
      </w:pPr>
      <w:r>
        <w:rPr>
          <w:rFonts w:ascii="Amiri" w:hAnsi="Amiri" w:eastAsia="Amiri" w:cs="Amiri"/>
          <w:color w:val="111111"/>
          <w:sz w:val="28"/>
          <w:sz w:val="28"/>
          <w:szCs w:val="28"/>
          <w:rtl w:val="true"/>
          <w:lang w:bidi="ar-SA"/>
        </w:rPr>
        <w:t>وهي كلّ أرض مُلكت بغير قتال، وكلّ أرض موات، ورؤوس الجبال وبطون الأودية، والآجام والغابات والمعادن، وميراث من لا وارث له، وما يغنمه المقاتلون بغير إذن الإمام، وكافّة المياه العامّة، والأحراش الطبيعية</w:t>
      </w:r>
      <w:r>
        <w:rPr>
          <w:rStyle w:val="FootnoteAnchor"/>
          <w:rtl w:val="true"/>
        </w:rPr>
        <w:footnoteReference w:id="594"/>
      </w:r>
      <w:r>
        <w:rPr>
          <w:rFonts w:ascii="Amiri" w:hAnsi="Amiri" w:eastAsia="Amiri" w:cs="Amiri"/>
          <w:color w:val="111111"/>
          <w:sz w:val="28"/>
          <w:sz w:val="28"/>
          <w:szCs w:val="28"/>
          <w:rtl w:val="true"/>
          <w:lang w:bidi="ar-SA"/>
        </w:rPr>
        <w:t>، والمراتع التي ليست ملكاً لأحد، وقطائع الملوك وصفاياهم غير المغصوبة</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366427_388300464"/>
      <w:bookmarkStart w:id="741" w:name="_Toc288"/>
      <w:bookmarkEnd w:id="740"/>
      <w:r>
        <w:rPr/>
        <w:t>2</w:t>
      </w:r>
      <w:r>
        <w:rPr>
          <w:rtl w:val="true"/>
        </w:rPr>
        <w:t xml:space="preserve">. </w:t>
      </w:r>
      <w:r>
        <w:rPr>
          <w:rtl w:val="true"/>
        </w:rPr>
        <w:t>الزكاة</w:t>
      </w:r>
      <w:bookmarkEnd w:id="741"/>
    </w:p>
    <w:p>
      <w:pPr>
        <w:pStyle w:val="BookText"/>
        <w:rPr/>
      </w:pPr>
      <w:r>
        <w:rPr>
          <w:rFonts w:ascii="Amiri" w:hAnsi="Amiri" w:eastAsia="Amiri" w:cs="Amiri"/>
          <w:color w:val="111111"/>
          <w:sz w:val="28"/>
          <w:sz w:val="28"/>
          <w:szCs w:val="28"/>
          <w:rtl w:val="true"/>
          <w:lang w:bidi="ar-SA"/>
        </w:rPr>
        <w:t>وهي ضريبة تجب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والنقدين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والغلّات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والأدلّة عليها من الكتاب والسنّة لا تحصى، وأمّا مقدار ما يؤخذ من هذه الأشياء، فيطلب من الكتب الفقهية</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366429_388300464"/>
      <w:bookmarkStart w:id="743" w:name="_Toc289"/>
      <w:bookmarkEnd w:id="742"/>
      <w:r>
        <w:rPr/>
        <w:t>3</w:t>
      </w:r>
      <w:r>
        <w:rPr>
          <w:rtl w:val="true"/>
        </w:rPr>
        <w:t xml:space="preserve">. </w:t>
      </w:r>
      <w:r>
        <w:rPr>
          <w:rtl w:val="true"/>
        </w:rPr>
        <w:t>الغنائم المأخوذة من أهل الحرب قهراً بالقتال</w:t>
      </w:r>
      <w:bookmarkEnd w:id="743"/>
    </w:p>
    <w:p>
      <w:pPr>
        <w:pStyle w:val="Heading4"/>
        <w:numPr>
          <w:ilvl w:val="3"/>
          <w:numId w:val="1"/>
        </w:numPr>
        <w:rPr/>
      </w:pPr>
      <w:bookmarkStart w:id="744" w:name="__RefHeading___Toc1366431_388300464"/>
      <w:bookmarkStart w:id="745" w:name="_Toc290"/>
      <w:bookmarkEnd w:id="744"/>
      <w:r>
        <w:rPr/>
        <w:t>4</w:t>
      </w:r>
      <w:r>
        <w:rPr>
          <w:rtl w:val="true"/>
        </w:rPr>
        <w:t xml:space="preserve">. </w:t>
      </w:r>
      <w:r>
        <w:rPr>
          <w:rtl w:val="true"/>
        </w:rPr>
        <w:t>الخمس</w:t>
      </w:r>
      <w:bookmarkEnd w:id="74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يجب في الأُمور الستة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الكنز، الغوص، المال الحلال المختلط بالحرام، الأرض التي اشتراها الذمّيّ من المسلم، ما يفضل من مؤونة سنّة المكتسب ومؤونة عياله من أرباح التجارات والصناعات والمكاسب،</w:t>
      </w:r>
      <w:bookmarkStart w:id="746" w:name="pg14912_141372"/>
    </w:p>
    <w:p>
      <w:pPr>
        <w:pStyle w:val="BookText"/>
        <w:rPr/>
      </w:pPr>
      <w:bookmarkEnd w:id="746"/>
      <w:r>
        <w:rPr>
          <w:rFonts w:ascii="Amiri" w:hAnsi="Amiri" w:eastAsia="Amiri" w:cs="Amiri"/>
          <w:color w:val="111111"/>
          <w:sz w:val="28"/>
          <w:sz w:val="28"/>
          <w:szCs w:val="28"/>
          <w:rtl w:val="true"/>
          <w:lang w:bidi="ar-SA"/>
        </w:rPr>
        <w:t>وكلّ ذلك من المنابع المالية الّتي يخرج منها الخمس وراء خمس الغنائم</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366433_388300464"/>
      <w:bookmarkStart w:id="748" w:name="_Toc291"/>
      <w:bookmarkEnd w:id="747"/>
      <w:r>
        <w:rPr/>
        <w:t>5</w:t>
      </w:r>
      <w:r>
        <w:rPr>
          <w:rtl w:val="true"/>
        </w:rPr>
        <w:t xml:space="preserve">. </w:t>
      </w:r>
      <w:r>
        <w:rPr>
          <w:rtl w:val="true"/>
        </w:rPr>
        <w:t>زكاة الفطرة</w:t>
      </w:r>
      <w:bookmarkEnd w:id="748"/>
    </w:p>
    <w:p>
      <w:pPr>
        <w:pStyle w:val="BookText"/>
        <w:rPr/>
      </w:pPr>
      <w:r>
        <w:rPr>
          <w:rFonts w:ascii="Amiri" w:hAnsi="Amiri" w:eastAsia="Amiri" w:cs="Amiri"/>
          <w:color w:val="111111"/>
          <w:sz w:val="28"/>
          <w:sz w:val="28"/>
          <w:szCs w:val="28"/>
          <w:rtl w:val="true"/>
          <w:lang w:bidi="ar-SA"/>
        </w:rPr>
        <w:t>وتُسمّى بزكاة الأبدان التي تجب على كلّ مسلم في عيد الفطر</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366435_388300464"/>
      <w:bookmarkStart w:id="750" w:name="_Toc292"/>
      <w:bookmarkEnd w:id="749"/>
      <w:r>
        <w:rPr/>
        <w:t>6</w:t>
      </w:r>
      <w:r>
        <w:rPr>
          <w:rtl w:val="true"/>
        </w:rPr>
        <w:t xml:space="preserve">. </w:t>
      </w:r>
      <w:r>
        <w:rPr>
          <w:rtl w:val="true"/>
        </w:rPr>
        <w:t>الخراج والمقاسمة</w:t>
      </w:r>
      <w:bookmarkEnd w:id="750"/>
    </w:p>
    <w:p>
      <w:pPr>
        <w:pStyle w:val="BookText"/>
        <w:rPr/>
      </w:pPr>
      <w:r>
        <w:rPr>
          <w:rFonts w:ascii="Amiri" w:hAnsi="Amiri" w:eastAsia="Amiri" w:cs="Amiri"/>
          <w:color w:val="111111"/>
          <w:sz w:val="28"/>
          <w:sz w:val="28"/>
          <w:szCs w:val="28"/>
          <w:rtl w:val="true"/>
          <w:lang w:bidi="ar-SA"/>
        </w:rPr>
        <w:t>وهما ضريبتان مفروضتان على مَن يعمل في الأراضي التي فتحها المسلمون بالقتال</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366437_388300464"/>
      <w:bookmarkStart w:id="752" w:name="_Toc293"/>
      <w:bookmarkEnd w:id="751"/>
      <w:r>
        <w:rPr/>
        <w:t>7</w:t>
      </w:r>
      <w:r>
        <w:rPr>
          <w:rtl w:val="true"/>
        </w:rPr>
        <w:t xml:space="preserve">. </w:t>
      </w:r>
      <w:r>
        <w:rPr>
          <w:rtl w:val="true"/>
        </w:rPr>
        <w:t>الجزية</w:t>
      </w:r>
      <w:bookmarkEnd w:id="752"/>
    </w:p>
    <w:p>
      <w:pPr>
        <w:pStyle w:val="BookText"/>
        <w:rPr/>
      </w:pPr>
      <w:r>
        <w:rPr>
          <w:rFonts w:ascii="Amiri" w:hAnsi="Amiri" w:eastAsia="Amiri" w:cs="Amiri"/>
          <w:color w:val="111111"/>
          <w:sz w:val="28"/>
          <w:sz w:val="28"/>
          <w:szCs w:val="28"/>
          <w:rtl w:val="true"/>
          <w:lang w:bidi="ar-SA"/>
        </w:rPr>
        <w:t>وهي الضريبة العادلة المفروضة على أهل الذمّة، على رؤوسهم وأراضيهم، إذا عملوا بشرائط الذمّة المقرّرة في محلّها، وتقديره تابع لنظر الحاكم</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366439_388300464"/>
      <w:bookmarkStart w:id="754" w:name="_Toc294"/>
      <w:bookmarkEnd w:id="753"/>
      <w:r>
        <w:rPr/>
        <w:t>8</w:t>
      </w:r>
      <w:r>
        <w:rPr>
          <w:rtl w:val="true"/>
        </w:rPr>
        <w:t xml:space="preserve">. </w:t>
      </w:r>
      <w:r>
        <w:rPr>
          <w:rtl w:val="true"/>
        </w:rPr>
        <w:t>ضرائب أُخرى</w:t>
      </w:r>
      <w:bookmarkEnd w:id="754"/>
    </w:p>
    <w:p>
      <w:pPr>
        <w:pStyle w:val="BookText"/>
        <w:rPr/>
      </w:pPr>
      <w:r>
        <w:rPr>
          <w:rFonts w:ascii="Amiri" w:hAnsi="Amiri" w:eastAsia="Amiri" w:cs="Amiri"/>
          <w:color w:val="111111"/>
          <w:sz w:val="28"/>
          <w:sz w:val="28"/>
          <w:szCs w:val="28"/>
          <w:rtl w:val="true"/>
          <w:lang w:bidi="ar-SA"/>
        </w:rPr>
        <w:t>هناك ضرائب أُخرى ليس لها حدّ معيّن ولا زمان خاصّ‌، بل هي موكولة إلى نظر الحاكم الإسلامي يفرضها عند الحاجة إليها من عمران البلاد، أو الجهاد في سبيل اللّه، أو سدّ عيلة الفقراء، أو غير ذلك ممّا يحتاج إليه قوام البلاد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على ذلك ما رواه الكليني بسند صحيح عن محمد بن مسلم وزرارة عنهما عليهما السلام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أمير المؤمنين عليه السلام 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w:t>
      </w:r>
      <w:r>
        <w:rPr>
          <w:rStyle w:val="FootnoteAnchor"/>
          <w:rtl w:val="true"/>
        </w:rPr>
        <w:footnoteReference w:id="595"/>
      </w:r>
      <w:bookmarkStart w:id="755" w:name="pg14912_141373"/>
    </w:p>
    <w:p>
      <w:pPr>
        <w:pStyle w:val="BookText"/>
        <w:rPr/>
      </w:pPr>
      <w:bookmarkEnd w:id="755"/>
      <w:r>
        <w:rPr>
          <w:rFonts w:ascii="Amiri" w:hAnsi="Amiri" w:eastAsia="Amiri" w:cs="Amiri"/>
          <w:color w:val="111111"/>
          <w:sz w:val="28"/>
          <w:sz w:val="28"/>
          <w:szCs w:val="28"/>
          <w:rtl w:val="true"/>
          <w:lang w:bidi="ar-SA"/>
        </w:rPr>
        <w:t>هذه هي المنابع المالية الرئيسية، غير أنّ هناك منابع أُخرى متفرّقة يجوز للدولة الإسلامية التصرّف فيها نظير</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366441_388300464"/>
      <w:bookmarkStart w:id="757" w:name="_Toc295"/>
      <w:bookmarkEnd w:id="756"/>
      <w:r>
        <w:rPr/>
        <w:t>9</w:t>
      </w:r>
      <w:r>
        <w:rPr>
          <w:rtl w:val="true"/>
        </w:rPr>
        <w:t xml:space="preserve">. </w:t>
      </w:r>
      <w:r>
        <w:rPr>
          <w:rtl w:val="true"/>
        </w:rPr>
        <w:t>المظالم</w:t>
      </w:r>
      <w:bookmarkEnd w:id="757"/>
    </w:p>
    <w:p>
      <w:pPr>
        <w:pStyle w:val="BookText"/>
        <w:rPr/>
      </w:pPr>
      <w:r>
        <w:rPr>
          <w:rFonts w:ascii="Amiri" w:hAnsi="Amiri" w:eastAsia="Amiri" w:cs="Amiri"/>
          <w:color w:val="111111"/>
          <w:sz w:val="28"/>
          <w:sz w:val="28"/>
          <w:szCs w:val="28"/>
          <w:rtl w:val="true"/>
          <w:lang w:bidi="ar-SA"/>
        </w:rPr>
        <w:t>وهي ما يتعلّق بذمّة الإنسان بتعدٍّ أو إتلاف في مال الغير، ولم يعرف صاحبه، فيجوز للحاكم التصرّف فيها وصرفها في المصارف المقرّرة لها</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366443_388300464"/>
      <w:bookmarkStart w:id="759" w:name="_Toc296"/>
      <w:bookmarkEnd w:id="758"/>
      <w:r>
        <w:rPr/>
        <w:t>10</w:t>
      </w:r>
      <w:r>
        <w:rPr>
          <w:rtl w:val="true"/>
        </w:rPr>
        <w:t xml:space="preserve">. </w:t>
      </w:r>
      <w:r>
        <w:rPr>
          <w:rtl w:val="true"/>
        </w:rPr>
        <w:t>الكفّارات</w:t>
      </w:r>
      <w:bookmarkEnd w:id="759"/>
    </w:p>
    <w:p>
      <w:pPr>
        <w:pStyle w:val="BookText"/>
        <w:rPr/>
      </w:pPr>
      <w:r>
        <w:rPr>
          <w:rFonts w:ascii="Amiri" w:hAnsi="Amiri" w:eastAsia="Amiri" w:cs="Amiri"/>
          <w:color w:val="111111"/>
          <w:sz w:val="28"/>
          <w:sz w:val="28"/>
          <w:szCs w:val="28"/>
          <w:rtl w:val="true"/>
          <w:lang w:bidi="ar-SA"/>
        </w:rPr>
        <w:t>مثل كفّارة مخالفة النذر والعهد واليمين فيما يتعلّق بالإطعام والإكساء، فيجوز للحكومة أن تتولّى أمرها بدلاً عن صاحب الكفّارة</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366445_388300464"/>
      <w:bookmarkStart w:id="761" w:name="_Toc297"/>
      <w:bookmarkEnd w:id="760"/>
      <w:r>
        <w:rPr/>
        <w:t>11</w:t>
      </w:r>
      <w:r>
        <w:rPr>
          <w:rtl w:val="true"/>
        </w:rPr>
        <w:t xml:space="preserve">. </w:t>
      </w:r>
      <w:r>
        <w:rPr>
          <w:rtl w:val="true"/>
        </w:rPr>
        <w:t>اللقطة</w:t>
      </w:r>
      <w:bookmarkEnd w:id="761"/>
    </w:p>
    <w:p>
      <w:pPr>
        <w:pStyle w:val="BookText"/>
        <w:rPr/>
      </w:pPr>
      <w:r>
        <w:rPr>
          <w:rFonts w:ascii="Amiri" w:hAnsi="Amiri" w:eastAsia="Amiri" w:cs="Amiri"/>
          <w:color w:val="111111"/>
          <w:sz w:val="28"/>
          <w:sz w:val="28"/>
          <w:szCs w:val="28"/>
          <w:rtl w:val="true"/>
          <w:lang w:bidi="ar-SA"/>
        </w:rPr>
        <w:t>وهي الضالّة من الأشياء ولم يعرف لها صاحب، فيجوز للحكومة الإسلامية التصرّف فيها حسب الشروط</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366447_388300464"/>
      <w:bookmarkStart w:id="763" w:name="_Toc298"/>
      <w:bookmarkEnd w:id="762"/>
      <w:r>
        <w:rPr/>
        <w:t>12</w:t>
      </w:r>
      <w:r>
        <w:rPr>
          <w:rtl w:val="true"/>
        </w:rPr>
        <w:t xml:space="preserve">. </w:t>
      </w:r>
      <w:r>
        <w:rPr>
          <w:rtl w:val="true"/>
        </w:rPr>
        <w:t>الأوقاف والوصايا العامة والنذور العامّة</w:t>
      </w:r>
      <w:bookmarkEnd w:id="763"/>
    </w:p>
    <w:p>
      <w:pPr>
        <w:pStyle w:val="Heading4"/>
        <w:numPr>
          <w:ilvl w:val="3"/>
          <w:numId w:val="1"/>
        </w:numPr>
        <w:rPr/>
      </w:pPr>
      <w:bookmarkStart w:id="764" w:name="__RefHeading___Toc1366449_388300464"/>
      <w:bookmarkStart w:id="765" w:name="_Toc299"/>
      <w:bookmarkEnd w:id="764"/>
      <w:r>
        <w:rPr/>
        <w:t>13</w:t>
      </w:r>
      <w:r>
        <w:rPr>
          <w:rtl w:val="true"/>
        </w:rPr>
        <w:t xml:space="preserve">. </w:t>
      </w:r>
      <w:r>
        <w:rPr>
          <w:rtl w:val="true"/>
        </w:rPr>
        <w:t>الضحايا</w:t>
      </w:r>
      <w:bookmarkEnd w:id="765"/>
    </w:p>
    <w:p>
      <w:pPr>
        <w:pStyle w:val="BookText"/>
        <w:rPr/>
      </w:pPr>
      <w:r>
        <w:rPr>
          <w:rFonts w:ascii="Amiri" w:hAnsi="Amiri" w:eastAsia="Amiri" w:cs="Amiri"/>
          <w:color w:val="111111"/>
          <w:sz w:val="28"/>
          <w:sz w:val="28"/>
          <w:szCs w:val="28"/>
          <w:rtl w:val="true"/>
          <w:lang w:bidi="ar-SA"/>
        </w:rPr>
        <w:t>وهي الذبائح التي يذبحها الحجّاج في منى‌، فيجوز للحكومة الإسلامية التصرّف فيها وصرفها في مصالح المسلمين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366451_388300464"/>
      <w:bookmarkStart w:id="767" w:name="_Toc300"/>
      <w:bookmarkEnd w:id="766"/>
      <w:r>
        <w:rPr/>
        <w:t>14</w:t>
      </w:r>
      <w:r>
        <w:rPr>
          <w:rtl w:val="true"/>
        </w:rPr>
        <w:t xml:space="preserve">. </w:t>
      </w:r>
      <w:r>
        <w:rPr>
          <w:rtl w:val="true"/>
        </w:rPr>
        <w:t>توظيف الأموال في المجالات الاقتصادية الكبرى</w:t>
      </w:r>
      <w:bookmarkEnd w:id="76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خلال القيام بإنشاء الصناعات الكبرى، والتجارة، والعمل</w:t>
      </w:r>
    </w:p>
    <w:p>
      <w:pPr>
        <w:pStyle w:val="BookText"/>
        <w:rPr/>
      </w:pPr>
      <w:r>
        <w:rPr>
          <w:rFonts w:ascii="Amiri" w:hAnsi="Amiri" w:eastAsia="Amiri" w:cs="Amiri"/>
          <w:color w:val="111111"/>
          <w:sz w:val="28"/>
          <w:sz w:val="28"/>
          <w:szCs w:val="28"/>
          <w:rtl w:val="true"/>
          <w:lang w:bidi="ar-SA"/>
        </w:rPr>
        <w:t>المصرفيّ‌، والتأمين، والشركات الزراعية، وتوفير الطاقة وإدارة شبكات الري، والمواصلات الجوية والبرية والبحرية، والخدمات البريدية والهاتفية،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وتأمين قسم كبير من ميزانيّتها في هذه الموارد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يُعنى بذلك جعل الممارسة بهذه الأُمور بيد الدولة الإسلامية وحرمان الشعب عنها، بل المجال مفتوح للشعب والحكومة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إجمالية للمنابع المالية للحكومة الإسلامية، ذكرناها ردّاً على مَن يتوهم أنّه ليس للحكومة الإسلامية منابع مالية منظمة لإجراء برامجها العمرانية والعلمية والصحّية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فلنبدأ بدراسة أحكام الزكاة، وهاهنا بحوث</w:t>
      </w:r>
      <w:r>
        <w:rPr>
          <w:rFonts w:eastAsia="Amiri" w:cs="Amiri" w:ascii="Amiri" w:hAnsi="Amiri"/>
          <w:color w:val="111111"/>
          <w:sz w:val="28"/>
          <w:szCs w:val="28"/>
          <w:rtl w:val="true"/>
          <w:lang w:bidi="ar-SA"/>
        </w:rPr>
        <w:t>:</w:t>
      </w:r>
      <w:bookmarkStart w:id="768" w:name="pg14912_141375"/>
    </w:p>
    <w:p>
      <w:pPr>
        <w:pStyle w:val="BookText"/>
        <w:rPr/>
      </w:pPr>
      <w:bookmarkEnd w:id="768"/>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769" w:name="__RefHeading___Toc1366453_388300464"/>
      <w:bookmarkStart w:id="770" w:name="_Toc301"/>
      <w:bookmarkEnd w:id="769"/>
      <w:r>
        <w:rPr/>
        <w:t>1</w:t>
      </w:r>
      <w:r>
        <w:rPr>
          <w:rtl w:val="true"/>
        </w:rPr>
        <w:t xml:space="preserve">. </w:t>
      </w:r>
      <w:r>
        <w:rPr>
          <w:rtl w:val="true"/>
        </w:rPr>
        <w:t>وجوب إخراج الزكاة من المال</w:t>
      </w:r>
      <w:bookmarkEnd w:id="770"/>
    </w:p>
    <w:p>
      <w:pPr>
        <w:pStyle w:val="Heading4"/>
        <w:numPr>
          <w:ilvl w:val="3"/>
          <w:numId w:val="1"/>
        </w:numPr>
        <w:rPr/>
      </w:pPr>
      <w:bookmarkStart w:id="771" w:name="__RefHeading___Toc1366455_388300464"/>
      <w:bookmarkStart w:id="772" w:name="_Toc302"/>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بما أنّ الزكاة هي صلة المؤمن بالمجتمع، كما أنّ الصلاة صلته باللّه سبحانه، أكّد اللّه تعالى في غير واحدة من الآيات على وجوبها، ويؤنب على مَن لا يعطيها، أو يكنزها، ولنبدأ بدراسة الآيات المتعلّقة بالزكاة وأحكامها ومصارفها</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366457_388300464"/>
      <w:bookmarkStart w:id="774" w:name="_Toc303"/>
      <w:bookmarkEnd w:id="773"/>
      <w:r>
        <w:rPr>
          <w:rtl w:val="true"/>
        </w:rPr>
        <w:t>الآية الأُولى</w:t>
      </w:r>
      <w:bookmarkEnd w:id="774"/>
    </w:p>
    <w:p>
      <w:pPr>
        <w:pStyle w:val="Heading5"/>
        <w:numPr>
          <w:ilvl w:val="4"/>
          <w:numId w:val="1"/>
        </w:numPr>
        <w:rPr/>
      </w:pPr>
      <w:bookmarkStart w:id="775" w:name="__RefHeading___Toc1366459_388300464"/>
      <w:bookmarkStart w:id="776" w:name="_Toc304"/>
      <w:bookmarkEnd w:id="775"/>
      <w:r>
        <w:rPr>
          <w:rtl w:val="true"/>
        </w:rPr>
        <w:t>اشارة</w:t>
      </w:r>
      <w:bookmarkEnd w:id="77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w:t>
      </w:r>
      <w:bookmarkStart w:id="777" w:name="pg14912_141376"/>
    </w:p>
    <w:p>
      <w:pPr>
        <w:pStyle w:val="BookText"/>
        <w:rPr/>
      </w:pPr>
      <w:bookmarkEnd w:id="777"/>
      <w:r>
        <w:rPr>
          <w:rFonts w:ascii="Amiri" w:hAnsi="Amiri" w:eastAsia="Amiri" w:cs="Amiri"/>
          <w:color w:val="111111"/>
          <w:sz w:val="28"/>
          <w:sz w:val="28"/>
          <w:szCs w:val="28"/>
          <w:rtl w:val="true"/>
          <w:lang w:bidi="ar-SA"/>
        </w:rPr>
        <w:t>هُمُ اَلْمُتَّقُونَ‌</w:t>
      </w:r>
      <w:r>
        <w:rPr>
          <w:rFonts w:eastAsia="Amiri" w:cs="Amiri" w:ascii="Amiri" w:hAnsi="Amiri"/>
          <w:color w:val="111111"/>
          <w:sz w:val="28"/>
          <w:szCs w:val="28"/>
          <w:rtl w:val="true"/>
          <w:lang w:bidi="ar-SA"/>
        </w:rPr>
        <w:t>) .</w:t>
      </w:r>
      <w:r>
        <w:rPr>
          <w:rStyle w:val="FootnoteAnchor"/>
          <w:rtl w:val="true"/>
        </w:rPr>
        <w:footnoteReference w:id="596"/>
      </w:r>
    </w:p>
    <w:p>
      <w:pPr>
        <w:pStyle w:val="Heading5"/>
        <w:numPr>
          <w:ilvl w:val="4"/>
          <w:numId w:val="1"/>
        </w:numPr>
        <w:rPr/>
      </w:pPr>
      <w:bookmarkStart w:id="778" w:name="__RefHeading___Toc1366461_388300464"/>
      <w:bookmarkStart w:id="779" w:name="_Toc305"/>
      <w:bookmarkEnd w:id="778"/>
      <w:r>
        <w:rPr>
          <w:rtl w:val="true"/>
        </w:rPr>
        <w:t>المفردات</w:t>
      </w:r>
      <w:bookmarkEnd w:id="779"/>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في الخير، مشتقّ 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مقابل البحر في تصوّر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شرعاً فيظهر من الآية أنّه كلّ ما يتقرّب به إلى اللّه تعالى من الإيمان والأخلاق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تتوجّهوا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حبّ المال،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أي حبّ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الفقر والشدّة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المرض و السقم والوجع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الحرب</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366463_388300464"/>
      <w:bookmarkStart w:id="781" w:name="_Toc306"/>
      <w:bookmarkEnd w:id="780"/>
      <w:r>
        <w:rPr>
          <w:rtl w:val="true"/>
        </w:rPr>
        <w:t>التفسير</w:t>
      </w:r>
      <w:bookmarkEnd w:id="781"/>
    </w:p>
    <w:p>
      <w:pPr>
        <w:pStyle w:val="Heading6"/>
        <w:numPr>
          <w:ilvl w:val="5"/>
          <w:numId w:val="1"/>
        </w:numPr>
        <w:rPr/>
      </w:pPr>
      <w:bookmarkStart w:id="782" w:name="__RefHeading___Toc1366465_388300464"/>
      <w:bookmarkStart w:id="783" w:name="_Toc307"/>
      <w:bookmarkEnd w:id="782"/>
      <w:r>
        <w:rPr>
          <w:rtl w:val="true"/>
        </w:rPr>
        <w:t>اشارة</w:t>
      </w:r>
      <w:bookmarkEnd w:id="78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أهل الكتاب يتصوّرون أنّ الإنسان البَر عبارة عمّن يتوجّه في صلاته قبل المشرق و المغرب، لكن القرآن الكريم يفسّر البِر بوجه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للبر محاور أربعة</w:t>
      </w:r>
      <w:r>
        <w:rPr>
          <w:rFonts w:eastAsia="Amiri" w:cs="Amiri" w:ascii="Amiri" w:hAnsi="Amiri"/>
          <w:color w:val="111111"/>
          <w:sz w:val="28"/>
          <w:szCs w:val="28"/>
          <w:rtl w:val="true"/>
          <w:lang w:bidi="ar-SA"/>
        </w:rPr>
        <w:t>:</w:t>
      </w:r>
      <w:bookmarkStart w:id="784" w:name="pg14912_141377"/>
    </w:p>
    <w:p>
      <w:pPr>
        <w:pStyle w:val="BookText"/>
        <w:rPr/>
      </w:pPr>
      <w:bookmarkEnd w:id="7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والعقيدة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خدمة المجتمع الإيماني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بالفرائض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الإيمان باللّه واليوم الآخر والكتب والنبيّين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إنفاق المال على ذوي القربى واليتامى والمساكين وابن السبيل والسائلين وفي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إقامة الصلاة وإيتاء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الوفاء بالعهد، والصبر في مختلف الحالات كالبأساء والضراء وحين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يصف اللّه سبحانه من تنطبق عليه هذه المحاور بأنّهم موصوفون بالصدق في إيمانهم والتقوى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هذه المحاور</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366467_388300464"/>
      <w:bookmarkStart w:id="786" w:name="_Toc308"/>
      <w:bookmarkEnd w:id="785"/>
      <w:r>
        <w:rPr>
          <w:rtl w:val="true"/>
        </w:rPr>
        <w:t>المحور الأوّل</w:t>
      </w:r>
      <w:r>
        <w:rPr>
          <w:rtl w:val="true"/>
        </w:rPr>
        <w:t xml:space="preserve">: </w:t>
      </w:r>
      <w:r>
        <w:rPr>
          <w:rtl w:val="true"/>
        </w:rPr>
        <w:t>الإيمان والعقيدة</w:t>
      </w:r>
      <w:bookmarkEnd w:id="7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يبعث الإنسان إلى هذا العمل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أساس كلّ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تُجزى فيه كلّ نفس وفق 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فالإيمان بها رمز للإيمان بالغيب وأنّ رقعة الوجود أوسع من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اللّه سبحانه لإسعاد</w:t>
      </w:r>
      <w:bookmarkStart w:id="787" w:name="pg14912_141378"/>
    </w:p>
    <w:p>
      <w:pPr>
        <w:pStyle w:val="BookText"/>
        <w:rPr/>
      </w:pPr>
      <w:bookmarkEnd w:id="787"/>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الإيمان بهم يسوق الإنسان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بهذه الأُمور الخمسة جامع لجميع المعارف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معنوي، وأمُّّا المعرِّف فذات خارجية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أخبر عن أمر معنوي بذات خارجية‌؟</w:t>
      </w:r>
    </w:p>
    <w:p>
      <w:p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معهود في الكلام العربي الفصيح،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الكرم أن تدعو الأغنياء والأصدقاء إلى طعامك، ولكن الكرم من يعطي الفقراء العاجزين عن الكسب</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لكنّه لم يُشر إلى وجه العدول عن تعريف البِر 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الشيخ البلاغي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أُسلوب فائق من البلاغة يُخرج الكلام به من صورة الفرض الذي لا يهم في البيان إلى صورة الوقوع والحجّة 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بأبيات لشعراء الجاهلية منها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 المنايا ميّت وسط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كهُلك الفتى قد استلم الحيّ حاضره</w:t>
      </w:r>
      <w:r>
        <w:rPr>
          <w:rStyle w:val="FootnoteAnchor"/>
          <w:rtl w:val="true"/>
        </w:rPr>
        <w:footnoteReference w:id="599"/>
      </w:r>
    </w:p>
    <w:p>
      <w:pPr>
        <w:pStyle w:val="Heading6"/>
        <w:numPr>
          <w:ilvl w:val="5"/>
          <w:numId w:val="1"/>
        </w:numPr>
        <w:rPr/>
      </w:pPr>
      <w:bookmarkStart w:id="788" w:name="__RefHeading___Toc1366469_388300464"/>
      <w:bookmarkStart w:id="789" w:name="_Toc309"/>
      <w:bookmarkEnd w:id="788"/>
      <w:r>
        <w:rPr>
          <w:rtl w:val="true"/>
        </w:rPr>
        <w:t>المحور الثاني</w:t>
      </w:r>
      <w:r>
        <w:rPr>
          <w:rtl w:val="true"/>
        </w:rPr>
        <w:t xml:space="preserve">: </w:t>
      </w:r>
      <w:r>
        <w:rPr>
          <w:rtl w:val="true"/>
        </w:rPr>
        <w:t>خدمة المجتمع الإيماني</w:t>
      </w:r>
      <w:bookmarkEnd w:id="7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الإيمان باللّه واليوم الآخر شجرة طيّبة ثمرتها اليانعة اهتمام الإنسان بخدمة أبناء مجتمعه، فيقوم بالأعمال الصالحة كما يُشير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آتَى اَلْمالَ عَلى 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رغم كونه يحبّه، على أصناف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الأقارب،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مات كافله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معناها 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لمّا أتم بيان صفات الأبرار أثنى عليهم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اَلْمُتَّقُونَ‌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اجتمعت فيه جميع الخصال المذكورة في المحاور الأربعة فهو صادق في عامّة شؤون حياته، صادق في الاعتقاد، صادق في القول، صادق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أعمالهم وأحوالهم تشهد على تقواهم وأنّ لهم وقاية خاصّة بينهم وبين سخط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الفاضل المقداد جعل الآية ممّا دلّ على وجوب الزكاة ومحلّها</w:t>
      </w:r>
      <w:r>
        <w:rPr>
          <w:rStyle w:val="FootnoteAnchor"/>
          <w:rtl w:val="true"/>
        </w:rPr>
        <w:footnoteReference w:id="601"/>
      </w:r>
      <w:r>
        <w:rPr>
          <w:rFonts w:ascii="Amiri" w:hAnsi="Amiri" w:eastAsia="Amiri" w:cs="Amiri"/>
          <w:color w:val="111111"/>
          <w:sz w:val="28"/>
          <w:sz w:val="28"/>
          <w:szCs w:val="28"/>
          <w:rtl w:val="true"/>
          <w:lang w:bidi="ar-SA"/>
        </w:rPr>
        <w:t>، فلو أراد من المحلّ ما تتعلّق به الزكاة فلم يُذكر في الآية، وإن أراد المصارف فإنّما وردت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آتَى اَلْمالَ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أنّ ما ذكر هو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eastAsia="Amiri" w:cs="Amiri" w:ascii="Amiri" w:hAnsi="Amiri"/>
          <w:color w:val="111111"/>
          <w:sz w:val="28"/>
          <w:szCs w:val="28"/>
          <w:rtl w:val="true"/>
          <w:lang w:bidi="ar-SA"/>
        </w:rPr>
        <w:t>) .</w:t>
      </w:r>
      <w:r>
        <w:rPr>
          <w:rStyle w:val="FootnoteAnchor"/>
          <w:rtl w:val="true"/>
        </w:rPr>
        <w:footnoteReference w:id="60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الكّفار محكومون بالفروع كما هم محكومون بالأُصول، إلّاأنّ الكلام في كون المراد من الزكاة هو الفريضة المعروفة في الكتب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90" w:name="pg14912_141381"/>
    </w:p>
    <w:p>
      <w:pPr>
        <w:pStyle w:val="BookText"/>
        <w:rPr/>
      </w:pPr>
      <w:bookmarkEnd w:id="790"/>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791" w:name="__RefHeading___Toc1366471_388300464"/>
      <w:bookmarkStart w:id="792" w:name="_Toc310"/>
      <w:bookmarkEnd w:id="791"/>
      <w:r>
        <w:rPr/>
        <w:t>2</w:t>
      </w:r>
      <w:r>
        <w:rPr>
          <w:rtl w:val="true"/>
        </w:rPr>
        <w:t xml:space="preserve">. </w:t>
      </w:r>
      <w:r>
        <w:rPr>
          <w:rtl w:val="true"/>
        </w:rPr>
        <w:t>حرمة اكتناز العملة قبل إخراج زكاتها</w:t>
      </w:r>
      <w:bookmarkEnd w:id="792"/>
    </w:p>
    <w:p>
      <w:pPr>
        <w:pStyle w:val="Heading4"/>
        <w:numPr>
          <w:ilvl w:val="3"/>
          <w:numId w:val="1"/>
        </w:numPr>
        <w:rPr/>
      </w:pPr>
      <w:bookmarkStart w:id="793" w:name="__RefHeading___Toc1366473_388300464"/>
      <w:bookmarkStart w:id="794" w:name="_Toc311"/>
      <w:bookmarkEnd w:id="793"/>
      <w:r>
        <w:rPr>
          <w:rtl w:val="true"/>
        </w:rPr>
        <w:t>الآية الثانية</w:t>
      </w:r>
      <w:bookmarkEnd w:id="79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w:t>
      </w:r>
      <w:r>
        <w:rPr>
          <w:rStyle w:val="FootnoteAnchor"/>
          <w:rtl w:val="true"/>
        </w:rPr>
        <w:footnoteReference w:id="603"/>
      </w:r>
    </w:p>
    <w:p>
      <w:pPr>
        <w:pStyle w:val="Heading4"/>
        <w:numPr>
          <w:ilvl w:val="3"/>
          <w:numId w:val="1"/>
        </w:numPr>
        <w:rPr/>
      </w:pPr>
      <w:bookmarkStart w:id="795" w:name="__RefHeading___Toc1366475_388300464"/>
      <w:bookmarkStart w:id="796" w:name="_Toc312"/>
      <w:bookmarkEnd w:id="795"/>
      <w:r>
        <w:rPr>
          <w:rtl w:val="true"/>
        </w:rPr>
        <w:t>المفردات</w:t>
      </w:r>
      <w:bookmarkEnd w:id="796"/>
    </w:p>
    <w:p>
      <w:pPr>
        <w:pStyle w:val="BookText"/>
        <w:rPr/>
      </w:pPr>
      <w:r>
        <w:rPr>
          <w:rFonts w:ascii="Amiri" w:hAnsi="Amiri" w:eastAsia="Amiri" w:cs="Amiri"/>
          <w:color w:val="111111"/>
          <w:sz w:val="28"/>
          <w:sz w:val="28"/>
          <w:szCs w:val="28"/>
          <w:rtl w:val="true"/>
          <w:lang w:bidi="ar-SA"/>
        </w:rPr>
        <w:t>ليأكلون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الأموال كناية عن الاستيلاء عليها والتصرّف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الناس عن الدخول في الشريعة الحقّة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عبارة عن جمع المال تحت الأرض أو فوقها حفظاً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جمع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للشيء</w:t>
      </w:r>
      <w:bookmarkStart w:id="797" w:name="pg14912_141382"/>
    </w:p>
    <w:p>
      <w:pPr>
        <w:pStyle w:val="BookText"/>
        <w:rPr/>
      </w:pPr>
      <w:bookmarkEnd w:id="797"/>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مكتنز، فالكنز مصدر كنز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فلان، إذا ادّخر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ذهباً لأنّه يذهب ولا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فضّة لأنّها تنفضّ أي تتفرّق ولا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 في التفسير</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366477_388300464"/>
      <w:bookmarkStart w:id="799" w:name="_Toc313"/>
      <w:bookmarkEnd w:id="798"/>
      <w:r>
        <w:rPr>
          <w:rtl w:val="true"/>
        </w:rPr>
        <w:t>التفسير</w:t>
      </w:r>
      <w:bookmarkEnd w:id="799"/>
    </w:p>
    <w:p>
      <w:pPr>
        <w:pStyle w:val="BookText"/>
        <w:rPr/>
      </w:pPr>
      <w:r>
        <w:rPr>
          <w:rFonts w:ascii="Amiri" w:hAnsi="Amiri" w:eastAsia="Amiri" w:cs="Amiri"/>
          <w:color w:val="111111"/>
          <w:sz w:val="28"/>
          <w:sz w:val="28"/>
          <w:szCs w:val="28"/>
          <w:rtl w:val="true"/>
          <w:lang w:bidi="ar-SA"/>
        </w:rPr>
        <w:t>الآية تتضمّن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يرجع إلى عمل الأحبار والرهبان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كنز الذهب والفضّة على كلّ مكلّف موسوياً كان أو عيسوياً أو محمدياً</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366479_388300464"/>
      <w:bookmarkStart w:id="801" w:name="_Toc314"/>
      <w:bookmarkEnd w:id="800"/>
      <w:r>
        <w:rPr>
          <w:rtl w:val="true"/>
        </w:rPr>
        <w:t>وصف عمل الأحبار والرهبان</w:t>
      </w:r>
      <w:bookmarkEnd w:id="801"/>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سبحانه كثيراً من الأحبار والرهبان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أموال الناس بالباطل، وما هذا إلّالأنّ قسماً منهم كانوا يجتنبون هذا العمل، وهذا يدلّ على موضوعية البيان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أكل أموال الناس بالباطل هو الرشوة حيث يأخذها صاحب السلطة الدينية لأجل الحكم أو المساعدة على إبطال حقّ أو إحقاق باطل، ويحتمل أن يُراد به الربا أيضاً، وهذان النوعان كانا أمرين فاشيين بين الأحبار، وأمّا الرهبان فيحتمل أن يُراد ما يأخذونه جُعلاً على مغفرة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 عن سبيل اللّه، ولعلّ المراد به صدّ الناس عن الدخول في الإسلام، وهو يختلف أُسلوبه حسب اختلاف الزمان والمكان، وربما لا يقتنعون بصدّ</w:t>
      </w:r>
      <w:bookmarkStart w:id="802" w:name="pg14912_141383"/>
    </w:p>
    <w:p>
      <w:pPr>
        <w:pStyle w:val="BookText"/>
        <w:rPr/>
      </w:pPr>
      <w:bookmarkEnd w:id="802"/>
      <w:r>
        <w:rPr>
          <w:rFonts w:ascii="Amiri" w:hAnsi="Amiri" w:eastAsia="Amiri" w:cs="Amiri"/>
          <w:color w:val="111111"/>
          <w:sz w:val="28"/>
          <w:sz w:val="28"/>
          <w:szCs w:val="28"/>
          <w:rtl w:val="true"/>
          <w:lang w:bidi="ar-SA"/>
        </w:rPr>
        <w:t>الناس عن الإسلام فقط، بل يحاولون صدّ المسلمين عنه ودعوتهم إلى دينهم المشحون بالوثنية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يذكره القرآن الكريم قبل أربعة عشر قرناً، وأمّا اليوم فقد اتّسع نطاق صدّ الناس عن الإسلام وصدّ المسلمين عنه بأساليب مختلفة، فجاءوا تحت غطاء المشاريع الإنسانية لنشر النصرانية، وهي مستشفيات وجامعات ومعاهد علمية إلّا أنّها في الحقيقة مراكز للتبشير، فعلى المسلمين الغيارى عدم السماح بانتشار هذه المراكز التبشيرية في بلادهم، وعلى أقل التقادير عدم السماح لمؤسّسيها بنشر المسيحية عن طريق هذه المراكز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يرجع إلى الأمر الأوّل وهو ما يتعلّق بعمل الأحبار والرهبان</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366481_388300464"/>
      <w:bookmarkStart w:id="804" w:name="_Toc315"/>
      <w:bookmarkEnd w:id="803"/>
      <w:r>
        <w:rPr>
          <w:rtl w:val="true"/>
        </w:rPr>
        <w:t>تحريم اكتناز الذهب والفضة على المسلم والكتابي</w:t>
      </w:r>
      <w:bookmarkEnd w:id="8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تحريم كنز الذهب والفضة على وجه الإطلاق، من غير فرق بين أهل الكتاب أو من غيرهم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يكنزون الدنانير والدراهم بكلّ وسيلة ممكنة، سواء أكانت في الصناديق كما هو المرسوم في القرون السابقة أم البنوك والمصارف كما هو الرائج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الذي تحكي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المؤنث عائد إلى الذهب والفضة فقد اكتفي برجوع الضمير إلى أحدهما، عن الضمير الراجع إلى الآخر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يَكْسِبْ خَطِيئَةً أَوْ إِثْماً ثُمَّ يَرْمِ بِهِ بَرِيئاً فَقَدِ</w:t>
      </w:r>
      <w:bookmarkStart w:id="805" w:name="pg14912_141384"/>
    </w:p>
    <w:p>
      <w:pPr>
        <w:pStyle w:val="BookText"/>
        <w:rPr/>
      </w:pPr>
      <w:bookmarkEnd w:id="805"/>
      <w:r>
        <w:rPr>
          <w:rFonts w:ascii="Amiri" w:hAnsi="Amiri" w:eastAsia="Amiri" w:cs="Amiri"/>
          <w:color w:val="111111"/>
          <w:sz w:val="28"/>
          <w:sz w:val="28"/>
          <w:szCs w:val="28"/>
          <w:rtl w:val="true"/>
          <w:lang w:bidi="ar-SA"/>
        </w:rPr>
        <w:t>اِحْتَمَلَ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ينفقون كلّاً منهما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وربما يتوهّم أنّ الآية ناظرة إلى الأحبار والرهبان فهم الذين كانوا يأكلون أموال الناس بالباطل ويصدون عن سبيل اللّه ويكنزون الذهب والفضة ولا يشمل غير أهل الكتاب، فعلى هذا فالنهي عن الكنز مختصّ بهم، ولكنّه وهم باطل، ولو كان كذلك 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أوصافهم، وعلى هذا فالآية تعمّ الناس من غير فرق بين المسلم وغيره، فالجميع أمام الآية سواء</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366483_388300464"/>
      <w:bookmarkStart w:id="807" w:name="_Toc316"/>
      <w:bookmarkEnd w:id="806"/>
      <w:r>
        <w:rPr>
          <w:rtl w:val="true"/>
        </w:rPr>
        <w:t>نزاع بين عثمان وأُبيّ في كتابة الواو</w:t>
      </w:r>
      <w:bookmarkEnd w:id="807"/>
    </w:p>
    <w:p>
      <w:pPr>
        <w:pStyle w:val="BookText"/>
        <w:rPr/>
      </w:pPr>
      <w:r>
        <w:rPr>
          <w:rFonts w:ascii="Amiri" w:hAnsi="Amiri" w:eastAsia="Amiri" w:cs="Amiri"/>
          <w:color w:val="111111"/>
          <w:sz w:val="28"/>
          <w:sz w:val="28"/>
          <w:szCs w:val="28"/>
          <w:rtl w:val="true"/>
          <w:lang w:bidi="ar-SA"/>
        </w:rPr>
        <w:t>روى السيوطي عن علباء بن أحمر أنّ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يكتب المصاحف أرادوا أن يلغوا الواو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لتلحقنّها أو لأضعن سيفي على عاتقي، فألحقوها</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الغاية من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تبرير عمل قسم من الصحابة الذين اكتنزوا كنوزاً كثيرة من بيت المال حتى لا تشملهم الآية الكريمة، ومَن أراد أن يتعرّف على مقدار الأموال المكتنزة خلال خلافة الثالث، مِنْ قِبل كثير من حاشيته وأقاربه،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يقف على أنّ ميراث عبد الرحمن بن عوف من الذهب والفضة قد كُسّر بالفؤوس</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إذا تبيّن ذلك فنقول ما هو متعلّق التحريم‌؟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التحريم هو الكنز المقيّد، وهو كنز المال مع عدم الإنفاق في سبيل اللّه، وإلّا فلو اكتنز ومع ذلك أنفق الفريضة في سبيل اللّه، فهذا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يجمع المال للإنفاق على العيال أو بعد إخراج الحقوق المالية خارج عن هذا الوعيد؛ لأنّه تعالى قيّد الكنز بعدم الإنفاق، وإذا عُدم القيد عُدم الحكم، ولِما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أُدّي زكاته فليس بكنز وإن كان باطناً، وما بلغ أن يزكّى فلم يزكَّ فهو كنز وإن كان ظاهراً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وعلى هذا فأُريد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زكاتهما إذا بلغا النصاب، وسيأتي احتمالان آخران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ذكره ما رواه السيوطي 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لا يؤدّون زكاة أموالهم، وكلّ مال لا تؤدّى زكاته كان على ظهر الأرض أو في بطنها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وروى 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مال تؤدّي زكاته فليس بكنز وإن كان تحت سبع أرضين، وكلّ مال لا تؤدّي زكاته فهو كنز وإن كان فوق الأرض</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إدخار المال بعد أداء حقوقه الواجبة أمر جائز وهو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08" w:name="pg14912_141386"/>
    </w:p>
    <w:p>
      <w:pPr>
        <w:pStyle w:val="BookText"/>
        <w:rPr/>
      </w:pPr>
      <w:bookmarkEnd w:id="808"/>
      <w:r>
        <w:rPr>
          <w:rFonts w:ascii="Amiri" w:hAnsi="Amiri" w:eastAsia="Amiri" w:cs="Amiri"/>
          <w:color w:val="111111"/>
          <w:sz w:val="28"/>
          <w:sz w:val="28"/>
          <w:szCs w:val="28"/>
          <w:rtl w:val="true"/>
          <w:lang w:bidi="ar-SA"/>
        </w:rPr>
        <w:t>ضروريات الفقه الإسلامي، فالإسلام لا يوجب إنفاق كلّ ما يملكه الإنسان من الذهب والفضّة بعد إخراج ما فرض من الحقوق، بل اللازم إخراج ما فرض اللّه سبحانه من الفرائض المالية كالزكاة والخمس وغيرهما من الكفّارات، ويشهد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وهذه الآيات صريحة في أنّه لا يجب على الإنسان إنفاق كلّ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سبّب اكتناز العملة حتى بعد إخراجها، أزمةً اقتصادية، واختلالاً في النظام، لحرم الاكتناز أيضاً كما سيأتي</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366485_388300464"/>
      <w:bookmarkStart w:id="810" w:name="_Toc317"/>
      <w:bookmarkEnd w:id="809"/>
      <w:r>
        <w:rPr>
          <w:rtl w:val="true"/>
        </w:rPr>
        <w:t>بقيت هنا أُمور</w:t>
      </w:r>
      <w:r>
        <w:rPr>
          <w:rtl w:val="true"/>
        </w:rPr>
        <w:t>:</w:t>
      </w:r>
      <w:bookmarkEnd w:id="8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العملة الورقية حكم العملة الذهبية أو الفضية، وذلك لأنّ الإشارة إلى العملتين الأخيرتين لأجل أنّ الآية نزلت في عصر يسود فيه التعامل بها، فإذا صار التعامل بغيرهما يكون حكمه حكم العملتين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اتّخاذ الذهب والفضة موضوعاً للحكم لأجل أنّ التعامل بهما كان رائجاً في ذلك الزمان، وليس لهما أي موضوعية خاصّة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الواجب في العملة الذهبية والفضية، إخراج الزكاة وفي الورقية إخراج خمسها إذا تعلّق بها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سبيل اللّه يحتمل أحد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من أنّ المراد أداء زكاته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الإنفاق في جهاد العدو؛ ويؤيّد ذلك احتمال ورود الآية إبّان غزوة تبوك، وقد أمر فيها رسول اللّه صلى الله عليه و آله و سلم أصحابه بالتهيّؤ لغزو الروم وذلك في زمان عسرة الناس، وشدّة من الحرج، وجدب من البلاد، وحاجة الناس للأموال وما يحمل عليه من الدواب في سبيل اللّه، فأنفق رجال من أهل الغنى وبَخَل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رجال من المسلمين للمشاركة في الجهاد وطلبوا من النبي صلى الله عليه و آله و سلم ما يحملهم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ما أَحْمِلُكُمْ عَلَيْهِ‌</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به كلّ ما يتعلّق بمصالح الدين الواجب حفظها وشؤون المجتمع الإسلامي التي ينفسخ عقد المجتمع إذا انفسخت، فمَن كنز ذهباً أو فضّة والحاجة قائمة والضرورة عاكفة، فقد كنز الذهب والفضة ولم ينفقها في سبيل اللّه فليبشر بعذاب أليم، فقد آثر نفسه على ربّه وقدّم حاجة نفسه أو ولده الاحتمالية على حاجة المجتمع الديني القطعية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وعلى هذا تتّسع دائرة 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ناظرة إلى تحريم كنز العملة، وأمّا الاحتكار فهو موضوع آخر، وله أحكام مذكورة في كتب الفقه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بالوجه الأوّل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تحريم الكنز مشروط بعدم إخراج الحقّ الواجب، فإذا أخرج ما هو الحقّ الواجب فليس بكنز، لكن هناك أمر آخر وهو أنّه لو أدّى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إلى حصول مشاكل في المجتمع الإسلامي تعرقل مسير عجلة الاقتصاد، فهذا النوع من الاكتناز حرام بالعنوان الثانوي، لأنّ حفظ النظام من أوجب الواجبات، فكلّ عمل ينتهي إلى الإخلال بالنظام، فهو محكوم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اجتماع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واحد أو مجموعة من الناس يصيب حركة تبادل الأعيان والثروات بالشلل ويعرقلها، وهذا يعود بالضرر على أفراد المجتمع ويحرمهم من الحصول على حاجاتهم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ينسب إلى أبي ذر الغفاري الذهاب إلى حرمة جمع المال مطلقاً سواء أُخرجت زكاته أم لا، فقد ثبت في محلّه بطلان هذه النسبة وإنّها فرية نسبت إلى هذا الصحابي الجليل، وإنّما كانت غايته من تلاوة هذه الآية منصبّة على الكنوز المكتنزة عن طريق عطايا الخليفة من بيت مال المسلمين لأقربائه ورجال بلاطه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أبو ذر يمنع الناس عن جلب الثروة من طريقها المشروع، ولا يبغي سلب السلطة عمّن ملك شيئاً ملكاً مشروعاً، لكنّه كان ينقم على أهل الإثرة على اغتصابهم حقوق المسلمين، وخضمهم مال اللّه خضمة الإبل نبتة الربيع، وما كان يتحرّى إلّاما أراد اللّه سبحانه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جاء به رسول اللّه صلى الله عليه و آله و سلم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فالآية من أدلّة وجوب إخراج الزكاة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811" w:name="pg14912_141389"/>
    </w:p>
    <w:p>
      <w:pPr>
        <w:pStyle w:val="BookText"/>
        <w:rPr/>
      </w:pPr>
      <w:bookmarkEnd w:id="811"/>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12" w:name="__RefHeading___Toc1366487_388300464"/>
      <w:bookmarkStart w:id="813" w:name="_Toc318"/>
      <w:bookmarkEnd w:id="812"/>
      <w:r>
        <w:rPr/>
        <w:t>3</w:t>
      </w:r>
      <w:r>
        <w:rPr>
          <w:rtl w:val="true"/>
        </w:rPr>
        <w:t xml:space="preserve">. </w:t>
      </w:r>
      <w:r>
        <w:rPr>
          <w:rtl w:val="true"/>
        </w:rPr>
        <w:t>وجوب أخذ الزكاة على النبيّ وعلى مَن يقوم مقامه</w:t>
      </w:r>
      <w:bookmarkEnd w:id="813"/>
    </w:p>
    <w:p>
      <w:pPr>
        <w:pStyle w:val="Heading4"/>
        <w:numPr>
          <w:ilvl w:val="3"/>
          <w:numId w:val="1"/>
        </w:numPr>
        <w:rPr/>
      </w:pPr>
      <w:bookmarkStart w:id="814" w:name="__RefHeading___Toc1366489_388300464"/>
      <w:bookmarkStart w:id="815" w:name="_Toc319"/>
      <w:bookmarkEnd w:id="814"/>
      <w:r>
        <w:rPr>
          <w:rtl w:val="true"/>
        </w:rPr>
        <w:t>الآية الثالثة</w:t>
      </w:r>
      <w:bookmarkEnd w:id="815"/>
    </w:p>
    <w:p>
      <w:pPr>
        <w:pStyle w:val="Heading5"/>
        <w:numPr>
          <w:ilvl w:val="4"/>
          <w:numId w:val="1"/>
        </w:numPr>
        <w:rPr/>
      </w:pPr>
      <w:bookmarkStart w:id="816" w:name="__RefHeading___Toc1366491_388300464"/>
      <w:bookmarkStart w:id="817" w:name="_Toc320"/>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w:t>
      </w:r>
      <w:r>
        <w:rPr>
          <w:rStyle w:val="FootnoteAnchor"/>
          <w:rtl w:val="true"/>
        </w:rPr>
        <w:footnoteReference w:id="617"/>
      </w:r>
    </w:p>
    <w:p>
      <w:pPr>
        <w:pStyle w:val="Heading5"/>
        <w:numPr>
          <w:ilvl w:val="4"/>
          <w:numId w:val="1"/>
        </w:numPr>
        <w:rPr/>
      </w:pPr>
      <w:bookmarkStart w:id="818" w:name="__RefHeading___Toc1366493_388300464"/>
      <w:bookmarkStart w:id="819" w:name="_Toc321"/>
      <w:bookmarkEnd w:id="818"/>
      <w:r>
        <w:rPr>
          <w:rtl w:val="true"/>
        </w:rPr>
        <w:t>المفردات</w:t>
      </w:r>
      <w:bookmarkEnd w:id="819"/>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ينفقه المؤمن من قربة للّه، وأُريد في الآية الزكاة الواجبة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دنس البخل والطمع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زكيّ أي زائد الخير والفضل، وأُريد بها هنا تنقية النفس وترفّعها بعمل الخيرات</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366495_388300464"/>
      <w:bookmarkStart w:id="821" w:name="_Toc322"/>
      <w:bookmarkEnd w:id="820"/>
      <w:r>
        <w:rPr>
          <w:rtl w:val="true"/>
        </w:rPr>
        <w:t>التفسير</w:t>
      </w:r>
      <w:bookmarkEnd w:id="8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الآيتين السابقتين، ما يدلّ على وجوب الزكاة، وهذه الآية تدلّ‌</w:t>
      </w:r>
    </w:p>
    <w:p>
      <w:pPr>
        <w:pStyle w:val="BookText"/>
        <w:rPr/>
      </w:pPr>
      <w:r>
        <w:rPr>
          <w:rFonts w:ascii="Amiri" w:hAnsi="Amiri" w:eastAsia="Amiri" w:cs="Amiri"/>
          <w:color w:val="111111"/>
          <w:sz w:val="28"/>
          <w:sz w:val="28"/>
          <w:szCs w:val="28"/>
          <w:rtl w:val="true"/>
          <w:lang w:bidi="ar-SA"/>
        </w:rPr>
        <w:t>على وجوب أخذ الصدقة من التائبين، بقرينة وقوع الآية بعد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ولكن المورد غير مخصّص للحكم، وإن كان السبب خاصّاً،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أموال التائبين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بها الزكاة، لأنّ حمله على غيرها بحاجة إلى دليل، ثم علّل سبحانه حكمة أخذ الصدقة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دنس البخل والرذائل الأخلاقية، ومن القسوة على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تُزَكِّيهِمْ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تزكّي أنفسهم بها، وتزرع مكانها نوعاً من السخاء ورعاية حقوق الآخرين في أنفسهم، ويحتمل أن يُراد به الإنماء، والمعنى أنّه تعالى يجعل النقصان الحاصل بسبب إخراج قدر الزكاة سبباً للإنماء</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وهل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الصدقة، أي تطهّرهم الصدقة، فتكون التاء للتأنيث، أو هو خطاب للنبي صلى الله عليه و آله و سلم والفعل خطاب للنبي‌؟ الظاهر هو الثاني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الضمير المجرور يرجع إلى الصدقة، 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بها وتزكّيهم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يكون الفعلان جواباً للأمر،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ولازم ذلك أن يكونا مجزومين، مع أنّهما مرفوعان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التفت إلى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جواباً للأمر لأنّه لو كان كذلك لكان مجزوماً، فعلى هذا فجواب الأمر محذوف، نظير 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فهو خير لهم، تطهّرهم وتزكّيهم بها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فعلى ما ذكرنا فالنبي صلى الله عليه و آله و سلم هو الذي يقوم بهذين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النفوس من مساوئ الأخلاق وتزيينها بفضائلها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يأمر النبيّ صلى الله عليه و آله و سلم بالدعاء والصلاة لمؤدّي الزكاة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النبي صلى الله عليه و آله و سلم كان يدعو لمَن يؤدّي الزكاة،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وجوب الدعاء على آخذ الزكاة إلّاأن يدلّ دليل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للدعاء صيغة خاصّة، وفي الحقيقة الدعاء من الآخذ نوع شكر لمؤدّي الزكاة،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فيما أعطيت وبارك لك فيما أبقيت، فقد أدى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فضيلة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فريضة أم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أعطى السائل قبّل يده وشمّها، ثم وضعه في يد السائل،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تقع في يد اللّه قبل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شيء إلّاوُكِّل به ملكٌ إلّاالصدقة فإنّها تقع في 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يقبّل الخبز أو الصدقة</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يعلّل دعاء النبيّ لمؤدّي الزكاة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دعاء النبي أو الإمام يورث ارتياح قلوبهم حيث يطمئنون بقبول عملهم وغفران ذنوبهم، ويستعدّون لدفعها في وقت آخر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22" w:name="pg14912_141392"/>
    </w:p>
    <w:p>
      <w:pPr>
        <w:pStyle w:val="BookText"/>
        <w:rPr/>
      </w:pPr>
      <w:bookmarkEnd w:id="822"/>
      <w:r>
        <w:rPr>
          <w:rFonts w:ascii="Amiri" w:hAnsi="Amiri" w:eastAsia="Amiri" w:cs="Amiri"/>
          <w:color w:val="111111"/>
          <w:sz w:val="28"/>
          <w:sz w:val="28"/>
          <w:szCs w:val="28"/>
          <w:rtl w:val="true"/>
          <w:lang w:bidi="ar-SA"/>
        </w:rPr>
        <w:t>قال الرازي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روح محمد صلى الله عليه و آله و سلم كانت روحاً قويّة مشرقة صافية باهرة، فإذا دعا محمد لهم وذكرهم بالخير، فاضت آثار من قوّته الروحية على أرواحهم، فأشرقت بهذا السبب أرواحهم وصفت أسرارهم، وانتقلوا من الظلمة إلى النور، ومن الجسمانية إلى الروحانية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وخُتمت الآية باسمين مباركين،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وبما في قلوب المتصدّقين، أو بما في الأمر بأخذ الصدقات من الخير والمصلحة</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366497_388300464"/>
      <w:bookmarkStart w:id="824" w:name="_Toc323"/>
      <w:bookmarkEnd w:id="823"/>
      <w:r>
        <w:rPr>
          <w:rtl w:val="true"/>
        </w:rPr>
        <w:t>جواز الصلاة على المؤمن مفرداً</w:t>
      </w:r>
      <w:bookmarkEnd w:id="824"/>
    </w:p>
    <w:p>
      <w:pPr>
        <w:pStyle w:val="BookText"/>
        <w:rPr/>
      </w:pPr>
      <w:r>
        <w:rPr>
          <w:rFonts w:ascii="Amiri" w:hAnsi="Amiri" w:eastAsia="Amiri" w:cs="Amiri"/>
          <w:color w:val="111111"/>
          <w:sz w:val="28"/>
          <w:sz w:val="28"/>
          <w:szCs w:val="28"/>
          <w:rtl w:val="true"/>
          <w:lang w:bidi="ar-SA"/>
        </w:rPr>
        <w:t>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على المؤمن مفرداً، ولذلك صارت سنّة علمائنا الإمامية الصلاة بعد ذكر أحد الأنبياء والأئمّة مفرداً تبعاً للذكر الحكيم، ومع ذلك نرى أنّ بعض أهل السنّة يتردّد في ذلك أو يستشكل وربما يمنع؛ لأنّه يؤدّي إلى اتّهامه بالرفض، وإن كنت في شكّ من ذلك فأقرأ ما ذكره الزمخشري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الصلاة على غيره‌؟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جواز الصلاة على كلّ مؤمن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أبي أوفى، ولكنّ للعلماء تفصيلاً في ذلك وهو أنّها إن كانت على سبيل التبع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النبي وآله، فلا كلام فيها، وأمّا إذا أفرد غيره من أهل البيت</w:t>
      </w:r>
    </w:p>
    <w:p>
      <w:pPr>
        <w:pStyle w:val="BookText"/>
        <w:rPr/>
      </w:pPr>
      <w:r>
        <w:rPr>
          <w:rFonts w:ascii="Amiri" w:hAnsi="Amiri" w:eastAsia="Amiri" w:cs="Amiri"/>
          <w:color w:val="111111"/>
          <w:sz w:val="28"/>
          <w:sz w:val="28"/>
          <w:szCs w:val="28"/>
          <w:rtl w:val="true"/>
          <w:lang w:bidi="ar-SA"/>
        </w:rPr>
        <w:t>بالصلاة كما يفرد هو فمكروه، لأنّ ذلك صار شعاراً لذكر رسول اللّه صلى الله عليه و آله و سلم ولأنّه يؤدّي إلى الاتّهام بالرفض</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والعجب من ابن حجر في فتح الباري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السلام على غير الأنبياء بعد الاتّفاق على مشروعيته في الحيّ‌، فقيل يشرع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تبعاً ولا يفرد لواحد لكونه صار شعاراً للرافضة، ونقله النووي عن الشيخ أبي محمد الجويني</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يجد مبرراً لترك ما شرعه الإسلام، إلّاعمل الرافضة بسنّة الإسلام، ولو صحّ ذلك، لوجب على القائل أن يترك عامّة الفرائض والسنن التي يعمل بها الروافض حسب زعمه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الرازي مع كونه إمام المشكّكين قد خضع للحقيقة في 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يمنعون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حقّ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يذكرونه في عليّ وأولاده واحتجّوا عليه بأنّ نصّ القرآن دلّ على أنّ هذا الذكر جائز في حقّ مَن يؤدّي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يمنع ذكره في حقّ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الرجل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فدلّ هذا على أنّ ذكر هذا اللفظ جائز في حقّ جمهور المسلمين، فكيف يمتنع ذكره في حقّ آل بيت الرسول عليه الصلاة والسلام</w:t>
      </w:r>
      <w:r>
        <w:rPr>
          <w:rFonts w:eastAsia="Amiri" w:cs="Amiri" w:ascii="Amiri" w:hAnsi="Amiri"/>
          <w:color w:val="111111"/>
          <w:sz w:val="28"/>
          <w:szCs w:val="28"/>
          <w:rtl w:val="true"/>
          <w:lang w:bidi="ar-SA"/>
        </w:rPr>
        <w:t>.</w:t>
      </w:r>
      <w:r>
        <w:rPr>
          <w:rStyle w:val="FootnoteAnchor"/>
        </w:rPr>
        <w:footnoteReference w:id="62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825" w:name="pg14912_141394"/>
    </w:p>
    <w:p>
      <w:pPr>
        <w:pStyle w:val="BookText"/>
        <w:rPr/>
      </w:pPr>
      <w:bookmarkEnd w:id="825"/>
      <w:r>
        <w:rPr>
          <w:rFonts w:ascii="Amiri" w:hAnsi="Amiri" w:eastAsia="Amiri" w:cs="Amiri"/>
          <w:color w:val="111111"/>
          <w:sz w:val="28"/>
          <w:sz w:val="28"/>
          <w:szCs w:val="28"/>
          <w:rtl w:val="true"/>
          <w:lang w:bidi="ar-SA"/>
        </w:rPr>
        <w:t>كما أنصف صاحب المنار في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الجمع بين الصلاة والسلام عليه صلى الله عليه و آله و سلم وعلى آله، وأكثر المسلمين يخصّ بالسلام الأنبياء والملائكة، وكذا جماعة آل بيته صلى الله عليه و آله و سلم والشيعة يلتزمون السلام على السيدة فاطمة وبعلها وولديهما والأئمّة المشهورين من ذرية السبطين ويوافقهم كثير من أهل السنّة وغيرهم في الزهراء والسبطين ووالدهما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ورضوانه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جماعة أو أفراداً، وأمّا الصلاة والسلام على الآل بالتبع للرسول صلى الله عليه و آله و سلم فهو مجمع عليه، ومنه صلاة التشهّد، وكذا عطف الصحابة والتابعين على الآل ذائع في الكتب والخطب والأقوال</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 .</w:t>
      </w:r>
      <w:r>
        <w:rPr>
          <w:rStyle w:val="FootnoteAnchor"/>
          <w:rtl w:val="true"/>
        </w:rPr>
        <w:footnoteReference w:id="628"/>
      </w:r>
    </w:p>
    <w:p>
      <w:pPr>
        <w:pStyle w:val="Heading4"/>
        <w:numPr>
          <w:ilvl w:val="3"/>
          <w:numId w:val="1"/>
        </w:numPr>
        <w:rPr/>
      </w:pPr>
      <w:bookmarkStart w:id="826" w:name="__RefHeading___Toc1366499_388300464"/>
      <w:bookmarkStart w:id="827" w:name="_Toc324"/>
      <w:bookmarkEnd w:id="826"/>
      <w:r>
        <w:rPr>
          <w:rtl w:val="true"/>
        </w:rPr>
        <w:t>قبول التوبة بيد اللّه</w:t>
      </w:r>
      <w:bookmarkEnd w:id="827"/>
    </w:p>
    <w:p>
      <w:pPr>
        <w:pStyle w:val="BookText"/>
        <w:rPr/>
      </w:pPr>
      <w:r>
        <w:rPr>
          <w:rFonts w:ascii="Amiri" w:hAnsi="Amiri" w:eastAsia="Amiri" w:cs="Amiri"/>
          <w:color w:val="111111"/>
          <w:sz w:val="28"/>
          <w:sz w:val="28"/>
          <w:szCs w:val="28"/>
          <w:rtl w:val="true"/>
          <w:lang w:bidi="ar-SA"/>
        </w:rPr>
        <w:t>ذكر الطبرسي في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سألوا النبيّ صلى الله عليه و آله و سلم أن يأخذ من أموالهم ما يكون كفّارة لذنوبهم، امتنع من ذلك انتظاراً لإذن من اللّه سبحانه فيه، فبيّن اللّه أنّه ليس قبول التوبة إلى النبي صلى الله عليه و آله و سلم وأنّ ذلك إلى اللّه عزّ اسمه، فإنّه الذي يقبلها</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التائبون من ذنبهم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يَقْبَلُ اَلتَّوْبَةَ‌</w:t>
      </w:r>
      <w:bookmarkStart w:id="828" w:name="pg14912_141395"/>
    </w:p>
    <w:p>
      <w:pPr>
        <w:pStyle w:val="BookText"/>
        <w:rPr/>
      </w:pPr>
      <w:bookmarkEnd w:id="828"/>
      <w:r>
        <w:rPr>
          <w:rFonts w:ascii="Amiri" w:hAnsi="Amiri" w:eastAsia="Amiri" w:cs="Amiri"/>
          <w:color w:val="111111"/>
          <w:sz w:val="28"/>
          <w:sz w:val="28"/>
          <w:szCs w:val="28"/>
          <w:rtl w:val="true"/>
          <w:lang w:bidi="ar-SA"/>
        </w:rPr>
        <w:t>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إلى قبول التوبة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يتقبّلها بأنواعها، ووجه الجمع أنّ التوبة مطهّرة وإيتاء الصدقة كما مرّ يُطهر، فالتصدّق بالصدقة، توبة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توبتهم بدفع الصدقات ويحتمل أن تكون بغيره، كتوبة 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الثاني ما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هُوَ اَلتَّوّابُ‌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يقبل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بعباده الذي من مظاهر رحمته قبول الصدقات وصرفها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في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اللطافة، فإنّ اللّه هو الذي يأخذ الصدقات، ومن المعلوم أنّ الآخذ هو النبي أو الإمام أو الجابي، لكن لمّا كان أخذهم بإذن من اللّه سبحانه، كأنّ الجميع يمثّل أخذ اللّه سبحانه، وقد مرّ في الحديث السابق أنّ الصدقة، لا تقع في يد العبد حتى تقع في يد الرب</w:t>
      </w:r>
      <w:r>
        <w:rPr>
          <w:rFonts w:eastAsia="Amiri" w:cs="Amiri" w:ascii="Amiri" w:hAnsi="Amiri"/>
          <w:color w:val="111111"/>
          <w:sz w:val="28"/>
          <w:szCs w:val="28"/>
          <w:rtl w:val="true"/>
          <w:lang w:bidi="ar-SA"/>
        </w:rPr>
        <w:t>.</w:t>
      </w:r>
      <w:r>
        <w:rPr>
          <w:rStyle w:val="FootnoteAnchor"/>
          <w:rtl w:val="true"/>
        </w:rPr>
        <w:footnoteReference w:id="630"/>
      </w:r>
    </w:p>
    <w:p>
      <w:pPr>
        <w:pStyle w:val="Heading4"/>
        <w:numPr>
          <w:ilvl w:val="3"/>
          <w:numId w:val="1"/>
        </w:numPr>
        <w:rPr/>
      </w:pPr>
      <w:bookmarkStart w:id="829" w:name="__RefHeading___Toc1366501_388300464"/>
      <w:bookmarkStart w:id="830" w:name="_Toc325"/>
      <w:bookmarkEnd w:id="829"/>
      <w:r>
        <w:rPr>
          <w:rtl w:val="true"/>
        </w:rPr>
        <w:t>تتمة</w:t>
      </w:r>
      <w:bookmarkEnd w:id="830"/>
    </w:p>
    <w:p>
      <w:pPr>
        <w:pStyle w:val="BookText"/>
        <w:rPr/>
      </w:pPr>
      <w:r>
        <w:rPr>
          <w:rFonts w:ascii="Amiri" w:hAnsi="Amiri" w:eastAsia="Amiri" w:cs="Amiri"/>
          <w:color w:val="111111"/>
          <w:sz w:val="28"/>
          <w:sz w:val="28"/>
          <w:szCs w:val="28"/>
          <w:rtl w:val="true"/>
          <w:lang w:bidi="ar-SA"/>
        </w:rPr>
        <w:t>استدلّ غير واحد من الفقهاء على أنّ الزكاة تتعلّق بالعين، لا بالذمّة،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غير أنّ تعلّقها بالعين يتصوّر على 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التعلّق على نحو الإشاعة، فيكون مستحقّ الزكاة شريك المالك في</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التعلّق على نحو الكلّي في المعيّن، وهذا ما قوّاه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الزكاة متعلّقة بالعين، لكن لا على وجه الإشاعة، بل على وجه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باع قبل أداء الزكاة بعض النصاب صحّ‌، إذا كان مقدار الزكاة باقياً عنده، بخلاف ما إذا باع الكلّ‌، فإنّه بالنسبة إلى مقدار الزكاة يكون فضولياً محتاجاً إلى إجازة الحاكم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التعلّق على نحو تعلّق الحقّ‌، ومعنى ذلك أنّ النصاب كلّه ملك للمالك غير أنّه سبحانه أمره بالتصدّق بجزء منه، وهذا الأمر أوجد حقّاً للفقير ونظيره، دون أن يكون مالكاً بالفعل شيئاً في نفس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النصاب ملك للمالك، ولكنّه مأمور بدفع شيء إلى مستحقّي الزكاة كما أنّ ناذر الصدقة مأمور بصرف ما نذره في مورده، فيتولّد من هذا الحكم التكليفي حكم وضعي، وهو تعلّق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المالك، فيعدّ ملك المالك وثيقة لمستحقّي الزكاة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أنّ التعلّق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حقّ لمستحقّ الزكاة بمال المالك، هو الارتكاز العرفي في الضرائب العرفية، فإنّ دائرة الضرائب التي وظيفتها جباية الضرائب لاترى نفسها مالكة بالفعل على نحو الإشاعة أو الكلّي في المعيّن للأموال التي اكتسبها التاجر أو الكاسب، وإنّماترى صاحب الأرباح مكلّفاً من جانب الدولة بإخراج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الأرباح التي اكتسبها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السنة أو السنة الماضية، فأوجد ذلك التكليف، حقّاً لدائرة الضرائب لأن تطلب منه ما فرضته الدولة، وترى نفسها محقّة في هذا الطلب والأخذ على نحو لا تملك إلّابدفع المالك، وأخذ الجابي، والتفصيل في محلّه</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يتغيّر حكم قسم من الأحكام المذكورة في الرسائل العملية في مورد التصرّف في المال الزكوي قبل إخراج زكاتها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31" w:name="pg14912_141398"/>
    </w:p>
    <w:p>
      <w:pPr>
        <w:pStyle w:val="BookText"/>
        <w:rPr/>
      </w:pPr>
      <w:bookmarkEnd w:id="831"/>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32" w:name="__RefHeading___Toc1366503_388300464"/>
      <w:bookmarkStart w:id="833" w:name="_Toc326"/>
      <w:bookmarkEnd w:id="832"/>
      <w:r>
        <w:rPr/>
        <w:t>4</w:t>
      </w:r>
      <w:r>
        <w:rPr>
          <w:rtl w:val="true"/>
        </w:rPr>
        <w:t xml:space="preserve">. </w:t>
      </w:r>
      <w:r>
        <w:rPr>
          <w:rtl w:val="true"/>
        </w:rPr>
        <w:t>مصارف الزكاة</w:t>
      </w:r>
      <w:bookmarkEnd w:id="833"/>
    </w:p>
    <w:p>
      <w:pPr>
        <w:pStyle w:val="Heading4"/>
        <w:numPr>
          <w:ilvl w:val="3"/>
          <w:numId w:val="1"/>
        </w:numPr>
        <w:rPr/>
      </w:pPr>
      <w:bookmarkStart w:id="834" w:name="__RefHeading___Toc1366505_388300464"/>
      <w:bookmarkStart w:id="835" w:name="_Toc327"/>
      <w:bookmarkEnd w:id="834"/>
      <w:r>
        <w:rPr>
          <w:rtl w:val="true"/>
        </w:rPr>
        <w:t>الآية الرابعة</w:t>
      </w:r>
      <w:bookmarkEnd w:id="835"/>
    </w:p>
    <w:p>
      <w:pPr>
        <w:pStyle w:val="Heading5"/>
        <w:numPr>
          <w:ilvl w:val="4"/>
          <w:numId w:val="1"/>
        </w:numPr>
        <w:rPr/>
      </w:pPr>
      <w:bookmarkStart w:id="836" w:name="__RefHeading___Toc1366507_388300464"/>
      <w:bookmarkStart w:id="837" w:name="_Toc328"/>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w:t>
      </w:r>
      <w:r>
        <w:rPr>
          <w:rStyle w:val="FootnoteAnchor"/>
          <w:rtl w:val="true"/>
        </w:rPr>
        <w:footnoteReference w:id="634"/>
      </w:r>
    </w:p>
    <w:p>
      <w:pPr>
        <w:pStyle w:val="Heading5"/>
        <w:numPr>
          <w:ilvl w:val="4"/>
          <w:numId w:val="1"/>
        </w:numPr>
        <w:rPr/>
      </w:pPr>
      <w:bookmarkStart w:id="838" w:name="__RefHeading___Toc1366509_388300464"/>
      <w:bookmarkStart w:id="839" w:name="_Toc329"/>
      <w:bookmarkEnd w:id="838"/>
      <w:r>
        <w:rPr>
          <w:rtl w:val="true"/>
        </w:rPr>
        <w:t>المفردات</w:t>
      </w:r>
      <w:bookmarkEnd w:id="839"/>
    </w:p>
    <w:p>
      <w:pPr>
        <w:pStyle w:val="BookText"/>
        <w:rPr/>
      </w:pP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الزكوات، بقرينة الآية السابقة،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 فَإِنْ أُعْطُوا مِنْها رَضُوا وَ إِنْ لَمْ يُعْطَوْا مِنْها إِذا هُمْ يَسْخَطُونَ‌</w:t>
      </w:r>
      <w:r>
        <w:rPr>
          <w:rFonts w:eastAsia="Amiri" w:cs="Amiri" w:ascii="Amiri" w:hAnsi="Amiri"/>
          <w:color w:val="111111"/>
          <w:sz w:val="28"/>
          <w:szCs w:val="28"/>
          <w:rtl w:val="true"/>
          <w:lang w:bidi="ar-SA"/>
        </w:rPr>
        <w:t>) .</w:t>
      </w:r>
      <w:r>
        <w:rPr>
          <w:rStyle w:val="FootnoteAnchor"/>
          <w:rtl w:val="true"/>
        </w:rPr>
        <w:footnoteReference w:id="635"/>
      </w:r>
      <w:r>
        <w:rPr>
          <w:rFonts w:ascii="Amiri" w:hAnsi="Amiri" w:eastAsia="Amiri" w:cs="Amiri"/>
          <w:color w:val="111111"/>
          <w:sz w:val="28"/>
          <w:sz w:val="28"/>
          <w:szCs w:val="28"/>
          <w:rtl w:val="true"/>
          <w:lang w:bidi="ar-SA"/>
        </w:rPr>
        <w:t>ولكن يظهر من شأن النزول أنّها أعمّ من الزكوات والغنائم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ستقرأ الفرق بينهما في التفسير</w:t>
      </w:r>
      <w:r>
        <w:rPr>
          <w:rFonts w:eastAsia="Amiri" w:cs="Amiri" w:ascii="Amiri" w:hAnsi="Amiri"/>
          <w:color w:val="111111"/>
          <w:sz w:val="28"/>
          <w:szCs w:val="28"/>
          <w:rtl w:val="true"/>
          <w:lang w:bidi="ar-SA"/>
        </w:rPr>
        <w:t>.</w:t>
      </w:r>
      <w:bookmarkStart w:id="840" w:name="pg14912_141399"/>
    </w:p>
    <w:p>
      <w:pPr>
        <w:pStyle w:val="Heading5"/>
        <w:numPr>
          <w:ilvl w:val="4"/>
          <w:numId w:val="1"/>
        </w:numPr>
        <w:rPr/>
      </w:pPr>
      <w:bookmarkStart w:id="841" w:name="__RefHeading___Toc1366511_388300464"/>
      <w:bookmarkStart w:id="842" w:name="_Toc330"/>
      <w:bookmarkEnd w:id="840"/>
      <w:bookmarkEnd w:id="841"/>
      <w:r>
        <w:rPr>
          <w:rtl w:val="true"/>
        </w:rPr>
        <w:t>التفسير</w:t>
      </w:r>
      <w:bookmarkEnd w:id="842"/>
    </w:p>
    <w:p>
      <w:pPr>
        <w:pStyle w:val="BookText"/>
        <w:rPr/>
      </w:pPr>
      <w:r>
        <w:rPr>
          <w:rFonts w:ascii="Amiri" w:hAnsi="Amiri" w:eastAsia="Amiri" w:cs="Amiri"/>
          <w:color w:val="111111"/>
          <w:sz w:val="28"/>
          <w:sz w:val="28"/>
          <w:szCs w:val="28"/>
          <w:rtl w:val="true"/>
          <w:lang w:bidi="ar-SA"/>
        </w:rPr>
        <w:t>الآية بصدد بيان مصارف الزكاة الثمانية، وقبل التفسير نشير إلى ما في الآية من نكات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ابتدأ سبحانه الآية بأداة الحصر،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ردّ لمز المنافقين وغيرهم كما جاء في الآية المتقدّمة، فردّ عليهم ببيان مصارف الصدقات الثمانية وإنّها إمّا لهم أو يُصرف فيهم وليس للنبيّ صلى الله عليه و آله و سلم التجاوز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للتمليك، فالجميع يملك بحكم اللام المذكورة في المعطوف عليه، أو المقدّرة كما في المعطوف المجرّد عنها،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 وَ اَلْعامِلِينَ عَلَيْها وَ اَلْمُؤَلَّفَةِ‌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قُرن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أنّه مصرف لها لا مالك، وهذا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العبد لا يملك،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كالجهاد وبناء المساجد والقناطر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مفعول مطلق لفعل مقدّر يدلّ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فرض اللّه الصدقات فريضة، ويحتمل أن تكون منصوبة لكونها حالاً، أي فريضة مؤكّدة لا تعصى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ختمت الآية باسمين شريفين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منه بأنّ تشريع هذه الضريبة، صدر عن علم وحكمة، ومحاسبة دقيقة وأنّ أصحاب الأموال لو قاموا بواجبهم، لسدّوا خلّة الفقراء في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بيان مصارف الزكاة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الفرق بينهما، وقد</w:t>
      </w:r>
    </w:p>
    <w:p>
      <w:pPr>
        <w:pStyle w:val="BookText"/>
        <w:rPr/>
      </w:pPr>
      <w:r>
        <w:rPr>
          <w:rFonts w:ascii="Amiri" w:hAnsi="Amiri" w:eastAsia="Amiri" w:cs="Amiri"/>
          <w:color w:val="111111"/>
          <w:sz w:val="28"/>
          <w:sz w:val="28"/>
          <w:szCs w:val="28"/>
          <w:rtl w:val="true"/>
          <w:lang w:bidi="ar-SA"/>
        </w:rPr>
        <w:t>ذكروا في الفرق بينهما وجوهاً</w:t>
      </w:r>
      <w:r>
        <w:rPr>
          <w:rStyle w:val="FootnoteAnchor"/>
          <w:rtl w:val="true"/>
        </w:rPr>
        <w:footnoteReference w:id="636"/>
      </w:r>
      <w:r>
        <w:rPr>
          <w:rFonts w:ascii="Amiri" w:hAnsi="Amiri" w:eastAsia="Amiri" w:cs="Amiri"/>
          <w:color w:val="111111"/>
          <w:sz w:val="28"/>
          <w:sz w:val="28"/>
          <w:szCs w:val="28"/>
          <w:rtl w:val="true"/>
          <w:lang w:bidi="ar-SA"/>
        </w:rPr>
        <w:t>، ويمكن استظهار الفرق بينهما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 المسكين مفرداً وجمعاً مرفوعاً ومنصوباً ورد في القرآن ثلاثاً وعشرين مرّة، كما ورد لفظ الفقير كذلك ثلاث عشرة مرّة، والإمعان في الآيات يوضح بأنّ المسكين يتميّز عن الفقير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أسوأ حالاً من الفقير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أي يتيماً ذا قربى من قرابة النسب والرحم، أو مسكيناً قد لصق بالتراب من شدّة فقره وضرّه، وأمّا الفقير فيستعمل في مقابل الغني،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ومن المعلوم أنّ لعدم الغنى مراتب كثيرة وليس كلّ من ليس بغني مسكيناً ذليلاً لاصقاً بالتراب بخلاف المسكين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المسكين من يسأل الناس دون الفقير، ويدل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أي لا يسألون الناس أصلاً، كما في المجمع</w:t>
      </w:r>
      <w:r>
        <w:rPr>
          <w:rStyle w:val="FootnoteAnchor"/>
          <w:rtl w:val="true"/>
        </w:rPr>
        <w:footnoteReference w:id="640"/>
      </w:r>
      <w:r>
        <w:rPr>
          <w:rFonts w:ascii="Amiri" w:hAnsi="Amiri" w:eastAsia="Amiri" w:cs="Amiri"/>
          <w:color w:val="111111"/>
          <w:sz w:val="28"/>
          <w:sz w:val="28"/>
          <w:szCs w:val="28"/>
          <w:rtl w:val="true"/>
          <w:lang w:bidi="ar-SA"/>
        </w:rPr>
        <w:t>، بخلاف المسكين فهو من يسأل الناس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فَانْطَلَقُوا وَ هُمْ يَتَخافَتُونَ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يَدْخُلَنَّهَا اَلْيَوْمَ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مِسْكِينٌ‌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فدخول المسكين علامة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استفدناه من الآية من الفرقين أُشير إليه في روايات أئمة أهل البيت عليهم السلام ونكتفي هنا بذكر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أحدهما عليهما السلام أنّه سأله عن الفقير والمسكين‌؟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الفقير الذي لا يسأل،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أجهد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المنصوبون من قبل الإمام أو نائبه الخاص أو العام لأخذ الزكوات وضبطها وحسابها وإيصالها إليه، فإنّ العامل يستحقّ منها سهماً في مقابل عمله وإن كان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الإمام أن يبعث ساعياً لتحصيل الصدقات من أربابها لأنّ النبي صلى الله عليه و آله و سلم كان يبعثهم في كلّ عام فيجب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تحصيل الزكاة غالباً إنّما يتمّ به وتحصيل الزكاة واجب فيجب ما لا يتم إلّابه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ويشترط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والإيمان والعدالة، كما يشترط معرفة المسائل المتعلّقة بعملهم اجتهاداً أو تقليداً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يراد من إعطائهم ألفتهم وميلهم إلى الإسلام أو إلى معاونة المسلمين في الجهاد مع الكفّار أو الدفاع، ومن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العقول من المسلمين لتقوية اعتقادهم، أو لإمالتهم للمعاونة في الجهاد أو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سبحانه عن هذا الصنف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السياق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 الزكاة تصرف في طريق مصالحهم من فكّهم وعتقهم دون التمليك لهم،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فسّره الطبرسي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فكّ الرقاب من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مطلقاً أو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تحت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عتق العبد مع عدم وجود المستحقّ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ركبتهم الديون وعجزوا عن أدائها وإن كانوا مالكين لقوت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سبل الخير من الجهاد وبناء القناطر والمدارس والخانات والمساجد وتعميرها وتخليص المسلمين من يد الظالمين ونحو ذلك من المصالح كإصلاح ذات البين ودفع وقوع الشرور والفتن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المسافر الذي نفدت نفقته، أو فقد وسيلة سفره، بحيث لا يقدر مع ذلك على السفر والعودة إلى أهله، وإن كان غنيّاً في وطنه، بشرط عدم تمكّنه من الاستدانة أو بيع ما يملكه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المصارف الثمانية للزكاة، والتفصيل في كلّ واحد منها والشروط اللازمة في دفع الزكاة إليهم يحتاج إلى بسط في الكلام، وقد بسطنا الكلام فيها في</w:t>
      </w:r>
      <w:bookmarkStart w:id="843" w:name="pg14912_141403"/>
    </w:p>
    <w:p>
      <w:pPr>
        <w:pStyle w:val="BookText"/>
        <w:rPr/>
      </w:pPr>
      <w:bookmarkEnd w:id="843"/>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في الشريعة الإسلامية الغرّاء</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ثمّ إنّه سبحانه ختم الآية باسمين من أسمائه الحسنى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مقدّرة واجبة قدّرها اللّه وختمها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بحاجات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فرض عليهم</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366513_388300464"/>
      <w:bookmarkStart w:id="845" w:name="_Toc331"/>
      <w:bookmarkEnd w:id="844"/>
      <w:r>
        <w:rPr>
          <w:rtl w:val="true"/>
        </w:rPr>
        <w:t>بحوث حول الزكاة</w:t>
      </w:r>
      <w:bookmarkEnd w:id="8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إحدى المنابع المالية للحكومة الإسلامية، وقد استأثرت باهتمام الفقهاء منذ رحيل النبي صلى الله عليه و آله و سلم إلى يومنا هذا، وقد جاء ذكرها في القرآن الكريم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وقُرنت بالصلاة في موارد كثيرة، وقد تضافرت الروايات على وجوبها</w:t>
      </w:r>
      <w:r>
        <w:rPr>
          <w:rStyle w:val="FootnoteAnchor"/>
          <w:rtl w:val="true"/>
        </w:rPr>
        <w:footnoteReference w:id="645"/>
      </w:r>
      <w:r>
        <w:rPr>
          <w:rFonts w:ascii="Amiri" w:hAnsi="Amiri" w:eastAsia="Amiri" w:cs="Amiri"/>
          <w:color w:val="111111"/>
          <w:sz w:val="28"/>
          <w:sz w:val="28"/>
          <w:szCs w:val="28"/>
          <w:rtl w:val="true"/>
          <w:lang w:bidi="ar-SA"/>
        </w:rPr>
        <w:t xml:space="preserve">حتى عدّ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من ضروريات الدين، ومنكره مع العلم به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أنّ إنكار وجوبها عند المنكر يلازم إنكار الرسالة للنبي الأكرم صلى الله عليه و آله و سلم، وقد ثبت في محلّه أنّ الإسلام شهادة أن لا إله إلّااللّه والتصديق برسول اللّه، وبه حقنت الدماء وعليه جرت المناكح والمواريث</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الآيات على أنّ للفقراء والمساكين سهماً في الصدقات وربما يتوهّم من ذلك تثبيت الفقر والمسكنة في المجتمع الإسلامي، إذ لولا الفقر والحاجة لما كان لسهمهما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باطل، لوجوه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أنّه لو كان في المجتمع فقير أو مسكين فتسدّ حاجاتهم</w:t>
      </w:r>
    </w:p>
    <w:p>
      <w:pPr>
        <w:pStyle w:val="BookText"/>
        <w:rPr/>
      </w:pPr>
      <w:r>
        <w:rPr>
          <w:rFonts w:ascii="Amiri" w:hAnsi="Amiri" w:eastAsia="Amiri" w:cs="Amiri"/>
          <w:color w:val="111111"/>
          <w:sz w:val="28"/>
          <w:sz w:val="28"/>
          <w:szCs w:val="28"/>
          <w:rtl w:val="true"/>
          <w:lang w:bidi="ar-SA"/>
        </w:rPr>
        <w:t>عن طريق الصدقات، وقد ثبت في محلّه أنّ صدق القضايا الحقيقية أو الشرطية لا يلازم وجود الموضوع قطعاً؛ بل يكفي في صدقهما فرض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وجد الفقير والمسكين فتسدّ حاجاتهما بالصدقات، وإلّا فتصرف في الموارد الستة الواردة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خلوّ المجتمع من الفقير والمسكين أمر مثالي، فتاريخ الإنسان على البسيطة يشهد على أنّه لم يوجد مجتمع إلى الآن خالٍ من الفقر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العوامل المسبّبة لوجودهما لا تنحصر بسوء تدبير الدولة أو نقصان قوانينها، بل لوجود عوامل أُخرى خارجة عن سيطرة الحكومة وتدبيرها، مثلاً ربما يموت الوالد أو يقتل أو يجرح، ويبقى الأولاد فقراء، بسبب عدم وجود الضمان الاجتماعي، أو وجوده ولكن ربما يكون غير كاف في رفع حوائجهم، أو أنّه يخسر في تجارته خسارة فادحة يضيع بها رأس ماله، فيصير فقيراً صفر اليدين، فلابد للدولة الإسلامية من ترميم وضعه، إلى غير ذلك من الحالات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للمؤلّفة قلوبهم احتمالات ثلاثة غير أنّ صاحب المنار أسهب في الكلام وذكر أنّ المؤلّفة قلوبهم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ومسلمون، والكفّار ضربان والمسلمون أربعة، فمجموع الفريقين ستة، ثم بسط الكلام في بيان كلٍّ‌، فمن أراد فليرجع إليه</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الذي يجب ذكره أنّ مدرسة الخلافة قد أسقطت سهم المؤلّفة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قلوبهم وقد جرت سيرة النبي صلى الله عليه و آله و سلم على دفع السهام إليهم، لكن لمّا ولي أبو بكر جاء المؤلّفة قلوبهم لاستيفاء سهمهم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عادتهم مع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لهم بذلك، فذهبوا بكتابه إلى عمر ليأخذوا خطه عليه، فمزّقه،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بكم فقد أعزّ اللّه الإسلام وأغنى عنكم، فإن أسلمتم وإلّا فالسيف بيننا وبينكم؛ فرجعوا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إن شاء اللّه تعالى، وأمضى ما فعله عمر</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فاستقرّ الأمر لدى الخليفتين ومَن يرى رأيهما على سقوط سهم المؤلّفة قلوبهم، وصرفه إلى مَن عداهم من الأصناف المذكورين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السنّة برّروا عمل الخليفتين بتغيّر المصلحة بتغيّر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اجتهاد من عمر بأنّه ليس من المصلحة استمرار هذا التأليف لهذين الرجلين الطامعين وأمثالهما بعد الأمن من ضرر ارتدادهما لو ارتدّا، لأنّ الإسلام قد ثبت في أقوامهما حتى أنّه لا يترتّب على 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فتنة</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زعمه صاحب المنار من السبب لتبرير عمل الخليفة، لم يستقرّ حجر على حجر، إذ ربما يكون مدعاة لترك كثير من الأحكام بزعم فقدان المصلحة والأمن من المفسدة، وهذا يجرّ لفتح باب الاجتهاد أمام النصّ‌، وعلى ذلك بنى الخليفة حكمه في نفاذ الطلاق لو أُجري ثلاثاً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 صلى الله عليه و آله و سلم وأبي بكر وسنتين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 عليهم، فأمضاه عليهم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الفقهاء من السنّة والشيعة على حرمة الصدقات الواجبة على الهاشمي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الخرقي في متن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لبني هاشم ولا لمواليهم، والمراد من الموالي مَن اعتقهم الهاشمي، وقال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في أنّ بني هاشم لا تحلّ لهم الصدقة المفروضة، وقد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الصدقة لا تنبغي لآل محمد وإنّما هي من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الحسن تمرة من تمر الصدقة،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كخ 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شعرت أنّا لا نأكل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متّفق عليه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وقد تضافرت الروايات عن أئمّة أهل البيت عليهم السلام على حرمة الصدقة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سبحانه عوّضهم برفع حاجاتهم عن طريق الخمس من الغنائم وغيرها، والتفصيل يطلب من الموسوعات الفقهية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الفقر في العاملين على الزكاة، فإنّ الزكاة كالأُجرة لعملهم، إنّما الكلام في شرطية الفقر في صرف الزكاة في سبيل اللّه كالغازي وإحجاج الغني للحج، والتفصيل يطلب من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46" w:name="pg14912_141407"/>
    </w:p>
    <w:p>
      <w:pPr>
        <w:pStyle w:val="BookText"/>
        <w:rPr/>
      </w:pPr>
      <w:bookmarkEnd w:id="846"/>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47" w:name="__RefHeading___Toc1366515_388300464"/>
      <w:bookmarkStart w:id="848" w:name="_Toc332"/>
      <w:bookmarkEnd w:id="847"/>
      <w:r>
        <w:rPr/>
        <w:t>5</w:t>
      </w:r>
      <w:r>
        <w:rPr>
          <w:rtl w:val="true"/>
        </w:rPr>
        <w:t xml:space="preserve">. </w:t>
      </w:r>
      <w:r>
        <w:rPr>
          <w:rtl w:val="true"/>
        </w:rPr>
        <w:t>إخراج الطيّب من الأموال للزكاة</w:t>
      </w:r>
      <w:bookmarkEnd w:id="848"/>
    </w:p>
    <w:p>
      <w:pPr>
        <w:pStyle w:val="Heading4"/>
        <w:numPr>
          <w:ilvl w:val="3"/>
          <w:numId w:val="1"/>
        </w:numPr>
        <w:rPr/>
      </w:pPr>
      <w:bookmarkStart w:id="849" w:name="__RefHeading___Toc1366517_388300464"/>
      <w:bookmarkStart w:id="850" w:name="_Toc333"/>
      <w:bookmarkEnd w:id="849"/>
      <w:r>
        <w:rPr>
          <w:rtl w:val="true"/>
        </w:rPr>
        <w:t>الآية الخامسة</w:t>
      </w:r>
      <w:bookmarkEnd w:id="850"/>
    </w:p>
    <w:p>
      <w:pPr>
        <w:pStyle w:val="Heading5"/>
        <w:numPr>
          <w:ilvl w:val="4"/>
          <w:numId w:val="1"/>
        </w:numPr>
        <w:rPr/>
      </w:pPr>
      <w:bookmarkStart w:id="851" w:name="__RefHeading___Toc1366519_388300464"/>
      <w:bookmarkStart w:id="852" w:name="_Toc334"/>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 .</w:t>
      </w:r>
      <w:r>
        <w:rPr>
          <w:rStyle w:val="FootnoteAnchor"/>
          <w:rtl w:val="true"/>
        </w:rPr>
        <w:footnoteReference w:id="652"/>
      </w:r>
    </w:p>
    <w:p>
      <w:pPr>
        <w:pStyle w:val="Heading5"/>
        <w:numPr>
          <w:ilvl w:val="4"/>
          <w:numId w:val="1"/>
        </w:numPr>
        <w:rPr/>
      </w:pPr>
      <w:bookmarkStart w:id="853" w:name="__RefHeading___Toc1366521_388300464"/>
      <w:bookmarkStart w:id="854" w:name="_Toc335"/>
      <w:bookmarkEnd w:id="853"/>
      <w:r>
        <w:rPr>
          <w:rtl w:val="true"/>
        </w:rPr>
        <w:t>المفردات</w:t>
      </w:r>
      <w:bookmarkEnd w:id="85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الطيّب وهو الرديء من كلّ شيء، وأُريد به ما لا يأخذه المنفق عليه إلّابإغماض بقرينة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لَسْتُمْ بِآخِذِيهِ إِلاّ أَنْ 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الخبيث بالحرام، بعيد عن سياق الآية</w:t>
      </w:r>
      <w:r>
        <w:rPr>
          <w:rFonts w:eastAsia="Amiri" w:cs="Amiri" w:ascii="Amiri" w:hAnsi="Amiri"/>
          <w:color w:val="111111"/>
          <w:sz w:val="28"/>
          <w:szCs w:val="28"/>
          <w:rtl w:val="true"/>
          <w:lang w:bidi="ar-SA"/>
        </w:rPr>
        <w:t>.</w:t>
      </w:r>
      <w:bookmarkStart w:id="855" w:name="pg14912_141408"/>
    </w:p>
    <w:p>
      <w:pPr>
        <w:pStyle w:val="BookText"/>
        <w:rPr/>
      </w:pPr>
      <w:bookmarkEnd w:id="855"/>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التيمّم بمعنى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العين في الآية كناية عن التسامح والتساهل في البيع والشراء، فكأنّ المتساهل يغمض عينه ويقبل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وهو ضد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1366523_388300464"/>
      <w:bookmarkStart w:id="857" w:name="_Toc336"/>
      <w:bookmarkEnd w:id="856"/>
      <w:r>
        <w:rPr>
          <w:rtl w:val="true"/>
        </w:rPr>
        <w:t>التفسير</w:t>
      </w:r>
      <w:bookmarkEnd w:id="857"/>
    </w:p>
    <w:p>
      <w:pPr>
        <w:pStyle w:val="BookText"/>
        <w:rPr/>
      </w:pPr>
      <w:r>
        <w:rPr>
          <w:rFonts w:ascii="Amiri" w:hAnsi="Amiri" w:eastAsia="Amiri" w:cs="Amiri"/>
          <w:color w:val="111111"/>
          <w:sz w:val="28"/>
          <w:sz w:val="28"/>
          <w:szCs w:val="28"/>
          <w:rtl w:val="true"/>
          <w:lang w:bidi="ar-SA"/>
        </w:rPr>
        <w:t>هاتان الآيتان ناظرتان إلى طبيعة المخرَج بعنوان الزكاة، واللّه يأمر الأغنياء أن ينفقوا أطيب الأموال لا أردأها، معلّلاً بأنّ المنفق لا يقبل الأردأ في مقام المعاملة إلّا بغمض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تنتقل الآية إلى غرض آخر وهو أنّ الشيطان بوسوسته، يصدّ الناس عن إنفاق المال، ويغريه بأنّه ربما يفتقر ويحتاج إليه، واللّه سبحانه يرد عليه بأمرين بمعنى أنّ الإنفاق يوجب المغفرة ووفرة المال وزيادته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فلندخل في تفسير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تملكون،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التجارة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أَخْرَجْنا لَكُمْ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المعادن والزراعة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غير فرق بين الإنفاق الواجب كالزكاة، أو المستحبّ كسائر الإنفاقات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تأكيداً على إنفاق أطيب الأموال ينهى عن إنفاق الأردأ،</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الأردأ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كسبتم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الأردأ، أي اجعلوا إنفاقكم من أفضل ما تملكون، فساووا بينكم وبين غيركم، فبما أنّكم لا تأخذون الأردأ في مقام المعاملة، فكذلك تعاملوا مع غيره معاملة النفس،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لَسْتُمْ بِآخِذِيهِ‌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والضمير يرجع إلى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تتنازلوا وتتساهلوا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ختمت الآية باسمين كريمين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إنفاقكم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محمود على نعمائه، فلو فرض عليكم الإنفاق فلمصلحتكم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أبي بصير 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القوم قد كسبوا مكاسب سوء في الجاهلية، فلمّا أسلموا أرادوا أن يخرجوها من أموالهم ليتصدّقوا بها فأبى اللّه تبارك وتعالى إلّاأن يخرجوا من أطيب ما كسبوا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وروى العياشي عن الإمام جعفر بن محمد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المدينة يأتون بصدقة الفطر إلى مسجد رسول اللّه صلى الله عليه و آله و سلم وفيه عذق يسمّى الجعرور وعذق يسمى معافارة، كانا عظيم نواهما، رقيق لحاهما في طعمهما مرارة، فقال رسول اللّه صلى الله عليه و آله و سلم للخارص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 عليهم هذين اللونين لعلّهم يستحيون لا يأتون بهما،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 .</w:t>
      </w:r>
      <w:r>
        <w:rPr>
          <w:rStyle w:val="FootnoteAnchor"/>
          <w:rtl w:val="true"/>
        </w:rPr>
        <w:footnoteReference w:id="65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قوم كانوا يأتون بالحشف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فيدخلونه في تمر الصدقة؛ عن علي عليه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يقبل الصدقات ولا يقبل منها إلّاالطيّب</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ثمّ إنّ الدافع الذي يدعو بعض المنفقين إلى إنفاق الأردأ بحفظ الأطيب إلى أنفسهم هو أنّهم يخافون الفقر في المستقبل العاجل، فيدخرون الأطيب لأنفسهم، وينفقون الأردأ الذي لا يرغب فيه إلّاالفقير المدقع، واللّه سبحانه يردّ هذه الفكرة بأنّها فكرة شيطانية لا رحمانية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ويوسوس في نفوسكم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يَأْمُرُكُمْ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أُريد البخل، فإنّ البخل عند عامّة الناس من أقبح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يعد به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 مهمّين،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الحسنات يذهبن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عليكم خيراً من صدقتكم ويتفضّل عليكم بالزيادة في أرزاقكم، وكأنّ من سنة اللّه تعالى أن يخلف على المنفق بما يسهل له من أسباب الرزق، ويرفع من شأنه في القلوب، وأن يحرم البخيل عن مثل ذلك، وعلى هذا فاللّه سبحانه وعد المنفق بجزائين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الدنيا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ختمت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ذو سعة وغنى لا يحتاج إلى أحد وإنّما يأمركم بالإنفاق لأجل مصالحكم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 العباد وأغراضهم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58" w:name="pg14912_141411"/>
    </w:p>
    <w:p>
      <w:pPr>
        <w:pStyle w:val="BookText"/>
        <w:rPr/>
      </w:pPr>
      <w:bookmarkEnd w:id="858"/>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59" w:name="__RefHeading___Toc1366525_388300464"/>
      <w:bookmarkStart w:id="860" w:name="_Toc337"/>
      <w:bookmarkEnd w:id="859"/>
      <w:r>
        <w:rPr/>
        <w:t>6</w:t>
      </w:r>
      <w:r>
        <w:rPr>
          <w:rtl w:val="true"/>
        </w:rPr>
        <w:t xml:space="preserve">. </w:t>
      </w:r>
      <w:r>
        <w:rPr>
          <w:rtl w:val="true"/>
        </w:rPr>
        <w:t>قصد التقرّب إلى اللّه في إعطاء الزكاة</w:t>
      </w:r>
      <w:bookmarkEnd w:id="860"/>
    </w:p>
    <w:p>
      <w:pPr>
        <w:pStyle w:val="Heading4"/>
        <w:numPr>
          <w:ilvl w:val="3"/>
          <w:numId w:val="1"/>
        </w:numPr>
        <w:rPr/>
      </w:pPr>
      <w:bookmarkStart w:id="861" w:name="__RefHeading___Toc1366527_388300464"/>
      <w:bookmarkStart w:id="862" w:name="_Toc338"/>
      <w:bookmarkEnd w:id="861"/>
      <w:r>
        <w:rPr>
          <w:rtl w:val="true"/>
        </w:rPr>
        <w:t>الآية السادسة</w:t>
      </w:r>
      <w:bookmarkEnd w:id="862"/>
    </w:p>
    <w:p>
      <w:pPr>
        <w:pStyle w:val="Heading5"/>
        <w:numPr>
          <w:ilvl w:val="4"/>
          <w:numId w:val="1"/>
        </w:numPr>
        <w:rPr/>
      </w:pPr>
      <w:bookmarkStart w:id="863" w:name="__RefHeading___Toc1366529_388300464"/>
      <w:bookmarkStart w:id="864" w:name="_Toc339"/>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فَلِأَنْفُسِكُمْ وَ ما تُنْفِقُونَ إِلاَّ اِبْتِغاءَ وَجْهِ اَللّهِ وَ ما تُنْفِقُوا مِنْ خَيْرٍ يُوَفَّ إِلَيْكُمْ وَ أَنْتُمْ لا تُظْلَمُونَ‌</w:t>
      </w:r>
      <w:r>
        <w:rPr>
          <w:rFonts w:eastAsia="Amiri" w:cs="Amiri" w:ascii="Amiri" w:hAnsi="Amiri"/>
          <w:color w:val="111111"/>
          <w:sz w:val="28"/>
          <w:szCs w:val="28"/>
          <w:rtl w:val="true"/>
          <w:lang w:bidi="ar-SA"/>
        </w:rPr>
        <w:t>) .</w:t>
      </w:r>
      <w:r>
        <w:rPr>
          <w:rStyle w:val="FootnoteAnchor"/>
          <w:rtl w:val="true"/>
        </w:rPr>
        <w:footnoteReference w:id="657"/>
      </w:r>
    </w:p>
    <w:p>
      <w:pPr>
        <w:pStyle w:val="Heading5"/>
        <w:numPr>
          <w:ilvl w:val="4"/>
          <w:numId w:val="1"/>
        </w:numPr>
        <w:rPr/>
      </w:pPr>
      <w:bookmarkStart w:id="865" w:name="__RefHeading___Toc1366531_388300464"/>
      <w:bookmarkStart w:id="866" w:name="_Toc340"/>
      <w:bookmarkEnd w:id="865"/>
      <w:r>
        <w:rPr>
          <w:rtl w:val="true"/>
        </w:rPr>
        <w:t>التفسير</w:t>
      </w:r>
      <w:bookmarkEnd w:id="86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فريضة ماليّة وفي الوقت نفسه فريضة قربية، لا عباديّة</w:t>
      </w:r>
      <w:r>
        <w:rPr>
          <w:rStyle w:val="FootnoteAnchor"/>
          <w:rtl w:val="true"/>
        </w:rPr>
        <w:footnoteReference w:id="658"/>
      </w:r>
      <w:r>
        <w:rPr>
          <w:rFonts w:ascii="Amiri" w:hAnsi="Amiri" w:eastAsia="Amiri" w:cs="Amiri"/>
          <w:color w:val="111111"/>
          <w:sz w:val="28"/>
          <w:sz w:val="28"/>
          <w:szCs w:val="28"/>
          <w:rtl w:val="true"/>
          <w:lang w:bidi="ar-SA"/>
        </w:rPr>
        <w:t>يتقرب بها، وليس كسائر الواجبات التوصلية التي لا تحتاج إلى قصد التقرّب، كدفن الموتى وجواب السلام، بل يلزم أن يكون الإعطاء طلباً لمرضاة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تشتمل على مقاطع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فَلِأَنْفُسِكُمْ‌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هذه الفقرة هي التنبيه على أنّ ساحة الداعي منزّهة عن الانتفاع بالإنفاق، وإنّما يعود نفعه إلى المدعوين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جملة حاليّة وقيد للفقرة السابقة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تنفقوا من خير فلأنفسكم في حال أنّكم لا تنفقونه 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بوجه اللّه، ذات اللّه ومرضاته، إذ يطلق الوجه ويراد به الذات،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الفقرة إشارة إلى دفع توهّم، وهو أنّ 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فَلِأَنْفُسِكُمْ‌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شعار بل له 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خَيْرٍ 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التوفية، أي يؤدّ إليكم كاملاً،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لا تُظْلَمُونَ‌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ينقص من أجوركم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أنّ عملية الزكاة لا تُقبل إلّاإذا كانت مقرونة بنية القربة إلى اللّه سبحانه، وبذلك يعلم أنّ العمل الصالح يتقوّم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العمل صالحاً وحسناً ينتفع به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الباعث للعمل هو النية الخالصة عن السمعة والرياء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يفترق المنهج الإصلاحي والتربوي في الإسلام عن المنهج الغربي في ذينك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كلّ عمل يصبح مفيداً للمجتمع يتمتّع عند الغربيّين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بالقبول والتقدير؛ سواء أكان الباعث نيّة هو التقرب إلى اللّه سبحانه أو لرفع الحاجة عن المستضعفين والطبقة الضعيفة، أو كان لأجل تحصيل الأصوات عند الانتخابات، فالميزان كون العمل حسناً فقط دون النية، وهذا بخلاف ما عليه المنهج الإسلامي فلو كان العمل جميلاً ولكن النيّة مشوبة بالآمال المادية، فلا يثاب فاعله ولا يقدّر عمله،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 .</w:t>
      </w:r>
      <w:bookmarkStart w:id="867" w:name="pg14912_141414"/>
    </w:p>
    <w:p>
      <w:pPr>
        <w:pStyle w:val="BookText"/>
        <w:rPr/>
      </w:pPr>
      <w:bookmarkEnd w:id="867"/>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68" w:name="__RefHeading___Toc1366533_388300464"/>
      <w:bookmarkStart w:id="869" w:name="_Toc341"/>
      <w:bookmarkEnd w:id="868"/>
      <w:r>
        <w:rPr/>
        <w:t>7</w:t>
      </w:r>
      <w:r>
        <w:rPr>
          <w:rtl w:val="true"/>
        </w:rPr>
        <w:t xml:space="preserve">. </w:t>
      </w:r>
      <w:r>
        <w:rPr>
          <w:rtl w:val="true"/>
        </w:rPr>
        <w:t>أيّهما أفضل</w:t>
      </w:r>
      <w:r>
        <w:rPr>
          <w:rtl w:val="true"/>
        </w:rPr>
        <w:t xml:space="preserve">: </w:t>
      </w:r>
      <w:r>
        <w:rPr>
          <w:rtl w:val="true"/>
        </w:rPr>
        <w:t>الإبداء بالصدقات أو إخفاؤها؟</w:t>
      </w:r>
      <w:bookmarkEnd w:id="869"/>
    </w:p>
    <w:p>
      <w:pPr>
        <w:pStyle w:val="Heading4"/>
        <w:numPr>
          <w:ilvl w:val="3"/>
          <w:numId w:val="1"/>
        </w:numPr>
        <w:rPr/>
      </w:pPr>
      <w:bookmarkStart w:id="870" w:name="__RefHeading___Toc1366535_388300464"/>
      <w:bookmarkStart w:id="871" w:name="_Toc342"/>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في الإخفاء تكفير لبعض السيّئات</w:t>
      </w:r>
    </w:p>
    <w:p>
      <w:pPr>
        <w:pStyle w:val="Heading4"/>
        <w:numPr>
          <w:ilvl w:val="3"/>
          <w:numId w:val="1"/>
        </w:numPr>
        <w:rPr/>
      </w:pPr>
      <w:bookmarkStart w:id="872" w:name="__RefHeading___Toc1366537_388300464"/>
      <w:bookmarkStart w:id="873" w:name="_Toc343"/>
      <w:bookmarkEnd w:id="872"/>
      <w:r>
        <w:rPr>
          <w:rtl w:val="true"/>
        </w:rPr>
        <w:t>الآية السابعة</w:t>
      </w:r>
      <w:bookmarkEnd w:id="873"/>
    </w:p>
    <w:p>
      <w:pPr>
        <w:pStyle w:val="Heading5"/>
        <w:numPr>
          <w:ilvl w:val="4"/>
          <w:numId w:val="1"/>
        </w:numPr>
        <w:rPr/>
      </w:pPr>
      <w:bookmarkStart w:id="874" w:name="__RefHeading___Toc1366539_388300464"/>
      <w:bookmarkStart w:id="875" w:name="_Toc344"/>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Fonts w:eastAsia="Amiri" w:cs="Amiri" w:ascii="Amiri" w:hAnsi="Amiri"/>
          <w:color w:val="111111"/>
          <w:sz w:val="28"/>
          <w:szCs w:val="28"/>
          <w:rtl w:val="true"/>
          <w:lang w:bidi="ar-SA"/>
        </w:rPr>
        <w:t>) .</w:t>
      </w:r>
      <w:r>
        <w:rPr>
          <w:rStyle w:val="FootnoteAnchor"/>
          <w:rtl w:val="true"/>
        </w:rPr>
        <w:footnoteReference w:id="660"/>
      </w:r>
    </w:p>
    <w:p>
      <w:pPr>
        <w:pStyle w:val="Heading5"/>
        <w:numPr>
          <w:ilvl w:val="4"/>
          <w:numId w:val="1"/>
        </w:numPr>
        <w:rPr/>
      </w:pPr>
      <w:bookmarkStart w:id="876" w:name="__RefHeading___Toc1366541_388300464"/>
      <w:bookmarkStart w:id="877" w:name="_Toc345"/>
      <w:bookmarkEnd w:id="876"/>
      <w:r>
        <w:rPr>
          <w:rtl w:val="true"/>
        </w:rPr>
        <w:t>التفسير</w:t>
      </w:r>
      <w:bookmarkEnd w:id="87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الصالح الذي يتقرّب به العبد إلى اللّه سبحانه ويحصّل على رضاه به، هو العمل المجرّد عن الرياء والسمعة المرفق بالإخلاص، هذا هو ملاك العمل الصالح، سواء أبداه أو أخفاه،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تظهروها وتعلنوها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نعم الشيء إظهارها وإعلانها وليس فيه</w:t>
      </w:r>
    </w:p>
    <w:p>
      <w:pPr>
        <w:pStyle w:val="BookText"/>
        <w:rPr/>
      </w:pPr>
      <w:r>
        <w:rPr>
          <w:rFonts w:ascii="Amiri" w:hAnsi="Amiri" w:eastAsia="Amiri" w:cs="Amiri"/>
          <w:color w:val="111111"/>
          <w:sz w:val="28"/>
          <w:sz w:val="28"/>
          <w:szCs w:val="28"/>
          <w:rtl w:val="true"/>
          <w:lang w:bidi="ar-SA"/>
        </w:rPr>
        <w:t xml:space="preserve">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تُخْفُوها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تستروها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تُؤْتُوهَا اَلْفُقَراءَ‌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تؤدوها إليهم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أبلغ في الثواب، 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مِنْ سَيِّئاتِكُمْ‌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بعض سيئاتكم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أُبهمت السيئات، ومن المعلوم أنّ السيئات الكبيرة لا تُكفّر بالإنفاق، بل لتكفيرها 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تخفى عليه نيّاتكم في الإبداء والإخفاء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الروايات التفصيل بين الإنفاق الواجب و الإنفاق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النوع الأوّل الأفضل هو الإبداء، وفي النوع الثاني الأفضل الإسرار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فرض اللّه عليك فإعلانه أفضل من إسراره، وكلّ ما كان تطوّعاً فإسراره أفضل من إعلانه، ولو أنّ رجلاً حمل زكاة ماله على عاتقه فقسّمها علانية كان ذلك حسناً جميلاً</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وروى علي بن إبراهيم بسنده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الزكاة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النافلة، إنّهم كانوا يستحبون إظهار الفرائض وكتمان النوافل</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وجه الإبداء في الزكاة المفروضة مرغوباً فيه، هو ترغيب الآخرين إلى العمل بالواجب مضافاً إلى أنّ الإخفاء مظنّة الاتّهام، فلذلك يقوم بأداء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التكليف بشكل 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الحاكم الشرعي ويقوم نائبه بجمعها، فليس فيها أي مذلّة وتحقير للمحتاجين لها، فلا إشكال في إعلانها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الصدقة المندوبة، فإنّها تسلّم إلى نفس الفقير والمحتاج، فإسرارها أفضل؛ لأجل حفظ شخصيته وعدم شعوره بذلّة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ورد في الآية ضابطة غالبية، فقد تقتضي المصلحة بإعلان الإنفاق المستحبّ‌، كما لو قام جماعة ببناء المشاريع الخيرية، كالمستشفيات والمدارس، فمن الواضح أنّ الإعلان أفضل من الإخفاء، حيث إنّه يكون باعثاً ومحفِّزاً للآخرين على المشاركة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يشير إلى ما ذُكر،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66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كلمة وهي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تُؤْتُوهَا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مطلق يعم كلّ فقير، سواء أكان موحدّاً أو لا، مسلماً أو غير مسلم، ولو قلنا بالإطلاق فهو يختصّ بالإنفاق المندوب الذي لا يشترط فيه كونه موحّداً أو مسلماً، إلّاأن يكون محارباً متعدّياً،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878" w:name="pg14912_141417"/>
    </w:p>
    <w:p>
      <w:pPr>
        <w:pStyle w:val="BookText"/>
        <w:rPr/>
      </w:pPr>
      <w:bookmarkEnd w:id="878"/>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79" w:name="__RefHeading___Toc1366543_388300464"/>
      <w:bookmarkStart w:id="880" w:name="_Toc346"/>
      <w:bookmarkEnd w:id="879"/>
      <w:r>
        <w:rPr/>
        <w:t>8</w:t>
      </w:r>
      <w:r>
        <w:rPr>
          <w:rtl w:val="true"/>
        </w:rPr>
        <w:t xml:space="preserve">. </w:t>
      </w:r>
      <w:r>
        <w:rPr>
          <w:rtl w:val="true"/>
        </w:rPr>
        <w:t>ما هو اللازم في الإنفاق‌؟</w:t>
      </w:r>
      <w:bookmarkEnd w:id="880"/>
    </w:p>
    <w:p>
      <w:pPr>
        <w:pStyle w:val="Heading4"/>
        <w:numPr>
          <w:ilvl w:val="3"/>
          <w:numId w:val="1"/>
        </w:numPr>
        <w:rPr/>
      </w:pPr>
      <w:bookmarkStart w:id="881" w:name="__RefHeading___Toc1366545_388300464"/>
      <w:bookmarkStart w:id="882" w:name="_Toc347"/>
      <w:bookmarkEnd w:id="881"/>
      <w:r>
        <w:rPr>
          <w:rtl w:val="true"/>
        </w:rPr>
        <w:t>الآية الثامنة</w:t>
      </w:r>
      <w:r>
        <w:rPr>
          <w:rtl w:val="true"/>
        </w:rPr>
        <w:t>:</w:t>
      </w:r>
      <w:bookmarkEnd w:id="882"/>
    </w:p>
    <w:p>
      <w:pPr>
        <w:pStyle w:val="Heading5"/>
        <w:numPr>
          <w:ilvl w:val="4"/>
          <w:numId w:val="1"/>
        </w:numPr>
        <w:rPr/>
      </w:pPr>
      <w:bookmarkStart w:id="883" w:name="__RefHeading___Toc1366547_388300464"/>
      <w:bookmarkStart w:id="884" w:name="_Toc348"/>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خَيْرٌ مِنْ صَدَقَةٍ يَتْبَعُها أَذىً وَ اَللّهُ غَنِيٌّ حَلِيمٌ‌</w:t>
      </w:r>
      <w:r>
        <w:rPr>
          <w:rFonts w:eastAsia="Amiri" w:cs="Amiri" w:ascii="Amiri" w:hAnsi="Amiri"/>
          <w:color w:val="111111"/>
          <w:sz w:val="28"/>
          <w:szCs w:val="28"/>
          <w:rtl w:val="true"/>
          <w:lang w:bidi="ar-SA"/>
        </w:rPr>
        <w:t>) .</w:t>
      </w:r>
      <w:r>
        <w:rPr>
          <w:rStyle w:val="FootnoteAnchor"/>
          <w:rtl w:val="true"/>
        </w:rPr>
        <w:footnoteReference w:id="665"/>
      </w:r>
    </w:p>
    <w:p>
      <w:pPr>
        <w:pStyle w:val="Heading5"/>
        <w:numPr>
          <w:ilvl w:val="4"/>
          <w:numId w:val="1"/>
        </w:numPr>
        <w:rPr/>
      </w:pPr>
      <w:bookmarkStart w:id="885" w:name="__RefHeading___Toc1366549_388300464"/>
      <w:bookmarkStart w:id="886" w:name="_Toc349"/>
      <w:bookmarkEnd w:id="885"/>
      <w:r>
        <w:rPr>
          <w:rtl w:val="true"/>
        </w:rPr>
        <w:t>المفردات</w:t>
      </w:r>
      <w:bookmarkEnd w:id="886"/>
    </w:p>
    <w:p>
      <w:pPr>
        <w:pStyle w:val="BookText"/>
        <w:rPr/>
      </w:pP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يتطاول المعطي على مَن أعطاه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استطالة عليه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التعيير والتوبيخ والاستخفاف</w:t>
      </w:r>
      <w:r>
        <w:rPr>
          <w:rFonts w:eastAsia="Amiri" w:cs="Amiri" w:ascii="Amiri" w:hAnsi="Amiri"/>
          <w:color w:val="111111"/>
          <w:sz w:val="28"/>
          <w:szCs w:val="28"/>
          <w:rtl w:val="true"/>
          <w:lang w:bidi="ar-SA"/>
        </w:rPr>
        <w:t>.</w:t>
      </w:r>
      <w:bookmarkStart w:id="887" w:name="pg14912_141418"/>
    </w:p>
    <w:p>
      <w:pPr>
        <w:pStyle w:val="Heading5"/>
        <w:numPr>
          <w:ilvl w:val="4"/>
          <w:numId w:val="1"/>
        </w:numPr>
        <w:rPr/>
      </w:pPr>
      <w:bookmarkStart w:id="888" w:name="__RefHeading___Toc1366551_388300464"/>
      <w:bookmarkStart w:id="889" w:name="_Toc350"/>
      <w:bookmarkEnd w:id="887"/>
      <w:bookmarkEnd w:id="888"/>
      <w:r>
        <w:rPr>
          <w:rtl w:val="true"/>
        </w:rPr>
        <w:t>التفسير</w:t>
      </w:r>
      <w:bookmarkEnd w:id="889"/>
    </w:p>
    <w:p>
      <w:pPr>
        <w:pStyle w:val="BookText"/>
        <w:rPr/>
      </w:pPr>
      <w:r>
        <w:rPr>
          <w:rFonts w:ascii="Amiri" w:hAnsi="Amiri" w:eastAsia="Amiri" w:cs="Amiri"/>
          <w:color w:val="111111"/>
          <w:sz w:val="28"/>
          <w:sz w:val="28"/>
          <w:szCs w:val="28"/>
          <w:rtl w:val="true"/>
          <w:lang w:bidi="ar-SA"/>
        </w:rPr>
        <w:t>فرض سبحانه على المنفق في سبيل اللّه، الطالب رضاه ومغفرته، أن لا يتبع ما أنفقه بالمنّ والأذى،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هؤلاء المنفقين غير المتبعين إنفاقهم بالمن والأذى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 وَ لا خَوْفٌ عَلَيْهِمْ وَ لا هُمْ يَحْزَنُونَ‌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المعوِز والمعدم فيقول سبحانه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 مَغْفِرَةٌ خَيْرٌ مِنْ صَدَقَةٍ يَتْبَعُها أَذىً وَ اَللّهُ غَنِيٌّ حَلِيمٌ‌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يُرشد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لا يستطيع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يردّوا الفقراء إذا سألوهم بأحد 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يتلطّفوا بالكلام في ردّ السائلين والاعتذار منهم والدعاء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يصدر منهم من إلحاف أو إزعاج في المسألة، فالمواجهة بهاتين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صَدَقَةٍ يَتْبَعُها أَذىً‌</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فالمغني هو اللّه سبحانه،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يغني السائل من سعته، ولكنّه لأجل مصالحكم في الدنيا والآخرة استقرضكم في الصدقة وإعطاء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يا عباد اللّه بالحلم والغفران لما يبدر من السائل</w:t>
      </w:r>
      <w:r>
        <w:rPr>
          <w:rFonts w:eastAsia="Amiri" w:cs="Amiri" w:ascii="Amiri" w:hAnsi="Amiri"/>
          <w:color w:val="111111"/>
          <w:sz w:val="28"/>
          <w:szCs w:val="28"/>
          <w:rtl w:val="true"/>
          <w:lang w:bidi="ar-SA"/>
        </w:rPr>
        <w:t>.</w:t>
      </w:r>
      <w:bookmarkStart w:id="890" w:name="pg14912_141419"/>
    </w:p>
    <w:p>
      <w:pPr>
        <w:pStyle w:val="BookText"/>
        <w:rPr/>
      </w:pPr>
      <w:bookmarkEnd w:id="890"/>
      <w:r>
        <w:rPr>
          <w:rFonts w:ascii="Amiri" w:hAnsi="Amiri" w:eastAsia="Amiri" w:cs="Amiri"/>
          <w:color w:val="111111"/>
          <w:sz w:val="28"/>
          <w:sz w:val="28"/>
          <w:szCs w:val="28"/>
          <w:rtl w:val="true"/>
          <w:lang w:bidi="ar-SA"/>
        </w:rPr>
        <w:t>أحكام الزكاة</w:t>
      </w:r>
    </w:p>
    <w:p>
      <w:pPr>
        <w:pStyle w:val="Heading3"/>
        <w:numPr>
          <w:ilvl w:val="2"/>
          <w:numId w:val="1"/>
        </w:numPr>
        <w:rPr/>
      </w:pPr>
      <w:bookmarkStart w:id="891" w:name="__RefHeading___Toc1366553_388300464"/>
      <w:bookmarkStart w:id="892" w:name="_Toc351"/>
      <w:bookmarkEnd w:id="891"/>
      <w:r>
        <w:rPr/>
        <w:t>9</w:t>
      </w:r>
      <w:r>
        <w:rPr>
          <w:rtl w:val="true"/>
        </w:rPr>
        <w:t xml:space="preserve">. </w:t>
      </w:r>
      <w:r>
        <w:rPr>
          <w:rtl w:val="true"/>
        </w:rPr>
        <w:t>المنع عن إتباع الإنفاق بالمنّ والأذى</w:t>
      </w:r>
      <w:bookmarkEnd w:id="892"/>
    </w:p>
    <w:p>
      <w:pPr>
        <w:pStyle w:val="Heading4"/>
        <w:numPr>
          <w:ilvl w:val="3"/>
          <w:numId w:val="1"/>
        </w:numPr>
        <w:rPr/>
      </w:pPr>
      <w:bookmarkStart w:id="893" w:name="__RefHeading___Toc1366555_388300464"/>
      <w:bookmarkStart w:id="894" w:name="_Toc352"/>
      <w:bookmarkEnd w:id="893"/>
      <w:r>
        <w:rPr>
          <w:rtl w:val="true"/>
        </w:rPr>
        <w:t>الآية التاسعة</w:t>
      </w:r>
      <w:r>
        <w:rPr>
          <w:rtl w:val="true"/>
        </w:rPr>
        <w:t>:</w:t>
      </w:r>
      <w:bookmarkEnd w:id="894"/>
    </w:p>
    <w:p>
      <w:pPr>
        <w:pStyle w:val="Heading5"/>
        <w:numPr>
          <w:ilvl w:val="4"/>
          <w:numId w:val="1"/>
        </w:numPr>
        <w:rPr/>
      </w:pPr>
      <w:bookmarkStart w:id="895" w:name="__RefHeading___Toc1366557_388300464"/>
      <w:bookmarkStart w:id="896" w:name="_Toc353"/>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 .</w:t>
      </w:r>
      <w:r>
        <w:rPr>
          <w:rStyle w:val="FootnoteAnchor"/>
          <w:rtl w:val="true"/>
        </w:rPr>
        <w:footnoteReference w:id="666"/>
      </w:r>
    </w:p>
    <w:p>
      <w:pPr>
        <w:pStyle w:val="Heading5"/>
        <w:numPr>
          <w:ilvl w:val="4"/>
          <w:numId w:val="1"/>
        </w:numPr>
        <w:rPr/>
      </w:pPr>
      <w:bookmarkStart w:id="897" w:name="__RefHeading___Toc1366559_388300464"/>
      <w:bookmarkStart w:id="898" w:name="_Toc354"/>
      <w:bookmarkEnd w:id="897"/>
      <w:r>
        <w:rPr>
          <w:rtl w:val="true"/>
        </w:rPr>
        <w:t>المفردات</w:t>
      </w:r>
      <w:bookmarkEnd w:id="898"/>
    </w:p>
    <w:p>
      <w:pPr>
        <w:pStyle w:val="BookText"/>
        <w:rPr/>
      </w:pP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الرؤية، وسمّي المرائي بذلك كأنّه يفعل ليُري عمله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عظيم القطر شديد الوقع الذي يزيل التراب</w:t>
      </w:r>
      <w:r>
        <w:rPr>
          <w:rFonts w:eastAsia="Amiri" w:cs="Amiri" w:ascii="Amiri" w:hAnsi="Amiri"/>
          <w:color w:val="111111"/>
          <w:sz w:val="28"/>
          <w:szCs w:val="28"/>
          <w:rtl w:val="true"/>
          <w:lang w:bidi="ar-SA"/>
        </w:rPr>
        <w:t>.</w:t>
      </w:r>
      <w:bookmarkStart w:id="899" w:name="pg14912_141420"/>
    </w:p>
    <w:p>
      <w:pPr>
        <w:pStyle w:val="BookText"/>
        <w:rPr/>
      </w:pPr>
      <w:bookmarkEnd w:id="899"/>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صلباً أملس</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366561_388300464"/>
      <w:bookmarkStart w:id="901" w:name="_Toc355"/>
      <w:bookmarkEnd w:id="900"/>
      <w:r>
        <w:rPr>
          <w:rtl w:val="true"/>
        </w:rPr>
        <w:t>التفسير</w:t>
      </w:r>
      <w:bookmarkEnd w:id="901"/>
    </w:p>
    <w:p>
      <w:pPr>
        <w:pStyle w:val="BookText"/>
        <w:rPr/>
      </w:pPr>
      <w:r>
        <w:rPr>
          <w:rFonts w:ascii="Amiri" w:hAnsi="Amiri" w:eastAsia="Amiri" w:cs="Amiri"/>
          <w:color w:val="111111"/>
          <w:sz w:val="28"/>
          <w:sz w:val="28"/>
          <w:szCs w:val="28"/>
          <w:rtl w:val="true"/>
          <w:lang w:bidi="ar-SA"/>
        </w:rPr>
        <w:t>تتضمّن الآية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المن والأذى يبطلان الصدقات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يشبه هؤلاء بالمنفق رآء الناس، ويمثّل واقع عمله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المنّ والأذى يبطلان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الإبطال في الآية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الحبط هو إبطال العمل السيِّئ، الثوابَ المكتوب المفروض، وهذا كالكفر إذا ارتدّ المسلم فيحبط عمله، وأمّا المقام فليس من هذا القبيل؛ وذلك لأنّ ترتّب الثواب على الإنفاق مشروط من أوّل الأمر بعدم صدوره عن رياء أو عدم متابعته بالمنّ والأذى في المستقبل، فإذا تابع عمله بأحدهما فلم يأت بالواجب أو المستحب على النحو المطلوب، فلا يكون هناك ثواب مكتوب حتى يزيله 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استخدام كلمة الإبطال الذي يوحي إلى وجود الثواب والأجر، فيكفي في ذلك وجود المقتضي للأجر وهو الإنفاق، ولا يتوقّف على تحقّق الأجر ومفروضيته على اللّه بالنسبة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توضيح عمل المرائي بالمثال التالي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نفترض أرضاً صفواناً ملساء عليها تراب ضئيل يخيّل لأوّل وهلة أنّها أرض نافعة صالحة للزراعة، فأصابها مطر غزير جرف التراب عنها فتركها صلدة صلبة</w:t>
      </w:r>
    </w:p>
    <w:p>
      <w:pPr>
        <w:pStyle w:val="BookText"/>
        <w:rPr/>
      </w:pPr>
      <w:r>
        <w:rPr>
          <w:rFonts w:ascii="Amiri" w:hAnsi="Amiri" w:eastAsia="Amiri" w:cs="Amiri"/>
          <w:color w:val="111111"/>
          <w:sz w:val="28"/>
          <w:sz w:val="28"/>
          <w:szCs w:val="28"/>
          <w:rtl w:val="true"/>
          <w:lang w:bidi="ar-SA"/>
        </w:rPr>
        <w:t>ملساء لا تصلح لشيء من الزرع،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صَفْوانٍ عَلَيْهِ تُرابٌ فَأَصابَهُ وابِلٌ فَتَرَكَهُ صَلْداً لا يَقْدِرُونَ عَلى شَيْ‌ءٍ مِمّا كَسَبُوا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فعمل المرائي له ظاهر جميل وباطن رديء، فالإنسان غير العارف بحقيقة نية العامل يتخيّل أنّ عمله منتج، كما يتصوّر الإنسانُ الحجرَ الأملس الذي عليه تراب قليل أنّه صالح للنبات، فعندما أصابه مطر غزير شديد الوقع وأزاح التراب عن وجه الحجر تبيّن أنّه حجر أملس لا يصلح للزراعة، وهكذا عمل المرائي إذا انكشفت الوقائع ورفعت الأستار تبيّن أنّه عمل رديء عقيم غير ناتج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فالوابل وإن كان من أظهر أسباب الحياة والنمو وكذا التراب، لكن كون المحلّ صلداً يبطل عمل هذين السببين من غير أن يكون النقص والقصور من جانبهما، فهذا حال الصلد</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فما هو سبب لإنبات النبات على النحو الأحسن صار سبباً لإزالته من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المانّ والمؤذي بعد الإنفاق أشبه بعمل 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الجميع عدم انتفاعهم من إنفاقهم غير أنّ المرائي يفتقد قصد القربة والمانّ والمؤذي يفقدان شرط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ختمت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ناظرة إلى المرائي الذي مرّ وصفه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يُؤْمِنُ بِاللّهِ وَ اَلْيَوْمِ اَلْآخِرِ</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آيات أحكام الزكاة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02" w:name="pg14912_141422"/>
    </w:p>
    <w:p>
      <w:pPr>
        <w:pStyle w:val="Heading2"/>
        <w:numPr>
          <w:ilvl w:val="1"/>
          <w:numId w:val="1"/>
        </w:numPr>
        <w:rPr/>
      </w:pPr>
      <w:bookmarkStart w:id="903" w:name="__RefHeading___Toc1366563_388300464"/>
      <w:bookmarkStart w:id="904" w:name="_Toc356"/>
      <w:bookmarkEnd w:id="902"/>
      <w:bookmarkEnd w:id="903"/>
      <w:r>
        <w:rPr>
          <w:rtl w:val="true"/>
        </w:rPr>
        <w:t>الفصل الخامس</w:t>
      </w:r>
      <w:r>
        <w:rPr>
          <w:rtl w:val="true"/>
        </w:rPr>
        <w:t xml:space="preserve">: </w:t>
      </w:r>
      <w:r>
        <w:rPr>
          <w:rtl w:val="true"/>
        </w:rPr>
        <w:t>أحكام الخمس والأنفال والفيء في الذكر الحكيم</w:t>
      </w:r>
      <w:bookmarkEnd w:id="904"/>
    </w:p>
    <w:p>
      <w:pPr>
        <w:pStyle w:val="Heading3"/>
        <w:numPr>
          <w:ilvl w:val="2"/>
          <w:numId w:val="1"/>
        </w:numPr>
        <w:rPr/>
      </w:pPr>
      <w:bookmarkStart w:id="905" w:name="__RefHeading___Toc1366565_388300464"/>
      <w:bookmarkStart w:id="906" w:name="_Toc357"/>
      <w:bookmarkEnd w:id="905"/>
      <w:r>
        <w:rPr>
          <w:rtl w:val="true"/>
        </w:rPr>
        <w:t>اشارة</w:t>
      </w:r>
      <w:bookmarkEnd w:id="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الأنفال‌؟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الأسرى وأخذ الفدية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الغنائم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الأنفال والفيء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الخمس في الذكر الحكيم</w:t>
      </w:r>
    </w:p>
    <w:p>
      <w:pPr>
        <w:pStyle w:val="BookText"/>
        <w:rPr/>
      </w:pPr>
      <w:r>
        <w:rPr>
          <w:rFonts w:ascii="Amiri" w:hAnsi="Amiri" w:eastAsia="Amiri" w:cs="Amiri"/>
          <w:color w:val="111111"/>
          <w:sz w:val="28"/>
          <w:sz w:val="28"/>
          <w:szCs w:val="28"/>
          <w:rtl w:val="true"/>
          <w:lang w:bidi="ar-SA"/>
        </w:rPr>
        <w:t>قد تقدّم في الفصل السابق أنّ الخمس والأنفال من المنابع الماليّة للحكومة الإسلامية، وها نحن نخصّ هذا الفصل لبيان أحكامهما، وسيوافيك معنى الأنفال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متعلق الخمس تارة يكون من الأنفال كالكنز والمعدن، وأُخرى يكون من غيره كأرباح المكاسب والأرض التي اشتراها الذمي، وعلى كلّ تقدير فهناك آيات حول الخمس والأنفال مبثوثة في سورتي الأنفال والحشر، ونحن ندرس الجميع على وجه الإيجاز</w:t>
      </w:r>
      <w:r>
        <w:rPr>
          <w:rFonts w:eastAsia="Amiri" w:cs="Amiri" w:ascii="Amiri" w:hAnsi="Amiri"/>
          <w:color w:val="111111"/>
          <w:sz w:val="28"/>
          <w:szCs w:val="28"/>
          <w:rtl w:val="true"/>
          <w:lang w:bidi="ar-SA"/>
        </w:rPr>
        <w:t>.</w:t>
      </w:r>
      <w:bookmarkStart w:id="907" w:name="pg14912_141425"/>
    </w:p>
    <w:p>
      <w:pPr>
        <w:pStyle w:val="BookText"/>
        <w:rPr/>
      </w:pPr>
      <w:bookmarkEnd w:id="907"/>
      <w:r>
        <w:rPr>
          <w:rFonts w:ascii="Amiri" w:hAnsi="Amiri" w:eastAsia="Amiri" w:cs="Amiri"/>
          <w:color w:val="111111"/>
          <w:sz w:val="28"/>
          <w:sz w:val="28"/>
          <w:szCs w:val="28"/>
          <w:rtl w:val="true"/>
          <w:lang w:bidi="ar-SA"/>
        </w:rPr>
        <w:t>أحكام الخمس</w:t>
      </w:r>
    </w:p>
    <w:p>
      <w:pPr>
        <w:pStyle w:val="Heading3"/>
        <w:numPr>
          <w:ilvl w:val="2"/>
          <w:numId w:val="1"/>
        </w:numPr>
        <w:rPr/>
      </w:pPr>
      <w:bookmarkStart w:id="908" w:name="__RefHeading___Toc1366567_388300464"/>
      <w:bookmarkStart w:id="909" w:name="_Toc358"/>
      <w:bookmarkEnd w:id="908"/>
      <w:r>
        <w:rPr/>
        <w:t>1</w:t>
      </w:r>
      <w:r>
        <w:rPr>
          <w:rtl w:val="true"/>
        </w:rPr>
        <w:t xml:space="preserve">. </w:t>
      </w:r>
      <w:r>
        <w:rPr>
          <w:rtl w:val="true"/>
        </w:rPr>
        <w:t>ما هو المراد من الأنفال‌؟</w:t>
      </w:r>
      <w:bookmarkEnd w:id="909"/>
    </w:p>
    <w:p>
      <w:pPr>
        <w:pStyle w:val="Heading4"/>
        <w:numPr>
          <w:ilvl w:val="3"/>
          <w:numId w:val="1"/>
        </w:numPr>
        <w:rPr/>
      </w:pPr>
      <w:bookmarkStart w:id="910" w:name="__RefHeading___Toc1366569_388300464"/>
      <w:bookmarkStart w:id="911" w:name="_Toc359"/>
      <w:bookmarkEnd w:id="910"/>
      <w:r>
        <w:rPr>
          <w:rtl w:val="true"/>
        </w:rPr>
        <w:t>الآية الأُولى</w:t>
      </w:r>
      <w:bookmarkEnd w:id="911"/>
    </w:p>
    <w:p>
      <w:pPr>
        <w:pStyle w:val="Heading5"/>
        <w:numPr>
          <w:ilvl w:val="4"/>
          <w:numId w:val="1"/>
        </w:numPr>
        <w:rPr/>
      </w:pPr>
      <w:bookmarkStart w:id="912" w:name="__RefHeading___Toc1366571_388300464"/>
      <w:bookmarkStart w:id="913" w:name="_Toc360"/>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w:t>
      </w:r>
      <w:r>
        <w:rPr>
          <w:rStyle w:val="FootnoteAnchor"/>
          <w:rtl w:val="true"/>
        </w:rPr>
        <w:footnoteReference w:id="668"/>
      </w:r>
    </w:p>
    <w:p>
      <w:pPr>
        <w:pStyle w:val="Heading5"/>
        <w:numPr>
          <w:ilvl w:val="4"/>
          <w:numId w:val="1"/>
        </w:numPr>
        <w:rPr/>
      </w:pPr>
      <w:bookmarkStart w:id="914" w:name="__RefHeading___Toc1366573_388300464"/>
      <w:bookmarkStart w:id="915" w:name="_Toc361"/>
      <w:bookmarkEnd w:id="914"/>
      <w:r>
        <w:rPr>
          <w:rtl w:val="true"/>
        </w:rPr>
        <w:t>المفردات</w:t>
      </w:r>
      <w:bookmarkEnd w:id="915"/>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وهو الزيادة على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نفلتك كذا، إذا زدته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الصاحب، وهو من الأسماء الستة، ولا يستعمل إلّامضافاً،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مال أي صاحب مال، ولكن حصل التطوّر في استعمال اللفظ فأصبح يطلق على نفس الشيء وما به الشيء هوهو،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الإنسان، وذات زيد، أي واقعه الذي سُمّي بزيد، وعلى هذا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حقيقة بينكم، أو حال بينكم السيّئة</w:t>
      </w:r>
      <w:r>
        <w:rPr>
          <w:rFonts w:eastAsia="Amiri" w:cs="Amiri" w:ascii="Amiri" w:hAnsi="Amiri"/>
          <w:color w:val="111111"/>
          <w:sz w:val="28"/>
          <w:szCs w:val="28"/>
          <w:rtl w:val="true"/>
          <w:lang w:bidi="ar-SA"/>
        </w:rPr>
        <w:t>.</w:t>
      </w:r>
      <w:bookmarkStart w:id="916" w:name="pg14912_141426"/>
    </w:p>
    <w:p>
      <w:pPr>
        <w:pStyle w:val="Heading5"/>
        <w:numPr>
          <w:ilvl w:val="4"/>
          <w:numId w:val="1"/>
        </w:numPr>
        <w:rPr/>
      </w:pPr>
      <w:bookmarkStart w:id="917" w:name="__RefHeading___Toc1366575_388300464"/>
      <w:bookmarkStart w:id="918" w:name="_Toc362"/>
      <w:bookmarkEnd w:id="916"/>
      <w:bookmarkEnd w:id="917"/>
      <w:r>
        <w:rPr>
          <w:rtl w:val="true"/>
        </w:rPr>
        <w:t>التفسير</w:t>
      </w:r>
      <w:bookmarkEnd w:id="918"/>
    </w:p>
    <w:p>
      <w:pPr>
        <w:pStyle w:val="BookText"/>
        <w:rPr/>
      </w:pPr>
      <w:r>
        <w:rPr>
          <w:rFonts w:ascii="Amiri" w:hAnsi="Amiri" w:eastAsia="Amiri" w:cs="Amiri"/>
          <w:color w:val="111111"/>
          <w:sz w:val="28"/>
          <w:sz w:val="28"/>
          <w:szCs w:val="28"/>
          <w:rtl w:val="true"/>
          <w:lang w:bidi="ar-SA"/>
        </w:rPr>
        <w:t>ربما يتبادر إلى الأذهان بأنّ اللازم دراسة هذه الآية وما بعدها في قسم الأنفال، مع أنّ البحث في المقام مخصّص في الخمس، غير أنّ العدول عن ذلك لأنّ لفظ الأنفال وإن كان لا يختصّ بموارد الخمس بل سيأتي أنّه أعمّ حتى يشمل رؤوس الجبال والأودية والأنهار الكبيرة، لكن المراد من الأنفال في خصوص هذه الآية هو الغنائم الحربية التي وردت فيها أحكام الخمس في الآية السادسة، فبما أنّ المجموع ورد في غزوة بدر التي لم يكن آنذاك أي حديث عن الأنفال بالمعنى الأعمّ‌، ولذلك درسنا الآية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تدلّ على وجود سؤال عن الأنفال، وأمّا ما هو السؤال فلم يرد في هذه السورة ولا في غيرها، وإنّما يُعلم من الروايات، التي تضمّنت بيان وقوع الاختلاف بين الصحابة في مسألة الأنفال التي وقعت بيد المسلمين بعد معركة بدر، يقول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و سلم فشهدت معه بدراً، فالتقى الناس، فهزم اللّه العدوّ، فانطلقت طائفة في آثارهم منهزمون يقتلون، واكبّت طائفة على العسكر يحوزونه ويجمعونه، وأحدقت طائفة برسول اللّه صلى الله عليه و آله و سلم لا يصيب العدوّ منه غرّة، حتى إذا كان الليل وفاء الناس بعضهم إلى بعض، قال الذين 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حويناها وجمعناها فليس لأحد فيها نصيب، وقال الذين خرجوا في طلب العدو لستم بأحقّ بها منّا، نحن نفينا عنها العدوّ وهزمناهم، وقال الذين أحدقوا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بأحقّ بها منّا نحن أحدقنا برسول اللّه صلى الله عليه و آله و سلم وخفنا أن يصيب العدوّ منه غرّة واشتغلنا به،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فقسّمها</w:t>
      </w:r>
      <w:bookmarkStart w:id="919" w:name="pg14912_141427"/>
    </w:p>
    <w:p>
      <w:pPr>
        <w:pStyle w:val="BookText"/>
        <w:rPr/>
      </w:pPr>
      <w:bookmarkEnd w:id="919"/>
      <w:r>
        <w:rPr>
          <w:rFonts w:ascii="Amiri" w:hAnsi="Amiri" w:eastAsia="Amiri" w:cs="Amiri"/>
          <w:color w:val="111111"/>
          <w:sz w:val="28"/>
          <w:sz w:val="28"/>
          <w:szCs w:val="28"/>
          <w:rtl w:val="true"/>
          <w:lang w:bidi="ar-SA"/>
        </w:rPr>
        <w:t>رسول اللّه صلى الله عليه و آله و سلم بين المسلمين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إذا تبيّن ذلك فعُلم وجه السؤال وترتّب الجواب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يأمر الحاضرين في غزوة بدر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اتّقوا معصية اللّه وعقابه، واتركوا المنازعة وارضوا بما حكم به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أصلحوا الحالة التي بينكم، واجتنبوا عن الجدال والشقاق وكونوا إخواناً 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الأنفال، وفي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ذكر شرطاً لتحقق هذه الأُمور الثلاثة،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أنّه لا يقوم بهذه الأُمور إلّاالمؤمن باللّه والمسلّم له، والشرط أشبه بالشرط المحقِّق للموضوع،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فأختنه</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366577_388300464"/>
      <w:bookmarkStart w:id="921" w:name="_Toc363"/>
      <w:bookmarkEnd w:id="920"/>
      <w:r>
        <w:rPr>
          <w:rtl w:val="true"/>
        </w:rPr>
        <w:t>ما هو المراد من الأنفال‌؟</w:t>
      </w:r>
      <w:bookmarkEnd w:id="921"/>
    </w:p>
    <w:p>
      <w:pPr>
        <w:pStyle w:val="BookText"/>
        <w:rPr/>
      </w:pPr>
      <w:r>
        <w:rPr>
          <w:rFonts w:ascii="Amiri" w:hAnsi="Amiri" w:eastAsia="Amiri" w:cs="Amiri"/>
          <w:color w:val="111111"/>
          <w:sz w:val="28"/>
          <w:sz w:val="28"/>
          <w:szCs w:val="28"/>
          <w:rtl w:val="true"/>
          <w:lang w:bidi="ar-SA"/>
        </w:rPr>
        <w:t>وردت كلمة الأنفال في الآية الأُولى من هذه السورة، ولا شكّ أنّ الغنائم الحربية داخلة في آيتنا هذه وكأن المفهوم من الآية، يومئذ هو الغنائم فقط، لكن يظهر من الروايات أنّ للأنفال مصاديق كثيرة نذكر شيئاً منها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حمّاد بن عيسى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الخمس بعد الأنفال، والأنفال كلّ أرض خربة باد أهلها، وكلّ أرض لم يوجف عليها بخيل ولا ركاب ولكن صالحوا صلحاً وأعطوا بأيديهم على غير قتال، وله رؤوس الجبال،</w:t>
      </w:r>
    </w:p>
    <w:p>
      <w:pPr>
        <w:pStyle w:val="BookText"/>
        <w:rPr/>
      </w:pPr>
      <w:r>
        <w:rPr>
          <w:rFonts w:ascii="Amiri" w:hAnsi="Amiri" w:eastAsia="Amiri" w:cs="Amiri"/>
          <w:color w:val="111111"/>
          <w:sz w:val="28"/>
          <w:sz w:val="28"/>
          <w:szCs w:val="28"/>
          <w:rtl w:val="true"/>
          <w:lang w:bidi="ar-SA"/>
        </w:rPr>
        <w:t>وبطون الأودية، والآجام، وكلّ أرض ميّتة لا ربّ لها، وله صوافي الملوك ما كان في أيديهم من غير وجه الغصب، لأنّ الغصب كلّه مردود، وهو وارث من لا وارث له، يعول من لا حيلة له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وروى الكليني بسنده عن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لم يوجف عليه بخيل ولا ركاب، أو قوم صالحوا، أو قوم أعطوا بأيديهم، وكلّ أرض خربة، وبطون الأودية، فهو لرسول اللّه صلى الله عليه و آله و سلم، وهو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إنّما الكلام أنّ مقتضى سياق الآية والظروف التي عاشها النبي صلى الله عليه و آله و سلم يومذاك، هو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إرادة غير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عرفاً فيما لو كان النبي صلى الله عليه و آله و سلم مسلطاً على بطون الأودية أو رؤوس الجبال، أو لو فتح المسلمون أرضاً بلا خيل ولا ركاب، فإنّ البحث في هذه الجهات من شأن مَن له سلطة على بلدان شاسعة ومناطق عديدة، والمفروض أنّ الآية نزلت في السنة الثانية للهجرة، ولم يقرّ للمسلمين قرار تام مثلما حصل عقيب غزوة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فالإصرار على إرادة العموم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وسّعت مصاديق الأنفال، كما مرّ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22" w:name="pg14912_141429"/>
    </w:p>
    <w:p>
      <w:pPr>
        <w:pStyle w:val="BookText"/>
        <w:rPr/>
      </w:pPr>
      <w:bookmarkEnd w:id="922"/>
      <w:r>
        <w:rPr>
          <w:rFonts w:ascii="Amiri" w:hAnsi="Amiri" w:eastAsia="Amiri" w:cs="Amiri"/>
          <w:color w:val="111111"/>
          <w:sz w:val="28"/>
          <w:sz w:val="28"/>
          <w:szCs w:val="28"/>
          <w:rtl w:val="true"/>
          <w:lang w:bidi="ar-SA"/>
        </w:rPr>
        <w:t>أحكام الخمس</w:t>
      </w:r>
    </w:p>
    <w:p>
      <w:pPr>
        <w:pStyle w:val="Heading3"/>
        <w:numPr>
          <w:ilvl w:val="2"/>
          <w:numId w:val="1"/>
        </w:numPr>
        <w:rPr/>
      </w:pPr>
      <w:bookmarkStart w:id="923" w:name="__RefHeading___Toc1366579_388300464"/>
      <w:bookmarkStart w:id="924" w:name="_Toc364"/>
      <w:bookmarkEnd w:id="923"/>
      <w:r>
        <w:rPr/>
        <w:t>2</w:t>
      </w:r>
      <w:r>
        <w:rPr>
          <w:rtl w:val="true"/>
        </w:rPr>
        <w:t xml:space="preserve">. </w:t>
      </w:r>
      <w:r>
        <w:rPr>
          <w:rtl w:val="true"/>
        </w:rPr>
        <w:t>في الأسرى وأخذ الفدية</w:t>
      </w:r>
      <w:bookmarkEnd w:id="924"/>
    </w:p>
    <w:p>
      <w:pPr>
        <w:pStyle w:val="Heading4"/>
        <w:numPr>
          <w:ilvl w:val="3"/>
          <w:numId w:val="1"/>
        </w:numPr>
        <w:rPr/>
      </w:pPr>
      <w:bookmarkStart w:id="925" w:name="__RefHeading___Toc1366581_388300464"/>
      <w:bookmarkStart w:id="926" w:name="_Toc365"/>
      <w:bookmarkEnd w:id="925"/>
      <w:r>
        <w:rPr>
          <w:rtl w:val="true"/>
        </w:rPr>
        <w:t>الآيتان</w:t>
      </w:r>
      <w:r>
        <w:rPr>
          <w:rtl w:val="true"/>
        </w:rPr>
        <w:t xml:space="preserve">: </w:t>
      </w:r>
      <w:r>
        <w:rPr>
          <w:rtl w:val="true"/>
        </w:rPr>
        <w:t>الثانية والثالثة</w:t>
      </w:r>
      <w:bookmarkEnd w:id="926"/>
    </w:p>
    <w:p>
      <w:pPr>
        <w:pStyle w:val="Heading5"/>
        <w:numPr>
          <w:ilvl w:val="4"/>
          <w:numId w:val="1"/>
        </w:numPr>
        <w:rPr/>
      </w:pPr>
      <w:bookmarkStart w:id="927" w:name="__RefHeading___Toc1366583_388300464"/>
      <w:bookmarkStart w:id="928" w:name="_Toc366"/>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w:t>
      </w:r>
      <w:r>
        <w:rPr>
          <w:rStyle w:val="FootnoteAnchor"/>
          <w:rtl w:val="true"/>
        </w:rPr>
        <w:footnoteReference w:id="672"/>
      </w:r>
    </w:p>
    <w:p>
      <w:pPr>
        <w:pStyle w:val="Heading5"/>
        <w:numPr>
          <w:ilvl w:val="4"/>
          <w:numId w:val="1"/>
        </w:numPr>
        <w:rPr/>
      </w:pPr>
      <w:bookmarkStart w:id="929" w:name="__RefHeading___Toc1366585_388300464"/>
      <w:bookmarkStart w:id="930" w:name="_Toc367"/>
      <w:bookmarkEnd w:id="929"/>
      <w:r>
        <w:rPr>
          <w:rtl w:val="true"/>
        </w:rPr>
        <w:t>المفردات</w:t>
      </w:r>
      <w:bookmarkEnd w:id="930"/>
    </w:p>
    <w:p>
      <w:pPr>
        <w:pStyle w:val="BookText"/>
        <w:rPr/>
      </w:pP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أسير، كالقتلى والجرحى‌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قتيل وجريح، 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لوصفٍ كقتيلٍ و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هالكٍ وَ مَيِّتٍ به قَمِنْ‌</w:t>
      </w:r>
    </w:p>
    <w:p>
      <w:pPr>
        <w:pStyle w:val="BookText"/>
        <w:rPr/>
      </w:pPr>
      <w:r>
        <w:rPr>
          <w:rFonts w:ascii="Amiri" w:hAnsi="Amiri" w:eastAsia="Amiri" w:cs="Amiri"/>
          <w:color w:val="111111"/>
          <w:sz w:val="28"/>
          <w:sz w:val="28"/>
          <w:szCs w:val="28"/>
          <w:rtl w:val="true"/>
          <w:lang w:bidi="ar-SA"/>
        </w:rPr>
        <w:t>وهو من الأسر بمعنى الشدّ، فكلّ من يؤخذ من العسكر في الحرب، يُشدّ لئلّا يهرب، ثمّ أُطلق على كلّ مأخوذ وإن لم يُشدّ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الثخانة بمعنى الغلظة، وثوب ثخين ضد رقيق، وأُريد في الآية</w:t>
      </w:r>
      <w:bookmarkStart w:id="931" w:name="pg14912_141430"/>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 اللّه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مضى من حكم اللّه أن لا يعذب اللّه قوماً حتى يبيّن لهم ما يتّقون</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366587_388300464"/>
      <w:bookmarkStart w:id="933" w:name="_Toc368"/>
      <w:bookmarkEnd w:id="932"/>
      <w:r>
        <w:rPr>
          <w:rtl w:val="true"/>
        </w:rPr>
        <w:t>التفسير</w:t>
      </w:r>
      <w:bookmarkEnd w:id="933"/>
    </w:p>
    <w:p>
      <w:pPr>
        <w:pStyle w:val="BookText"/>
        <w:rPr/>
      </w:pPr>
      <w:r>
        <w:rPr>
          <w:rFonts w:ascii="Amiri" w:hAnsi="Amiri" w:eastAsia="Amiri" w:cs="Amiri"/>
          <w:color w:val="111111"/>
          <w:sz w:val="28"/>
          <w:sz w:val="28"/>
          <w:szCs w:val="28"/>
          <w:rtl w:val="true"/>
          <w:lang w:bidi="ar-SA"/>
        </w:rPr>
        <w:t>يظهر من الآية الأُولى وما روي من الروايات حولها أنّ المسلمين، قد أسروا جمعاً من المشركين لغاية الفدية قبل أن تنتهي الحرب وتُعلم نتائجها، لأنّ أسرهم لغاية أخذ الفدية منهم قبل استقرار الأمر سوف يجعلهم يلتحقون من جديد بجيش العدوّ، ولذلك نرى أنّ الآية تندد بعمل المسلمين بهذا الخصوص، وأنّه لم يكن أمراً مشروعاً، فعاتبهم اللّه سبحانه على قيامهم بهذا 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يكن من شأن نبي من أنبياء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للفداء أو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يُثْخِنَ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حتى يقوى ويشتدّ ويغلب، فيدلّ على جواز أخذ الأسرى بعد حصول الإثخان في الأرض، والآية تحكي عن أنّ المجاهدين في غزوة بدر أخذوا الأسرى قبل الإثخان في الأرض لغاية الفداء أي تحريرهم في مقابل المال،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وسُمّيت المنافع الدنيوية بالعرض لأنّها لا ثبات لها ولا دوام على عكس نعم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أي يُريد لكم ثواب الآخرة، الثابت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تغلب أنصاره، فيجب أن يكون المؤمنون غالبين،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أحكامه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على وجود التنازع والتشاجر والاختلاف بين الصحابة في أمر</w:t>
      </w:r>
    </w:p>
    <w:p>
      <w:pPr>
        <w:pStyle w:val="BookText"/>
        <w:rPr/>
      </w:pPr>
      <w:r>
        <w:rPr>
          <w:rFonts w:ascii="Amiri" w:hAnsi="Amiri" w:eastAsia="Amiri" w:cs="Amiri"/>
          <w:color w:val="111111"/>
          <w:sz w:val="28"/>
          <w:sz w:val="28"/>
          <w:szCs w:val="28"/>
          <w:rtl w:val="true"/>
          <w:lang w:bidi="ar-SA"/>
        </w:rPr>
        <w:t>الغنائم، فصار ذلك سبباً لحصر المالكية بيد اللّه سبحانه ثم بيان مصرف الأنفال في آية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الآية الثالثة أنّ أخذ الأسرى لغاية الانتفاع بهم قبل نهاية الحرب، وقبل أن تضع أوزارها، كان ذنباً يستحقّ صاحبه العذاب العظيم، ولكنّه سبحانه لم يؤاخذهم بذلك وعفا عنهم بكتاب اللّه،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سنّة من سنن اللّه، وهو عدم التعذيب قبل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لَمَسَّكُمْ فِيما أَخَذْتُمْ عَذابٌ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اختلف المفسّرون في 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الطبرسي وجوهاً مختلفة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وأوضح هذه الوجوه هو الأوّل من كلامه،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مضى من حكم اللّه أن لا يعذّب قوماً حتى يبيّن لهم ما يتقون،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أي أنّه لولا ما كتب اللّه سبحانه وفرض على نفسه أن لا يعاقب عبداً إلّا بعد ما يبيّن له ما يتّقي، لولا هذا لمسّكم في ما أخذتم من الأسرى عذاب عظيم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934" w:name="pg14912_141432"/>
    </w:p>
    <w:p>
      <w:pPr>
        <w:pStyle w:val="BookText"/>
        <w:rPr/>
      </w:pPr>
      <w:bookmarkEnd w:id="934"/>
      <w:r>
        <w:rPr>
          <w:rFonts w:ascii="Amiri" w:hAnsi="Amiri" w:eastAsia="Amiri" w:cs="Amiri"/>
          <w:color w:val="111111"/>
          <w:sz w:val="28"/>
          <w:sz w:val="28"/>
          <w:szCs w:val="28"/>
          <w:rtl w:val="true"/>
          <w:lang w:bidi="ar-SA"/>
        </w:rPr>
        <w:t>أحكام الخمس</w:t>
      </w:r>
    </w:p>
    <w:p>
      <w:pPr>
        <w:pStyle w:val="Heading3"/>
        <w:numPr>
          <w:ilvl w:val="2"/>
          <w:numId w:val="1"/>
        </w:numPr>
        <w:rPr/>
      </w:pPr>
      <w:bookmarkStart w:id="935" w:name="__RefHeading___Toc1366589_388300464"/>
      <w:bookmarkStart w:id="936" w:name="_Toc369"/>
      <w:bookmarkEnd w:id="935"/>
      <w:r>
        <w:rPr/>
        <w:t>3</w:t>
      </w:r>
      <w:r>
        <w:rPr>
          <w:rtl w:val="true"/>
        </w:rPr>
        <w:t xml:space="preserve">. </w:t>
      </w:r>
      <w:r>
        <w:rPr>
          <w:rtl w:val="true"/>
        </w:rPr>
        <w:t>الخمس في الغنائم</w:t>
      </w:r>
      <w:bookmarkEnd w:id="936"/>
    </w:p>
    <w:p>
      <w:pPr>
        <w:pStyle w:val="Heading4"/>
        <w:numPr>
          <w:ilvl w:val="3"/>
          <w:numId w:val="1"/>
        </w:numPr>
        <w:rPr/>
      </w:pPr>
      <w:bookmarkStart w:id="937" w:name="__RefHeading___Toc1366591_388300464"/>
      <w:bookmarkStart w:id="938" w:name="_Toc370"/>
      <w:bookmarkEnd w:id="937"/>
      <w:r>
        <w:rPr>
          <w:rtl w:val="true"/>
        </w:rPr>
        <w:t>الآية الرابعة</w:t>
      </w:r>
      <w:r>
        <w:rPr>
          <w:rtl w:val="true"/>
        </w:rPr>
        <w:t>:</w:t>
      </w:r>
      <w:bookmarkEnd w:id="938"/>
    </w:p>
    <w:p>
      <w:pPr>
        <w:pStyle w:val="Heading5"/>
        <w:numPr>
          <w:ilvl w:val="4"/>
          <w:numId w:val="1"/>
        </w:numPr>
        <w:rPr/>
      </w:pPr>
      <w:bookmarkStart w:id="939" w:name="__RefHeading___Toc1366593_388300464"/>
      <w:bookmarkStart w:id="940" w:name="_Toc371"/>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w:t>
      </w:r>
      <w:r>
        <w:rPr>
          <w:rStyle w:val="FootnoteAnchor"/>
          <w:rtl w:val="true"/>
        </w:rPr>
        <w:footnoteReference w:id="675"/>
      </w:r>
    </w:p>
    <w:p>
      <w:pPr>
        <w:pStyle w:val="Heading5"/>
        <w:numPr>
          <w:ilvl w:val="4"/>
          <w:numId w:val="1"/>
        </w:numPr>
        <w:rPr/>
      </w:pPr>
      <w:bookmarkStart w:id="941" w:name="__RefHeading___Toc1366595_388300464"/>
      <w:bookmarkStart w:id="942" w:name="_Toc372"/>
      <w:bookmarkEnd w:id="941"/>
      <w:r>
        <w:rPr>
          <w:rtl w:val="true"/>
        </w:rPr>
        <w:t>المفردات</w:t>
      </w:r>
      <w:bookmarkEnd w:id="942"/>
    </w:p>
    <w:p>
      <w:pPr>
        <w:pStyle w:val="BookText"/>
        <w:rPr/>
      </w:pP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الأزهري</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معروف، والغُنم إصابته والظفر به، ثم استعمل في كلّ مظفور به من جهة العدى وغيرهم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وفي مصطلح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غير قتال</w:t>
      </w:r>
      <w:bookmarkStart w:id="943" w:name="pg14912_141433"/>
    </w:p>
    <w:p>
      <w:pPr>
        <w:pStyle w:val="BookText"/>
        <w:rPr/>
      </w:pPr>
      <w:bookmarkEnd w:id="943"/>
      <w:r>
        <w:rPr>
          <w:rFonts w:ascii="Amiri" w:hAnsi="Amiri" w:eastAsia="Amiri" w:cs="Amiri"/>
          <w:color w:val="111111"/>
          <w:sz w:val="28"/>
          <w:sz w:val="28"/>
          <w:szCs w:val="28"/>
          <w:rtl w:val="true"/>
          <w:lang w:bidi="ar-SA"/>
        </w:rPr>
        <w:t>فهو فيءٌ‌، وإن كان مع القتال فهو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يوم بدر، لأنّه اليوم الذي فرّق فيه بين الإيمان وأهله، وبين الكفر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المؤمنين وجمع المشركين</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366597_388300464"/>
      <w:bookmarkStart w:id="945" w:name="_Toc373"/>
      <w:bookmarkEnd w:id="944"/>
      <w:r>
        <w:rPr>
          <w:rtl w:val="true"/>
        </w:rPr>
        <w:t>التفسير</w:t>
      </w:r>
      <w:bookmarkEnd w:id="945"/>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الحروف المشبّهة، ومقتضى قاعدة رسم الخط أن يكتبا مفصولتين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كتبا في المصاحف الأُولى موصولتين بقيت كتابتهما على الرسم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فزتم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لئلّا يتوهّم بأنّ الحكم مخصوص بغنيمة خاصّة، وهو من القرائن الدالّة على أنّه أُريد من الغنيمة مطلق ما يغنمه الإنسان، سواء أكان في الحرب أم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وما بعده مبتدأ مؤخّر، أي فأنّ خمسه للّه، واللام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لام التمليك، فبما أنّ مورد الآية الغنائم التي يفوز بها الإنسان في الحرب، فخمس المغنم للّه ولمن يذكر بعده من الطوائف الخمس، وأمّا الأخماس الأربعة الباقية المنقولة فهي للغزاة، فالغنائم تقسّم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للموارد الستة، والأربعة الباقية للغزاة حسب رأي الإمام، وأمّا الموارد الستة فقد مرّ المورد الأوّل منها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وأمّا الموارد الباقية فإليك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تكرّر حرف الجر في الموارد الثلاثة إشارة</w:t>
      </w:r>
    </w:p>
    <w:p>
      <w:pPr>
        <w:pStyle w:val="BookText"/>
        <w:rPr/>
      </w:pPr>
      <w:r>
        <w:rPr>
          <w:rFonts w:ascii="Amiri" w:hAnsi="Amiri" w:eastAsia="Amiri" w:cs="Amiri"/>
          <w:color w:val="111111"/>
          <w:sz w:val="28"/>
          <w:sz w:val="28"/>
          <w:szCs w:val="28"/>
          <w:rtl w:val="true"/>
          <w:lang w:bidi="ar-SA"/>
        </w:rPr>
        <w:t>إلى أنّ لكلّ سهماً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هو المراد من ذي القربى؟ فإنّ ذكر الرسول قبله دليل على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له قرابة من الرسول، وإفراد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الآيات، دليل على أنّه أُريد به الفرد الخاصّ وفسّرته روايات أهل البيت عليهم السلام بالإمام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 صحيح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وما كان لرسول اللّه فهو للإمام</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الخمس فيقسّم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للرسول صلى الله عليه و آله و سلم، وسهم لذي القربى، وسهم لليتامى، وسهم للمساكين، وسهم لأبناء السبيل، فالذي للّه فلرسول اللّه صلى الله عليه و آله و سلم، فرسول اللّه أحقّ به فهو له خاصّة، والذي للرسول هو لذي القربى والحجّة في زمانه، فالنصف له خاصّة، والنصف لليتامى والمساكين وأبناء السبيل من آل محمد عليهم السلام الذين لا تحلّ لهم الصدقة ولا الزكاة عوّضهم اللّه مكان ذلك بالخمس</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وأمّا الموارد الثلاثة فقد أُوتي بها مجرّدة عن حرف الجر، كما في قوله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النصف من الخمس للمجموع فيجوز صرف الجميع في مورد واحد إذا اقتضت المصلحة، ولولا الروايات يمكن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الأيتام والمساكين وأبناء السبيل، لكن الروايات خصّتهم بيتامى أهل البيت عليهم السلام ومساكينهم وأبناء سبيلهم، وما هذا إلّاعوضاً عن الزكاة، فإنّها حُرّمت على بني هاشم وأُبدلت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مجيئهم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يتامى ومساكين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الجملة الشرطية تتعلّق بما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القيد هو طلب العمل بعد العلم،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فاعلموا أنّ ما غنمتم فإنّ خمسه للّه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عَبْدِنا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عطف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آمنتم باللّه وآمنتم بما أنزلنا على عبدنا يوم الفرقان، وأبهم سبحانه ما أنزله يوم الفرقان الذي هو يوم بدر الذي فرّق بين الإيمان والكفر، وهنا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به نزول الملائكة لنصرة المؤمنين، وقد تقدّم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اَلْمَلائِكَةِ أَنِّي مَعَكُمْ فَثَبِّتُوا اَلَّذِينَ آمَنُوا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ببعض ما سبق في الآية وأنّه سبحانه لو فرّق في ذلك اليوم بين الطائفتين ونصر أحدهما على الأُخرى فهو من شؤون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46" w:name="pg14912_141436"/>
    </w:p>
    <w:p>
      <w:pPr>
        <w:pStyle w:val="BookText"/>
        <w:rPr/>
      </w:pPr>
      <w:bookmarkEnd w:id="946"/>
      <w:r>
        <w:rPr>
          <w:rFonts w:ascii="Amiri" w:hAnsi="Amiri" w:eastAsia="Amiri" w:cs="Amiri"/>
          <w:color w:val="111111"/>
          <w:sz w:val="28"/>
          <w:sz w:val="28"/>
          <w:szCs w:val="28"/>
          <w:rtl w:val="true"/>
          <w:lang w:bidi="ar-SA"/>
        </w:rPr>
        <w:t>إلى هنا خرجنا عن تفسير الآية بجملها وكلماتها، ولكن يقع البحث في أُمور</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366599_388300464"/>
      <w:bookmarkStart w:id="948" w:name="_Toc374"/>
      <w:bookmarkEnd w:id="947"/>
      <w:r>
        <w:rPr>
          <w:rtl w:val="true"/>
        </w:rPr>
        <w:t>الأمر الأوّل</w:t>
      </w:r>
      <w:r>
        <w:rPr>
          <w:rtl w:val="true"/>
        </w:rPr>
        <w:t xml:space="preserve">: </w:t>
      </w:r>
      <w:r>
        <w:rPr>
          <w:rtl w:val="true"/>
        </w:rPr>
        <w:t>ما هو المراد من الغنيمة في الآية‌؟</w:t>
      </w:r>
      <w:bookmarkEnd w:id="948"/>
    </w:p>
    <w:p>
      <w:pPr>
        <w:pStyle w:val="Heading5"/>
        <w:numPr>
          <w:ilvl w:val="4"/>
          <w:numId w:val="1"/>
        </w:numPr>
        <w:rPr/>
      </w:pPr>
      <w:bookmarkStart w:id="949" w:name="__RefHeading___Toc1366601_388300464"/>
      <w:bookmarkStart w:id="950" w:name="_Toc375"/>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إنّ مفسّري أهل السنّة يقولون هي عبارة عمّا يغنمه المسلمون من الكفّار بقتال، وعلى قولهم هذا تكون مسألة الخمس عبارة عمّا لا واقع له في حياتنا العملية في هذه الأيام، إذ لا دولة إسلامية تقاتل الكفّار والمشركين، وأصبحت الآية عندهم كالآيات التي ذكرت أحكام العبيد والإماء التي لا واقع لها في حياتنا العملية، وليس لديهم دليل على الاختصاص إلّاكونها واردة في قتال المشركين، لكن الفقيه أعرف بأنّ المورد لا يكون مخصّصاً إذا كان اللفظ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اللغة والكتاب العزيز والسنّة تدلّ على أنّ الغنيمة عبارة عن كلّ ما يفوز ويظفر به الإنسان، سواء أكان عن قتال أو لا؟ وإليك التفصيل</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366603_388300464"/>
      <w:bookmarkStart w:id="952" w:name="_Toc376"/>
      <w:bookmarkEnd w:id="951"/>
      <w:r>
        <w:rPr>
          <w:rtl w:val="true"/>
        </w:rPr>
        <w:t>أوّلاً</w:t>
      </w:r>
      <w:r>
        <w:rPr>
          <w:rtl w:val="true"/>
        </w:rPr>
        <w:t xml:space="preserve">: </w:t>
      </w:r>
      <w:r>
        <w:rPr>
          <w:rtl w:val="true"/>
        </w:rPr>
        <w:t>الغنيمة في معاجم اللغة</w:t>
      </w:r>
      <w:bookmarkEnd w:id="95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 والاغتنام انتهاز الغنم</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والاغتنام انتهاز الغنم</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أصل صحيح واحد يدلّ على إفادة شيء لم يملك</w:t>
      </w:r>
      <w:bookmarkStart w:id="953" w:name="pg14912_141437"/>
    </w:p>
    <w:p>
      <w:pPr>
        <w:pStyle w:val="BookText"/>
        <w:rPr/>
      </w:pPr>
      <w:bookmarkEnd w:id="953"/>
      <w:r>
        <w:rPr>
          <w:rFonts w:ascii="Amiri" w:hAnsi="Amiri" w:eastAsia="Amiri" w:cs="Amiri"/>
          <w:color w:val="111111"/>
          <w:sz w:val="28"/>
          <w:sz w:val="28"/>
          <w:szCs w:val="28"/>
          <w:rtl w:val="true"/>
          <w:lang w:bidi="ar-SA"/>
        </w:rPr>
        <w:t>من قبل، ثم يختص بما أخذ من المشركين</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الفوز بالشيء من غير مشقّة</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تفسير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 زيادته ونماؤه، وفاضل قيمته</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بلا مشقّة، وغنمه كذا تغنيماً نفله إيّاه، واغتنمه، وتغنّمه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غنيمة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بلا مشقّة، أو هذا الغُنْم والفيء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إلى غير ذلك من الكلمات المترادفة والمتشابهة في المعاجم، وهذه النصوص تعرب عن أنّ المادة لم توضع لما يفوز به الإنسان في الحروب فقط، بل معناها أوسع من ذلك، وإن كان يغلب استعمالها في العصور المتأخّرة عن عصر نزول القرآن، في ما يظفر به في ساحة الحرب</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1366605_388300464"/>
      <w:bookmarkStart w:id="955" w:name="_Toc377"/>
      <w:bookmarkEnd w:id="954"/>
      <w:r>
        <w:rPr>
          <w:rtl w:val="true"/>
        </w:rPr>
        <w:t>ثانياً</w:t>
      </w:r>
      <w:r>
        <w:rPr>
          <w:rtl w:val="true"/>
        </w:rPr>
        <w:t xml:space="preserve">: </w:t>
      </w:r>
      <w:r>
        <w:rPr>
          <w:rtl w:val="true"/>
        </w:rPr>
        <w:t>الغنيمة في الكتاب والسنّة</w:t>
      </w:r>
      <w:bookmarkEnd w:id="95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الكتاب المجيد الغنيمة على أجر الآخرة، وهذا يدلّ على أنّ للفظ معنى وسيعاً يشمل كلّ ما يفوز به الإنسان في الدنيا والآخرة،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w:t>
      </w:r>
    </w:p>
    <w:p>
      <w:pPr>
        <w:pStyle w:val="BookText"/>
        <w:rPr/>
      </w:pPr>
      <w:r>
        <w:rPr>
          <w:rFonts w:ascii="Amiri" w:hAnsi="Amiri" w:eastAsia="Amiri" w:cs="Amiri"/>
          <w:color w:val="111111"/>
          <w:sz w:val="28"/>
          <w:sz w:val="28"/>
          <w:szCs w:val="28"/>
          <w:rtl w:val="true"/>
          <w:lang w:bidi="ar-SA"/>
        </w:rPr>
        <w:t>اَلَّذِينَ آمَنُوا إِذا ضَرَبْتُمْ فِي سَبِيلِ اَللّهِ فَتَبَيَّنُوا 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بالمغانم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 الآخرة، بدليل مقابلته لعرض الحياة الدنيا، فيدلّ على أنّ لفظ المغنم لا يختصّ بالأُمور التي يحصل عليها الإنسان في هذه الدنيا أو في ساحات الحرب فقط، بل هو عام لكلّ مكسب وفائدة وإن كان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في الكتاب، وأمّا السنّة فقد وردت فيها اللفظة وأُريد بها مطلق الفائدة الحاصلة للإنسان، ومن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ماجة في سننه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مغنماً ولا تجعلها مغرماً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في مسنده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وصف شهر رمضان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غنيمة لما فيه من الأجر والثواب</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bookmarkStart w:id="956" w:name="pg14912_141439"/>
    </w:p>
    <w:p>
      <w:pPr>
        <w:pStyle w:val="BookText"/>
        <w:rPr/>
      </w:pPr>
      <w:bookmarkEnd w:id="95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له الغنم، عليه الغرم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القاعدة في لسان الفقهاء دليل على أنّ الغنم في اللغة هو مطلق الفائدة وإلّا لم يصحّ ترتّب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وذكر ابن الأثير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ذكرناه من كلمات أئمة اللغة وموارد استعمال تلك اللفظة ومادّتها في الكتاب والسنّة، أنّ العرب تستعملها في كلّ مورد يفوز به الإنسان، من جهة العدى وغيرهم، وإنّما صار حقيقة متشرّعة في الأعصار المتأخّرة في خصوص ما يفوز به الإنسان في ساحة الحرب، ونزلت الآية في أوّل حرب خاضها المسلمون تحت لواء رسول اللّه صلى الله عليه و آله و سلم، ولم يكن الاستعمال إلّاتطبيقاً للمعنى الكلّي على مورد خاصّ‌</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366607_388300464"/>
      <w:bookmarkStart w:id="958" w:name="_Toc378"/>
      <w:bookmarkEnd w:id="957"/>
      <w:r>
        <w:rPr>
          <w:rtl w:val="true"/>
        </w:rPr>
        <w:t>ورود الخمس في أرباح المكاسب في الحديث النبوي</w:t>
      </w:r>
      <w:bookmarkEnd w:id="958"/>
    </w:p>
    <w:p>
      <w:pPr>
        <w:pStyle w:val="BookText"/>
        <w:rPr/>
      </w:pPr>
      <w:r>
        <w:rPr>
          <w:rFonts w:ascii="Amiri" w:hAnsi="Amiri" w:eastAsia="Amiri" w:cs="Amiri"/>
          <w:color w:val="111111"/>
          <w:sz w:val="28"/>
          <w:sz w:val="28"/>
          <w:szCs w:val="28"/>
          <w:rtl w:val="true"/>
          <w:lang w:bidi="ar-SA"/>
        </w:rPr>
        <w:t>ومن حسن الحظّ أنّه ورد لفظ الخمس في أرباح المكاسب في الحديث النبوي، وإليك نقل بعض ما وقفنا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وفد عبد القيس على رسول اللّه صلى الله عليه و آله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وإنّا لا نصل إليك إلّافي شهر الحرام، فمُرنا بأمرٍ فصل، إن عملنا به دخلنا الجنة وندعو إليه مَن وراءنا،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وأنهاكم عن أربع، 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باللّه، وهل تدرون ما الإيمان‌؟ شهادة أن لا إله إلّااللّه، وإقام الصلاة،</w:t>
      </w:r>
    </w:p>
    <w:p>
      <w:pPr>
        <w:pStyle w:val="BookText"/>
        <w:rPr/>
      </w:pPr>
      <w:r>
        <w:rPr>
          <w:rFonts w:ascii="Amiri" w:hAnsi="Amiri" w:eastAsia="Amiri" w:cs="Amiri"/>
          <w:color w:val="111111"/>
          <w:sz w:val="28"/>
          <w:sz w:val="28"/>
          <w:szCs w:val="28"/>
          <w:rtl w:val="true"/>
          <w:lang w:bidi="ar-SA"/>
        </w:rPr>
        <w:t>وإيتاء الزكاة، وتعطوا الخمس من المغنم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وتفسير المغنم، بالنهب، باطل جدّاً، للنهي عنه في لسان الرسول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النهبة ليست بأحلّ من الميتة</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كما لم يطلب منهم غنائم الحرب، كيف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وفد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الخروج من أحيائهم في غير أشهر الحج خوفاً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لهم الحرب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مروية عن أئمّة أهل البيت عليهم السلام تدلّ على وجوب الخمس في أرباح المكاسب</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وممّا يثير العجب أنّ السنّة اتّفقوا على أنّ في الركاز الخمس، وإنّما اختلفوا في المعادن، فالواجب هو الخمس لدى الحنفيّة والمالكية، وربع العُشر عند الشافعية والحنابلة، وقد استدلّت الحنفية على وجوب الخمس في المعادن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w:t>
      </w:r>
      <w:r>
        <w:rPr>
          <w:rStyle w:val="FootnoteAnchor"/>
          <w:rtl w:val="true"/>
        </w:rPr>
        <w:footnoteReference w:id="697"/>
      </w:r>
      <w:r>
        <w:rPr>
          <w:rFonts w:ascii="Amiri" w:hAnsi="Amiri" w:eastAsia="Amiri" w:cs="Amiri"/>
          <w:color w:val="111111"/>
          <w:sz w:val="28"/>
          <w:sz w:val="28"/>
          <w:szCs w:val="28"/>
          <w:rtl w:val="true"/>
          <w:lang w:bidi="ar-SA"/>
        </w:rPr>
        <w:t>وهذا دليل على سعة مفاد الآية حيث يستدلّون بها في مورد المعادن وهي ليست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المقدار من البحث يكفي في إثبات ما عليه الشيعة الإمامية من أنّ المراد كلّ ما يفوز به الإنسان حتى أرباح المكاسب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59" w:name="pg14912_141441"/>
    </w:p>
    <w:p>
      <w:pPr>
        <w:pStyle w:val="Heading4"/>
        <w:numPr>
          <w:ilvl w:val="3"/>
          <w:numId w:val="1"/>
        </w:numPr>
        <w:rPr/>
      </w:pPr>
      <w:bookmarkStart w:id="960" w:name="__RefHeading___Toc1366609_388300464"/>
      <w:bookmarkStart w:id="961" w:name="_Toc379"/>
      <w:bookmarkEnd w:id="959"/>
      <w:bookmarkEnd w:id="960"/>
      <w:r>
        <w:rPr>
          <w:rtl w:val="true"/>
        </w:rPr>
        <w:t>الأمر الثاني</w:t>
      </w:r>
      <w:r>
        <w:rPr>
          <w:rtl w:val="true"/>
        </w:rPr>
        <w:t xml:space="preserve">: </w:t>
      </w:r>
      <w:r>
        <w:rPr>
          <w:rtl w:val="true"/>
        </w:rPr>
        <w:t>في قسمة الخمس</w:t>
      </w:r>
      <w:bookmarkEnd w:id="961"/>
    </w:p>
    <w:p>
      <w:pPr>
        <w:pStyle w:val="BookText"/>
        <w:rPr/>
      </w:pPr>
      <w:r>
        <w:rPr>
          <w:rFonts w:ascii="Amiri" w:hAnsi="Amiri" w:eastAsia="Amiri" w:cs="Amiri"/>
          <w:color w:val="111111"/>
          <w:sz w:val="28"/>
          <w:sz w:val="28"/>
          <w:szCs w:val="28"/>
          <w:rtl w:val="true"/>
          <w:lang w:bidi="ar-SA"/>
        </w:rPr>
        <w:t>إنّه سبحانه ذكر المورد الثالث لتملّك الخمس بصورة الإفراد،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أنّه شخص واحد ولا ينطبق إلّاعلى أئمة أهل البيت عليهم السلام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علماء السنة بما أنّهم خصّوا الآية بغنائم دار الحرب عطّلوا الآية عن العمل بها، فإنّ المسلمين عبر قرون لم يخوضوا حرباً مع غير المسلمين، فصارت الآية كأنّها خاصّة بحرب الرسول، وبعده بمدّة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يفترق الشيعة عن السنّة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صار الخمس عند الشيعة أصلاً مستقلّاً، عن الجهاد خلافاً، لأهل السنّة حيث جعلوه فرعاً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فرق آخر بين الطائفتين وهو أنّ الخمس عند الإمامية يُقسّم إلى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فقال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الرسول سقط بموته، وعلى هذا فيقسّم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أربعة أسهم لإسقاط سهم ذي القربى من سهام الخمس أيضاً كما سيوافيك، بل صار ثلاثة كما سيأتي بيانه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يرجع إلى الرسول فهو إلى الإمام بعده، لأنّه كان يملك بما أنّه قائد الأُمّة ورئيسها، فينتقل إلى القائد بعده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سلم، وما كان لرسول اللّه صلى الله عليه و آله و سلم</w:t>
      </w:r>
    </w:p>
    <w:p>
      <w:pPr>
        <w:pStyle w:val="BookText"/>
        <w:rPr/>
      </w:pP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وهنا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الخمس على ستة أسهم،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 من أهل بيت النبوة، فعندئذٍ يصبح أصحاب الخمس من أصحاب الثروات الكبيرة، وهذا ما لا تخفى مفاسده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 اللّه عزَّوجلّ هذه السهام لطوائف ثلاث، مع أنّ مؤونتهم أقل بكثير من هذه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جاء في حديث الإمام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الخمس كملاً، ونصف الخمس الباقي بين أهل بيته، فسهم ليتاماهم، وسهم لمساكينهم، وسهم لأبناء سبيلهم، يقسّم بينهم على الكتاب والسنّة ما يستغنون به في سنتهم، فإن فضل عنهم شيء فهو للوالي، فإن عجز أو نقص عن استغنائهم كان على الوالي أن ينفق من عنده بقدر ما يستغنون به، وإنّما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فعلى هذا ينفق عليهم بمقدار حاجاتهم لا أكثر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حديث أبي علي بن راشد أنّ الجميع إنّما هو لمقام الإمامة وهو يقسّمه حسب ما يراه من المصلحة،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وما كان غير ذلك فهو ميراث على كتاب اللّه وسنّة نبيّه</w:t>
      </w:r>
      <w:r>
        <w:rPr>
          <w:rFonts w:eastAsia="Amiri" w:cs="Amiri" w:ascii="Amiri" w:hAnsi="Amiri"/>
          <w:color w:val="111111"/>
          <w:sz w:val="28"/>
          <w:szCs w:val="28"/>
          <w:rtl w:val="true"/>
          <w:lang w:bidi="ar-SA"/>
        </w:rPr>
        <w:t>».</w:t>
      </w:r>
      <w:r>
        <w:rPr>
          <w:rStyle w:val="FootnoteAnchor"/>
        </w:rPr>
        <w:footnoteReference w:id="70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62" w:name="pg14912_141443"/>
    </w:p>
    <w:p>
      <w:pPr>
        <w:pStyle w:val="BookText"/>
        <w:rPr/>
      </w:pPr>
      <w:bookmarkEnd w:id="962"/>
      <w:r>
        <w:rPr>
          <w:rFonts w:ascii="Amiri" w:hAnsi="Amiri" w:eastAsia="Amiri" w:cs="Amiri"/>
          <w:color w:val="111111"/>
          <w:sz w:val="28"/>
          <w:sz w:val="28"/>
          <w:szCs w:val="28"/>
          <w:rtl w:val="true"/>
          <w:lang w:bidi="ar-SA"/>
        </w:rPr>
        <w:t>يقول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 وحشة الإنفراد عن ظاهر اتّفاق الأصحاب لأمكن دعوى ظهور الأخبار في أنّ الخمس جميعه للإمام عليه السلام وإن كان يجب عليه الإنفاق منه على الأصناف الثلاثة الذين هم عياله، ولذا لو زاد كان له عليه السلام، ولو نقص كان الإتمام عليه من نصيبه، وحلّلوا منه من أرادوا</w:t>
      </w:r>
      <w:r>
        <w:rPr>
          <w:rFonts w:eastAsia="Amiri" w:cs="Amiri" w:ascii="Amiri" w:hAnsi="Amiri"/>
          <w:color w:val="111111"/>
          <w:sz w:val="28"/>
          <w:szCs w:val="28"/>
          <w:rtl w:val="true"/>
          <w:lang w:bidi="ar-SA"/>
        </w:rPr>
        <w:t>.</w:t>
      </w:r>
      <w:r>
        <w:rPr>
          <w:rStyle w:val="FootnoteAnchor"/>
          <w:rtl w:val="true"/>
        </w:rPr>
        <w:footnoteReference w:id="701"/>
      </w:r>
    </w:p>
    <w:p>
      <w:pPr>
        <w:pStyle w:val="Heading4"/>
        <w:numPr>
          <w:ilvl w:val="3"/>
          <w:numId w:val="1"/>
        </w:numPr>
        <w:rPr/>
      </w:pPr>
      <w:bookmarkStart w:id="963" w:name="__RefHeading___Toc1366611_388300464"/>
      <w:bookmarkStart w:id="964" w:name="_Toc380"/>
      <w:bookmarkEnd w:id="963"/>
      <w:r>
        <w:rPr>
          <w:rtl w:val="true"/>
        </w:rPr>
        <w:t>الأمر الثالث</w:t>
      </w:r>
      <w:r>
        <w:rPr>
          <w:rtl w:val="true"/>
        </w:rPr>
        <w:t xml:space="preserve">: </w:t>
      </w:r>
      <w:r>
        <w:rPr>
          <w:rtl w:val="true"/>
        </w:rPr>
        <w:t>إسقاط حقّ ذي القربى بعد رحيل الرسول صلى الله عليه و آله و سلم</w:t>
      </w:r>
      <w:bookmarkEnd w:id="964"/>
    </w:p>
    <w:p>
      <w:pPr>
        <w:pStyle w:val="Heading5"/>
        <w:numPr>
          <w:ilvl w:val="4"/>
          <w:numId w:val="1"/>
        </w:numPr>
        <w:rPr/>
      </w:pPr>
      <w:bookmarkStart w:id="965" w:name="__RefHeading___Toc1366613_388300464"/>
      <w:bookmarkStart w:id="966" w:name="_Toc381"/>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إنّ الخلفاء بعد النبيّ الأكرم صلى الله عليه و آله و سلم اجتهدوا في مقابل النصّ في موارد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سهم ذي القربى من الخمس، وذلك أنّ اللّه سبحانه وتعالى جعل لهم سهماً وافترض أداءه نصّاً في الذكر الحكيم، والقرآن الكريم يتلوه المسلمون آناء الليل وأطراف النهار، وهو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وقد أجمع أهل القبلة كافّة على أنّ رسول اللّه صلى الله عليه و آله و سلم كان يختصّ بسهم من الخمس ويخصّ أقاربه بسهم آخر منه، وأنّه لم يَعهَد بتغيير ذلك إلى أحد حتى وفاته وانتقاله إلى الرفيق الأعلى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ولّى أبوبكر تأوّل الآية فأسقط سهم النبي صلى الله عليه و آله و سلم وسهم ذي القربى بموت النبي صلى الله عليه و آله و سلم، ومنع بني هاشم من الخمس، وجعلهم كغيرهم من يتامى المسلمين ومساكينهم وأبناء السبيل منهم</w:t>
      </w:r>
      <w:r>
        <w:rPr>
          <w:rFonts w:eastAsia="Amiri" w:cs="Amiri" w:ascii="Amiri" w:hAnsi="Amiri"/>
          <w:color w:val="111111"/>
          <w:sz w:val="28"/>
          <w:szCs w:val="28"/>
          <w:rtl w:val="true"/>
          <w:lang w:bidi="ar-SA"/>
        </w:rPr>
        <w:t>.</w:t>
      </w:r>
      <w:bookmarkStart w:id="967" w:name="pg14912_141444"/>
    </w:p>
    <w:p>
      <w:pPr>
        <w:pStyle w:val="BookText"/>
        <w:rPr/>
      </w:pPr>
      <w:bookmarkEnd w:id="967"/>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سهمان، وسهم لأقاربه حتى قُبض، فأجرى أبو بكر الخمس على ثلاثة، وكذلك روي عن عمر ومن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بكر منع بني هاشم الخمس</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وقد أرسلت فاطمة عليها السلام تسأله ميراثها من رسول اللّه صلى الله عليه و آله و سلم ممّا أفاء اللّه عليه بالمدينة وفدك وما بقي من خمس خيبر، فأبى أبو بكر أن يدفع إلى فاطمة منها شيئاً، فوجدت فاطمة عليها السلام على أبي بكر في ذلك، فهجرته فلم تكلّمه حتى توفّيت، وعاشت بعد النبي صلى الله عليه و آله و سلم ستة أشهر، فلمّا توفّيت دفنها زوجها عليّ ليلاً ولم يؤذن بها أبا بكر، وصلّى عليها، الحديث</w:t>
      </w:r>
      <w:r>
        <w:rPr>
          <w:rFonts w:eastAsia="Amiri" w:cs="Amiri" w:ascii="Amiri" w:hAnsi="Amiri"/>
          <w:color w:val="111111"/>
          <w:sz w:val="28"/>
          <w:szCs w:val="28"/>
          <w:rtl w:val="true"/>
          <w:lang w:bidi="ar-SA"/>
        </w:rPr>
        <w:t>.</w:t>
      </w:r>
      <w:r>
        <w:rPr>
          <w:rStyle w:val="FootnoteAnchor"/>
          <w:rtl w:val="true"/>
        </w:rPr>
        <w:footnoteReference w:id="704"/>
      </w:r>
    </w:p>
    <w:p>
      <w:pPr>
        <w:pStyle w:val="Heading5"/>
        <w:numPr>
          <w:ilvl w:val="4"/>
          <w:numId w:val="1"/>
        </w:numPr>
        <w:rPr/>
      </w:pPr>
      <w:bookmarkStart w:id="968" w:name="__RefHeading___Toc1366615_388300464"/>
      <w:bookmarkStart w:id="969" w:name="_Toc382"/>
      <w:bookmarkEnd w:id="968"/>
      <w:r>
        <w:rPr>
          <w:rtl w:val="true"/>
        </w:rPr>
        <w:t>إتمام</w:t>
      </w:r>
      <w:bookmarkEnd w:id="969"/>
    </w:p>
    <w:p>
      <w:pPr>
        <w:pStyle w:val="BookText"/>
        <w:rPr/>
      </w:pPr>
      <w:r>
        <w:rPr>
          <w:rFonts w:ascii="Amiri" w:hAnsi="Amiri" w:eastAsia="Amiri" w:cs="Amiri"/>
          <w:color w:val="111111"/>
          <w:sz w:val="28"/>
          <w:sz w:val="28"/>
          <w:szCs w:val="28"/>
          <w:rtl w:val="true"/>
          <w:lang w:bidi="ar-SA"/>
        </w:rPr>
        <w:t>قال المراغي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الرسول صلى الله عليه و آله و سلم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هاشم وبني أخيه المطلب، المسلمين، دون بني عبد شمس ونوفل، ثم المحتاجين من سائر المسلمين، وهم اليتامى والمساكين وابن السبيل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عن مُطعم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أنا وعثمان ابن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أعطيت بني المطلب وتركتنا، ونحن وهم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المطلب وبنو هاشم شيء واحد</w:t>
      </w:r>
      <w:r>
        <w:rPr>
          <w:rFonts w:eastAsia="Amiri" w:cs="Amiri" w:ascii="Amiri" w:hAnsi="Amiri"/>
          <w:color w:val="111111"/>
          <w:sz w:val="28"/>
          <w:szCs w:val="28"/>
          <w:rtl w:val="true"/>
          <w:lang w:bidi="ar-SA"/>
        </w:rPr>
        <w:t>».</w:t>
      </w:r>
      <w:bookmarkStart w:id="970" w:name="pg14912_141445"/>
    </w:p>
    <w:p>
      <w:pPr>
        <w:pStyle w:val="BookText"/>
        <w:rPr/>
      </w:pPr>
      <w:bookmarkEnd w:id="970"/>
      <w:r>
        <w:rPr>
          <w:rFonts w:ascii="Amiri" w:hAnsi="Amiri" w:eastAsia="Amiri" w:cs="Amiri"/>
          <w:color w:val="111111"/>
          <w:sz w:val="28"/>
          <w:sz w:val="28"/>
          <w:szCs w:val="28"/>
          <w:rtl w:val="true"/>
          <w:lang w:bidi="ar-SA"/>
        </w:rPr>
        <w:t xml:space="preserve">وسرُّ هذا أنّ قريشاً لمّا كتبت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صحيفة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بني هاشم من مكّة وحصرتهم في الشِعب لحمايتهم له صلى الله عليه و آله و سلم دخل معهم فيه بنو المطلب ولم يدخل بنو عبد شمس ولا بنو نوفل، للعداوة التي كانت بين بني أُميّة بن عبد شمس لبني هاشم في الجاهلية والإسلام، فقد ظل أبو سفيان يقاتل النبي صلى الله عليه و آله و سلم ويؤلّب عليه المشركين وأهل الكتاب، إلى أن أظفر اللّه رسوله ودانت له العرب بفتح مكّة، وكذلك بعد الإسلام خرج معاوية على عليّ وقاتله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ثمّ إنّ صديقنا المرحوم محمد جواد مغنية بعد ما نقل ما تقدّم من كلام الشيخ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ونعطف نحن على قول الشيخ المراغي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قتل يزيد حفيد أبي سفيان الحسين بن علي عليهما السلام سبط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الشاعر في هذا العدوان الموروث أباً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حرب للمصطفى وابن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وللحسين يزيد</w:t>
      </w:r>
      <w:r>
        <w:rPr>
          <w:rStyle w:val="FootnoteAnchor"/>
          <w:rtl w:val="true"/>
        </w:rPr>
        <w:footnoteReference w:id="706"/>
      </w:r>
    </w:p>
    <w:p>
      <w:pPr>
        <w:pStyle w:val="Heading4"/>
        <w:numPr>
          <w:ilvl w:val="3"/>
          <w:numId w:val="1"/>
        </w:numPr>
        <w:rPr/>
      </w:pPr>
      <w:bookmarkStart w:id="971" w:name="__RefHeading___Toc1366617_388300464"/>
      <w:bookmarkStart w:id="972" w:name="_Toc383"/>
      <w:bookmarkEnd w:id="971"/>
      <w:r>
        <w:rPr>
          <w:rtl w:val="true"/>
        </w:rPr>
        <w:t>الأمر الرابع</w:t>
      </w:r>
      <w:r>
        <w:rPr>
          <w:rtl w:val="true"/>
        </w:rPr>
        <w:t>: [</w:t>
      </w:r>
      <w:r>
        <w:rPr>
          <w:rtl w:val="true"/>
        </w:rPr>
        <w:t>تخصيص خمس الغنائم للنبي وآله ليس تفرقة عنصرية</w:t>
      </w:r>
      <w:r>
        <w:rPr>
          <w:rtl w:val="true"/>
        </w:rPr>
        <w:t>]</w:t>
      </w:r>
      <w:bookmarkEnd w:id="97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تخصيص الذكر الحكيم النبيّ الأكرم صلى الله عليه و آله و سلم وأهل بيته عليهم السلام بخمس الغنائم، ليس من باب التفرقة العنصرية، وإنّما هو مقابل حرمانهم من الصدقات، فبما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أموالاً حكومية يتصدّى لها جماعة خاصّة، فاللّه سبحانه حرّم عليهم التصدّي لهذه الأُمور لئلّا يتّهموا ببعض التُّهم، وعوّضهم بخمس الغنائم، فحرمانهم من الأموال الحكومية صار سبباً لسدّ حاجاتهم المالية من الخمس</w:t>
      </w:r>
      <w:r>
        <w:rPr>
          <w:rFonts w:eastAsia="Amiri" w:cs="Amiri" w:ascii="Amiri" w:hAnsi="Amiri"/>
          <w:color w:val="111111"/>
          <w:sz w:val="28"/>
          <w:szCs w:val="28"/>
          <w:rtl w:val="true"/>
          <w:lang w:bidi="ar-SA"/>
        </w:rPr>
        <w:t>.</w:t>
      </w:r>
      <w:bookmarkStart w:id="973" w:name="pg14912_141446"/>
    </w:p>
    <w:p>
      <w:pPr>
        <w:pStyle w:val="BookText"/>
        <w:rPr/>
      </w:pPr>
      <w:bookmarkEnd w:id="973"/>
      <w:r>
        <w:rPr>
          <w:rFonts w:ascii="Amiri" w:hAnsi="Amiri" w:eastAsia="Amiri" w:cs="Amiri"/>
          <w:color w:val="111111"/>
          <w:sz w:val="28"/>
          <w:sz w:val="28"/>
          <w:szCs w:val="28"/>
          <w:rtl w:val="true"/>
          <w:lang w:bidi="ar-SA"/>
        </w:rPr>
        <w:t>والعجب أنّ أُناساً من بني هاشم سألوا النبي صلى الله عليه و آله و سلم عن وجه حرمانهم من الصدقات، روى الإمام الصادق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بني هاشم أتوا رسول اللّه صلى الله عليه و آله و سلم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 وجلّ للعاملين عليها، فنحن أولى به،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لكم ولكنّي قد وُعدت بالشفاعة</w:t>
      </w:r>
      <w:r>
        <w:rPr>
          <w:rFonts w:eastAsia="Amiri" w:cs="Amiri" w:ascii="Amiri" w:hAnsi="Amiri"/>
          <w:color w:val="111111"/>
          <w:sz w:val="28"/>
          <w:szCs w:val="28"/>
          <w:rtl w:val="true"/>
          <w:lang w:bidi="ar-SA"/>
        </w:rPr>
        <w:t>».</w:t>
      </w:r>
      <w:r>
        <w:rPr>
          <w:rStyle w:val="FootnoteAnchor"/>
          <w:rtl w:val="true"/>
        </w:rPr>
        <w:footnoteReference w:id="707"/>
      </w:r>
    </w:p>
    <w:p>
      <w:pPr>
        <w:pStyle w:val="Heading4"/>
        <w:numPr>
          <w:ilvl w:val="3"/>
          <w:numId w:val="1"/>
        </w:numPr>
        <w:rPr/>
      </w:pPr>
      <w:bookmarkStart w:id="974" w:name="__RefHeading___Toc1366619_388300464"/>
      <w:bookmarkStart w:id="975" w:name="_Toc384"/>
      <w:bookmarkEnd w:id="974"/>
      <w:r>
        <w:rPr>
          <w:rtl w:val="true"/>
        </w:rPr>
        <w:t>الأمر الخامس</w:t>
      </w:r>
      <w:r>
        <w:rPr>
          <w:rtl w:val="true"/>
        </w:rPr>
        <w:t xml:space="preserve">: </w:t>
      </w:r>
      <w:r>
        <w:rPr>
          <w:rtl w:val="true"/>
        </w:rPr>
        <w:t>ما هو المقصود من تحليل الخمس‌؟</w:t>
      </w:r>
      <w:bookmarkEnd w:id="975"/>
    </w:p>
    <w:p>
      <w:pPr>
        <w:pStyle w:val="Heading5"/>
        <w:numPr>
          <w:ilvl w:val="4"/>
          <w:numId w:val="1"/>
        </w:numPr>
        <w:rPr/>
      </w:pPr>
      <w:bookmarkStart w:id="976" w:name="__RefHeading___Toc1366621_388300464"/>
      <w:bookmarkStart w:id="977" w:name="_Toc385"/>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الخمس فريضة شرعية دلّ عليها الكتاب والسنّة النبويّة والأحاديث المروية عن أئمّة أهل البيت عليهم السلام وهذا الحكم الشرعي لم ينسخ أبداً، بل بقي على ما كان عليه في عصر الرسول صلى الله عليه و آله و سلم، وليس لأحد بعد رحلته صلى الله عليه و آله و سلم نسخ حكم شرعي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فكيف تُفسّر الروايات الواردة عن أئمّة أهل البيت عليهم السلام، والدالّة على تحليل الخمس لشيعتهم‌؟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تحليله كان حكماً ولائيّاً لا حكماً شرعيّاً وكان في ظرف خاص، ولمصلحة مؤقّتة اقتضت تجميد العمل به، ولم يكن تصرّفاً في الحكم الشرعي، بل هو باقٍ على ما كان عليه، ولن يتغيّر أبداً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هو السبب الأساسي في تحليل الخمس، فهو</w:t>
      </w:r>
      <w:r>
        <w:rPr>
          <w:rFonts w:eastAsia="Amiri" w:cs="Amiri" w:ascii="Amiri" w:hAnsi="Amiri"/>
          <w:color w:val="111111"/>
          <w:sz w:val="28"/>
          <w:szCs w:val="28"/>
          <w:rtl w:val="true"/>
          <w:lang w:bidi="ar-SA"/>
        </w:rPr>
        <w:t>:</w:t>
      </w:r>
      <w:bookmarkStart w:id="978" w:name="pg14912_141447"/>
    </w:p>
    <w:p>
      <w:pPr>
        <w:pStyle w:val="BookText"/>
        <w:rPr/>
      </w:pPr>
      <w:bookmarkEnd w:id="978"/>
      <w:r>
        <w:rPr>
          <w:rFonts w:ascii="Amiri" w:hAnsi="Amiri" w:eastAsia="Amiri" w:cs="Amiri"/>
          <w:color w:val="111111"/>
          <w:sz w:val="28"/>
          <w:sz w:val="28"/>
          <w:szCs w:val="28"/>
          <w:rtl w:val="true"/>
          <w:lang w:bidi="ar-SA"/>
        </w:rPr>
        <w:t>أنّ إيصال الأموال إلى الإمام المعصوم عليه السلام في بعض الأزمان كان يشكل خطراً على النظام الأموي أو العباسي، فإنّ في إرسال الخمس إلى الأئمّة المعصومين تعبيراً عن عدم الاعتراف بشرعية حكم الحاكم الأموي والعباسي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يجد الأئمّة عليهم السلام بُدّاً من تقديم الأهم على المهمّ‌، فأجازوا لشيعتهم إبقاء الخُمس في أيديهم لما يترتّب على دفعه إليهم عليهم السلام من مخاطر وأضرار تلحق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المهمّ للتحليل، وثمّة أسباب أُخرى نشير إليها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366623_388300464"/>
      <w:bookmarkStart w:id="980" w:name="_Toc386"/>
      <w:bookmarkEnd w:id="979"/>
      <w:r>
        <w:rPr>
          <w:rtl w:val="true"/>
        </w:rPr>
        <w:t>القسم الأوّل</w:t>
      </w:r>
      <w:r>
        <w:rPr>
          <w:rtl w:val="true"/>
        </w:rPr>
        <w:t xml:space="preserve">: </w:t>
      </w:r>
      <w:r>
        <w:rPr>
          <w:rtl w:val="true"/>
        </w:rPr>
        <w:t>تحليل خمس الغنائم</w:t>
      </w:r>
      <w:bookmarkEnd w:id="980"/>
    </w:p>
    <w:p>
      <w:pPr>
        <w:pStyle w:val="BookText"/>
        <w:rPr/>
      </w:pPr>
      <w:r>
        <w:rPr>
          <w:rFonts w:ascii="Amiri" w:hAnsi="Amiri" w:eastAsia="Amiri" w:cs="Amiri"/>
          <w:color w:val="111111"/>
          <w:sz w:val="28"/>
          <w:sz w:val="28"/>
          <w:szCs w:val="28"/>
          <w:rtl w:val="true"/>
          <w:lang w:bidi="ar-SA"/>
        </w:rPr>
        <w:t xml:space="preserve">كان المسلمون خلال حياة الأئمّة عليهم السلام يخوضون حروباً لنشر الإسلام في كافّة أرجاء العالم، وكان يرجعون بغنائم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إماء ومتاع وأموال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تباع في الأسواق، فتتداولها الأيدي بالبيع والشراء، وكان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جزء من هذا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الأمتعة والإماء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خمس الغنائم الذي أوجبه اللّه وجعله من حقّ اللّه ورسوله، كان لا يُخرج من هذه الغنائم، ولا يُدفع للإمام، والتكليف بالخمس لم يكن متوجّهاً للشيعة أوّلاً وبالذات، بل يتعلّق بأموال وقعت في أيدي الشيعة، فأوجد هذا الأمر مشكلة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رفع هذه المشكلة، أحلّ الأئمّة لهم خمس الغنائم التي تقع بأيديهم</w:t>
      </w:r>
      <w:r>
        <w:rPr>
          <w:rStyle w:val="FootnoteAnchor"/>
          <w:rtl w:val="true"/>
        </w:rPr>
        <w:footnoteReference w:id="708"/>
      </w:r>
      <w:r>
        <w:rPr>
          <w:rFonts w:ascii="Amiri" w:hAnsi="Amiri" w:eastAsia="Amiri" w:cs="Amiri"/>
          <w:color w:val="111111"/>
          <w:sz w:val="28"/>
          <w:sz w:val="28"/>
          <w:szCs w:val="28"/>
          <w:rtl w:val="true"/>
          <w:lang w:bidi="ar-SA"/>
        </w:rPr>
        <w:t xml:space="preserve">وأكثر ما يدلّ على التحليل راجع إلى هذا القسم، وما رواه محمد بن مسلم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أو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ما فيه</w:t>
      </w:r>
      <w:bookmarkStart w:id="981" w:name="pg14912_141448"/>
    </w:p>
    <w:p>
      <w:pPr>
        <w:pStyle w:val="BookText"/>
        <w:rPr/>
      </w:pPr>
      <w:bookmarkEnd w:id="981"/>
      <w:r>
        <w:rPr>
          <w:rFonts w:ascii="Amiri" w:hAnsi="Amiri" w:eastAsia="Amiri" w:cs="Amiri"/>
          <w:color w:val="111111"/>
          <w:sz w:val="28"/>
          <w:sz w:val="28"/>
          <w:szCs w:val="28"/>
          <w:rtl w:val="true"/>
          <w:lang w:bidi="ar-SA"/>
        </w:rPr>
        <w:t>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وقد طيّبنا ذلك لشيعتنا لتطيب ولادتهم ولتزكوا أولادهم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على أنّ التحليل يتعلّق بالسراري التي يشتريها الشيعة، وهن من الغنائم الحربية</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366625_388300464"/>
      <w:bookmarkStart w:id="983" w:name="_Toc387"/>
      <w:bookmarkEnd w:id="982"/>
      <w:r>
        <w:rPr>
          <w:rtl w:val="true"/>
        </w:rPr>
        <w:t>القسم الثاني</w:t>
      </w:r>
      <w:r>
        <w:rPr>
          <w:rtl w:val="true"/>
        </w:rPr>
        <w:t xml:space="preserve">: </w:t>
      </w:r>
      <w:r>
        <w:rPr>
          <w:rtl w:val="true"/>
        </w:rPr>
        <w:t>تحليل الخمس لمَن ضاق عليه معاشه</w:t>
      </w:r>
      <w:bookmarkEnd w:id="983"/>
    </w:p>
    <w:p>
      <w:pPr>
        <w:pStyle w:val="BookText"/>
        <w:rPr/>
      </w:pPr>
      <w:r>
        <w:rPr>
          <w:rFonts w:ascii="Amiri" w:hAnsi="Amiri" w:eastAsia="Amiri" w:cs="Amiri"/>
          <w:color w:val="111111"/>
          <w:sz w:val="28"/>
          <w:sz w:val="28"/>
          <w:szCs w:val="28"/>
          <w:rtl w:val="true"/>
          <w:lang w:bidi="ar-SA"/>
        </w:rPr>
        <w:t xml:space="preserve">يظهر من بعض الروايات أنّ التحليل كان لطائفة خاصّة من الناس الذين ضاق عليهم العيش، ومن روايات هذا القسم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يقع في أيدينا الأرباح والأموال وتجارات نعلم أنّ حقّك فيها ثابت وإنّا عن ذلك مقصّرون‌؟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710"/>
      </w:r>
    </w:p>
    <w:p>
      <w:pPr>
        <w:pStyle w:val="Heading5"/>
        <w:numPr>
          <w:ilvl w:val="4"/>
          <w:numId w:val="1"/>
        </w:numPr>
        <w:rPr/>
      </w:pPr>
      <w:bookmarkStart w:id="984" w:name="__RefHeading___Toc1366627_388300464"/>
      <w:bookmarkStart w:id="985" w:name="_Toc388"/>
      <w:bookmarkEnd w:id="984"/>
      <w:r>
        <w:rPr>
          <w:rtl w:val="true"/>
        </w:rPr>
        <w:t>القسم الثالث</w:t>
      </w:r>
      <w:r>
        <w:rPr>
          <w:rtl w:val="true"/>
        </w:rPr>
        <w:t xml:space="preserve">: </w:t>
      </w:r>
      <w:r>
        <w:rPr>
          <w:rtl w:val="true"/>
        </w:rPr>
        <w:t>تحليل ما ينتقل إلى الشيعة من غير المخمس</w:t>
      </w:r>
      <w:bookmarkEnd w:id="9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روايات أنّ ملاك التحليل أنّ أكثر الناس كانوا غير معتقدين بوجوب التخميس في الأرباح والمكاسب، فربما تقع أموالهم عن طريق البيع والشراء بيد الشيعة، وفيها حقّهم عليهم السلام، وهذا هو الذي أباحه الأئمّة للشيعة رفعاً للحرج والضرر، ويدلّ على ذلك ما رواه أبو سلمة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w:t>
      </w:r>
      <w:bookmarkStart w:id="986" w:name="pg14912_141449"/>
    </w:p>
    <w:p>
      <w:pPr>
        <w:pStyle w:val="BookText"/>
        <w:rPr/>
      </w:pPr>
      <w:bookmarkEnd w:id="986"/>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 اللّه عليه السلام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لشيعتنا حلال، الشاهد منهم والغائب، الميّت منهم والحيّ‌، وما يولد منهم إلى يوم القيامة فهو لهم حلال، أما واللّه لا يحلّ إلّالمن أحللنا له، ولا واللّه ما أعطينا أحداً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عندنا لأحد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عندنا ميثاق</w:t>
      </w:r>
      <w:r>
        <w:rPr>
          <w:rFonts w:eastAsia="Amiri" w:cs="Amiri" w:ascii="Amiri" w:hAnsi="Amiri"/>
          <w:color w:val="111111"/>
          <w:sz w:val="28"/>
          <w:szCs w:val="28"/>
          <w:rtl w:val="true"/>
          <w:lang w:bidi="ar-SA"/>
        </w:rPr>
        <w:t>».</w:t>
      </w:r>
      <w:r>
        <w:rPr>
          <w:rStyle w:val="FootnoteAnchor"/>
          <w:rtl w:val="true"/>
        </w:rPr>
        <w:footnoteReference w:id="711"/>
      </w:r>
    </w:p>
    <w:p>
      <w:pPr>
        <w:pStyle w:val="Heading5"/>
        <w:numPr>
          <w:ilvl w:val="4"/>
          <w:numId w:val="1"/>
        </w:numPr>
        <w:rPr/>
      </w:pPr>
      <w:bookmarkStart w:id="987" w:name="__RefHeading___Toc1366629_388300464"/>
      <w:bookmarkStart w:id="988" w:name="_Toc389"/>
      <w:bookmarkEnd w:id="987"/>
      <w:r>
        <w:rPr>
          <w:rtl w:val="true"/>
        </w:rPr>
        <w:t>القسم الرابع</w:t>
      </w:r>
      <w:r>
        <w:rPr>
          <w:rtl w:val="true"/>
        </w:rPr>
        <w:t xml:space="preserve">: </w:t>
      </w:r>
      <w:r>
        <w:rPr>
          <w:rtl w:val="true"/>
        </w:rPr>
        <w:t>تحليل الأنفال</w:t>
      </w:r>
      <w:bookmarkEnd w:id="988"/>
    </w:p>
    <w:p>
      <w:pPr>
        <w:pStyle w:val="BookText"/>
        <w:rPr/>
      </w:pPr>
      <w:r>
        <w:rPr>
          <w:rFonts w:ascii="Amiri" w:hAnsi="Amiri" w:eastAsia="Amiri" w:cs="Amiri"/>
          <w:color w:val="111111"/>
          <w:sz w:val="28"/>
          <w:sz w:val="28"/>
          <w:szCs w:val="28"/>
          <w:rtl w:val="true"/>
          <w:lang w:bidi="ar-SA"/>
        </w:rPr>
        <w:t>أُريد من الأنفال كلّ أرض ملكت بغير قتال، وكلّ أرض موات ورؤوس الجبال، وبطون الأودية، والآجام والغابات، وميراث مَن لا وارث له، وكافّة ما يغنمه المقاتلون بغير إذن الإمام، وكافّة المياه العامّة والأحراش الطبيعية والمراتع التي ليست حريماً لأحد، وقطائع الملوك وصفاياهم غير المغصوبة، فالكلّ للّه ورسوله وبعده للإمام، وقد مرّ معنى كون الأنفال للرسول وللإمام، فلا يجوز التصرّف فيها إلّابإذن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فإنّ بعض هذه الأُمور قد يقع في متناول الشيعة، وهذا ما أحلّه الأئمّة عليهم السلام لهم، خصوصاً ما يرجع إلى الأرض</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هذا البحث الضافي أنّ روايات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ذريعة بأيدي بعض المناوئين لأئمّة أهل البيت عليهم السلام وشيعتهم، لا سيّما المرجعية الدينية التي تتولّى قيادة الشيعة في حياتهم الفردية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صلة لها بما يرتئيه</w:t>
      </w:r>
      <w:bookmarkStart w:id="989" w:name="pg14912_141450"/>
    </w:p>
    <w:p>
      <w:pPr>
        <w:pStyle w:val="BookText"/>
        <w:rPr/>
      </w:pPr>
      <w:bookmarkEnd w:id="989"/>
      <w:r>
        <w:rPr>
          <w:rFonts w:ascii="Amiri" w:hAnsi="Amiri" w:eastAsia="Amiri" w:cs="Amiri"/>
          <w:color w:val="111111"/>
          <w:sz w:val="28"/>
          <w:sz w:val="28"/>
          <w:szCs w:val="28"/>
          <w:rtl w:val="true"/>
          <w:lang w:bidi="ar-SA"/>
        </w:rPr>
        <w:t>البعض من تحليل الخمس في عامّة الموارد، وفي جميع الأزمنة، بل هي تدور حول الموضوعات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الخمس في فترة خاصّة، كان إيصاله إلى الأئمّة عليهم السلام يشكّل خطراً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الغنائم في الحروب التي خاضتها الدولتان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والعباسية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مال مَن ضاق عليه معاشه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الأموال غير المخمّسة المنتقلة إلى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الأنفال التي ترجع إلى اللّه ورسوله والإمام من بعده فأذنوا فيها للشيعة، خصوصاً ما يتعلّق بالأراضي الموات منها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366631_388300464"/>
      <w:bookmarkStart w:id="991" w:name="_Toc390"/>
      <w:bookmarkEnd w:id="990"/>
      <w:r>
        <w:rPr>
          <w:rtl w:val="true"/>
        </w:rPr>
        <w:t>الأمر السادس</w:t>
      </w:r>
      <w:bookmarkEnd w:id="991"/>
    </w:p>
    <w:p>
      <w:pPr>
        <w:pStyle w:val="BookText"/>
        <w:rPr/>
      </w:pPr>
      <w:r>
        <w:rPr>
          <w:rFonts w:ascii="Amiri" w:hAnsi="Amiri" w:eastAsia="Amiri" w:cs="Amiri"/>
          <w:color w:val="111111"/>
          <w:sz w:val="28"/>
          <w:sz w:val="28"/>
          <w:szCs w:val="28"/>
          <w:rtl w:val="true"/>
          <w:lang w:bidi="ar-SA"/>
        </w:rPr>
        <w:t>ربّما يُتصوّر أنّ آية الخمس ناسخة لما ورد في صدر سورة الأنفال،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الخمس بصدد بيان مصرف ما كان للّه وللرسول، وما هذا شأنه، لا يُعدّ ناسخاً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أصحاب النبي صلى الله عليه و آله و سلم في غزوة بدر صار سبباً لحصر ملكية الأنفال في اللّه والرسول صلى الله عليه و آله و سلم، يقول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w:t>
      </w:r>
    </w:p>
    <w:p>
      <w:pPr>
        <w:pStyle w:val="BookText"/>
        <w:rPr/>
      </w:pPr>
      <w:r>
        <w:rPr>
          <w:rFonts w:ascii="Amiri" w:hAnsi="Amiri" w:eastAsia="Amiri" w:cs="Amiri"/>
          <w:color w:val="111111"/>
          <w:sz w:val="28"/>
          <w:sz w:val="28"/>
          <w:szCs w:val="28"/>
          <w:rtl w:val="true"/>
          <w:lang w:bidi="ar-SA"/>
        </w:rPr>
        <w:t>رسول اللّه صلى الله عليه و آله و سلم فشهدت معه بدراً، فالتقى الناس، فهزم اللّه العدوّ، فانطلقت طائفة في آثارهم منهزمون يقتلون، واكبّت طائفة على العسكر يحوزونه ويجمعونه، وأحدقت طائفة برسول اللّه صلى الله عليه و آله و سلم لا يصيب العدوّ منه غرّة، حتى إذا كان الليل وفاء الناس بعضهم إلى بعض، قال الذين 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حويناها وجمعناها فليس لأحد فيها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خرجوا في 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بأحقّ بها منّا، نحن نفينا عنها العدو وهزمناهم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أحدقوا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بأحقّ بها منّا نحن أحدقنا برسول اللّه صلى الله عليه و آله و سلم وخفنا أن يصيب العدوّ منه غرّة واشتغلنا به،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رسول اللّه صلى الله عليه و آله و سلم بين المسلمين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ترى أنّ هذه الرواية وغيرها تدلّ على وجود الشجار والاختلاف بين الصحابة، واللّه سبحانه فصل خصومتهم، وأثبت أنّ الأنفال كلّها لذاته ولرسوله، ومن المعلوم أنّ مالكيته سبحانه أو الرسول للأنفال، لأجل صرفها في موارد تتحقّق بها مصالح الإسلام والمسلمين، فجاءت آية الخمس مبيّنة لمصارفها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عدم التنافي بين الآيتين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إلّاكون أصل ملكها للّه وللرسول صلى الله عليه و آله و سلم من دون أن يتعرّض لكيفية التصرّف وجواز الأكل والتمتّع، فلا يناقضه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حتى يكون بالنسبة إليه ناسخاً</w:t>
      </w:r>
      <w:r>
        <w:rPr>
          <w:rFonts w:eastAsia="Amiri" w:cs="Amiri" w:ascii="Amiri" w:hAnsi="Amiri"/>
          <w:color w:val="111111"/>
          <w:sz w:val="28"/>
          <w:szCs w:val="28"/>
          <w:rtl w:val="true"/>
          <w:lang w:bidi="ar-SA"/>
        </w:rPr>
        <w:t>.</w:t>
      </w:r>
      <w:r>
        <w:rPr>
          <w:rStyle w:val="FootnoteAnchor"/>
        </w:rPr>
        <w:footnoteReference w:id="71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992" w:name="pg14912_141452"/>
    </w:p>
    <w:p>
      <w:pPr>
        <w:pStyle w:val="BookText"/>
        <w:rPr/>
      </w:pPr>
      <w:bookmarkEnd w:id="992"/>
      <w:r>
        <w:rPr>
          <w:rFonts w:ascii="Amiri" w:hAnsi="Amiri" w:eastAsia="Amiri" w:cs="Amiri"/>
          <w:color w:val="111111"/>
          <w:sz w:val="28"/>
          <w:sz w:val="28"/>
          <w:szCs w:val="28"/>
          <w:rtl w:val="true"/>
          <w:lang w:bidi="ar-SA"/>
        </w:rPr>
        <w:t>أحكام الخمس</w:t>
      </w:r>
    </w:p>
    <w:p>
      <w:pPr>
        <w:pStyle w:val="Heading3"/>
        <w:numPr>
          <w:ilvl w:val="2"/>
          <w:numId w:val="1"/>
        </w:numPr>
        <w:rPr/>
      </w:pPr>
      <w:bookmarkStart w:id="993" w:name="__RefHeading___Toc1366633_388300464"/>
      <w:bookmarkStart w:id="994" w:name="_Toc391"/>
      <w:bookmarkEnd w:id="993"/>
      <w:r>
        <w:rPr/>
        <w:t>4</w:t>
      </w:r>
      <w:r>
        <w:rPr>
          <w:rtl w:val="true"/>
        </w:rPr>
        <w:t xml:space="preserve">. </w:t>
      </w:r>
      <w:r>
        <w:rPr>
          <w:rtl w:val="true"/>
        </w:rPr>
        <w:t>أحكام الأنفال والفيء في الذكر الحكيم</w:t>
      </w:r>
      <w:bookmarkEnd w:id="994"/>
    </w:p>
    <w:p>
      <w:pPr>
        <w:pStyle w:val="Heading4"/>
        <w:numPr>
          <w:ilvl w:val="3"/>
          <w:numId w:val="1"/>
        </w:numPr>
        <w:rPr/>
      </w:pPr>
      <w:bookmarkStart w:id="995" w:name="__RefHeading___Toc1366635_388300464"/>
      <w:bookmarkStart w:id="996" w:name="_Toc392"/>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بعد أن درسنا ما يتعلّق بأحكام الخمس، حان الوقت لدراسة ما يتعلّق بالأنفال، وإليك الآيات</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366637_388300464"/>
      <w:bookmarkStart w:id="998" w:name="_Toc393"/>
      <w:bookmarkEnd w:id="997"/>
      <w:r>
        <w:rPr>
          <w:rtl w:val="true"/>
        </w:rPr>
        <w:t>الآيتان</w:t>
      </w:r>
      <w:r>
        <w:rPr>
          <w:rtl w:val="true"/>
        </w:rPr>
        <w:t xml:space="preserve">: </w:t>
      </w:r>
      <w:r>
        <w:rPr>
          <w:rtl w:val="true"/>
        </w:rPr>
        <w:t>الأُولى والثانية</w:t>
      </w:r>
      <w:bookmarkEnd w:id="99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 .</w:t>
      </w:r>
      <w:r>
        <w:rPr>
          <w:rStyle w:val="FootnoteAnchor"/>
          <w:rtl w:val="true"/>
        </w:rPr>
        <w:footnoteReference w:id="718"/>
      </w:r>
    </w:p>
    <w:p>
      <w:pPr>
        <w:pStyle w:val="Heading4"/>
        <w:numPr>
          <w:ilvl w:val="3"/>
          <w:numId w:val="1"/>
        </w:numPr>
        <w:rPr/>
      </w:pPr>
      <w:bookmarkStart w:id="999" w:name="__RefHeading___Toc1366639_388300464"/>
      <w:bookmarkStart w:id="1000" w:name="_Toc394"/>
      <w:bookmarkEnd w:id="999"/>
      <w:r>
        <w:rPr>
          <w:rtl w:val="true"/>
        </w:rPr>
        <w:t>المفردات</w:t>
      </w:r>
      <w:bookmarkEnd w:id="100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يستعمل في المكان والزمان والنسبة، والمراد هنا هو الثالث</w:t>
      </w:r>
      <w:r>
        <w:rPr>
          <w:rFonts w:eastAsia="Amiri" w:cs="Amiri" w:ascii="Amiri" w:hAnsi="Amiri"/>
          <w:color w:val="111111"/>
          <w:sz w:val="28"/>
          <w:szCs w:val="28"/>
          <w:rtl w:val="true"/>
          <w:lang w:bidi="ar-SA"/>
        </w:rPr>
        <w:t>.</w:t>
      </w:r>
      <w:bookmarkStart w:id="1001" w:name="pg14912_141453"/>
    </w:p>
    <w:p>
      <w:pPr>
        <w:pStyle w:val="BookText"/>
        <w:rPr/>
      </w:pPr>
      <w:bookmarkEnd w:id="1001"/>
      <w:r>
        <w:rPr>
          <w:rFonts w:ascii="Amiri" w:hAnsi="Amiri" w:eastAsia="Amiri" w:cs="Amiri"/>
          <w:color w:val="111111"/>
          <w:sz w:val="28"/>
          <w:sz w:val="28"/>
          <w:szCs w:val="28"/>
          <w:rtl w:val="true"/>
          <w:lang w:bidi="ar-SA"/>
        </w:rPr>
        <w:t>وأُريد الأرحام الذين لهم صلة قريبة من الإنسان، وعلى هذا فالقرب والقرابة بمعنى القرب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نفقة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وهو صلة الرحم، والبر بهم وإن لم يكونوا 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المُعدم الذي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الذي نفدت نفقته وهو في وسط الطريق، وهو غنيّ في بلده</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366641_388300464"/>
      <w:bookmarkStart w:id="1003" w:name="_Toc395"/>
      <w:bookmarkEnd w:id="1002"/>
      <w:r>
        <w:rPr>
          <w:rtl w:val="true"/>
        </w:rPr>
        <w:t>التفسير</w:t>
      </w:r>
      <w:bookmarkEnd w:id="1003"/>
    </w:p>
    <w:p>
      <w:pPr>
        <w:pStyle w:val="BookText"/>
        <w:rPr/>
      </w:pPr>
      <w:r>
        <w:rPr>
          <w:rFonts w:ascii="Amiri" w:hAnsi="Amiri" w:eastAsia="Amiri" w:cs="Amiri"/>
          <w:color w:val="111111"/>
          <w:sz w:val="28"/>
          <w:sz w:val="28"/>
          <w:szCs w:val="28"/>
          <w:rtl w:val="true"/>
          <w:lang w:bidi="ar-SA"/>
        </w:rPr>
        <w:t>لو اعتمدنا في تفسير الآية على الروايات وما يُحكى عن شأن نزولها فالخطاب خاص للنبي، رواه الصدوق في ذكر مجلس الرضا عليه السلام مع المأمون،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الخامسة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خصوصية خصّهم العزيز الجبّار بها واصطفاهم على الأُمّة، فلمّا نزلت هذه الآية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فدُعيت 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 هي ممّا لم يوجَف عليه بخيل ولا ركاب وهي لي خاصّة دون المسلمين، وقد جعلتها لكِ لما أمرني اللّه تعالى به، فخذيها لك ولولدك</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الشيعة هم الوحيدين في نقل نزول الآية في حقّ السيدة الزهراء عليها السلام بل رواه السيوطي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ابن جرير عن علي بن الحسين رضى الله عنه أنّه قال لرجل</w:t>
      </w:r>
    </w:p>
    <w:p>
      <w:pPr>
        <w:pStyle w:val="BookText"/>
        <w:rPr/>
      </w:pP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قرأت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للقرابة الذي أمر اللّه أن يؤتى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روى الطبرسي بسند متّصل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رسول اللّه فاطمة فدكاً، قال عبد الرحمن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المأمون إلى عبد اللّه بن موسى يسأله عن قصة فدك، فكتب إليه عبد اللّه، بهذا الحديث، رواه الفضيل بن مرزوق عن عطية، فردّ المأمون فدكاً إلى ولد فاطمة عليها السلام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وقد أُثير هنا سؤال، وهو أنّ السورة مكّية والآية كذلك، وأمّا فدك فإنّما صالح أهلها مع النبي صلى الله عليه و آله و سلم في العام السابع من الهجرة‌؟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هذه الآية مدنيّة، ويؤيّده قول محمد عزّة دَروزة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والمصحف الّذي اعتمدناه ذكر في عنوان سورة الإسراء، أنّ آية الإسراء الّتي نحن في صددها مدنيّة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الّذي اعتمده دَروزة في تفسيره الّذي رتّب فيه السُّوَر حسب النزول، فهو مصحف الخطّاط قَدَر أوغلي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اعتماده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فيه أنّه طُبع تحت إشراف لجنة خاصّة من ذوي العلم والوقوف</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 السؤال المتقدّم بنزول الآية مرّتين، الأُولى في مكّة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04" w:name="pg14912_141455"/>
    </w:p>
    <w:p>
      <w:pPr>
        <w:pStyle w:val="BookText"/>
        <w:rPr/>
      </w:pPr>
      <w:bookmarkEnd w:id="1004"/>
      <w:r>
        <w:rPr>
          <w:rFonts w:ascii="Amiri" w:hAnsi="Amiri" w:eastAsia="Amiri" w:cs="Amiri"/>
          <w:color w:val="111111"/>
          <w:sz w:val="28"/>
          <w:sz w:val="28"/>
          <w:szCs w:val="28"/>
          <w:rtl w:val="true"/>
          <w:lang w:bidi="ar-SA"/>
        </w:rPr>
        <w:t>المكرمة والأُخرى في المدينة المنوّرة التي لم يبق من قرباه إلّابنته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جرى على فدك بعد رحيل النبي صلى الله عليه و آله و سلم فحدّث عنه ولا حرج فقد صارت أمراً سياسياً يتداولها الحكام واحداً بعد الآخر، وبما أنّ المسألة ذات شجون نترك البحث عن المسألة إلى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حقّ ذي القربى، وقد عطف عليه حقّ المسكين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يُعرب عن اهتمام الشارع بهاتين الطائفتين، كما يُعرب عن أنّ التبذير أمر محرّم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على أنّ الآيتين الماضيتين ناظرتان إلى الأنفال، والفيء، هو أنّ النبي صلى الله عليه و آله و سلم منح أرض فدك لبنته فاطمة عليها السلام وهي من القرى التي لم يوجف عليها بخيل ولا ركاب، فتكون من مصاديق الأنفال أو الفيء التي أمرها بيد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خطاب للنبي دون أن يختصّ حكمها به فعلى المسلمين عامّة إعطاء القربى والمسكين وابن السبيل حقّهم، غير أنّ الحقّ في يد النبي كان فيئاً ونفلاً فأعطى فاطمة فدكاً، ولكنّه في أيدي الآخرين مطلق يعمّ ما يملكون فربما يكون الإعطاء واجباً وأُخرى مستحباً فتدبّر</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366643_388300464"/>
      <w:bookmarkStart w:id="1006" w:name="_Toc396"/>
      <w:bookmarkEnd w:id="1005"/>
      <w:r>
        <w:rPr>
          <w:rtl w:val="true"/>
        </w:rPr>
        <w:t>الآيتان</w:t>
      </w:r>
      <w:r>
        <w:rPr>
          <w:rtl w:val="true"/>
        </w:rPr>
        <w:t xml:space="preserve">: </w:t>
      </w:r>
      <w:r>
        <w:rPr>
          <w:rtl w:val="true"/>
        </w:rPr>
        <w:t>الثالثة والرابعة</w:t>
      </w:r>
      <w:bookmarkEnd w:id="100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w:t>
      </w:r>
      <w:bookmarkStart w:id="1007" w:name="pg14912_141456"/>
    </w:p>
    <w:p>
      <w:pPr>
        <w:pStyle w:val="BookText"/>
        <w:rPr/>
      </w:pPr>
      <w:bookmarkEnd w:id="1007"/>
      <w:r>
        <w:rPr>
          <w:rFonts w:ascii="Amiri" w:hAnsi="Amiri" w:eastAsia="Amiri" w:cs="Amiri"/>
          <w:color w:val="111111"/>
          <w:sz w:val="28"/>
          <w:sz w:val="28"/>
          <w:szCs w:val="28"/>
          <w:rtl w:val="true"/>
          <w:lang w:bidi="ar-SA"/>
        </w:rPr>
        <w:t>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w:t>
      </w:r>
      <w:r>
        <w:rPr>
          <w:rStyle w:val="FootnoteAnchor"/>
          <w:rtl w:val="true"/>
        </w:rPr>
        <w:footnoteReference w:id="724"/>
      </w:r>
    </w:p>
    <w:p>
      <w:pPr>
        <w:pStyle w:val="Heading4"/>
        <w:numPr>
          <w:ilvl w:val="3"/>
          <w:numId w:val="1"/>
        </w:numPr>
        <w:rPr/>
      </w:pPr>
      <w:bookmarkStart w:id="1008" w:name="__RefHeading___Toc1366645_388300464"/>
      <w:bookmarkStart w:id="1009" w:name="_Toc397"/>
      <w:bookmarkEnd w:id="1008"/>
      <w:r>
        <w:rPr>
          <w:rtl w:val="true"/>
        </w:rPr>
        <w:t>المفردات</w:t>
      </w:r>
      <w:bookmarkEnd w:id="1009"/>
    </w:p>
    <w:p>
      <w:pPr>
        <w:pStyle w:val="BookText"/>
        <w:rPr/>
      </w:pP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يستعملان في مصطلح الفقهاء فيما يغنمه الإنسان، ولكن ما كان بلا قتال فهو الفيء، وما كان معه فهو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أعطى الفيء،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دخلت الفاء على الخبر، 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للعهد، والظاهر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التي استسلم أهلها بلا إيجاف خيل ولا ركاب،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 وفدك، وقرى عُرينة وينبع ووادى القرى والصفراء، كلّها فتحت في عهد الرسول صلى الله عليه و آله و سلم بلا عنوة، وحُكم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يتداوله الناس، والتداول التعاقب في التصرّف، وأمّا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الغلبة والمُلك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آتاكم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الرسول، ويحتمل أن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به الرسول، بقرينة ما بعده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استعمال الإيتاء في مورد الأمر فكأنّه إشارة إلى أنّ جعل تشريع الرسول</w:t>
      </w:r>
      <w:bookmarkStart w:id="1010" w:name="pg14912_141457"/>
    </w:p>
    <w:p>
      <w:pPr>
        <w:pStyle w:val="BookText"/>
        <w:rPr/>
      </w:pPr>
      <w:bookmarkEnd w:id="1010"/>
      <w:r>
        <w:rPr>
          <w:rFonts w:ascii="Amiri" w:hAnsi="Amiri" w:eastAsia="Amiri" w:cs="Amiri"/>
          <w:color w:val="111111"/>
          <w:sz w:val="28"/>
          <w:sz w:val="28"/>
          <w:szCs w:val="28"/>
          <w:rtl w:val="true"/>
          <w:lang w:bidi="ar-SA"/>
        </w:rPr>
        <w:t>وتبليغه كإيتاء الشيء باليد،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والآية خطاب لبني إسرائيل، حتى يأخذوا بما يأمر به موسى عليه السلام بتمام القوّة</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366647_388300464"/>
      <w:bookmarkStart w:id="1012" w:name="_Toc398"/>
      <w:bookmarkEnd w:id="1011"/>
      <w:r>
        <w:rPr>
          <w:rtl w:val="true"/>
        </w:rPr>
        <w:t>التفسير</w:t>
      </w:r>
      <w:bookmarkEnd w:id="1012"/>
    </w:p>
    <w:p>
      <w:pPr>
        <w:pStyle w:val="BookText"/>
        <w:rPr/>
      </w:pPr>
      <w:r>
        <w:rPr>
          <w:rFonts w:ascii="Amiri" w:hAnsi="Amiri" w:eastAsia="Amiri" w:cs="Amiri"/>
          <w:color w:val="111111"/>
          <w:sz w:val="28"/>
          <w:sz w:val="28"/>
          <w:szCs w:val="28"/>
          <w:rtl w:val="true"/>
          <w:lang w:bidi="ar-SA"/>
        </w:rPr>
        <w:t>صلة الآيتين بما قبلها واضحة لأنّ الجميع ناظر إلى الفيء،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يوجب عليه من 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بنو النضير أرض المدينة وأخذوا من أموالهم ما استقلت به الإبل، وبقيت بساتينهم وأراضيهم تحت يد الرسول صلى الله عليه و آله و سلم فقسّمها على المهاجرين الأوّلين دون الأنصار، وقد أثار ذلك التقسيم، التساؤلَ لدى الأنصار، لماذا لم يقسّمها رسول اللّه بين جميع الغُزاة، كما فعل ذلك في غزوة بدر؟ والآية الأُولى إجابة عن هذا السؤال، بوجود الفرق بين ما أُخذ في غزوة بدر، وبين ما أُخذ في غزوة بني النضير، فالمسلمون في غزوة بدر أوجفوا على ذلك بخيل وركاب، وقاتلوا وقتل عدد منهم، فلذلك استحقّوا أربعة أخماس الغنيمة، بخلاف غزوة بني النضير، فلم يوجفوا على ذلك بخيل ولا ركاب، وإنّما سلّطهم اللّه سبحانه عليهم بإلقاء الرعب في قلوب اليهود، فلم يروا بُدّاً من الاستسلام، ولم يكن للجيش إلّادور ضعيف من محاصرة القلاع وقطع شيء من اللينة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جعل الفيء جميعه لرسول اللّه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ارجع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اليهود الذين</w:t>
      </w:r>
    </w:p>
    <w:p>
      <w:pPr>
        <w:pStyle w:val="BookText"/>
        <w:rPr/>
      </w:pPr>
      <w:r>
        <w:rPr>
          <w:rFonts w:ascii="Amiri" w:hAnsi="Amiri" w:eastAsia="Amiri" w:cs="Amiri"/>
          <w:color w:val="111111"/>
          <w:sz w:val="28"/>
          <w:sz w:val="28"/>
          <w:szCs w:val="28"/>
          <w:rtl w:val="true"/>
          <w:lang w:bidi="ar-SA"/>
        </w:rPr>
        <w:t xml:space="preserve">أجلاهم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فما أوجفتم عليه خيلاً ولا إبلاً، ولم تسيروا إليها على خيل ولا إبل، وإنّما كانت ناحية من المدينة مشيتم إليها مشيّاً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يُسَلِّطُ رُسُلَهُ عَلى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يمكّنهم من عدوهم من غير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جعل الفيء في هذه الآية للرسول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لم يجعل له بما هو شخص بل بما أنّه رئيس الدولة، وقائد الشعب، ثم ذكر موارد صرفها في الآية الرابعة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كفّار أهل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يأمركم فيه بما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بتمليك اللّه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بيت رسول اللّه وقرابته وهم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 وَ اَلْمَساكِينِ وَ اِبْنِ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أيتام بني هاشم ومساكينهم وأبناء سبيلهم، أو مطلق الأيتام والمساكين وأبناء السبيل‌؟ يحتمل الثاني، لأنّ سهم ذي القربى يعمّ كلّ مَنْ له وشيجة بالنبي صلى الله عليه و آله و سلم، سواء أكان يتيماً أو لا، مسكيناً أو لا، ابن سبيل أو لا، فتكون الأسهم الثلاثة الأخيرة لمطلق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الأيتام من أهل بيت رسول اللّه صلى الله عليه و آله و سلم ومساكينهم وابن سبيلهم، لأنّ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قرباه ويتامى أهل بيته وابن سبيلهم، لأنّ الألف واللام تعاقب الضمير</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فهي تؤيّد القول الأوّل، فقد روى المنهال بن عمرو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13" w:name="pg14912_141459"/>
    </w:p>
    <w:p>
      <w:pPr>
        <w:pStyle w:val="BookText"/>
        <w:rPr/>
      </w:pPr>
      <w:bookmarkEnd w:id="10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قربانا، ومساكيننا، وأبناء سبيلنا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محمد بن مسلم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سهم رسول اللّه صلى الله عليه و آله و سلم وسهم ذي القربى‌، ونحن شركاء الناس فيما بقي</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ثمّ إنّه سبحانه يُعلّل ما ذكره في الآية من تقسيم أموال بني النضير بين الأصناف الستة دون الأغنياء من بني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يتناولها الأغنياء بينهم والفقرة تهدف إلى أنّه يجب أن تكون الأموال بنحو يتناولها الفقراء والأغنياء معاً، حتى تسود العدالة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أعطاكم الرسول من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وارضوا به، ويحتمل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أمركم الرسول به فافعلوه، ويشهد للمعنى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نَهاكُمْ عَنْهُ فَانْتَهُوا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شَدِيدُ اَلْعِقابِ‌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هنا تمّ تفسير الآيتين، وتبيّن أنّ رسول اللّه صلى الله عليه و آله و سلم بأمر من اللّه سبحانه قسّم ما تركه بنو النضير بين أقربائه واليتامى والمساكين وابن السبيل، ولم يعط الأنصار منها شيئاً إلّاثلاث نفر، كانت بهم حاجة،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 وسهل بن حنيف، والحارث بن صمّة</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366649_388300464"/>
      <w:bookmarkStart w:id="1015" w:name="_Toc399"/>
      <w:bookmarkEnd w:id="1014"/>
      <w:r>
        <w:rPr>
          <w:rtl w:val="true"/>
        </w:rPr>
        <w:t>الآيتان</w:t>
      </w:r>
      <w:r>
        <w:rPr>
          <w:rtl w:val="true"/>
        </w:rPr>
        <w:t xml:space="preserve">: </w:t>
      </w:r>
      <w:r>
        <w:rPr>
          <w:rtl w:val="true"/>
        </w:rPr>
        <w:t>الخامسة والسادسة</w:t>
      </w:r>
      <w:bookmarkEnd w:id="101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تَبَوَّؤُا اَلدّارَ وَ اَلْإِيمانَ مِنْ‌</w:t>
      </w:r>
      <w:bookmarkStart w:id="1016" w:name="pg14912_141460"/>
    </w:p>
    <w:p>
      <w:pPr>
        <w:pStyle w:val="BookText"/>
        <w:rPr/>
      </w:pPr>
      <w:bookmarkEnd w:id="1016"/>
      <w:r>
        <w:rPr>
          <w:rFonts w:ascii="Amiri" w:hAnsi="Amiri" w:eastAsia="Amiri" w:cs="Amiri"/>
          <w:color w:val="111111"/>
          <w:sz w:val="28"/>
          <w:sz w:val="28"/>
          <w:szCs w:val="28"/>
          <w:rtl w:val="true"/>
          <w:lang w:bidi="ar-SA"/>
        </w:rPr>
        <w:t>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w:t>
      </w:r>
      <w:r>
        <w:rPr>
          <w:rStyle w:val="FootnoteAnchor"/>
          <w:rtl w:val="true"/>
        </w:rPr>
        <w:footnoteReference w:id="728"/>
      </w:r>
    </w:p>
    <w:p>
      <w:pPr>
        <w:pStyle w:val="Heading4"/>
        <w:numPr>
          <w:ilvl w:val="3"/>
          <w:numId w:val="1"/>
        </w:numPr>
        <w:rPr/>
      </w:pPr>
      <w:bookmarkStart w:id="1017" w:name="__RefHeading___Toc1366651_388300464"/>
      <w:bookmarkStart w:id="1018" w:name="_Toc400"/>
      <w:bookmarkEnd w:id="1017"/>
      <w:r>
        <w:rPr>
          <w:rtl w:val="true"/>
        </w:rPr>
        <w:t>المفردات</w:t>
      </w:r>
      <w:bookmarkEnd w:id="1018"/>
    </w:p>
    <w:p>
      <w:pPr>
        <w:pStyle w:val="BookText"/>
        <w:rPr/>
      </w:pPr>
      <w:r>
        <w:rPr>
          <w:rFonts w:ascii="Amiri" w:hAnsi="Amiri" w:eastAsia="Amiri" w:cs="Amiri"/>
          <w:color w:val="111111"/>
          <w:sz w:val="28"/>
          <w:sz w:val="28"/>
          <w:szCs w:val="28"/>
          <w:rtl w:val="true"/>
          <w:lang w:bidi="ar-SA"/>
        </w:rPr>
        <w:t>تبوءُوا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والمراد بالدار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عمروا المدينة وسكنوها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المعنى المصدري، أي الاحتياج، وأُخرى المحتاج إليه، وقد تفسّر هنا بالغيظ، وهو تفسير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الدار، والعامل فيه محذوف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الإيمان،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وماء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شيء على غيره مع الحاجة إليه، أو تقديم الغير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والحاجة،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خصاص البيت فُرجُه، وعبّر عن الفقر الذي لم يُسدّ بالخصاصة</w:t>
      </w:r>
      <w:r>
        <w:rPr>
          <w:rStyle w:val="FootnoteAnchor"/>
          <w:rtl w:val="true"/>
        </w:rPr>
        <w:footnoteReference w:id="729"/>
      </w:r>
      <w:r>
        <w:rPr>
          <w:rFonts w:ascii="Amiri" w:hAnsi="Amiri" w:eastAsia="Amiri" w:cs="Amiri"/>
          <w:color w:val="111111"/>
          <w:sz w:val="28"/>
          <w:sz w:val="28"/>
          <w:szCs w:val="28"/>
          <w:rtl w:val="true"/>
          <w:lang w:bidi="ar-SA"/>
        </w:rPr>
        <w:t>، كأنّ الفقر فُرج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 من الوقاية أي الحفظ</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مع حرص على ما في يد الغير، بخلاف البخيل فإنّه يبخل بما</w:t>
      </w:r>
      <w:bookmarkStart w:id="1019" w:name="pg14912_141461"/>
    </w:p>
    <w:p>
      <w:pPr>
        <w:pStyle w:val="BookText"/>
        <w:rPr/>
      </w:pPr>
      <w:bookmarkEnd w:id="1019"/>
      <w:r>
        <w:rPr>
          <w:rFonts w:ascii="Amiri" w:hAnsi="Amiri" w:eastAsia="Amiri" w:cs="Amiri"/>
          <w:color w:val="111111"/>
          <w:sz w:val="28"/>
          <w:sz w:val="28"/>
          <w:szCs w:val="28"/>
          <w:rtl w:val="true"/>
          <w:lang w:bidi="ar-SA"/>
        </w:rPr>
        <w:t>في يده دون حرص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الشُّحّ والإيمان في قلب رجل مؤمن، ولا يجتمع غبار في سبيل اللّه ودخان جهنم في جوف رجل مسلم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الحقد والغشّ‌</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366653_388300464"/>
      <w:bookmarkStart w:id="1021" w:name="_Toc401"/>
      <w:bookmarkEnd w:id="1020"/>
      <w:r>
        <w:rPr>
          <w:rtl w:val="true"/>
        </w:rPr>
        <w:t>التفسير</w:t>
      </w:r>
      <w:bookmarkEnd w:id="1021"/>
    </w:p>
    <w:p>
      <w:pPr>
        <w:pStyle w:val="BookText"/>
        <w:rPr/>
      </w:pPr>
      <w:r>
        <w:rPr>
          <w:rFonts w:ascii="Amiri" w:hAnsi="Amiri" w:eastAsia="Amiri" w:cs="Amiri"/>
          <w:color w:val="111111"/>
          <w:sz w:val="28"/>
          <w:sz w:val="28"/>
          <w:szCs w:val="28"/>
          <w:rtl w:val="true"/>
          <w:lang w:bidi="ar-SA"/>
        </w:rPr>
        <w:t>صلة الآيتين بما قبلهما واضحة لأنّ الجميع ناظر إلى ما لم يوجف عليه من خيل ولا ركاب وتبيّن وجه تخصيصه بالمهاجرين دون الأنصار، فالآية الأُولى بصدد بيان إشراك المهاجرين الفقراء بالفيء، والآية الثانية بصدد بيان وجه حرمان الأنصار، عن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وللفقراء المهاجرين، أُعيدت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فصل طويل بين البدل والمبدل منه،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وصف المهاجرين الذين خُصّوا بأموال بني النضير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وَ أَمْوالِهِمْ‌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رزقاً من اللّه، ويمكن أن يُراد به الثواب</w:t>
      </w:r>
      <w:r>
        <w:rPr>
          <w:rFonts w:eastAsia="Amiri" w:cs="Amiri" w:ascii="Amiri" w:hAnsi="Amiri"/>
          <w:color w:val="111111"/>
          <w:sz w:val="28"/>
          <w:szCs w:val="28"/>
          <w:rtl w:val="true"/>
          <w:lang w:bidi="ar-SA"/>
        </w:rPr>
        <w:t>.</w:t>
      </w:r>
      <w:bookmarkStart w:id="1022" w:name="pg14912_141462"/>
    </w:p>
    <w:p>
      <w:pPr>
        <w:pStyle w:val="BookText"/>
        <w:rPr/>
      </w:pPr>
      <w:bookmarkEnd w:id="10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الغزوات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وهؤلاء الذين شُرّدوا من ديارهم وأموالهم رغبة في مرضاة اللّه وثوابه ونصرة الإسلام، أولى بالفيء والزكاة لفقرهم، وجهادهم</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366655_388300464"/>
      <w:bookmarkStart w:id="1024" w:name="_Toc402"/>
      <w:bookmarkEnd w:id="1023"/>
      <w:r>
        <w:rPr>
          <w:rtl w:val="true"/>
        </w:rPr>
        <w:t>أوصاف الأنصار</w:t>
      </w:r>
      <w:bookmarkEnd w:id="1024"/>
    </w:p>
    <w:p>
      <w:pPr>
        <w:pStyle w:val="BookText"/>
        <w:rPr/>
      </w:pPr>
      <w:r>
        <w:rPr>
          <w:rFonts w:ascii="Amiri" w:hAnsi="Amiri" w:eastAsia="Amiri" w:cs="Amiri"/>
          <w:color w:val="111111"/>
          <w:sz w:val="28"/>
          <w:sz w:val="28"/>
          <w:szCs w:val="28"/>
          <w:rtl w:val="true"/>
          <w:lang w:bidi="ar-SA"/>
        </w:rPr>
        <w:t>تعرّضت الآية السابقة لذكر أوصاف المهاجرين، وأمّا الآية الثانية فقد تبنّت بيان صفات من سكن المدينة قبل نزول المهاجرين فيها وعمروها في حال كونهم مؤمنين، وبذلك صارت مهيأة لنزول المهاجرين وسكناهم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سبحانه عن الأنصار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تَبَوَّؤُا اَلدّارَ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معنى الفقرة، والمراد تبوّءُوا الدار أي سكنوا فيها،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وآثروا الإيمان،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تبوّءُوا الدار وآثروا الإيمان فلهم أوصاف،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يحبون المهاجرين إلى ديارهم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يَجِدُونَ فِي صُدُورِهِمْ حاجَةً مِمّا أُوتُوا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يجد الأنصار في نفوسهم رغبة إلى أخذ شيء ممّا أُوتي المهاجرون من أموال بني النضير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يقدّمون المهاجرين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بِهِمْ خَصاصَةٌ‌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كانوا في فاقة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تمكّن من السيطرة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الفائزون بثواب اللّه ونعيم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الجمل الخبرية استعملت بصدد الإخبار عن كون الأنصار موصوفين بهذه الصفات، أو هي بصدد الانشاء والإيجاب وأنّه يجب أن يكونوا كذلك مثل قول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الآيتين، وبه تمّ تفسير الآيات التي تعرّضت لذكر الأنفال والفيء والخمس، غير أنّ هذه الآيات النازلة في الفيء تذكر فعل رسول اللّه صلى الله عليه و آله و سلم بالفيء مع أصحابه، ومورد الآية يختصّ بفيء بني النضير، وما في حكمه كفيء بني قريظة وفدك، وأمّا سائر الأفياء التي مرّ بيان أقسامها فالناس فيها سواء يتولى القائد الإسلامي كيفية تقسيمها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تفسير آيات الخمس والأنفال والفيء</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1025" w:name="pg14912_141464"/>
    </w:p>
    <w:p>
      <w:pPr>
        <w:pStyle w:val="Heading2"/>
        <w:numPr>
          <w:ilvl w:val="1"/>
          <w:numId w:val="1"/>
        </w:numPr>
        <w:rPr/>
      </w:pPr>
      <w:bookmarkStart w:id="1026" w:name="__RefHeading___Toc1366657_388300464"/>
      <w:bookmarkStart w:id="1027" w:name="_Toc403"/>
      <w:bookmarkEnd w:id="1025"/>
      <w:bookmarkEnd w:id="1026"/>
      <w:r>
        <w:rPr>
          <w:rtl w:val="true"/>
        </w:rPr>
        <w:t>الفصل السادس</w:t>
      </w:r>
      <w:r>
        <w:rPr>
          <w:rtl w:val="true"/>
        </w:rPr>
        <w:t xml:space="preserve">: </w:t>
      </w:r>
      <w:r>
        <w:rPr>
          <w:rtl w:val="true"/>
        </w:rPr>
        <w:t>فريضة الحجّ في الذكر الحكيم</w:t>
      </w:r>
      <w:bookmarkEnd w:id="1027"/>
    </w:p>
    <w:p>
      <w:pPr>
        <w:pStyle w:val="Heading3"/>
        <w:numPr>
          <w:ilvl w:val="2"/>
          <w:numId w:val="1"/>
        </w:numPr>
        <w:rPr/>
      </w:pPr>
      <w:bookmarkStart w:id="1028" w:name="__RefHeading___Toc1366659_388300464"/>
      <w:bookmarkStart w:id="1029" w:name="_Toc404"/>
      <w:bookmarkEnd w:id="1028"/>
      <w:r>
        <w:rPr>
          <w:rtl w:val="true"/>
        </w:rPr>
        <w:t>اشارة</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الحجّ على المستطيع 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الحجّ وحجّ التمتّع باق على تشريعه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العمرة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ذكر اللّه بدل التفاخر بالآباء في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المُحصَر والمصدود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الحجّ وتحريم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الابتلاء بالصيد و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الأربعة التي جُعلت قياماً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شعائر اللّه والشهر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الصدّ عن سبيل اللّه والمسجد الحرام</w:t>
      </w:r>
      <w:r>
        <w:rPr>
          <w:rFonts w:eastAsia="Amiri" w:cs="Amiri" w:ascii="Amiri" w:hAnsi="Amiri"/>
          <w:color w:val="111111"/>
          <w:sz w:val="28"/>
          <w:szCs w:val="28"/>
          <w:rtl w:val="true"/>
          <w:lang w:bidi="ar-SA"/>
        </w:rPr>
        <w:t>.</w:t>
      </w:r>
      <w:bookmarkStart w:id="1030" w:name="pg14912_141466"/>
    </w:p>
    <w:p>
      <w:pPr>
        <w:pStyle w:val="Heading3"/>
        <w:numPr>
          <w:ilvl w:val="2"/>
          <w:numId w:val="1"/>
        </w:numPr>
        <w:rPr/>
      </w:pPr>
      <w:bookmarkStart w:id="1031" w:name="__RefHeading___Toc1366661_388300464"/>
      <w:bookmarkStart w:id="1032" w:name="_Toc405"/>
      <w:bookmarkEnd w:id="1030"/>
      <w:bookmarkEnd w:id="1031"/>
      <w:r>
        <w:rPr>
          <w:rtl w:val="true"/>
        </w:rPr>
        <w:t>تمهيد الحجّ لغة واصطلاحاً</w:t>
      </w:r>
      <w:bookmarkEnd w:id="1032"/>
    </w:p>
    <w:p>
      <w:pPr>
        <w:pStyle w:val="Heading4"/>
        <w:numPr>
          <w:ilvl w:val="3"/>
          <w:numId w:val="1"/>
        </w:numPr>
        <w:rPr/>
      </w:pPr>
      <w:bookmarkStart w:id="1033" w:name="__RefHeading___Toc1366663_388300464"/>
      <w:bookmarkStart w:id="1034" w:name="_Toc406"/>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الحجّ في اللغة بمعنى القصد، وهو عند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لمجموع المناسك المؤدّاة في المشاعر المخصوصة، كما عليه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اسماً لقصد البيت الحرام لأداء مناسك مخصوصة في 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المعنيين واضح، إذ على الأوّل فاللفظ نقل من المعنى اللغوي إلى المعنى الاصطلاحي، وعلى الثاني فهو باقٍ في المعنى اللغوي غير أنّه قيّد متعلّق القصد بالبيت الحرام لأداء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في طرد التعريف وعكسه، ولا يهمّنا دراستهما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 مصدر يُراد به القصد إلى بيت اللّه تعالى بمكة لأداء مناسك مخصوصة، وأمّا الثاني فهو</w:t>
      </w:r>
      <w:bookmarkStart w:id="1035" w:name="pg14912_141467"/>
    </w:p>
    <w:p>
      <w:pPr>
        <w:pStyle w:val="BookText"/>
        <w:rPr/>
      </w:pPr>
      <w:bookmarkEnd w:id="1035"/>
      <w:r>
        <w:rPr>
          <w:rFonts w:ascii="Amiri" w:hAnsi="Amiri" w:eastAsia="Amiri" w:cs="Amiri"/>
          <w:color w:val="111111"/>
          <w:sz w:val="28"/>
          <w:sz w:val="28"/>
          <w:szCs w:val="28"/>
          <w:rtl w:val="true"/>
          <w:lang w:bidi="ar-SA"/>
        </w:rPr>
        <w:t>اسم مصدر يطلق على نفس المناسك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ذلك بمراجعة الآيات، فعندما يُريد سبحانه المعنى المصدري يستعمل اللفظ بكسر الحاء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يُريد نفس المناسك والأعمال يستعمل اللفظ بفتح الحاء،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1366665_388300464"/>
      <w:bookmarkStart w:id="1037" w:name="_Toc407"/>
      <w:bookmarkEnd w:id="1036"/>
      <w:r>
        <w:rPr>
          <w:rtl w:val="true"/>
        </w:rPr>
        <w:t>الحجّ من أركان الدين</w:t>
      </w:r>
      <w:bookmarkEnd w:id="1037"/>
    </w:p>
    <w:p>
      <w:pPr>
        <w:pStyle w:val="BookText"/>
        <w:rPr/>
      </w:pPr>
      <w:r>
        <w:rPr>
          <w:rFonts w:ascii="Amiri" w:hAnsi="Amiri" w:eastAsia="Amiri" w:cs="Amiri"/>
          <w:color w:val="111111"/>
          <w:sz w:val="28"/>
          <w:sz w:val="28"/>
          <w:szCs w:val="28"/>
          <w:rtl w:val="true"/>
          <w:lang w:bidi="ar-SA"/>
        </w:rPr>
        <w:t>يظهر من غير واحدة من الروايات أنّ الحجّ من أركان الدين، ففي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يوحّد اللّه، وإقام الصلاة، وإيتاء الزكاة، وصوم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وحجّ البيت</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وأنّ محمّداً عبده ورسوله، وإقام الصلاة، وايتاء الزكاة، والحجّ‌، وصوم رمضان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 وَالزَّكَاةَ تَسْبِيباً لِلرِّزْقِ‌، وَالصِّيَامَ ابْتِلَاءً لِإِخْلَاصِ الْخَلْقِ‌، وَالْحَجَّ تَقْرِبَةً لِلدِّينِ‌</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عيسى بن يونس، عن أبي عبد</w:t>
      </w:r>
    </w:p>
    <w:p>
      <w:pPr>
        <w:pStyle w:val="BookText"/>
        <w:rPr/>
      </w:pPr>
      <w:r>
        <w:rPr>
          <w:rFonts w:ascii="Amiri" w:hAnsi="Amiri" w:eastAsia="Amiri" w:cs="Amiri"/>
          <w:color w:val="111111"/>
          <w:sz w:val="28"/>
          <w:sz w:val="28"/>
          <w:szCs w:val="28"/>
          <w:rtl w:val="true"/>
          <w:lang w:bidi="ar-SA"/>
        </w:rPr>
        <w:t xml:space="preserve">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بيت استعبد اللّه به خلقه ليختبر طاعتهم في إتيانه، فحثّهم على تعظيمه وزيارته، وجعله محلّ أنبيائه، وقبلة للمصلّين له، فهو شعبة من رضوانه، وطريق يؤدّي إلى غفرانه، منصوب على استواء الكمال ومجمع العظمة والجلال، خلقه اللّه قبل دحو الأرض بألفي عام، فأحقّ من أُطيع فيما أمر وانتهي عمّا نهى عنه وزجر، اللّه المنشئ للأرواح والصور</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للحجّ فوائد وآثاراً في تهذيب النفس وتقوية المجتمع الإسلامي وتماسكه، إلى غير ذلك من المنافع، وقد روى الفضل بن شاذان عن الإمام الرضا عليه السلام في حديث طويل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بالحجّ لعلّة الوفادة إلى اللّه عزّ وجلّ وطلب الزيادة، والخروج من كلّ ما اقترف العبد تائباً ممّا مضى، مستأنفاً لما يستقبل، مع ما فيه من إخراج الأموال، وتعب الأبدان، والاشتغال عن الأهل والولد، وحظر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اللّذات، شاخصاً في الحرّ والبرد، ثابتاً على ذلك دائماً، مع الخضوع والاستكانة والتذلّل، مع ما في ذلك لجميع الخلق من المنافع لجميع من في شرق الأرض وغربها، ومن في البر والبحر، ممّن يحجّ وممّن لم يحجّ‌، من بين تاجر وجالب وبائع ومشتر وكاسب ومسكين ومكار وفقير، وقضاء حوائج أهل الأطراف في المواضع الممكن لهم الاجتماع فيها، مع ما فيه من التفقّه ونقل أخبار الأئمّة عليهم السلام إلى كلّ صقع وناحية،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w:t>
      </w:r>
      <w:r>
        <w:rPr>
          <w:rStyle w:val="FootnoteAnchor"/>
          <w:rtl w:val="true"/>
        </w:rPr>
        <w:footnoteReference w:id="7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وعلى كلّ تقدير فالحجّ مؤتمر سنوي يجتمع في أيامه رؤوساء الدين وأعلام الأُمّة للتباحث في مصالح المسلمين وما يهدّد كيانهم وبلادهم واستقلالهم، فيتّخذون موقفاً موحّداً، ثمّ ينتشرون راجعين إلى بلدانهم وينفّذون 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المقدار كافٍ في بيان أهمية الحجّ‌، ومَن أراد التفصيل فليقرأ ما في جواهر الكلام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والعروة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حفيد المؤلّف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ألّفنا رسالة في سالف الأيام حول الآثار البنّاءة للحج طبعت في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 في تفسير القرآن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38" w:name="pg14912_141470"/>
    </w:p>
    <w:p>
      <w:pPr>
        <w:pStyle w:val="BookText"/>
        <w:rPr/>
      </w:pPr>
      <w:bookmarkEnd w:id="1038"/>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039" w:name="__RefHeading___Toc1366667_388300464"/>
      <w:bookmarkStart w:id="1040" w:name="_Toc408"/>
      <w:bookmarkEnd w:id="1039"/>
      <w:r>
        <w:rPr/>
        <w:t>1</w:t>
      </w:r>
      <w:r>
        <w:rPr>
          <w:rtl w:val="true"/>
        </w:rPr>
        <w:t xml:space="preserve">. </w:t>
      </w:r>
      <w:r>
        <w:rPr>
          <w:rtl w:val="true"/>
        </w:rPr>
        <w:t>في وجوب الحجّ على المستطيع فوراً</w:t>
      </w:r>
      <w:bookmarkEnd w:id="1040"/>
    </w:p>
    <w:p>
      <w:pPr>
        <w:pStyle w:val="Heading4"/>
        <w:numPr>
          <w:ilvl w:val="3"/>
          <w:numId w:val="1"/>
        </w:numPr>
        <w:rPr/>
      </w:pPr>
      <w:bookmarkStart w:id="1041" w:name="__RefHeading___Toc1366669_388300464"/>
      <w:bookmarkStart w:id="1042" w:name="_Toc409"/>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إنّ وجوب الحجّ وجوباً فورياً على كلّ مَن استطاع، من ضروريات الفقه، لو لم يكن من ضروريات الدين، ويدلّ على وجوبه قسم من الآيات نذكر منها ما يلي</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366671_388300464"/>
      <w:bookmarkStart w:id="1044" w:name="_Toc410"/>
      <w:bookmarkEnd w:id="1043"/>
      <w:r>
        <w:rPr>
          <w:rtl w:val="true"/>
        </w:rPr>
        <w:t>الآية الأُولى</w:t>
      </w:r>
      <w:bookmarkEnd w:id="1044"/>
    </w:p>
    <w:p>
      <w:pPr>
        <w:pStyle w:val="Heading5"/>
        <w:numPr>
          <w:ilvl w:val="4"/>
          <w:numId w:val="1"/>
        </w:numPr>
        <w:rPr/>
      </w:pPr>
      <w:bookmarkStart w:id="1045" w:name="__RefHeading___Toc1366673_388300464"/>
      <w:bookmarkStart w:id="1046" w:name="_Toc411"/>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1366675_388300464"/>
      <w:bookmarkStart w:id="1048" w:name="_Toc412"/>
      <w:bookmarkEnd w:id="1047"/>
      <w:r>
        <w:rPr>
          <w:rtl w:val="true"/>
        </w:rPr>
        <w:t>المفردات</w:t>
      </w:r>
      <w:bookmarkEnd w:id="104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مأوى الإنسان بالليل، ثم قد يقال للمسكن بيت من غير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فيه</w:t>
      </w:r>
      <w:r>
        <w:rPr>
          <w:rFonts w:eastAsia="Amiri" w:cs="Amiri" w:ascii="Amiri" w:hAnsi="Amiri"/>
          <w:color w:val="111111"/>
          <w:sz w:val="28"/>
          <w:szCs w:val="28"/>
          <w:rtl w:val="true"/>
          <w:lang w:bidi="ar-SA"/>
        </w:rPr>
        <w:t>.</w:t>
      </w:r>
      <w:r>
        <w:rPr>
          <w:rStyle w:val="FootnoteAnchor"/>
          <w:rtl w:val="true"/>
        </w:rPr>
        <w:footnoteReference w:id="744"/>
      </w:r>
      <w:bookmarkStart w:id="1049" w:name="pg14912_141471"/>
    </w:p>
    <w:p>
      <w:pPr>
        <w:pStyle w:val="BookText"/>
        <w:rPr/>
      </w:pPr>
      <w:bookmarkEnd w:id="1049"/>
      <w:r>
        <w:rPr>
          <w:rFonts w:ascii="Amiri" w:hAnsi="Amiri" w:eastAsia="Amiri" w:cs="Amiri"/>
          <w:color w:val="111111"/>
          <w:sz w:val="28"/>
          <w:sz w:val="28"/>
          <w:szCs w:val="28"/>
          <w:rtl w:val="true"/>
          <w:lang w:bidi="ar-SA"/>
        </w:rPr>
        <w:t>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فيها هو 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الزحام،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يبكّه، 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زحمه، فبكّة مزدحم الناس للطواف، لأجل إقامة الفريضة خصوصاً حول الكعبة من داخل المسجد الحرام، وأمّا مكّة فيجوز أن يكون اشتقاقها كاشتقاق بكّة وإبدال الميم من الباء،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لازب، ولازم،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راتم، وراتب، وعلى ذلك فهما مترادفان، ومع ذلك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وتدخل فيه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موضع البيت والمطاف، ومكّة اسم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لخصوص آل إبراهيم أو العرب، بل لكلّ مَن قصده، لما فيه من سعة الهداية إذا تأمّلوا في الآيات الموجودة فيه</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366677_388300464"/>
      <w:bookmarkStart w:id="1051" w:name="_Toc413"/>
      <w:bookmarkEnd w:id="1050"/>
      <w:r>
        <w:rPr>
          <w:rtl w:val="true"/>
        </w:rPr>
        <w:t>التفسير</w:t>
      </w:r>
      <w:bookmarkEnd w:id="1051"/>
    </w:p>
    <w:p>
      <w:pPr>
        <w:pStyle w:val="BookText"/>
        <w:rPr/>
      </w:pPr>
      <w:r>
        <w:rPr>
          <w:rFonts w:ascii="Amiri" w:hAnsi="Amiri" w:eastAsia="Amiri" w:cs="Amiri"/>
          <w:color w:val="111111"/>
          <w:sz w:val="28"/>
          <w:sz w:val="28"/>
          <w:szCs w:val="28"/>
          <w:rtl w:val="true"/>
          <w:lang w:bidi="ar-SA"/>
        </w:rPr>
        <w:t>الآية إجابة عن إشكال أثارته اليهود، قائلين بأنّ الكعبة كيف يمكن أن تكون قبلة في ملّة إبراهيم، مع أنّ اللّه جعل بيت المقدس قبلة‌؟ ونقل الطبرسي إشكالاً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المسلمون واليهود،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أفضل وأعظم من الكعبة، لأنّها مهاجر الأنبياء والأرض المقدّسة، 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الكعبة أفضل،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الأوّل مبني على امتناع النسخ في الأحكام الإلهية، والوجه الثاني مبني على أفضلية بيت المقدس على الكعبة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تحويل القبلة أحدث ضجّة كبيرة بين اليهود وجعلوا ذلك ضعفاً في الشريعة المحمديّة، فجاء البيان القرآني يجيب عن الشبهة،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w:t>
      </w:r>
    </w:p>
    <w:p>
      <w:pPr>
        <w:pStyle w:val="BookText"/>
        <w:rPr/>
      </w:pPr>
      <w:r>
        <w:rPr>
          <w:rFonts w:ascii="Amiri" w:hAnsi="Amiri" w:eastAsia="Amiri" w:cs="Amiri"/>
          <w:color w:val="111111"/>
          <w:sz w:val="28"/>
          <w:sz w:val="28"/>
          <w:szCs w:val="28"/>
          <w:rtl w:val="true"/>
          <w:lang w:bidi="ar-SA"/>
        </w:rPr>
        <w:t>وُضِعَ لِلنّاسِ لَلَّذِي بِبَكَّةَ‌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المعظّمة صارت قبلة بيد إبراهيم الخليل، فكونها قبلة، جزء من ملّة إبراهيم وشريعته، فالصلاة نحوها ليس خروجاً عن ملّة إبراهيم بل دعماً لها، وإنّما صار بيت المقدس قبلة في مدّة يسيرة، فلمصالح اقتضت ذلك، فلو كان الميزان هو الأخذ بشريعة إبراهيم فقد شرّع هو كون الكعبة قبلة؛ لأنّه بناها مع ابنه إسماعيل لأجل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بنى سليمان بيت المقدس بعد إبراهيم بقرون، فيقال إنّه بناه قبل الميلاد ب‍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الإجابة عن 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بكون الكعبة أوّل بيت ليس بمعنى أوّل بيت بناه الإنسان ليسكن فيه، بل المراد أوّل بيت بُني للعبادة، وهذا هو المروي عن الإمام علي عليه السلام، فقد روى السيوطي عنه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البيوت قبله، ولكن كان أوّل بيت وضع لعبادة اللّه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وأيّده ابن عاشور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أُريد بيت العبادة، إذ لو كان بيت سكني،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الناس، 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 المجهولة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ثمّ إنّه سبحانه وصف البيت بأوصاف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البركات الدنيوية وعمدتها وفور الأرزاق وتضافر الهمم والدواعي إلى عمرانه بالحجّ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52" w:name="pg14912_141473"/>
    </w:p>
    <w:p>
      <w:pPr>
        <w:pStyle w:val="BookText"/>
        <w:rPr/>
      </w:pPr>
      <w:bookmarkEnd w:id="10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قبلة للعالمين،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زار البيت وطاف به وصلّى عنده محرماً معتمراً أو حاجّاً، يتجرّد من كلّ العلاقات الدنيوية، ويكتفي في حياته بثوبين أبيضين طاهرين، قائلاً بأنّ البيت بيتك والعبد عبدك، وأي هداية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فأُريد بالعالمين مَنْ قصد البيت وزاره وتنسّك بنسكه، وأمّا من لا يشدّ الرحال إليه، فالآية منصرفة عنه</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366679_388300464"/>
      <w:bookmarkStart w:id="1054" w:name="_Toc414"/>
      <w:bookmarkEnd w:id="1053"/>
      <w:r>
        <w:rPr>
          <w:rtl w:val="true"/>
        </w:rPr>
        <w:t>الآية الثانية</w:t>
      </w:r>
      <w:bookmarkEnd w:id="1054"/>
    </w:p>
    <w:p>
      <w:pPr>
        <w:pStyle w:val="Heading5"/>
        <w:numPr>
          <w:ilvl w:val="4"/>
          <w:numId w:val="1"/>
        </w:numPr>
        <w:rPr/>
      </w:pPr>
      <w:bookmarkStart w:id="1055" w:name="__RefHeading___Toc1366681_388300464"/>
      <w:bookmarkStart w:id="1056" w:name="_Toc415"/>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w:t>
      </w:r>
      <w:r>
        <w:rPr>
          <w:rStyle w:val="FootnoteAnchor"/>
          <w:rtl w:val="true"/>
        </w:rPr>
        <w:footnoteReference w:id="748"/>
      </w:r>
    </w:p>
    <w:p>
      <w:pPr>
        <w:pStyle w:val="Heading5"/>
        <w:numPr>
          <w:ilvl w:val="4"/>
          <w:numId w:val="1"/>
        </w:numPr>
        <w:rPr/>
      </w:pPr>
      <w:bookmarkStart w:id="1057" w:name="__RefHeading___Toc1366683_388300464"/>
      <w:bookmarkStart w:id="1058" w:name="_Toc416"/>
      <w:bookmarkEnd w:id="1057"/>
      <w:r>
        <w:rPr>
          <w:rtl w:val="true"/>
        </w:rPr>
        <w:t>المفردات</w:t>
      </w:r>
      <w:bookmarkEnd w:id="1058"/>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 بمعنى العلامة، أي علائم أنّها من اللّه أو من إبراهيم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تطلق الآية ويراد بها المعجزة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بمعنى القصد والعزم</w:t>
      </w:r>
      <w:r>
        <w:rPr>
          <w:rFonts w:eastAsia="IRNazanin" w:cs="IRNazanin"/>
          <w:color w:val="111111"/>
          <w:sz w:val="28"/>
          <w:szCs w:val="28"/>
          <w:rtl w:val="true"/>
          <w:lang w:bidi="fa-IR"/>
        </w:rPr>
        <w:t>.</w:t>
      </w:r>
    </w:p>
    <w:p>
      <w:pPr>
        <w:pStyle w:val="Heading5"/>
        <w:numPr>
          <w:ilvl w:val="4"/>
          <w:numId w:val="1"/>
        </w:numPr>
        <w:rPr/>
      </w:pPr>
      <w:bookmarkStart w:id="1059" w:name="__RefHeading___Toc1366685_388300464"/>
      <w:bookmarkStart w:id="1060" w:name="_Toc417"/>
      <w:bookmarkEnd w:id="1059"/>
      <w:r>
        <w:rPr>
          <w:rtl w:val="true"/>
        </w:rPr>
        <w:t>التفسير</w:t>
      </w:r>
      <w:bookmarkEnd w:id="106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الضمير المتّصل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إبراهيم خارج عن البيت، ولذلك رجّح بعضهم أنّ 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كونه في البيت من باب المجاز، لقربه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البيت إنّما وضع بحرمه، وجميع فضائله، فهي فيه، وإن لم تكن داخل جدرانه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ثمّ إنّه سبحانه وصفه بوصف ثان،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إمّا تحكي عن سيرة العرب في الجاهلية حيث إنّ قبائل العرب كلّها تحترم هذا البيت بل يحترمون الحرم لنسبته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الآية بصدد التشريع أي حرمة التعرّض لمن دخل فيه فلا ينتقض بفعل الحجّاج حيث قتل عبد اللّه بن الزبير وهو في جانب البيت، إلى غير ذلك من أفعال الجبابرة الذين لم يحترموا هذا البيت والحرم؛ لأنّ المنع من التعرّض تشريعي لا تكويني،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جعل الحجّ في ذمّة الناس، وهو يلازم الوجوب العيني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وجوبه فوري ويدلّ على ذلك الروايتان التاليتان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التاجر ذا المال حين يسوّف الحجّ كلّ عام وليس يشغله عنه إلّاالتجارة أو 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له يسوّف الحجّ‌، إن مات وقد ترك الحجّ فقد ترك شريعة من‍</w:t>
      </w:r>
      <w:r>
        <w:rPr>
          <w:rFonts w:eastAsia="Amiri" w:cs="Amiri" w:ascii="Amiri" w:hAnsi="Amiri"/>
          <w:color w:val="111111"/>
          <w:sz w:val="28"/>
          <w:szCs w:val="28"/>
          <w:rtl w:val="true"/>
          <w:lang w:bidi="ar-SA"/>
        </w:rPr>
        <w:t>.</w:t>
      </w:r>
      <w:bookmarkStart w:id="1061" w:name="pg14912_141475"/>
    </w:p>
    <w:p>
      <w:pPr>
        <w:pStyle w:val="BookText"/>
        <w:rPr/>
      </w:pPr>
      <w:bookmarkEnd w:id="1061"/>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يسوّف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عذر، فإن مات فقد ترك شريعة من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62" w:name="__RefHeading___Toc1366687_388300464"/>
      <w:bookmarkStart w:id="1063" w:name="_Toc418"/>
      <w:bookmarkEnd w:id="1062"/>
      <w:r>
        <w:rPr>
          <w:rtl w:val="true"/>
        </w:rPr>
        <w:t>الاستطاعة الشرعية شرط الوجوب</w:t>
      </w:r>
      <w:bookmarkEnd w:id="1063"/>
    </w:p>
    <w:p>
      <w:pPr>
        <w:pStyle w:val="BookText"/>
        <w:rPr/>
      </w:pPr>
      <w:r>
        <w:rPr>
          <w:rFonts w:ascii="Amiri" w:hAnsi="Amiri" w:eastAsia="Amiri" w:cs="Amiri"/>
          <w:color w:val="111111"/>
          <w:sz w:val="28"/>
          <w:sz w:val="28"/>
          <w:szCs w:val="28"/>
          <w:rtl w:val="true"/>
          <w:lang w:bidi="ar-SA"/>
        </w:rPr>
        <w:t>يدلّ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الاستطاعة شرط الوجوب، والمراد الاستطاعة الشرعية لا العقلية، لأنّ الثانية شرط كلّ تكليف، فتخصيص وجوب الحجّ بها دليل على أنّه أُريد بها غير العقلية،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فمَن حجّ متسكّعاً ثم استطاع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الاستطاعة الشرعية رهن تحقّق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المالية وفسّرت بما قاله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عين الزاد والراحلة، بل المعتبر التمكّن منهما تملّكاً أو استئجاراً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هو الحال في حياتنا المعاصرة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على ذلك السيرة المستمرة بين المسلمين، فإنّ الآفاقي البعيد لا يحمل الزاد من بلده إلى مقصده، بل كان يشتريه في طريقه، كما أنّ أكثرهم يُكرون الجمال، وقد عدّ ذلك من فوائد الحجّ‌، ففي حديث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ولينتفع بذلك المكاري والجمّال</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البدنية، فلو كان مريضاً لا يقدر على الركوب أو كان حرجاً عليه، لم يجب عليه الحجّ‌، مثلاً لو تمكن من السفر بالطائرة لا بالسيارة، لكن شريطة أن يرافقه خادم فإن ملك مؤونتهما، وجب عليه الحجّ‌، وإلّا 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الزمانية، فلو كان الوقت ضيّقاً لا يمكنه الوصول إلى الحجّ‌، أو أمكن ولكن بمشقّة شديدة، فلا يجب، وحينئذٍ فإن بقيت الاستطاعة إلى العام القابل، وجب، وإلّا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السربية، وأُريد بها ألّا يكون في الطريق مانع لا يمكن معه الوصول إلى الميقات أو إلى تمام الأعمال، وإلّا لم يجب، وذلك لأنّ الاستطاعة غير متوفّرة مع وجود المانع في الطريق، ففي رواية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صحيحاً في بدنه، مخلّى في سربه، له زاد وراحلة، فلم يحجّ‌، فهو ممّن يستطيع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هذا إجمال ما عليه الفقهاء في معنى الاستطاعة، وهناك فروع أُخرى محرّرة في الكتب الفقهية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الكفر هنا ليس كفر الملّة، بأن يجحد وجوب الحج، وإنّما أُريد به ترك الحجّ‌، ففي رواية معاوية بن عمّار عن أبي عبد اللّه عليه السلام بعد قراءة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لمَن كان عنده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w:t>
      </w:r>
      <w:r>
        <w:rPr>
          <w:rFonts w:eastAsia="Amiri" w:cs="Amiri" w:ascii="Amiri" w:hAnsi="Amiri"/>
          <w:color w:val="111111"/>
          <w:sz w:val="28"/>
          <w:szCs w:val="28"/>
          <w:rtl w:val="true"/>
          <w:lang w:bidi="ar-SA"/>
        </w:rPr>
        <w:t>».</w:t>
      </w:r>
      <w:r>
        <w:rPr>
          <w:rStyle w:val="FootnoteAnchor"/>
        </w:rPr>
        <w:footnoteReference w:id="75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064" w:name="pg14912_141477"/>
    </w:p>
    <w:p>
      <w:pPr>
        <w:pStyle w:val="BookText"/>
        <w:rPr/>
      </w:pPr>
      <w:bookmarkEnd w:id="1064"/>
      <w:r>
        <w:rPr>
          <w:rFonts w:ascii="Amiri" w:hAnsi="Amiri" w:eastAsia="Amiri" w:cs="Amiri"/>
          <w:color w:val="111111"/>
          <w:sz w:val="28"/>
          <w:sz w:val="28"/>
          <w:szCs w:val="28"/>
          <w:rtl w:val="true"/>
          <w:lang w:bidi="ar-SA"/>
        </w:rPr>
        <w:t>ثمّ إنّ تقسيم الكفر إلى كفر الملّة وكفر النعمة، أمر يؤيّده القرآن الكريم، أمّا الأوّل فلا حاجة لذكره، وأمّا الثاني فيشير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فشكر النعمة عبارة عن صرفها في محلّها، وكفرها عبارة عن خلافه، فعلى ذلك فالمراد من كفر النعمة هو أنّه إذا لم يحجّ مع الاستطاعة المالية والبدنية، فلا يضرّ اللّه شيئاً فإنّ اللّه غني عن العالمين</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366689_388300464"/>
      <w:bookmarkStart w:id="1066" w:name="_Toc419"/>
      <w:bookmarkEnd w:id="1065"/>
      <w:r>
        <w:rPr>
          <w:rtl w:val="true"/>
        </w:rPr>
        <w:t>وجوب الحجّ مرّة واحدة في العمر</w:t>
      </w:r>
      <w:bookmarkEnd w:id="1066"/>
    </w:p>
    <w:p>
      <w:pPr>
        <w:pStyle w:val="BookText"/>
        <w:rPr/>
      </w:pPr>
      <w:r>
        <w:rPr>
          <w:rFonts w:ascii="Amiri" w:hAnsi="Amiri" w:eastAsia="Amiri" w:cs="Amiri"/>
          <w:color w:val="111111"/>
          <w:sz w:val="28"/>
          <w:sz w:val="28"/>
          <w:szCs w:val="28"/>
          <w:rtl w:val="true"/>
          <w:lang w:bidi="ar-SA"/>
        </w:rPr>
        <w:t>لا يجب الحجّ في أصل الشرع إلّامرّة واحدة في تمام العمر، وهو المسمّى بحجّة الإسلام، أي الحجّ الذي بُني عليه الإسلام مثل الصلاة والصوم والخمس والزكاة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فرض اللّه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عام يا رسول اللّه‌؟ فسكت، حتّى قالها ثلاثاً،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نعم، لوجبت ولما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ما تركتكم، فإنّما هلك مَن كان قبلكم بكثرة سؤالهم واختلافهم على أنبيائهم، فإذا أمرتكم بشيء فأتوا منه ما استطعتم، وإذا نهيتكم عن شيء فدعوه</w:t>
      </w:r>
      <w:r>
        <w:rPr>
          <w:rFonts w:eastAsia="Amiri" w:cs="Amiri" w:ascii="Amiri" w:hAnsi="Amiri"/>
          <w:color w:val="111111"/>
          <w:sz w:val="28"/>
          <w:szCs w:val="28"/>
          <w:rtl w:val="true"/>
          <w:lang w:bidi="ar-SA"/>
        </w:rPr>
        <w:t>».</w:t>
      </w:r>
      <w:r>
        <w:rPr>
          <w:rStyle w:val="FootnoteAnchor"/>
          <w:rtl w:val="true"/>
        </w:rPr>
        <w:footnoteReference w:id="755"/>
      </w:r>
      <w:bookmarkStart w:id="1067" w:name="pg14912_141478"/>
    </w:p>
    <w:p>
      <w:pPr>
        <w:pStyle w:val="Heading4"/>
        <w:numPr>
          <w:ilvl w:val="3"/>
          <w:numId w:val="1"/>
        </w:numPr>
        <w:rPr/>
      </w:pPr>
      <w:bookmarkStart w:id="1068" w:name="__RefHeading___Toc1366691_388300464"/>
      <w:bookmarkStart w:id="1069" w:name="_Toc420"/>
      <w:bookmarkEnd w:id="1067"/>
      <w:bookmarkEnd w:id="1068"/>
      <w:r>
        <w:rPr>
          <w:rtl w:val="true"/>
        </w:rPr>
        <w:t>الآية الثالثة</w:t>
      </w:r>
      <w:bookmarkEnd w:id="1069"/>
    </w:p>
    <w:p>
      <w:pPr>
        <w:pStyle w:val="Heading5"/>
        <w:numPr>
          <w:ilvl w:val="4"/>
          <w:numId w:val="1"/>
        </w:numPr>
        <w:rPr/>
      </w:pPr>
      <w:bookmarkStart w:id="1070" w:name="__RefHeading___Toc1366693_388300464"/>
      <w:bookmarkStart w:id="1071" w:name="_Toc421"/>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w:t>
      </w:r>
      <w:r>
        <w:rPr>
          <w:rStyle w:val="FootnoteAnchor"/>
          <w:rtl w:val="true"/>
        </w:rPr>
        <w:footnoteReference w:id="756"/>
      </w:r>
    </w:p>
    <w:p>
      <w:pPr>
        <w:pStyle w:val="Heading5"/>
        <w:numPr>
          <w:ilvl w:val="4"/>
          <w:numId w:val="1"/>
        </w:numPr>
        <w:rPr/>
      </w:pPr>
      <w:bookmarkStart w:id="1072" w:name="__RefHeading___Toc1366695_388300464"/>
      <w:bookmarkStart w:id="1073" w:name="_Toc422"/>
      <w:bookmarkEnd w:id="1072"/>
      <w:r>
        <w:rPr>
          <w:rtl w:val="true"/>
        </w:rPr>
        <w:t>المفردات</w:t>
      </w:r>
      <w:bookmarkEnd w:id="1073"/>
    </w:p>
    <w:p>
      <w:pPr>
        <w:pStyle w:val="BookText"/>
        <w:rPr/>
      </w:pP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بالحجّ والدعوة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الهزيل الذي أتعبته كثرة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1366697_388300464"/>
      <w:bookmarkStart w:id="1075" w:name="_Toc423"/>
      <w:bookmarkEnd w:id="1074"/>
      <w:r>
        <w:rPr>
          <w:rtl w:val="true"/>
        </w:rPr>
        <w:t>التفسير</w:t>
      </w:r>
      <w:bookmarkEnd w:id="1075"/>
    </w:p>
    <w:p>
      <w:pPr>
        <w:pStyle w:val="BookText"/>
        <w:rPr/>
      </w:pPr>
      <w:r>
        <w:rPr>
          <w:rFonts w:ascii="Amiri" w:hAnsi="Amiri" w:eastAsia="Amiri" w:cs="Amiri"/>
          <w:color w:val="111111"/>
          <w:sz w:val="28"/>
          <w:sz w:val="28"/>
          <w:szCs w:val="28"/>
          <w:rtl w:val="true"/>
          <w:lang w:bidi="ar-SA"/>
        </w:rPr>
        <w:t xml:space="preserve">أمر اللّه تعالى نبيّه إبراهيم الخليل عليه السلام بأن يؤذّن في الناس بالحجّ‌، وأُريد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المناسك المعلومة، لا القصد الذي هو معنى لغوي له، أي ادعهم لأداء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قام في المقام،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قد دعاكم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إلى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للأمر،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دعوتهم يأتوك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ضامِرٍ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كلّ بعير ضامر، وهو المهزول الذي أضمره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كلّ طريق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تعود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الجماعات المتشكّلة من المشاة والركبان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تعود إلى كلّ ضامر لأنّه بمعنى الجمع، وبما أنّه جمع لما لا يعقل، أُنّث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الغاية من المجيء والوفود إلى الكعبة، فهي ما تذكره الآيات الواردة في سورة الحجّ‌</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وسيوافيك تفسيرها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076" w:name="pg14912_141480"/>
    </w:p>
    <w:p>
      <w:pPr>
        <w:pStyle w:val="BookText"/>
        <w:rPr/>
      </w:pPr>
      <w:bookmarkEnd w:id="1076"/>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077" w:name="__RefHeading___Toc1366699_388300464"/>
      <w:bookmarkStart w:id="1078" w:name="_Toc424"/>
      <w:bookmarkEnd w:id="1077"/>
      <w:r>
        <w:rPr/>
        <w:t>2</w:t>
      </w:r>
      <w:r>
        <w:rPr>
          <w:rtl w:val="true"/>
        </w:rPr>
        <w:t xml:space="preserve">. </w:t>
      </w:r>
      <w:r>
        <w:rPr>
          <w:rtl w:val="true"/>
        </w:rPr>
        <w:t>أقسام الحج وحجّ التمتع باقٍ على تشريعه</w:t>
      </w:r>
      <w:bookmarkEnd w:id="1078"/>
    </w:p>
    <w:p>
      <w:pPr>
        <w:pStyle w:val="Heading4"/>
        <w:numPr>
          <w:ilvl w:val="3"/>
          <w:numId w:val="1"/>
        </w:numPr>
        <w:rPr/>
      </w:pPr>
      <w:bookmarkStart w:id="1079" w:name="__RefHeading___Toc1366701_388300464"/>
      <w:bookmarkStart w:id="1080" w:name="_Toc425"/>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ينقسم الحج إلى ثلاثة أقسام بالإجماع والأخبار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إفراد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فرض مَن كان بعيداً عن مكّة، وحدّ البُعد الموجب لكون وظيفته حجّ تمتع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 جانب، وكلّ ميل ثلث الفرسخ، وأمّا حسب الفراسخ فالحدّ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يساوي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أُشير إلى هذا القسم من الحجّ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 أتى بالعمرة ثم تمتّع بالخروج عنها قاصداً إلى اقتراب مناسك الحجّ‌، فهذه وظيفة مَن لم يكن أهله حاضري المسجد الحرام، وقد فسّر عدم الحضور في السنة كما مرّ</w:t>
      </w:r>
    </w:p>
    <w:p>
      <w:pPr>
        <w:pStyle w:val="BookText"/>
        <w:rPr/>
      </w:pPr>
      <w:r>
        <w:rPr>
          <w:rFonts w:ascii="IRNazanin" w:hAnsi="IRNazanin" w:eastAsia="IRNazanin"/>
          <w:color w:val="111111"/>
          <w:sz w:val="28"/>
          <w:sz w:val="28"/>
          <w:szCs w:val="28"/>
          <w:rtl w:val="true"/>
          <w:lang w:bidi="fa-IR"/>
        </w:rPr>
        <w:t xml:space="preserve">بالابتعاد مقدار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والثالث فهما وظيفة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كان أهله دون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أو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فوظيفته القران والإفراد، ولأجل إيضاح الحال نشير إلى المواقيت الخمسة ومقدار المسافة بينها وبين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الحليفة وهو يبعد عن مكّة مسافة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العقيق، وهو يبعد عنها مسافة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الجحفة، وهي تبعد عن مكّة مسافة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يلملم، وهي تبعد عن مكّة مسافة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قرن المنازل، وهي تبعد عن مكّة مسافة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بيت المكلّف قبل الميقات فهو يحرم منه، وأمّا إذا كان بيته بين الميقات ومكّة، فهو يُحرم من دويرة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الضابطة، وأمّا تطبيقها على المسافات المذكورة، فيكون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كان بيته بعد قرن المنازل فهو يُحرم من دويرة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فهو يحرم من إحدى المواقيت؛ وذلك لأنّ بينه وبين مكّة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حجّ التمتّع والآخرين، أنّ المتمتّع يأتي بأعمال العمرة في أشهر الحجّ ثم يتحلّل ثم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حجّ الإفراد فهو يحجّ أوّلاً، ثمّ يُحرم بالعمرة ويأتي بأعمالها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القران والإفراد شيء واحد، لا يفترقان إلّافي حالة واحدة وهي أنّ القارن يسوق الهدي عند ما يحرم، فيلزمه أن يهدي ما ساقه، وأمّا من حجّ حجّة</w:t>
      </w:r>
      <w:bookmarkStart w:id="1081" w:name="pg14912_141482"/>
    </w:p>
    <w:p>
      <w:pPr>
        <w:pStyle w:val="BookText"/>
        <w:rPr/>
      </w:pPr>
      <w:bookmarkEnd w:id="1081"/>
      <w:r>
        <w:rPr>
          <w:rFonts w:ascii="Amiri" w:hAnsi="Amiri" w:eastAsia="Amiri" w:cs="Amiri"/>
          <w:color w:val="111111"/>
          <w:sz w:val="28"/>
          <w:sz w:val="28"/>
          <w:szCs w:val="28"/>
          <w:rtl w:val="true"/>
          <w:lang w:bidi="ar-SA"/>
        </w:rPr>
        <w:t>الإفراد فليس عليه هدي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غيرنا فقد اتّفق الأربعة من فقهاء السنّة على أنّ معنى القران أن يحرم بالحجّ والعمرة معاً بحيث يقول الناسك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بحجّة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التداخل بين الإحرامين لا يجوز عند الإمامية، ولا إتيان الحجّ والعمرة بنيّة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ثبت بالدليل في محلّه</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366703_388300464"/>
      <w:bookmarkStart w:id="1083" w:name="_Toc426"/>
      <w:bookmarkEnd w:id="1082"/>
      <w:r>
        <w:rPr>
          <w:rtl w:val="true"/>
        </w:rPr>
        <w:t>أعمال العمرة والحجّ في حجّ التمتّع</w:t>
      </w:r>
      <w:bookmarkEnd w:id="1083"/>
    </w:p>
    <w:p>
      <w:pPr>
        <w:pStyle w:val="BookText"/>
        <w:rPr/>
      </w:pP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إحرام المكلّف من الميقات بالعمرة المتمتّع بها إلى الحج ثم يدخل مكّة فيطوف سبعة أشواط بالبيت، ويصلّي ركعتي الطواف بالمقام، ويسعى بين الصفا والمروة سبعة أشواط، ثم يقصّر، فإذا فعل ذلك فقد أحلّ من كلّ شيء أحرم منه، فله التمتّع بأي شيء شاء من الأُمور المحلّلة بالذات إلى أن ينشئ إحراماً آخر للحج</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ينشئ إحراماً آخر من مكّة يوم التروية أو بعد، ثمّ يمضي إلى عرفات فيقف بها من ظهر اليوم التاسع إلى الغروب، ثمّ يفيض إلى المشعر الحرام فيقف به إلى طلوع الشمس، ثمّ يفيض إلى منى ويرمي جمرة العقبة، ثمّ يذبح هديه ثم يحلق رأسه، ثمّ يأتي مكّة ليومه أو من غده، فيطوف للحج ويصلّي الركعتين، ثم يسعى سعي الحج، ثم يطوف طواف النساء ويصلي ركعتيه، ثم يعود إلى منى ليرمي ما تخلّف عليه من الجمار الثلاث، يوم الحادي عشر، والثاني عشر، والثالث عشر</w:t>
      </w:r>
      <w:r>
        <w:rPr>
          <w:rFonts w:eastAsia="Amiri" w:cs="Amiri" w:ascii="Amiri" w:hAnsi="Amiri"/>
          <w:color w:val="111111"/>
          <w:sz w:val="28"/>
          <w:szCs w:val="28"/>
          <w:rtl w:val="true"/>
          <w:lang w:bidi="ar-SA"/>
        </w:rPr>
        <w:t>.</w:t>
      </w:r>
      <w:r>
        <w:rPr>
          <w:rStyle w:val="FootnoteAnchor"/>
          <w:rtl w:val="true"/>
        </w:rPr>
        <w:footnoteReference w:id="761"/>
      </w:r>
      <w:bookmarkStart w:id="1084" w:name="pg14912_141483"/>
    </w:p>
    <w:p>
      <w:pPr>
        <w:pStyle w:val="Heading4"/>
        <w:numPr>
          <w:ilvl w:val="3"/>
          <w:numId w:val="1"/>
        </w:numPr>
        <w:rPr/>
      </w:pPr>
      <w:bookmarkStart w:id="1085" w:name="__RefHeading___Toc1366705_388300464"/>
      <w:bookmarkStart w:id="1086" w:name="_Toc427"/>
      <w:bookmarkEnd w:id="1084"/>
      <w:bookmarkEnd w:id="1085"/>
      <w:r>
        <w:rPr>
          <w:rtl w:val="true"/>
        </w:rPr>
        <w:t>أعمال حجّ الإفراد والقران</w:t>
      </w:r>
      <w:bookmarkEnd w:id="1086"/>
    </w:p>
    <w:p>
      <w:pPr>
        <w:pStyle w:val="BookText"/>
        <w:rPr/>
      </w:pPr>
      <w:r>
        <w:rPr>
          <w:rFonts w:ascii="Amiri" w:hAnsi="Amiri" w:eastAsia="Amiri" w:cs="Amiri"/>
          <w:color w:val="111111"/>
          <w:sz w:val="28"/>
          <w:sz w:val="28"/>
          <w:szCs w:val="28"/>
          <w:rtl w:val="true"/>
          <w:lang w:bidi="ar-SA"/>
        </w:rPr>
        <w:t>والمُفرد يقدّم الحج على العمرة، فيحرم من الميقات إذا كان بيته قبله أو من حيث يصحّ له الإحرام منه بالحج، كما إذا كان بيته بعد الميقات فيحرم من دويرة أهله كما سيأتي، ثم يمضي إلى عرفات فيقف بها، ثم يقف بالمشعر الحرام، ثمّ يأتي منى فيقضي مناسكه بها، ثمّ يأتي مكّة يطوف بالبيت للحج ويصلي ركعتين ويسعى للحج ويطوف طواف النساء ويصلي ركعتين، فيخرج من الإحرام فتحل له كلّ المحرّمات، ثم يأتي بعمرة مفردة من أدنى الحلّ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أعمال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القران فهو نفس حج الإفراد عند الإمامية إلّاأنّ القارن يضيف إلى إحرامه سياق الهدي، وإنّما يُسمّى بالقران لسوقه الهدي، فيقرن حجّه بسوقه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أردنا بيانه من أقسام الحجّ وأعمال كلّ قسم منها، إلّاأنّ الذي حدانا إلى عقد هذا الفصل هو بيان أنّ حجّ التمتّع باقٍ على وجوبه لم يُنسخ وقد سنّه الكتاب العزيز وعمل به النبي الأكرم صلى الله عليه و آله و سلم في حجّة الوداع، غير أنّ المشهور عن عمر بن الخطاب أنّه حرّم حجّ التمتّع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في عهد رسول اللّه صلى الله عليه و آله و سلم وأنا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غير أنّ الصحابة لم يُعيروا لتحريمه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النزاع على قدم وساق بين بعض وبعض آخر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تشريع حجّ‌</w:t>
      </w:r>
    </w:p>
    <w:p>
      <w:pPr>
        <w:pStyle w:val="BookText"/>
        <w:rPr/>
      </w:pPr>
      <w:r>
        <w:rPr>
          <w:rFonts w:ascii="Amiri" w:hAnsi="Amiri" w:eastAsia="Amiri" w:cs="Amiri"/>
          <w:color w:val="111111"/>
          <w:sz w:val="28"/>
          <w:sz w:val="28"/>
          <w:szCs w:val="28"/>
          <w:rtl w:val="true"/>
          <w:lang w:bidi="ar-SA"/>
        </w:rPr>
        <w:t>التمتّع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يحرم الرجل بعمرة في أشهر الحج وأن يكون من أهل الآفاق وقدم مكّة ففرغ منها ثم أقام حلالاً بمكّة إلى أن أنشأ الحج منها في عامه ذلك قبل رجوعه إلى بلده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إذا حلّ من عمرته انتفع باستباحة ما كان محرّماً عليه إلى أن يُحرم بالحج</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تمتع بمحظورات الإحرام بسبب العمرة، أي أداؤها بأن أتمّها وتحلّل وبقي متمتّعاً إلى زمن الحج ليحج من مكّة، فعليه ما استيسر من الهدي، أي فعليه دم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ثم إنّ عمر نهى عن متعة الحج بهذا المعنى أي التمتّع بين العمرة والحج،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وأنا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فيهما لرجمتُ‌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وعليّاً، وعثمان ينهى عن المتعة وأن يجمع بينهما، فلمّا رأى عليَّ أهلّ بهما، لبّيك بعمرة وحجّة،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لأدع سنّة النبيّ صلى الله عليه و آله و سلم لقول أحد</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أراد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بعمرة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إتيانهما لا جمعهما في إحرام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ونزل القرآن، قال رجل برأيه ما شاء</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وروى أيضاً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 سلم ولم ينزل قرآن يحرمه ولم ينه عنها حتّى مات، قال رجل برأيه ما شاء،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 عمر</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وعلى كلّ تقدير فقد طال النقاش بين الخليفة وحماته، وبين جمع من الصحابة، فاستقر الأمر على جواز حج التمتّع، بل على كونه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الخليفة حرّم متعة الحجّ لاستلزامها التحلّل بين العمرة والحجّ‌، وهذا ممّا كان يستهجنه الخليفة ويعبّر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يعرسّوا بهنّ تحت الأراك ثمّ يروحوا بهنّ حجّاجاً،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يظلّوا معرّسين بهنّ ثمّ يروحون في الحجّ تقطر رؤوسهم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Style w:val="FootnoteAnchor"/>
        </w:rPr>
        <w:footnoteReference w:id="77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حين حجّ حجّة الإسلام خرج في أربع بقين من ذي القعدة حتّى أتى الشجرة وصلّى بها ثم قاد راحلته حتّى أتى البيداء فأحرم منها وأهلّ بالحجّ وساق مائة بدنة، وأحرم الناس كلّهم بالحج لا ينوون عمرة ولا يدرون ما المتعة، حتّى إذا قدم رسول اللّه صلى الله عليه و آله و سلم مكّة طاف بالبيت وطاف الناس معه ثم صلّى ركعتين عند المقام واستلم الحجر،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عزَّ وجلَّ به، فأتى الصفا فبدأ بها ثم طاف بين الصفا والمروة سبعاً، فلمّا قضى طوافه عند المروة قام خطيباً وأمرهم أن يحلّوا ويجعلوها عمرة</w:t>
      </w:r>
      <w:r>
        <w:rPr>
          <w:rStyle w:val="FootnoteAnchor"/>
          <w:rtl w:val="true"/>
        </w:rPr>
        <w:footnoteReference w:id="771"/>
      </w:r>
      <w:r>
        <w:rPr>
          <w:rFonts w:ascii="Amiri" w:hAnsi="Amiri" w:eastAsia="Amiri" w:cs="Amiri"/>
          <w:color w:val="111111"/>
          <w:sz w:val="28"/>
          <w:sz w:val="28"/>
          <w:szCs w:val="28"/>
          <w:rtl w:val="true"/>
          <w:lang w:bidi="ar-SA"/>
        </w:rPr>
        <w:t>، وهو شيء أمر اللّه عزَّ وجلَّ به فأحلّ الناس، وقال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استقبلت من أمري ما استدبرت لفعلت كما أمرتكم، ولم يكن يستطيع أن يحلّ من أجل الهدي الّذي معه،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سراقة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ديننا كأنّا خلقنا اليوم، أرأيت هذا الّذي أمرتنا به لعامنا أو لكلّ عام‌؟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وإن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حجاجاً ورؤوسنا تقطر من نسائنا،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بها أبداً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خالف الرأي العام بين الصحابة، وما هو صريح الذكر الحكيم في موردين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العمرة وفصلها عن الحج، بأن يحج المسلمون في أشهر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87" w:name="pg14912_141487"/>
    </w:p>
    <w:p>
      <w:pPr>
        <w:pStyle w:val="BookText"/>
        <w:rPr/>
      </w:pPr>
      <w:bookmarkEnd w:id="1087"/>
      <w:r>
        <w:rPr>
          <w:rFonts w:ascii="Amiri" w:hAnsi="Amiri" w:eastAsia="Amiri" w:cs="Amiri"/>
          <w:color w:val="111111"/>
          <w:sz w:val="28"/>
          <w:sz w:val="28"/>
          <w:szCs w:val="28"/>
          <w:rtl w:val="true"/>
          <w:lang w:bidi="ar-SA"/>
        </w:rPr>
        <w:t>الحج، ثم يعتمرون بالعمرة في الأشهر الأُخرى، لئلّا تتعطّل أسواق مكّة،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التمتّع بين العمرة والحج، حيث كره التمتّع بين العبادتين،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منشأ الأمر الأوّل هو كون إفراد العمرة عن الحج رسماً من رسوم الجاهلية، ولذلك كان المشركون يُحرمون إحرام الحج ابتداءً حتّى أنّ المسلمين الّذين كانوا مع النبيّ صلى الله عليه و آله و سلم في حجّة الوداع أحرموا إحرام الحج، ودخلوا مكّة فطافوا وصلّوا ناوين بأعمالهم هذه، عمل الحج، إذ ربّما كانوا يقدّمون أعماله قبل الذهاب إلى عرفة، فجاء الوحي الإلهي بدخول العمرة بالحج، وأنّ على هؤلاء أن يجعلوا ما أتوا به بعنوان الحج عمرة، فثقُل ذلك على المسلمين لأنّهم أحرموا إحرام الحج، غير أنّ رسول اللّه صلى الله عليه و آله و سلم احتجّ عليهم بأنّ هذا جبرئيل يأمرني بذلك</w:t>
      </w:r>
      <w:r>
        <w:rPr>
          <w:rFonts w:eastAsia="Amiri" w:cs="Amiri" w:ascii="Amiri" w:hAnsi="Amiri"/>
          <w:color w:val="111111"/>
          <w:sz w:val="28"/>
          <w:szCs w:val="28"/>
          <w:rtl w:val="true"/>
          <w:lang w:bidi="ar-SA"/>
        </w:rPr>
        <w:t>.</w:t>
      </w:r>
      <w:r>
        <w:rPr>
          <w:rStyle w:val="FootnoteAnchor"/>
          <w:rtl w:val="true"/>
        </w:rPr>
        <w:footnoteReference w:id="773"/>
      </w:r>
    </w:p>
    <w:p>
      <w:pPr>
        <w:pStyle w:val="Heading4"/>
        <w:numPr>
          <w:ilvl w:val="3"/>
          <w:numId w:val="1"/>
        </w:numPr>
        <w:rPr/>
      </w:pPr>
      <w:bookmarkStart w:id="1088" w:name="__RefHeading___Toc1366707_388300464"/>
      <w:bookmarkStart w:id="1089" w:name="_Toc428"/>
      <w:bookmarkEnd w:id="1088"/>
      <w:r>
        <w:rPr>
          <w:rtl w:val="true"/>
        </w:rPr>
        <w:t>ميقات عمرة المفرد والقارن</w:t>
      </w:r>
      <w:bookmarkEnd w:id="1089"/>
    </w:p>
    <w:p>
      <w:pPr>
        <w:pStyle w:val="BookText"/>
        <w:rPr/>
      </w:pPr>
      <w:r>
        <w:rPr>
          <w:rFonts w:ascii="Amiri" w:hAnsi="Amiri" w:eastAsia="Amiri" w:cs="Amiri"/>
          <w:color w:val="111111"/>
          <w:sz w:val="28"/>
          <w:sz w:val="28"/>
          <w:szCs w:val="28"/>
          <w:rtl w:val="true"/>
          <w:lang w:bidi="ar-SA"/>
        </w:rPr>
        <w:t>قد تقدّم أنّ المتمتع يحرم من أحد المواقيت ويأتي إلى مكّة لإتمام أعمال العمرة، وأمّا للحجّ فيحرم من نفس مكّة، والأفضل المسجد الحرام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المفرد و القارن فيحرمان للحجّ من أحد المواقيت الخمسة إذا كان منزله 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منزله بعد الميقات فميقاته دويرة أهله، وليس عليه الرجوع إلى الميقات</w:t>
      </w:r>
      <w:r>
        <w:rPr>
          <w:rFonts w:eastAsia="Amiri" w:cs="Amiri" w:ascii="Amiri" w:hAnsi="Amiri"/>
          <w:color w:val="111111"/>
          <w:sz w:val="28"/>
          <w:szCs w:val="28"/>
          <w:rtl w:val="true"/>
          <w:lang w:bidi="ar-SA"/>
        </w:rPr>
        <w:t>.</w:t>
      </w:r>
      <w:bookmarkStart w:id="1090" w:name="pg14912_141488"/>
    </w:p>
    <w:p>
      <w:pPr>
        <w:pStyle w:val="BookText"/>
        <w:rPr/>
      </w:pPr>
      <w:bookmarkEnd w:id="1090"/>
      <w:r>
        <w:rPr>
          <w:rFonts w:ascii="Amiri" w:hAnsi="Amiri" w:eastAsia="Amiri" w:cs="Amiri"/>
          <w:color w:val="111111"/>
          <w:sz w:val="28"/>
          <w:sz w:val="28"/>
          <w:szCs w:val="28"/>
          <w:rtl w:val="true"/>
          <w:lang w:bidi="ar-SA"/>
        </w:rPr>
        <w:t>وأمّا ميقات عمرة القران والإفراد فيحرم من أدنى الحل، كالتنعيم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اتّفقت عليه كلمة الفقهاء</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366709_388300464"/>
      <w:bookmarkStart w:id="1092" w:name="_Toc429"/>
      <w:bookmarkEnd w:id="1091"/>
      <w:r>
        <w:rPr>
          <w:rtl w:val="true"/>
        </w:rPr>
        <w:t>ميقات العمرة المفردة</w:t>
      </w:r>
      <w:bookmarkEnd w:id="1092"/>
    </w:p>
    <w:p>
      <w:pPr>
        <w:pStyle w:val="BookText"/>
        <w:rPr/>
      </w:pPr>
      <w:r>
        <w:rPr>
          <w:rFonts w:ascii="Amiri" w:hAnsi="Amiri" w:eastAsia="Amiri" w:cs="Amiri"/>
          <w:color w:val="111111"/>
          <w:sz w:val="28"/>
          <w:sz w:val="28"/>
          <w:szCs w:val="28"/>
          <w:rtl w:val="true"/>
          <w:lang w:bidi="ar-SA"/>
        </w:rPr>
        <w:t>النائي إذا أراد أن يأتي بعمرة مفردة، فميقاته أحد المواقيت الخمسة، وأمّا إذا كان في مكّة وأراد أن يأتي بالعمرة المفردة، فميقاته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 الحجّ والعمرة</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366711_388300464"/>
      <w:bookmarkStart w:id="1094" w:name="_Toc430"/>
      <w:bookmarkEnd w:id="1093"/>
      <w:r>
        <w:rPr>
          <w:rtl w:val="true"/>
        </w:rPr>
        <w:t xml:space="preserve">الفرق بين العمرتين </w:t>
      </w:r>
      <w:r>
        <w:rPr>
          <w:rtl w:val="true"/>
        </w:rPr>
        <w:t>(</w:t>
      </w:r>
      <w:r>
        <w:rPr>
          <w:rtl w:val="true"/>
        </w:rPr>
        <w:t>المفردة وعمرة التمتّع</w:t>
      </w:r>
      <w:r>
        <w:rPr>
          <w:rtl w:val="true"/>
        </w:rPr>
        <w:t>)</w:t>
      </w:r>
      <w:bookmarkEnd w:id="1094"/>
    </w:p>
    <w:p>
      <w:pPr>
        <w:pStyle w:val="BookText"/>
        <w:rPr/>
      </w:pPr>
      <w:r>
        <w:rPr>
          <w:rFonts w:ascii="Amiri" w:hAnsi="Amiri" w:eastAsia="Amiri" w:cs="Amiri"/>
          <w:color w:val="111111"/>
          <w:sz w:val="28"/>
          <w:sz w:val="28"/>
          <w:szCs w:val="28"/>
          <w:rtl w:val="true"/>
          <w:lang w:bidi="ar-SA"/>
        </w:rPr>
        <w:t>يتلخّص الفرق بينهما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طواف النساء يجب في العمرة المفردة، ولا يجب في عمرة التمتّع،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وقت عمرة التمتّع يبتدئ من أوّل شوال إلى اليوم التاسع من ذي الحجّة، أمّا العمرة المفردة فوقتها طول أيام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المعتمر بعمرة التمتّع يحل بالتقصير فقط، أمّا المعتمر بعمرة مفردة فهو مخيّر بين التقصير والحلق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عمرة التمتّع والحجّ يقعان في سنة واحدة، وليس كذلك في العمرة المفردة</w:t>
      </w:r>
      <w:r>
        <w:rPr>
          <w:rFonts w:eastAsia="Amiri" w:cs="Amiri" w:ascii="Amiri" w:hAnsi="Amiri"/>
          <w:color w:val="111111"/>
          <w:sz w:val="28"/>
          <w:szCs w:val="28"/>
          <w:rtl w:val="true"/>
          <w:lang w:bidi="ar-SA"/>
        </w:rPr>
        <w:t>.</w:t>
      </w:r>
      <w:bookmarkStart w:id="1095" w:name="pg14912_141489"/>
    </w:p>
    <w:p>
      <w:pPr>
        <w:pStyle w:val="BookText"/>
        <w:rPr/>
      </w:pPr>
      <w:bookmarkEnd w:id="1095"/>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096" w:name="__RefHeading___Toc1366713_388300464"/>
      <w:bookmarkStart w:id="1097" w:name="_Toc431"/>
      <w:bookmarkEnd w:id="1096"/>
      <w:r>
        <w:rPr/>
        <w:t>3</w:t>
      </w:r>
      <w:r>
        <w:rPr>
          <w:rtl w:val="true"/>
        </w:rPr>
        <w:t xml:space="preserve">. </w:t>
      </w:r>
      <w:r>
        <w:rPr>
          <w:rtl w:val="true"/>
        </w:rPr>
        <w:t>أعمال العمرة في الذكر الحكيم</w:t>
      </w:r>
      <w:bookmarkEnd w:id="1097"/>
    </w:p>
    <w:p>
      <w:pPr>
        <w:pStyle w:val="Heading4"/>
        <w:numPr>
          <w:ilvl w:val="3"/>
          <w:numId w:val="1"/>
        </w:numPr>
        <w:rPr/>
      </w:pPr>
      <w:bookmarkStart w:id="1098" w:name="__RefHeading___Toc1366715_388300464"/>
      <w:bookmarkStart w:id="1099" w:name="_Toc432"/>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قد تعرّفت في الفصل السابق على أقسام الحجّ‌، وقد ذكر القرآن الكريم أعمال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للعمرة واتمامها إتمام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الطواف بالبيت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مقام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ويخرج من الإحرام بالتقصير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 .</w:t>
      </w:r>
      <w:r>
        <w:rPr>
          <w:rStyle w:val="FootnoteAnchor"/>
          <w:rtl w:val="true"/>
        </w:rPr>
        <w:footnoteReference w:id="774"/>
      </w:r>
      <w:bookmarkStart w:id="1100" w:name="pg14912_141490"/>
    </w:p>
    <w:p>
      <w:pPr>
        <w:pStyle w:val="BookText"/>
        <w:rPr/>
      </w:pPr>
      <w:bookmarkEnd w:id="1100"/>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أكملوا العمرة والحجّ وإتمامها يلازم الإحرام لها، وأُريد من الإتمام هو إنجاز العمل كاملاً لا ناقصاً، وكلّما أُطلق الإتمام في القرآن الكريم أُريد به الإكمال،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نِعْمَتَهُ عَلَيْكَ وَ عَلى آلِ يَعْقُوبَ كَما أَتَمَّها عَلى أَبَوَيْكَ‌</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w:t>
      </w:r>
      <w:r>
        <w:rPr>
          <w:rStyle w:val="FootnoteAnchor"/>
          <w:rtl w:val="true"/>
        </w:rPr>
        <w:footnoteReference w:id="779"/>
      </w:r>
    </w:p>
    <w:p>
      <w:pPr>
        <w:pStyle w:val="Heading4"/>
        <w:numPr>
          <w:ilvl w:val="3"/>
          <w:numId w:val="1"/>
        </w:numPr>
        <w:rPr/>
      </w:pPr>
      <w:bookmarkStart w:id="1101" w:name="__RefHeading___Toc1366717_388300464"/>
      <w:bookmarkStart w:id="1102" w:name="_Toc433"/>
      <w:bookmarkEnd w:id="1101"/>
      <w:r>
        <w:rPr>
          <w:rtl w:val="true"/>
        </w:rPr>
        <w:t>تفسير الاتمام بإفراد العمرة عن الحجّ إنكار لحجّ التمتّع</w:t>
      </w:r>
      <w:bookmarkEnd w:id="1102"/>
    </w:p>
    <w:p>
      <w:pPr>
        <w:pStyle w:val="BookText"/>
        <w:rPr/>
      </w:pPr>
      <w:r>
        <w:rPr>
          <w:rFonts w:ascii="Amiri" w:hAnsi="Amiri" w:eastAsia="Amiri" w:cs="Amiri"/>
          <w:color w:val="111111"/>
          <w:sz w:val="28"/>
          <w:sz w:val="28"/>
          <w:szCs w:val="28"/>
          <w:rtl w:val="true"/>
          <w:lang w:bidi="ar-SA"/>
        </w:rPr>
        <w:t>وأمّا تفسير الإتمام بإفراد العمرة في حجّ التمتّع عن العمرة فممّا لا تدلّ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فمآله إلى إنكار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العرب في الجاهلية يفردون كُلّاً عن الآخر، وكانت سيرتهم على ذلك إلى أن أدخل النبيّ صلى الله عليه و آله و سلم العمرة في الحج، حتّى أنّ مَن لبّى بالحج في الأشهر الحرم وأحرم له، أمره أن يجعله عمرة ثم يتحلّل ويحرم للحج ثانياً، 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بيانه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العمرة مستقلّاً</w:t>
      </w:r>
    </w:p>
    <w:p>
      <w:pPr>
        <w:pStyle w:val="BookText"/>
        <w:rPr/>
      </w:pPr>
      <w:r>
        <w:rPr>
          <w:rFonts w:ascii="Amiri" w:hAnsi="Amiri" w:eastAsia="Amiri" w:cs="Amiri"/>
          <w:color w:val="111111"/>
          <w:sz w:val="28"/>
          <w:sz w:val="28"/>
          <w:szCs w:val="28"/>
          <w:rtl w:val="true"/>
          <w:lang w:bidi="ar-SA"/>
        </w:rPr>
        <w:t>فمَن استطاع إليها فقط دون الحج يجب عليه الاعتمار ولكنّه ضعيف، لأنّ الفقرة تدلّ على وجوب إكمال العمرة بما لها من الحكم حتّى وإن كان مستحباً كالعمرة المفردة لمن اعتمر وحجّ سابقاً، فهي مع استحبابها، يجب على المعتمر إكمالها، وإن كانت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الفقرة بصدد بيان وجوب العمرة لمن استطاع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w:t>
      </w:r>
      <w:r>
        <w:rPr>
          <w:rStyle w:val="FootnoteAnchor"/>
          <w:rtl w:val="true"/>
        </w:rPr>
        <w:footnoteReference w:id="780"/>
      </w:r>
      <w:r>
        <w:rPr>
          <w:rFonts w:ascii="Amiri" w:hAnsi="Amiri" w:eastAsia="Amiri" w:cs="Amiri"/>
          <w:color w:val="111111"/>
          <w:sz w:val="28"/>
          <w:sz w:val="28"/>
          <w:szCs w:val="28"/>
          <w:rtl w:val="true"/>
          <w:lang w:bidi="ar-SA"/>
        </w:rPr>
        <w:t>والطواف يبدأ من الحجر الأسود، فإذا أتمّ الشوط السابع يخرج من الطواف ويتوجّه إلى إنجاز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وهو يشير إلى وجوب صلاة ركعتين في مقام إبراهيم بعد إتمام الطواف للمعتمر والحاج، وسيأتي تفصيله عند بيان واجبات الحجّ وأركانه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نعم أنّ ما ذكر من الآيات لا تشير إلى خصوص العمرة بل تعمّ العمرة والحجّ أيضاً لاشتراكهما في تلك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الإشارة إلى أعمالها في الكتاب العزيز</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103" w:name="pg14912_141492"/>
    </w:p>
    <w:p>
      <w:pPr>
        <w:pStyle w:val="BookText"/>
        <w:rPr/>
      </w:pPr>
      <w:bookmarkEnd w:id="1103"/>
      <w:r>
        <w:rPr>
          <w:rFonts w:ascii="Amiri" w:hAnsi="Amiri" w:eastAsia="Amiri" w:cs="Amiri"/>
          <w:color w:val="111111"/>
          <w:sz w:val="28"/>
          <w:sz w:val="28"/>
          <w:szCs w:val="28"/>
          <w:rtl w:val="true"/>
          <w:lang w:bidi="ar-SA"/>
        </w:rPr>
        <w:t>بالتفسير بعد بيان المفردات</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366719_388300464"/>
      <w:bookmarkStart w:id="1105" w:name="_Toc434"/>
      <w:bookmarkEnd w:id="1104"/>
      <w:r>
        <w:rPr>
          <w:rtl w:val="true"/>
        </w:rPr>
        <w:t>المفردات</w:t>
      </w:r>
      <w:bookmarkEnd w:id="1105"/>
    </w:p>
    <w:p>
      <w:pPr>
        <w:pStyle w:val="BookText"/>
        <w:rPr/>
      </w:pP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الشيء من الشوب،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للحجارة الصافية، وذلك اسم لموضع مخصوص</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حجر لا يخلطه غيره من طين لازب، واشتقاقه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يصفو إذا خلص، وأصله من الواو ولأنّك تقول في تثنيته صفوان</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وبالصفا هنا، جبلان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الصفا، فهو جبل يقع في جنوب شرق المسجد الحرام من جهة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المروة فهو جبل يقع في شمال شرق المسجد الحرام يقابل الركن العراقي تجاه بيت اللّه الحرام، والمسافة بينهما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والمعتمر والحاج يسعيان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المسعى في هذه السنوات عبارة عن صالة كبيرة مسقّفة ذات طابقين يسعى الحجاج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بمعنى العلامة،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الهدي أي جعل فيه علامة أنّه يهدى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لفظ الجلالة، فلابدّ من تقدير كلمة بينهما أي من علائم أو أعلام دين 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هو القصد، صار علماً للعمل المعروف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الاعتمار الزيارة، وهو في اصطلاح الشرع العمل المعهود ويشارك الحجّ في قسم من الأعمال وليس فيه الوقوف في عرفات والمشعر ورمي الجمار والهدي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 الحقّ والعدل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على الإثم، وسيأتي تفسيره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يتطوّف، ادغمت التاء في الطاء، وهو السير الذي ينتهي أوّله إلى آخره، سواء أكان على حالة الدوران أو على غيرها، أمّا الأوّل كالطواف حول الكعبة، والثاني الطواف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الطوع بمعنى الطاعة ويستعمل غالباً في التبرّع بعناية أنّ العمل الواجب لكونه إلزامياً كأنّه ليس بمأتي به طوعاً، بخلاف المأتي من المندوب فإنّه على الطوع من غير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أنّ التطوّع بمعنى التبرّع حديث الأعرابي، روى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من نجد يسأل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 وصيام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 وذكر له رسول اللّه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ولا أنقص منه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وعلى هذا فيحتمل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وراء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توضيحه في قسم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مَن تطوع بالخير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يجزي عمل العباد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106" w:name="pg14912_141494"/>
    </w:p>
    <w:p>
      <w:pPr>
        <w:pStyle w:val="Heading4"/>
        <w:numPr>
          <w:ilvl w:val="3"/>
          <w:numId w:val="1"/>
        </w:numPr>
        <w:rPr/>
      </w:pPr>
      <w:bookmarkStart w:id="1107" w:name="__RefHeading___Toc1366721_388300464"/>
      <w:bookmarkStart w:id="1108" w:name="_Toc435"/>
      <w:bookmarkEnd w:id="1106"/>
      <w:bookmarkEnd w:id="1107"/>
      <w:r>
        <w:rPr>
          <w:rtl w:val="true"/>
        </w:rPr>
        <w:t>تمهيد</w:t>
      </w:r>
      <w:bookmarkEnd w:id="1108"/>
    </w:p>
    <w:p>
      <w:pPr>
        <w:pStyle w:val="BookText"/>
        <w:rPr/>
      </w:pPr>
      <w:r>
        <w:rPr>
          <w:rFonts w:ascii="Amiri" w:hAnsi="Amiri" w:eastAsia="Amiri" w:cs="Amiri"/>
          <w:color w:val="111111"/>
          <w:sz w:val="28"/>
          <w:sz w:val="28"/>
          <w:szCs w:val="28"/>
          <w:rtl w:val="true"/>
          <w:lang w:bidi="ar-SA"/>
        </w:rPr>
        <w:t>السعي بين الصفا والمروة عبادة وفرض واجب في الحجّ والعمرة، والزائر بعمله هذا يحاكي عمل هاجر أُمّ إسماعيل عليه السلام في طريق طلب الماء لولدها؛ فعن ابن عباس عن النبي صلى الله عليه و آله و سلم أنّ هاجر أُمّ إسماعيل لمّا تركها إبراهيم بموضع مكّة ومعها ابنها وهو رضيع وترك لها جراباً من تمر وسقاء فيه ماء، فلمّا نفد ما في السقاء عطشت وعطش ابنها وجعلت تنظر إليه يتَلوّى، فانطلقت كراهية أن تنظر إليه، فوجدت الصفا أقرب جبل يليها، فقامت عليه ثم استقبلت الوادي تنظر هل ترى أحداً، فلم تر أحداً، فهبطت من الصفا وأتت المروة فقامت عليها، ونظرت هل ترى أحداً، فلم تر أحداً، ففعلت ذلك سبع مرّات،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سعى الناس بينهما، فلمّا أشرفت على المروة سَمِعتْ صوتاً،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تُريد نفسها، ثم تسمّعت فسَمِعتْ أيضاً،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أسْمَعْتَ إن كان عندك غُواث، فإذا هي بالمَلك عند موضع زمزم، فبحث بعقبه حتى ظهر الماء فشربت وأرضعت ولدها</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عليه السلام لمّا خلّف إسماعيل بمكّة، عطش الصبي فكان فيما بين الصفا والمروة شجر فخرجت أُمّه حتّى قامت على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بالبوادي من أنيس‌؟ فلم يجبها أحد، فمضت حتى انتهت إلى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بالبوادي من أنيس‌؟ فلم تجب، ثم رجعت إلى الصفا وقالت ذلك، حتى صنعت ذلك سبعاً فأجرى اللّه ذلك سنّة</w:t>
      </w:r>
      <w:r>
        <w:rPr>
          <w:rFonts w:eastAsia="Amiri" w:cs="Amiri" w:ascii="Amiri" w:hAnsi="Amiri"/>
          <w:color w:val="111111"/>
          <w:sz w:val="28"/>
          <w:szCs w:val="28"/>
          <w:rtl w:val="true"/>
          <w:lang w:bidi="ar-SA"/>
        </w:rPr>
        <w:t>».</w:t>
      </w:r>
      <w:r>
        <w:rPr>
          <w:rStyle w:val="FootnoteAnchor"/>
          <w:rtl w:val="true"/>
        </w:rPr>
        <w:footnoteReference w:id="787"/>
      </w:r>
      <w:bookmarkStart w:id="1109" w:name="pg14912_141495"/>
    </w:p>
    <w:p>
      <w:pPr>
        <w:pStyle w:val="BookText"/>
        <w:rPr/>
      </w:pPr>
      <w:bookmarkEnd w:id="1109"/>
      <w:r>
        <w:rPr>
          <w:rFonts w:ascii="Amiri" w:hAnsi="Amiri" w:eastAsia="Amiri" w:cs="Amiri"/>
          <w:color w:val="111111"/>
          <w:sz w:val="28"/>
          <w:sz w:val="28"/>
          <w:szCs w:val="28"/>
          <w:rtl w:val="true"/>
          <w:lang w:bidi="ar-SA"/>
        </w:rPr>
        <w:t xml:space="preserve">من ألطافه سبحانه على عباده الشاكرين أنّه جعل مسعى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لعبادته، تقديراً لسعيها وتكريماً لها تكريماً لا نهاية له، وتبرّكاً بها حيث إنّ حجاج بيت اللّه الحرام ما زالوا يسعون بين الجبلين حاكين به عمل هذه المرأة الصابرة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التكريم من إنكار الوهابية مقامات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366723_388300464"/>
      <w:bookmarkStart w:id="1111" w:name="_Toc436"/>
      <w:bookmarkEnd w:id="1110"/>
      <w:r>
        <w:rPr>
          <w:rtl w:val="true"/>
        </w:rPr>
        <w:t>التفسير</w:t>
      </w:r>
      <w:bookmarkEnd w:id="111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الجبلين، المعروفين فالصفا رأس نهاية جبل أبي قبيس، وأمّا المروة فهو رأس منتهى جبل قعيقعان، فلعل المراد أنّهما علامة أنّ المسعى محلّ عبادة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السعي بينهما عبادة، فاللّه سبحانه جعلهما علامتين على مكان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كونهما من شعائر اللّه، أي السعي بينهما من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الحاج والمعتمر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التعبير بعدم الجناح مع أنّ اللازم في بادئ الأمر،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يطوّف بهما، فسيوافيك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تبرّع وراء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الآية بمفردها بقيت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للعدول عن وجوب الطواف بينهما إلى قوله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الصادق عليه السلام أنّه سئل عن السعي بين الصفا والمروة فريضة أم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في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شرط عليهم أن يرفعوا الأصنام من الصفا والمروة، فتشاغل رجل وترك السعي حتى انقضت الأيام، وأُعيدت الأصنام، فجاءوا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لم يسعَ بين الصفا والمروة، وقد أُعيدت الأصنام،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وعليهما الأصنام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فعلى هذا فالفقرة وردت في مورد توهّم الحظر، ومثل ذلك لا يدلّ على كون السعي ندباً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يستنبط حكمه من دليل آخر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الآية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فإنّ ظاهره عدم وجوب التقصير، وهو خلاف ما استقرّ عليه المذهب؛ ولذلك روى الصدوق عن زرارة ومحمد بن مسلم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قصر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كما أوجب التمام في الحضر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قد قال اللّه عزّ وجلّ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ترون أنّ الطواف بهما واجب مفروض، لأنّ اللّه عزّ وجلّ ذكره في كتابه، وصنعه نبيّه صلى الله عليه و آله و سلم، وكذلك التقصير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شيء صنعه النبي صلى الله عليه و آله و سلم وذكره اللّه في كتابه</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عمّار عن أبي عبد اللّه عليه السلام في حديث حجّ النبي صلى الله عليه و آله و سلم أنّه صلى الله عليه و آله و سلم بعد ما طاف بالبيت وصلّى ركعتين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فأبدأ بما بدأ اللّه عزّ وجلّ به، وأنّ المسلمين كانوا يظنون أنّ السعي بين الصفا والمروة شيء صنعه المشركون،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Style w:val="FootnoteAnchor"/>
          <w:rtl w:val="true"/>
        </w:rPr>
        <w:footnoteReference w:id="791"/>
      </w:r>
      <w:r>
        <w:rPr>
          <w:rFonts w:ascii="Amiri" w:hAnsi="Amiri" w:eastAsia="Amiri" w:cs="Amiri"/>
          <w:color w:val="111111"/>
          <w:sz w:val="28"/>
          <w:sz w:val="28"/>
          <w:szCs w:val="28"/>
          <w:rtl w:val="true"/>
          <w:lang w:bidi="ar-SA"/>
        </w:rPr>
        <w:t>ولا منافاة بين الخبرين بجواز أن يكون لنزول الآية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حسب الروايات نزلت إمّا في عمرة القضاء أو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فكانت في السنة السابعة من الهجرة، والثانية في السنة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يقع السؤال عن وقوعها في هذا المورد مع أنّ سورة البقرة نزلت في السنة الثانية من الهجرة، وأين هي من السنتين الماضيتين‌؟</w:t>
      </w:r>
    </w:p>
    <w:p>
      <w:pPr>
        <w:pStyle w:val="BookText"/>
        <w:rPr/>
      </w:pPr>
      <w:r>
        <w:rPr>
          <w:rFonts w:ascii="Amiri" w:hAnsi="Amiri" w:eastAsia="Amiri" w:cs="Amiri"/>
          <w:color w:val="111111"/>
          <w:sz w:val="28"/>
          <w:sz w:val="28"/>
          <w:szCs w:val="28"/>
          <w:rtl w:val="true"/>
          <w:lang w:bidi="ar-SA"/>
        </w:rPr>
        <w:t>والجواب أنّ الآية وضعت في هذا الموضع بأمر الرسول، وكم لها من نظير في القرآن الكريم حيث نزلت آية وحدها أو مجموعة آيات فأمر النبي صلى الله عليه و آله و سلم أن توضع في سورة كذا بعد آية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تبرّع بالطواف والسعي بين الصفا والمروة بعد ما أدّى الواجب من ذلك، عن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إذ لم يثبت استحباب السعي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نفسه خلافاً للطواف بالبيت فإنّه مستحب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تطوّع بالحج والعمرة بعد أداء الحجّ والعمرة المفروضين، عن الأصم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تطوّع بالخيرات وأنواع العبادات</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ولعلّ هذا الوجه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ألطف التعابير، حيث إنّه سبحانه مع كونه خالق السماوات والأرض وخالق الإنسان وما بيده من النعم، يصف نفسه شاكراً لأعمال عباده، وما هذا إلّالتلطّف خاص، نظير كونه مقترضاً من عباده،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وعلى هذا فظاهر الآية أنّه سبحانه شاكر لأعمال عباده، ولكنّه في الواقع قابل لإحسان عباده، فيجزي الإحسان بالإحسان،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التعبير نظير في القرآن الكريم كلّ ذلك لأجل إيجاد الرغبة في قلوب المسلمين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فاللّه سبحانه يعرّف نفسه مشترياً والمؤمنين بائعين مع أنّ كلّ ما بيد المؤمنين من النفس والنفيس ملك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يصوّر أنّ المؤمنين يملكون أنفسهم وأموالهم واللّه سبحانه يشتري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المعتمر بعمرة حجّ التمتّع يخرج من الإحرام بالتقصير بأخذ شيء من شعر رأسه أو شيء من أظافر يده، كلّ ذلك ثبت بالسنّة، وينتظر حتى يحرم مجدّداً إلى عرفات، وقد ثبت بالسنّة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112" w:name="pg14912_141500"/>
    </w:p>
    <w:p>
      <w:pPr>
        <w:pStyle w:val="BookText"/>
        <w:rPr/>
      </w:pPr>
      <w:bookmarkEnd w:id="1112"/>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113" w:name="__RefHeading___Toc1366725_388300464"/>
      <w:bookmarkStart w:id="1114" w:name="_Toc437"/>
      <w:bookmarkEnd w:id="1113"/>
      <w:r>
        <w:rPr/>
        <w:t>4</w:t>
      </w:r>
      <w:r>
        <w:rPr>
          <w:rtl w:val="true"/>
        </w:rPr>
        <w:t xml:space="preserve">. </w:t>
      </w:r>
      <w:r>
        <w:rPr>
          <w:rtl w:val="true"/>
        </w:rPr>
        <w:t>أعمال الحجّ‌</w:t>
      </w:r>
      <w:bookmarkEnd w:id="1114"/>
    </w:p>
    <w:p>
      <w:pPr>
        <w:pStyle w:val="Heading4"/>
        <w:numPr>
          <w:ilvl w:val="3"/>
          <w:numId w:val="1"/>
        </w:numPr>
        <w:rPr/>
      </w:pPr>
      <w:bookmarkStart w:id="1115" w:name="__RefHeading___Toc1366727_388300464"/>
      <w:bookmarkStart w:id="1116" w:name="_Toc438"/>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قد عرفت ما يجب على المعتمر من الأعمال، فإذا فرغ عن العمرة، يُحرم إلى الحجّ من مكّة والأفضل من المسجد الحرام، ثمّ الخروج إلى عرفات، ثمّ إلى المشعر، ثمّ إلى منى لرمي الجمرات، والذبح، والحلق، ثم الرجوع إلى مكّة للطواف بالبيت مع ركعتي الطواف، ثمّ السعي بين الصفا والمروة، انتهاء بطواف النساء وركعتيه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ما يدلّ عليه من الآيات، وما لم يرد فيها فإنّما ثبت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إلى الحجّ من مكّة فقد ثبت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الوقوف في عرفات من زوال اليوم التاسع إلى غروب الشمس، فتدلّ عليه الآيات التالية</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366729_388300464"/>
      <w:bookmarkStart w:id="1118" w:name="_Toc439"/>
      <w:bookmarkEnd w:id="1117"/>
      <w:r>
        <w:rPr>
          <w:rtl w:val="true"/>
        </w:rPr>
        <w:t>الآية الأُولى</w:t>
      </w:r>
      <w:bookmarkEnd w:id="1118"/>
    </w:p>
    <w:p>
      <w:pPr>
        <w:pStyle w:val="Heading5"/>
        <w:numPr>
          <w:ilvl w:val="4"/>
          <w:numId w:val="1"/>
        </w:numPr>
        <w:rPr/>
      </w:pPr>
      <w:bookmarkStart w:id="1119" w:name="__RefHeading___Toc1366731_388300464"/>
      <w:bookmarkStart w:id="1120" w:name="_Toc440"/>
      <w:bookmarkEnd w:id="1119"/>
      <w:r>
        <w:rPr>
          <w:rtl w:val="true"/>
        </w:rPr>
        <w:t>اشارة</w:t>
      </w:r>
      <w:bookmarkEnd w:id="112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w:t>
      </w:r>
      <w:bookmarkStart w:id="1121" w:name="pg14912_141501"/>
    </w:p>
    <w:p>
      <w:pPr>
        <w:pStyle w:val="BookText"/>
        <w:rPr/>
      </w:pPr>
      <w:bookmarkEnd w:id="1121"/>
      <w:r>
        <w:rPr>
          <w:rFonts w:ascii="Amiri" w:hAnsi="Amiri" w:eastAsia="Amiri" w:cs="Amiri"/>
          <w:color w:val="111111"/>
          <w:sz w:val="28"/>
          <w:sz w:val="28"/>
          <w:szCs w:val="28"/>
          <w:rtl w:val="true"/>
          <w:lang w:bidi="ar-SA"/>
        </w:rPr>
        <w:t>وَ اُذْكُرُوهُ كَما هَداكُمْ وَ إِنْ كُنْتُمْ مِنْ قَبْلِهِ لَمِنَ اَلضّالِّينَ‌</w:t>
      </w:r>
      <w:r>
        <w:rPr>
          <w:rFonts w:eastAsia="Amiri" w:cs="Amiri" w:ascii="Amiri" w:hAnsi="Amiri"/>
          <w:color w:val="111111"/>
          <w:sz w:val="28"/>
          <w:szCs w:val="28"/>
          <w:rtl w:val="true"/>
          <w:lang w:bidi="ar-SA"/>
        </w:rPr>
        <w:t>) .</w:t>
      </w:r>
      <w:r>
        <w:rPr>
          <w:rStyle w:val="FootnoteAnchor"/>
          <w:rtl w:val="true"/>
        </w:rPr>
        <w:footnoteReference w:id="797"/>
      </w:r>
    </w:p>
    <w:p>
      <w:pPr>
        <w:pStyle w:val="Heading5"/>
        <w:numPr>
          <w:ilvl w:val="4"/>
          <w:numId w:val="1"/>
        </w:numPr>
        <w:rPr/>
      </w:pPr>
      <w:bookmarkStart w:id="1122" w:name="__RefHeading___Toc1366733_388300464"/>
      <w:bookmarkStart w:id="1123" w:name="_Toc441"/>
      <w:bookmarkEnd w:id="1122"/>
      <w:r>
        <w:rPr>
          <w:rtl w:val="true"/>
        </w:rPr>
        <w:t>المفردات</w:t>
      </w:r>
      <w:bookmarkEnd w:id="1123"/>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اندفعتم من عرفات إلى المزدلفة باجتماع وكثرة، كفيضان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إبراهيم وإسماعيل حيث كانا يفيضان من عرفات والناس كلّهم بعدهم</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366735_388300464"/>
      <w:bookmarkStart w:id="1125" w:name="_Toc442"/>
      <w:bookmarkEnd w:id="1124"/>
      <w:r>
        <w:rPr>
          <w:rtl w:val="true"/>
        </w:rPr>
        <w:t>التفسير</w:t>
      </w:r>
      <w:bookmarkEnd w:id="1125"/>
    </w:p>
    <w:p>
      <w:pPr>
        <w:pStyle w:val="BookText"/>
        <w:rPr/>
      </w:pPr>
      <w:r>
        <w:rPr>
          <w:rFonts w:ascii="Amiri" w:hAnsi="Amiri" w:eastAsia="Amiri" w:cs="Amiri"/>
          <w:color w:val="111111"/>
          <w:sz w:val="28"/>
          <w:sz w:val="28"/>
          <w:szCs w:val="28"/>
          <w:rtl w:val="true"/>
          <w:lang w:bidi="ar-SA"/>
        </w:rPr>
        <w:t>الآية تتضمّن 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الحرج في كسب الحلال في أيام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في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ذكر اللّه عند المشعر الحرام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ذكره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الحرج عن ابتغاء الفضل كناية عن رفعه عن التجارة في الحج الّتي تنتهي إلى طلب الفضل من اللّه سبحانه، 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لما يتوهّم من حرمة الكسب في الحجّ‌، كما هوالحال في كلّ ما ورد فيه ذلك اللفظ أيضاً، وقد مرّ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w:t>
      </w:r>
    </w:p>
    <w:p>
      <w:pPr>
        <w:pStyle w:val="BookText"/>
        <w:rPr/>
      </w:pP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أنّ المسلمين كانوا يتحرّجون بالطواف بين الجبلين وعليهما أصنام المشركين، فاستدرك بأنّه لا حرج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ربّما يسبق إلى الذهن من الأمر بالتزوّد بالتقوى أنّه لا يجوز لزائر البيت ممارسة الأُمور الدنيوية كالكسب والتجارة فنزل الوحي بأنّ ممارسة ذلك لا ينافي التقوى، فإنّ حياة الإنسان رهن توفّر الإمكانات المالية، وأنّ الكسب والربح موصوفان بفضل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ملتقى سياسي واقتصادي وراء كونه أمراً عبادياً، ففي هذا التجمع الكبير الّذي يتواجد فيه أصحاب الشركات والتجارات من الشرق والغرب إذا تدارسوا أُمور المسلمين في النواحي الاقتصادية وعقدوا الاتفاقيات والمعاهدات التجارية في مختلف الأصعدة، فقد حقّقوا أحد أهداف الحج وهي تنمية الجانب الاقتصادي في المجتمع الإسلامي، وهذا لا يتناقض مع روح الحج ومقاصده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كلّف اللّه العباد بالحج والطواف بالبيت‌؟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بما يكون من أمر الطاعة في الدين، ومصلحتهم من أمر دنياهم، فجعل فيه الاجتماع من الشرق والغرب ليتعارفوا، ولينزع كلّ قوم من التجارات من بلد إلى بلد، ولينتفع بذلك المكاري والجمّال، ولتعرف آثار رسول اللّه صلى الله عليه و آله و سلم وتعرف أخباره، ويذكر ولا يُنسى‌، ولو كان كلّ قوم إنّما يتّكلون على بلادهم وما فيها، هلكوا وخربت البلاد، وسقطت الجلب والأرباح، وعميت الأخبار، ولم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126" w:name="pg14912_141503"/>
    </w:p>
    <w:p>
      <w:pPr>
        <w:pStyle w:val="BookText"/>
        <w:rPr/>
      </w:pPr>
      <w:bookmarkEnd w:id="1126"/>
      <w:r>
        <w:rPr>
          <w:rFonts w:ascii="Amiri" w:hAnsi="Amiri" w:eastAsia="Amiri" w:cs="Amiri"/>
          <w:color w:val="111111"/>
          <w:sz w:val="28"/>
          <w:sz w:val="28"/>
          <w:szCs w:val="28"/>
          <w:rtl w:val="true"/>
          <w:lang w:bidi="ar-SA"/>
        </w:rPr>
        <w:t>تقفوا على ذلك، فذلك علّة الحج</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الآية التالية أنّ من فرائض الحج الوقوف في عرفات من ظهر اليوم التاسع إلى مغيب الشمس ثم الإفاضة منها إلى المشعر الحرام، فالإفاضة من عرفات إلى المشعر الحرام، تدلّ ضمناً على وجوب الوقوف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الآية التالية ناظرة إلى الإفاضة من عرفات؛ لأنّ في تفسير الآية وجهاً آخر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فمن فرائض الحج أو آدابه ذكر اللّه عند المشعر الحرام، وهل ذكر اللّه سبحانه واجب كما هو لازم الأمر خصوصاً بتعليله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هَداكُمْ‌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مستحب من آداب الوقوف في المشعر؟ والحكم القطعي يطلب من المصادر الفقهية، وطريق الاحتياط معلوم، وعلى كلّ تقدير فإنّه سبحانه يذكِّر المسلمين بأنّهم كانوا ضالّين قبل البعثة،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تلك النعمة الكبرى أي الهداية من الكفر إلى التوحيد ومن عبادة الأحجار والأصنام إلى عبادة رب العالمين ذكره سبحانه في هذه الليلة الظلماء الّتي يخيّم عليهم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وجه تسمية المشعر؛ لأنّه مركز لشعائر الحج، ومعلم من معالم هذه العبادة</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366737_388300464"/>
      <w:bookmarkStart w:id="1128" w:name="_Toc443"/>
      <w:bookmarkEnd w:id="1127"/>
      <w:r>
        <w:rPr>
          <w:rtl w:val="true"/>
        </w:rPr>
        <w:t>الآية الثانية</w:t>
      </w:r>
      <w:bookmarkEnd w:id="1128"/>
    </w:p>
    <w:p>
      <w:pPr>
        <w:pStyle w:val="Heading5"/>
        <w:numPr>
          <w:ilvl w:val="4"/>
          <w:numId w:val="1"/>
        </w:numPr>
        <w:rPr/>
      </w:pPr>
      <w:bookmarkStart w:id="1129" w:name="__RefHeading___Toc1366739_388300464"/>
      <w:bookmarkStart w:id="1130" w:name="_Toc444"/>
      <w:bookmarkEnd w:id="1129"/>
      <w:r>
        <w:rPr>
          <w:rtl w:val="true"/>
        </w:rPr>
        <w:t>اشارة</w:t>
      </w:r>
      <w:bookmarkEnd w:id="113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w:t>
      </w:r>
      <w:bookmarkStart w:id="1131" w:name="pg14912_141504"/>
    </w:p>
    <w:p>
      <w:pPr>
        <w:pStyle w:val="BookText"/>
        <w:rPr/>
      </w:pPr>
      <w:bookmarkEnd w:id="1131"/>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w:t>
      </w:r>
      <w:r>
        <w:rPr>
          <w:rStyle w:val="FootnoteAnchor"/>
          <w:rtl w:val="true"/>
        </w:rPr>
        <w:footnoteReference w:id="800"/>
      </w:r>
    </w:p>
    <w:p>
      <w:pPr>
        <w:pStyle w:val="Heading5"/>
        <w:numPr>
          <w:ilvl w:val="4"/>
          <w:numId w:val="1"/>
        </w:numPr>
        <w:rPr/>
      </w:pPr>
      <w:bookmarkStart w:id="1132" w:name="__RefHeading___Toc1366741_388300464"/>
      <w:bookmarkStart w:id="1133" w:name="_Toc445"/>
      <w:bookmarkEnd w:id="1132"/>
      <w:r>
        <w:rPr>
          <w:rtl w:val="true"/>
        </w:rPr>
        <w:t>الإفاضة من عرفات إلى المشعر الحرام</w:t>
      </w:r>
      <w:bookmarkEnd w:id="1133"/>
    </w:p>
    <w:p>
      <w:pPr>
        <w:pStyle w:val="BookText"/>
        <w:rPr/>
      </w:pPr>
      <w:r>
        <w:rPr>
          <w:rFonts w:ascii="Amiri" w:hAnsi="Amiri" w:eastAsia="Amiri" w:cs="Amiri"/>
          <w:color w:val="111111"/>
          <w:sz w:val="28"/>
          <w:sz w:val="28"/>
          <w:szCs w:val="28"/>
          <w:rtl w:val="true"/>
          <w:lang w:bidi="ar-SA"/>
        </w:rPr>
        <w:t>تقع عرفات خارج الحرم بخلاف المشعر فإنّه جزء من الحرم، وكان القرشيّون متغطرسين، فلا يقفون حيث يقف الناس، كما فيما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ومَن يدين دينها، وهم الحمس، يقفون عشية عرفة بالمزدلفة يقولون نحن قطن البيت، وكان بقية الناس والعرب يقفون بعرفات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فأمرهم بالوقوف بعرفة والإفاضة منها، كما يفيض الناس، والمراد من الناس جمهرة العرب، وربّما يفسّر بإبراهيم وولده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أحدثوا بعد إبراهيم من تغيير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بقي هنا سؤال وهو أنّ الآية السابقة دلّت على إفاضة الناس من عرفات إلى المشعر الحرام، وعلى هذا فالناس كلّهم مجتمعون في المشعر الحرام، وعندئذ كيف يبدأ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الترتيب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ويفسّر بوجوب إفاضتهم من عرفات إلى المشعر الحرام، مع أنّ الناس كلّهم تركوا عرفات واجتمعوا في المشعر الحرام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السؤال بأنّ هاهنا تقديماً وتأخيراً وتقديره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bookmarkStart w:id="1134" w:name="pg14912_141505"/>
    </w:p>
    <w:p>
      <w:pPr>
        <w:pStyle w:val="BookText"/>
        <w:rPr/>
      </w:pPr>
      <w:bookmarkEnd w:id="1134"/>
      <w:r>
        <w:rPr>
          <w:rFonts w:ascii="Amiri" w:hAnsi="Amiri" w:eastAsia="Amiri" w:cs="Amiri"/>
          <w:color w:val="111111"/>
          <w:sz w:val="28"/>
          <w:sz w:val="28"/>
          <w:szCs w:val="28"/>
          <w:rtl w:val="true"/>
          <w:lang w:bidi="ar-SA"/>
        </w:rPr>
        <w:t>أن تبتغوا فضلاً من ربكم، ثم أفيضوا من حيث أفاض الناس، فإذا أفضتم من عرفات فاذكروا اللّه عند المشعر الحرام، واستغفروا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 وعلى هذا الجواب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في الذكر لا للترتيب في العمل، 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آخر لتفسير الآية وهو أنّ المراد من الإفاضة، هي الإفاضة من مزدلفة إلى منى يوم النحر، بعد شروق الشمس، للرمي والنحر، فمجموع الآيات يدلّ على أنّ هناك إفاضتين، من عرفات إلى المشعر، ومن المشعر إلى منى</w:t>
      </w:r>
      <w:r>
        <w:rPr>
          <w:rFonts w:eastAsia="Amiri" w:cs="Amiri" w:ascii="Amiri" w:hAnsi="Amiri"/>
          <w:color w:val="111111"/>
          <w:sz w:val="28"/>
          <w:szCs w:val="28"/>
          <w:rtl w:val="true"/>
          <w:lang w:bidi="ar-SA"/>
        </w:rPr>
        <w:t>.</w:t>
      </w:r>
      <w:r>
        <w:rPr>
          <w:rStyle w:val="FootnoteAnchor"/>
          <w:rtl w:val="true"/>
        </w:rPr>
        <w:footnoteReference w:id="803"/>
      </w:r>
    </w:p>
    <w:p>
      <w:pPr>
        <w:pStyle w:val="Heading4"/>
        <w:numPr>
          <w:ilvl w:val="3"/>
          <w:numId w:val="1"/>
        </w:numPr>
        <w:rPr/>
      </w:pPr>
      <w:bookmarkStart w:id="1135" w:name="__RefHeading___Toc1366743_388300464"/>
      <w:bookmarkStart w:id="1136" w:name="_Toc446"/>
      <w:bookmarkEnd w:id="1135"/>
      <w:r>
        <w:rPr>
          <w:rtl w:val="true"/>
        </w:rPr>
        <w:t>الآية الثالثة</w:t>
      </w:r>
      <w:bookmarkEnd w:id="1136"/>
    </w:p>
    <w:p>
      <w:pPr>
        <w:pStyle w:val="Heading5"/>
        <w:numPr>
          <w:ilvl w:val="4"/>
          <w:numId w:val="1"/>
        </w:numPr>
        <w:rPr/>
      </w:pPr>
      <w:bookmarkStart w:id="1137" w:name="__RefHeading___Toc1366745_388300464"/>
      <w:bookmarkStart w:id="1138" w:name="_Toc447"/>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w:t>
      </w:r>
      <w:r>
        <w:rPr>
          <w:rStyle w:val="FootnoteAnchor"/>
          <w:rtl w:val="true"/>
        </w:rPr>
        <w:footnoteReference w:id="804"/>
      </w:r>
    </w:p>
    <w:p>
      <w:pPr>
        <w:pStyle w:val="Heading5"/>
        <w:numPr>
          <w:ilvl w:val="4"/>
          <w:numId w:val="1"/>
        </w:numPr>
        <w:rPr/>
      </w:pPr>
      <w:bookmarkStart w:id="1139" w:name="__RefHeading___Toc1366747_388300464"/>
      <w:bookmarkStart w:id="1140" w:name="_Toc448"/>
      <w:bookmarkEnd w:id="1139"/>
      <w:r>
        <w:rPr>
          <w:rtl w:val="true"/>
        </w:rPr>
        <w:t>من أعمال منى الرمي وذكر اللّه في أيام معدودات</w:t>
      </w:r>
      <w:bookmarkEnd w:id="1140"/>
    </w:p>
    <w:p>
      <w:pPr>
        <w:pStyle w:val="BookText"/>
        <w:rPr/>
      </w:pPr>
      <w:r>
        <w:rPr>
          <w:rFonts w:ascii="Amiri" w:hAnsi="Amiri" w:eastAsia="Amiri" w:cs="Amiri"/>
          <w:color w:val="111111"/>
          <w:sz w:val="28"/>
          <w:sz w:val="28"/>
          <w:szCs w:val="28"/>
          <w:rtl w:val="true"/>
          <w:lang w:bidi="ar-SA"/>
        </w:rPr>
        <w:t>إيضاح الآية رهن 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فرائض الحج في الأيام الثلاثة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والحادي عشر 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اليوم العاشر يرمي الحاج جمرة</w:t>
      </w:r>
    </w:p>
    <w:p>
      <w:pPr>
        <w:pStyle w:val="BookText"/>
        <w:rPr/>
      </w:pPr>
      <w:r>
        <w:rPr>
          <w:rFonts w:ascii="Amiri" w:hAnsi="Amiri" w:eastAsia="Amiri" w:cs="Amiri"/>
          <w:color w:val="111111"/>
          <w:sz w:val="28"/>
          <w:sz w:val="28"/>
          <w:szCs w:val="28"/>
          <w:rtl w:val="true"/>
          <w:lang w:bidi="ar-SA"/>
        </w:rPr>
        <w:t>العقبة فقط، وفي اليومين الأخيرين يرمي الجمرات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يصف هذه الأيام والليالي بكونها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مشيراً إلى قلّتها، فإنّ القليل يُعدّ، وأمّا الكثير فإمّا أن لا يُعدّ أو يعسر عدّه، وبذلك يظهر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Amiri" w:cs="Amiri" w:ascii="Amiri" w:hAnsi="Amiri"/>
          <w:color w:val="111111"/>
          <w:sz w:val="28"/>
          <w:szCs w:val="28"/>
          <w:rtl w:val="true"/>
          <w:lang w:bidi="ar-SA"/>
        </w:rPr>
        <w:t>)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الحاج مخيّر بين النفر في اليوم الثاني عشر بعد الظهر قبل مغيب الشمس، وإلّا يبيت ليلة الثالث عشر ثم يرمي في يومه الجمرات وينفر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عمل الحج عمل عبادي فربما يشتغل الناس بأُمور تنافي العبادة، ولذا يأمرسبحانه بذكره في هذه الأيام، لأجل أن يضفي على عمل الحج الصبغة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التشريق كانوا إذا أقاموا بمنى بعد النحر تفاخروا، فقال الرجل منهم كان أبي يفعل كذا وكذا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وهل الذكر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أو مستحب مؤكّد؟ جاء في صحيحة علي بن جعفر عن أخيه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التكبير في أيام التشريق، أواجب أو لا؟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 وإن نسي فلا شيء عليه</w:t>
      </w:r>
      <w:r>
        <w:rPr>
          <w:rFonts w:eastAsia="Amiri" w:cs="Amiri" w:ascii="Amiri" w:hAnsi="Amiri"/>
          <w:color w:val="111111"/>
          <w:sz w:val="28"/>
          <w:szCs w:val="28"/>
          <w:rtl w:val="true"/>
          <w:lang w:bidi="ar-SA"/>
        </w:rPr>
        <w:t>».</w:t>
      </w:r>
      <w:r>
        <w:rPr>
          <w:rStyle w:val="FootnoteAnchor"/>
        </w:rPr>
        <w:footnoteReference w:id="80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المفسّرين على أنّ المراد هو اليوم الحادي عشر والثاني عشر والثالث عشر من ذي الحجّة، 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ثلاثة أيام بعد النحر، وأمّا الذكر المأمور به أن يقول الحاج عقيب خمس عشرة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إلّااللّه واللّه أكبر، اللّه أكبر وللّه الحمد، اللّه أكبر على ما هدانا، والحمد للّه على ما أولانا، واللّه أكبر على ما رزقنا من بهيمة الأنعام</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نعم أيام التشريق هي الأيام الثلاثة بعد يوم النحر، ولكن الأذكار يبدأ بها بعد صلاة الظهر من يوم النحر إلى صلاة الصبح من اليوم الثالث عشر، فيكون المجموع خمسة عشر ذكراً، هذا لمن نفر في اليوم الثالث عشر، وأمّا من نفر في اليوم الثاني عشر فيكون عدد الأذكار عشرة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بمنى في دبر خمس عشرة صلاة، وفي سائر الأمصار في دبر عشر صلوات، وأوَّل التكبير في دبر صلاة الظهر يوم النحر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إلّااللّه واللّه أكبر، 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في سائر الأمصار في دبر عشر صلوات لأنّه إذا نفر الناس في النفر الأوَّل أمسك أهل الأمصار عن التكبير وكبّر أهل منى ما داموا بمنى إلى النفر الأخير</w:t>
      </w:r>
      <w:r>
        <w:rPr>
          <w:rFonts w:eastAsia="Amiri" w:cs="Amiri" w:ascii="Amiri" w:hAnsi="Amiri"/>
          <w:color w:val="111111"/>
          <w:sz w:val="28"/>
          <w:szCs w:val="28"/>
          <w:rtl w:val="true"/>
          <w:lang w:bidi="ar-SA"/>
        </w:rPr>
        <w:t>».</w:t>
      </w:r>
      <w:r>
        <w:rPr>
          <w:rStyle w:val="FootnoteAnchor"/>
        </w:rPr>
        <w:footnoteReference w:id="80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141" w:name="pg14912_141508"/>
    </w:p>
    <w:p>
      <w:pPr>
        <w:pStyle w:val="Heading5"/>
        <w:numPr>
          <w:ilvl w:val="4"/>
          <w:numId w:val="1"/>
        </w:numPr>
        <w:rPr/>
      </w:pPr>
      <w:bookmarkStart w:id="1142" w:name="__RefHeading___Toc1366749_388300464"/>
      <w:bookmarkStart w:id="1143" w:name="_Toc449"/>
      <w:bookmarkEnd w:id="1141"/>
      <w:bookmarkEnd w:id="1142"/>
      <w:r>
        <w:rPr>
          <w:rtl w:val="true"/>
        </w:rPr>
        <w:t>التخيير في النفر بين الثاني عشر والثالث عشر</w:t>
      </w:r>
      <w:bookmarkEnd w:id="1143"/>
    </w:p>
    <w:p>
      <w:pPr>
        <w:pStyle w:val="BookText"/>
        <w:rPr/>
      </w:pPr>
      <w:r>
        <w:rPr>
          <w:rFonts w:ascii="Amiri" w:hAnsi="Amiri" w:eastAsia="Amiri" w:cs="Amiri"/>
          <w:color w:val="111111"/>
          <w:sz w:val="28"/>
          <w:sz w:val="28"/>
          <w:szCs w:val="28"/>
          <w:rtl w:val="true"/>
          <w:lang w:bidi="ar-SA"/>
        </w:rPr>
        <w:t>ثم إنّ الحجّاج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وغير مكّيّ‌، فالأوّل لا يسرع في ترك منى، بخلاف غير المكّيّ فلأنّ مسكنه خارج مكّة فهو يتعجّل حتّى يصل إلى مسكنه سريعاً، فلذلك نرى أنّه سبحانه يرخّص في الأمرين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ضمن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جواز النفر في اليوم الأوّل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يجوز الاستعجال في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منى قبل الغروب من اليوم الثاني، فلو أمسى حرم عليه النفر الأوّل</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ضمن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ذلك الحكم من التخيير بين الخروجين لمن اتّقى محظورات الإحرام كلّها أو بعضها وإلّا فمَن ارتكب واحداً منها أو الحرام المشدّد من المحظورات، فعليه أن ينفر في النفر الثاني، فيؤوّل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المذكور إنّما هو لمن اتّقى تروك الإحرام أو بعضها، أمّا مَن لم يتقّ فيجب أن يقيم بمنى ويذكر اللّه في أيام معدودات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حمّاد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فليس له أن ينفر في النفر الأوّل، ومن نفر في النفر الأوّل فليس له أن يصيب الصيد حتّى ينفر الناس،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 الصيد</w:t>
      </w:r>
      <w:r>
        <w:rPr>
          <w:rFonts w:eastAsia="Amiri" w:cs="Amiri" w:ascii="Amiri" w:hAnsi="Amiri"/>
          <w:color w:val="111111"/>
          <w:sz w:val="28"/>
          <w:szCs w:val="28"/>
          <w:rtl w:val="true"/>
          <w:lang w:bidi="ar-SA"/>
        </w:rPr>
        <w:t>».</w:t>
      </w:r>
      <w:r>
        <w:rPr>
          <w:rStyle w:val="FootnoteAnchor"/>
          <w:rtl w:val="true"/>
        </w:rPr>
        <w:footnoteReference w:id="811"/>
      </w:r>
      <w:bookmarkStart w:id="1144" w:name="pg14912_141509"/>
    </w:p>
    <w:p>
      <w:pPr>
        <w:pStyle w:val="Heading4"/>
        <w:numPr>
          <w:ilvl w:val="3"/>
          <w:numId w:val="1"/>
        </w:numPr>
        <w:rPr/>
      </w:pPr>
      <w:bookmarkStart w:id="1145" w:name="__RefHeading___Toc1366751_388300464"/>
      <w:bookmarkStart w:id="1146" w:name="_Toc450"/>
      <w:bookmarkEnd w:id="1144"/>
      <w:bookmarkEnd w:id="1145"/>
      <w:r>
        <w:rPr>
          <w:rtl w:val="true"/>
        </w:rPr>
        <w:t>الآية الرابعة</w:t>
      </w:r>
      <w:bookmarkEnd w:id="1146"/>
    </w:p>
    <w:p>
      <w:pPr>
        <w:pStyle w:val="Heading5"/>
        <w:numPr>
          <w:ilvl w:val="4"/>
          <w:numId w:val="1"/>
        </w:numPr>
        <w:rPr/>
      </w:pPr>
      <w:bookmarkStart w:id="1147" w:name="__RefHeading___Toc1366753_388300464"/>
      <w:bookmarkStart w:id="1148" w:name="_Toc451"/>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w:t>
      </w:r>
      <w:r>
        <w:rPr>
          <w:rStyle w:val="FootnoteAnchor"/>
          <w:rtl w:val="true"/>
        </w:rPr>
        <w:footnoteReference w:id="812"/>
      </w:r>
    </w:p>
    <w:p>
      <w:pPr>
        <w:pStyle w:val="Heading5"/>
        <w:numPr>
          <w:ilvl w:val="4"/>
          <w:numId w:val="1"/>
        </w:numPr>
        <w:rPr/>
      </w:pPr>
      <w:bookmarkStart w:id="1149" w:name="__RefHeading___Toc1366755_388300464"/>
      <w:bookmarkStart w:id="1150" w:name="_Toc452"/>
      <w:bookmarkEnd w:id="1149"/>
      <w:r>
        <w:rPr>
          <w:rtl w:val="true"/>
        </w:rPr>
        <w:t>المفردات</w:t>
      </w:r>
      <w:bookmarkEnd w:id="1150"/>
    </w:p>
    <w:p>
      <w:pPr>
        <w:pStyle w:val="BookText"/>
        <w:rPr/>
      </w:pPr>
      <w:r>
        <w:rPr>
          <w:rFonts w:ascii="Amiri" w:hAnsi="Amiri" w:eastAsia="Amiri" w:cs="Amiri"/>
          <w:color w:val="111111"/>
          <w:sz w:val="28"/>
          <w:sz w:val="28"/>
          <w:szCs w:val="28"/>
          <w:rtl w:val="true"/>
          <w:lang w:bidi="ar-SA"/>
        </w:rPr>
        <w:t>أياماً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النحر و الذبح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هي ما لا صوت له، أو في صوته إبهام من البهم وتقال على الإبل والبقر والضأن والمعز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أصابه بؤس أي شدّة، وأضعفه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شيء له</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366757_388300464"/>
      <w:bookmarkStart w:id="1152" w:name="_Toc453"/>
      <w:bookmarkEnd w:id="1151"/>
      <w:r>
        <w:rPr>
          <w:rtl w:val="true"/>
        </w:rPr>
        <w:t>التفسير</w:t>
      </w:r>
      <w:bookmarkEnd w:id="1152"/>
    </w:p>
    <w:p>
      <w:pPr>
        <w:pStyle w:val="Heading5"/>
        <w:numPr>
          <w:ilvl w:val="4"/>
          <w:numId w:val="1"/>
        </w:numPr>
        <w:rPr/>
      </w:pPr>
      <w:bookmarkStart w:id="1153" w:name="__RefHeading___Toc1366759_388300464"/>
      <w:bookmarkStart w:id="1154" w:name="_Toc454"/>
      <w:bookmarkEnd w:id="1153"/>
      <w:r>
        <w:rPr>
          <w:rtl w:val="true"/>
        </w:rPr>
        <w:t>من أعمال منى‌</w:t>
      </w:r>
      <w:r>
        <w:rPr>
          <w:rtl w:val="true"/>
        </w:rPr>
        <w:t xml:space="preserve">: </w:t>
      </w:r>
      <w:r>
        <w:rPr>
          <w:rtl w:val="true"/>
        </w:rPr>
        <w:t>الهدي والذبيحة وإطعام البائس والفقير</w:t>
      </w:r>
      <w:bookmarkEnd w:id="115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من الآيات وردت في سورة البقرة، وقد وردت في سورة الحجّ آيات أُخرى تتضمّن أحكام فريضة الحجّ‌، تبتدئ من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بالآية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غير أنّا ندرس ما يتضمّن حكماً شرعياً في الحجّ‌، وأمّا ما يرجع إلى الآداب وأمثال ذلك فنحيل القارئ إلى كتب التفسير</w:t>
      </w:r>
      <w:r>
        <w:rPr>
          <w:rFonts w:eastAsia="Amiri" w:cs="Amiri" w:ascii="Amiri" w:hAnsi="Amiri"/>
          <w:color w:val="111111"/>
          <w:sz w:val="28"/>
          <w:szCs w:val="28"/>
          <w:rtl w:val="true"/>
          <w:lang w:bidi="ar-SA"/>
        </w:rPr>
        <w:t>.</w:t>
      </w:r>
      <w:bookmarkStart w:id="1155" w:name="pg14912_141510"/>
    </w:p>
    <w:p>
      <w:pPr>
        <w:pStyle w:val="BookText"/>
        <w:rPr/>
      </w:pPr>
      <w:bookmarkEnd w:id="1155"/>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لنبيّه إبراهيم عليه السلام قبل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p>
    <w:p>
      <w:pPr>
        <w:pStyle w:val="Heading5"/>
        <w:numPr>
          <w:ilvl w:val="4"/>
          <w:numId w:val="1"/>
        </w:numPr>
        <w:rPr/>
      </w:pPr>
      <w:bookmarkStart w:id="1156" w:name="__RefHeading___Toc1366761_388300464"/>
      <w:bookmarkStart w:id="1157" w:name="_Toc455"/>
      <w:bookmarkEnd w:id="1156"/>
      <w:r>
        <w:rPr>
          <w:rtl w:val="true"/>
        </w:rPr>
        <w:t>نسخ ما عليه المشركون عند الذبح والنحر</w:t>
      </w:r>
      <w:bookmarkEnd w:id="1157"/>
    </w:p>
    <w:p>
      <w:pPr>
        <w:pStyle w:val="BookText"/>
        <w:rPr/>
      </w:pPr>
      <w:r>
        <w:rPr>
          <w:rFonts w:ascii="Amiri" w:hAnsi="Amiri" w:eastAsia="Amiri" w:cs="Amiri"/>
          <w:color w:val="111111"/>
          <w:sz w:val="28"/>
          <w:sz w:val="28"/>
          <w:szCs w:val="28"/>
          <w:rtl w:val="true"/>
          <w:lang w:bidi="ar-SA"/>
        </w:rPr>
        <w:t>ثمّ إنّه سبحانه نسخ ما كان عليه المشركون حيث كانوا يذبحون أو ينحرون باسم الأصنام، فأمر سبحانه بذكر اللّه عند الذبح والنحر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رَزَقَهُمْ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هو المنعم فليذكر اسمه عند الذبح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سبحانه بأمرين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الأُضحية، وظاهر الفقرة وجوب الأكل من الأُضحية، ومع ذلك ذهب الشيخ الطوسي وزميله ابن البرّاج إلى استحبابه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والظاهر هو القول الأوّل لورود الأمر بالأكل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هذه الآية، وأُخرى في آية أُخرى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 فَكُلُوا مِنْها</w:t>
      </w:r>
      <w:r>
        <w:rPr>
          <w:rFonts w:eastAsia="Amiri" w:cs="Amiri" w:ascii="Amiri" w:hAnsi="Amiri"/>
          <w:color w:val="111111"/>
          <w:sz w:val="28"/>
          <w:szCs w:val="28"/>
          <w:rtl w:val="true"/>
          <w:lang w:bidi="ar-SA"/>
        </w:rPr>
        <w:t>)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بالأكل ورد في مقام توهّم الحظر، لأنّ أهل الجاهلية ما كانوا يأكلون من أضاحيهم بل كانوا يحرّمونها على أنفسهم</w:t>
      </w:r>
      <w:r>
        <w:rPr>
          <w:rFonts w:eastAsia="Amiri" w:cs="Amiri" w:ascii="Amiri" w:hAnsi="Amiri"/>
          <w:color w:val="111111"/>
          <w:sz w:val="28"/>
          <w:szCs w:val="28"/>
          <w:rtl w:val="true"/>
          <w:lang w:bidi="ar-SA"/>
        </w:rPr>
        <w:t>.</w:t>
      </w:r>
      <w:r>
        <w:rPr>
          <w:rStyle w:val="FootnoteAnchor"/>
          <w:rtl w:val="true"/>
        </w:rPr>
        <w:footnoteReference w:id="81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سبحانه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الأوّل وإليك الأمر الثاني، وهو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والبائس هو الذي أصابه بؤس أي شدّة وأضعفه الإعسار، والفقير الذي لا شيء له، ومع أنّ ذكر الفقير مُغنٍ عن ذكر الآخر،</w:t>
      </w:r>
      <w:bookmarkStart w:id="1158" w:name="pg14912_141511"/>
    </w:p>
    <w:p>
      <w:pPr>
        <w:pStyle w:val="BookText"/>
        <w:rPr/>
      </w:pPr>
      <w:bookmarkEnd w:id="1158"/>
      <w:r>
        <w:rPr>
          <w:rFonts w:ascii="Amiri" w:hAnsi="Amiri" w:eastAsia="Amiri" w:cs="Amiri"/>
          <w:color w:val="111111"/>
          <w:sz w:val="28"/>
          <w:sz w:val="28"/>
          <w:szCs w:val="28"/>
          <w:rtl w:val="true"/>
          <w:lang w:bidi="ar-SA"/>
        </w:rPr>
        <w:t>جاء ذكرهما معاً لترقيق أفئدة الناس عليه</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366763_388300464"/>
      <w:bookmarkStart w:id="1160" w:name="_Toc456"/>
      <w:bookmarkEnd w:id="1159"/>
      <w:r>
        <w:rPr>
          <w:rtl w:val="true"/>
        </w:rPr>
        <w:t>الآية الخامسة</w:t>
      </w:r>
      <w:bookmarkEnd w:id="1160"/>
    </w:p>
    <w:p>
      <w:pPr>
        <w:pStyle w:val="Heading5"/>
        <w:numPr>
          <w:ilvl w:val="4"/>
          <w:numId w:val="1"/>
        </w:numPr>
        <w:rPr/>
      </w:pPr>
      <w:bookmarkStart w:id="1161" w:name="__RefHeading___Toc1366765_388300464"/>
      <w:bookmarkStart w:id="1162" w:name="_Toc457"/>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w:t>
      </w:r>
      <w:r>
        <w:rPr>
          <w:rStyle w:val="FootnoteAnchor"/>
          <w:rtl w:val="true"/>
        </w:rPr>
        <w:footnoteReference w:id="816"/>
      </w:r>
    </w:p>
    <w:p>
      <w:pPr>
        <w:pStyle w:val="Heading5"/>
        <w:numPr>
          <w:ilvl w:val="4"/>
          <w:numId w:val="1"/>
        </w:numPr>
        <w:rPr/>
      </w:pPr>
      <w:bookmarkStart w:id="1163" w:name="__RefHeading___Toc1366767_388300464"/>
      <w:bookmarkStart w:id="1164" w:name="_Toc458"/>
      <w:bookmarkEnd w:id="1163"/>
      <w:r>
        <w:rPr>
          <w:rtl w:val="true"/>
        </w:rPr>
        <w:t>المفردات</w:t>
      </w:r>
      <w:bookmarkEnd w:id="1164"/>
    </w:p>
    <w:p>
      <w:pPr>
        <w:pStyle w:val="BookText"/>
        <w:rPr/>
      </w:pPr>
      <w:r>
        <w:rPr>
          <w:rFonts w:ascii="Amiri" w:hAnsi="Amiri" w:eastAsia="Amiri" w:cs="Amiri"/>
          <w:color w:val="111111"/>
          <w:sz w:val="28"/>
          <w:sz w:val="28"/>
          <w:szCs w:val="28"/>
          <w:rtl w:val="true"/>
          <w:lang w:bidi="ar-SA"/>
        </w:rPr>
        <w:t>ليقضوا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يُنذر من أعمال البرّ،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أن توجب على نفسك ما ليس بواجب لحدوث أمر</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366769_388300464"/>
      <w:bookmarkStart w:id="1166" w:name="_Toc459"/>
      <w:bookmarkEnd w:id="1165"/>
      <w:r>
        <w:rPr>
          <w:rtl w:val="true"/>
        </w:rPr>
        <w:t>التفسير</w:t>
      </w:r>
      <w:bookmarkEnd w:id="1166"/>
    </w:p>
    <w:p>
      <w:pPr>
        <w:pStyle w:val="Heading6"/>
        <w:numPr>
          <w:ilvl w:val="5"/>
          <w:numId w:val="1"/>
        </w:numPr>
        <w:rPr/>
      </w:pPr>
      <w:bookmarkStart w:id="1167" w:name="__RefHeading___Toc1366771_388300464"/>
      <w:bookmarkStart w:id="1168" w:name="_Toc460"/>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ذكر سبحانه في هذه الفقرة، وظيفتين من وظائف المُحرم، هما</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1366773_388300464"/>
      <w:bookmarkStart w:id="1170" w:name="_Toc461"/>
      <w:bookmarkEnd w:id="1169"/>
      <w:r>
        <w:rPr/>
        <w:t>1</w:t>
      </w:r>
      <w:r>
        <w:rPr>
          <w:rtl w:val="true"/>
        </w:rPr>
        <w:t xml:space="preserve">. </w:t>
      </w:r>
      <w:r>
        <w:rPr>
          <w:rtl w:val="true"/>
        </w:rPr>
        <w:t>القضاء على التفث</w:t>
      </w:r>
      <w:bookmarkEnd w:id="117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محرّمات الإحرام حلق الشعر وتقليم الأظفار والتطيّب، حتى قتل هوام الجسد، فإذا خرج المكلّف عن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على التفث بحلق الرأس في الحجّ‌، وقد 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bookmarkStart w:id="1171" w:name="pg14912_141512"/>
    </w:p>
    <w:p>
      <w:pPr>
        <w:pStyle w:val="BookText"/>
        <w:rPr/>
      </w:pPr>
      <w:bookmarkEnd w:id="1171"/>
      <w:r>
        <w:rPr>
          <w:rFonts w:ascii="Amiri" w:hAnsi="Amiri" w:eastAsia="Amiri" w:cs="Amiri"/>
          <w:color w:val="111111"/>
          <w:sz w:val="28"/>
          <w:sz w:val="28"/>
          <w:szCs w:val="28"/>
          <w:rtl w:val="true"/>
          <w:lang w:bidi="ar-SA"/>
        </w:rPr>
        <w:t>روى البزنطي 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وطرح الوسخ وطرح الإحرام عنه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ومنها ما روي عن أبي الصبّاح الكناني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الحلق وما في جلد الإنسان</w:t>
      </w:r>
      <w:r>
        <w:rPr>
          <w:rFonts w:eastAsia="Amiri" w:cs="Amiri" w:ascii="Amiri" w:hAnsi="Amiri"/>
          <w:color w:val="111111"/>
          <w:sz w:val="28"/>
          <w:szCs w:val="28"/>
          <w:rtl w:val="true"/>
          <w:lang w:bidi="ar-SA"/>
        </w:rPr>
        <w:t>».</w:t>
      </w:r>
      <w:r>
        <w:rPr>
          <w:rStyle w:val="FootnoteAnchor"/>
          <w:rtl w:val="true"/>
        </w:rPr>
        <w:footnoteReference w:id="819"/>
      </w:r>
    </w:p>
    <w:p>
      <w:pPr>
        <w:pStyle w:val="Heading6"/>
        <w:numPr>
          <w:ilvl w:val="5"/>
          <w:numId w:val="1"/>
        </w:numPr>
        <w:rPr/>
      </w:pPr>
      <w:bookmarkStart w:id="1172" w:name="__RefHeading___Toc1366775_388300464"/>
      <w:bookmarkStart w:id="1173" w:name="_Toc462"/>
      <w:bookmarkEnd w:id="1172"/>
      <w:r>
        <w:rPr/>
        <w:t>2</w:t>
      </w:r>
      <w:r>
        <w:rPr>
          <w:rtl w:val="true"/>
        </w:rPr>
        <w:t xml:space="preserve">. </w:t>
      </w:r>
      <w:r>
        <w:rPr>
          <w:rtl w:val="true"/>
        </w:rPr>
        <w:t>لزوم الوفاء بالنذور</w:t>
      </w:r>
      <w:bookmarkEnd w:id="1173"/>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الفقرة أنّ كثيراً من الناس كانوا ينذرون الصدقات وغيرها من أعمال الخير إذا رُزقوا الحجّ‌، وبما أنّ النذر صار متحقّقاً فيجب عليهم الوفاء به</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366777_388300464"/>
      <w:bookmarkStart w:id="1175" w:name="_Toc463"/>
      <w:bookmarkEnd w:id="1174"/>
      <w:r>
        <w:rPr>
          <w:rtl w:val="true"/>
        </w:rPr>
        <w:t>الآيتان</w:t>
      </w:r>
      <w:r>
        <w:rPr>
          <w:rtl w:val="true"/>
        </w:rPr>
        <w:t xml:space="preserve">: </w:t>
      </w:r>
      <w:r>
        <w:rPr>
          <w:rtl w:val="true"/>
        </w:rPr>
        <w:t>السادسة والسابعة</w:t>
      </w:r>
      <w:bookmarkEnd w:id="1175"/>
    </w:p>
    <w:p>
      <w:pPr>
        <w:pStyle w:val="Heading5"/>
        <w:numPr>
          <w:ilvl w:val="4"/>
          <w:numId w:val="1"/>
        </w:numPr>
        <w:rPr/>
      </w:pPr>
      <w:bookmarkStart w:id="1176" w:name="__RefHeading___Toc1366779_388300464"/>
      <w:bookmarkStart w:id="1177" w:name="_Toc464"/>
      <w:bookmarkEnd w:id="1176"/>
      <w:r>
        <w:rPr>
          <w:rtl w:val="true"/>
        </w:rPr>
        <w:t>اشارة</w:t>
      </w:r>
      <w:bookmarkEnd w:id="117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 .</w:t>
      </w:r>
      <w:r>
        <w:rPr>
          <w:rStyle w:val="FootnoteAnchor"/>
          <w:rtl w:val="true"/>
        </w:rPr>
        <w:footnoteReference w:id="820"/>
      </w:r>
      <w:bookmarkStart w:id="1178" w:name="pg14912_141513"/>
    </w:p>
    <w:p>
      <w:pPr>
        <w:pStyle w:val="Heading5"/>
        <w:numPr>
          <w:ilvl w:val="4"/>
          <w:numId w:val="1"/>
        </w:numPr>
        <w:rPr/>
      </w:pPr>
      <w:bookmarkStart w:id="1179" w:name="__RefHeading___Toc1366781_388300464"/>
      <w:bookmarkStart w:id="1180" w:name="_Toc465"/>
      <w:bookmarkEnd w:id="1178"/>
      <w:bookmarkEnd w:id="1179"/>
      <w:r>
        <w:rPr>
          <w:rtl w:val="true"/>
        </w:rPr>
        <w:t>المفردات</w:t>
      </w:r>
      <w:bookmarkEnd w:id="1180"/>
    </w:p>
    <w:p>
      <w:pPr>
        <w:pStyle w:val="BookText"/>
        <w:rPr/>
      </w:pP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بدنة، وهي الناقة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بالبُدن التي تنحر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قائمات، قد صففن أيديهنّ وأرجلهن، واحدها صافّة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على الأرض وخرجت الروح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بما يُعطى له من غير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يتعرّض للعطيّة</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366783_388300464"/>
      <w:bookmarkStart w:id="1182" w:name="_Toc466"/>
      <w:bookmarkEnd w:id="1181"/>
      <w:r>
        <w:rPr>
          <w:rtl w:val="true"/>
        </w:rPr>
        <w:t>التفسير</w:t>
      </w:r>
      <w:bookmarkEnd w:id="1182"/>
    </w:p>
    <w:p>
      <w:pPr>
        <w:pStyle w:val="Heading5"/>
        <w:numPr>
          <w:ilvl w:val="4"/>
          <w:numId w:val="1"/>
        </w:numPr>
        <w:rPr/>
      </w:pPr>
      <w:bookmarkStart w:id="1183" w:name="__RefHeading___Toc1366785_388300464"/>
      <w:bookmarkStart w:id="1184" w:name="_Toc467"/>
      <w:bookmarkEnd w:id="1183"/>
      <w:r>
        <w:rPr>
          <w:rtl w:val="true"/>
        </w:rPr>
        <w:t>آداب ذبح البُدن وتقسيم لحمها إلى ثلاثة أقسام</w:t>
      </w:r>
      <w:bookmarkEnd w:id="1184"/>
    </w:p>
    <w:p>
      <w:pPr>
        <w:pStyle w:val="BookText"/>
        <w:rPr/>
      </w:pPr>
      <w:r>
        <w:rPr>
          <w:rFonts w:ascii="Amiri" w:hAnsi="Amiri" w:eastAsia="Amiri" w:cs="Amiri"/>
          <w:color w:val="111111"/>
          <w:sz w:val="28"/>
          <w:sz w:val="28"/>
          <w:szCs w:val="28"/>
          <w:rtl w:val="true"/>
          <w:lang w:bidi="ar-SA"/>
        </w:rPr>
        <w:t>إنّ الحاجّ مخيّر بين ذبح الغنم والإبل، والآية تذكر القسم الثاني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أقسام بهيمة الأنعام يصفها سبحانه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 لَكُمْ مِنْ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معالم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توضيحها في آخر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فالانتفاع بلحومها، وأمّا في الآخرة فالثواب في نحرها وتقسيم لحومها بين الفقراء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نحرها، فيبيّنه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قولوا عند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اللّهمّ منك وإليك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للبُدن، أي قائمات مصطفات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عادة الجاهلية حيث كانوا</w:t>
      </w:r>
      <w:bookmarkStart w:id="1185" w:name="pg14912_141514"/>
    </w:p>
    <w:p>
      <w:pPr>
        <w:pStyle w:val="BookText"/>
        <w:rPr/>
      </w:pPr>
      <w:bookmarkEnd w:id="1185"/>
      <w:r>
        <w:rPr>
          <w:rFonts w:ascii="Amiri" w:hAnsi="Amiri" w:eastAsia="Amiri" w:cs="Amiri"/>
          <w:color w:val="111111"/>
          <w:sz w:val="28"/>
          <w:sz w:val="28"/>
          <w:szCs w:val="28"/>
          <w:rtl w:val="true"/>
          <w:lang w:bidi="ar-SA"/>
        </w:rPr>
        <w:t>يذكرون اسم آلهتهم المكذوبة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الانتفاع بها بعد زهوق روحها،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سقطت على 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الحائط وجبة أي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تقسّم لحومها 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للأكل، وثلث للقانع، وثلث للمعتر، كما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ردّ لعادة الجاهلية حيث كانوا يحرّمونها على أنفسهم، وبما أنّ الأمر ورد موضع توهم الحظر، فهو يفيد إباحة الأكل لا وجوبه، بخلاف الأخيرين، إذ لا وجه لحمل الأمر فيهما على الإباحة،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أَطْعِمُوا اَلْقانِعَ‌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يقنع بما أُعطي أو بما عنده ولا يسأل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يتعرّض لك أن تطعمه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 يقنع بما أرسلت إليه من البضعة فما فوقها، والمعترّ مَن يعتريك فيسألك</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تذليل البُدن امتناناً، بمعنى أنّ البُدن أجسم من السباع ولكنّ اللّه سبحانه ذلّلها وسخّرها للإنسان ومكنّه من التصرّف فيها على حسب اختياره، وتلك نعمة عظيمة، فلو كانت طبيعتها كطبيعة السِّباع لما أمكن ذلك،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سَخَّرْناها لَكُمْ لَعَلَّكُمْ تَشْكُرُونَ‌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لكي تشكروا</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366787_388300464"/>
      <w:bookmarkStart w:id="1187" w:name="_Toc468"/>
      <w:bookmarkEnd w:id="1186"/>
      <w:r>
        <w:rPr>
          <w:rtl w:val="true"/>
        </w:rPr>
        <w:t>إبطال عادات الجاهلية</w:t>
      </w:r>
      <w:bookmarkEnd w:id="1187"/>
    </w:p>
    <w:p>
      <w:pPr>
        <w:pStyle w:val="BookText"/>
        <w:rPr/>
      </w:pPr>
      <w:r>
        <w:rPr>
          <w:rFonts w:ascii="Amiri" w:hAnsi="Amiri" w:eastAsia="Amiri" w:cs="Amiri"/>
          <w:color w:val="111111"/>
          <w:sz w:val="28"/>
          <w:sz w:val="28"/>
          <w:szCs w:val="28"/>
          <w:rtl w:val="true"/>
          <w:lang w:bidi="ar-SA"/>
        </w:rPr>
        <w:t>كانت من عادة الجاهلية تلطيخ الأوثان وحيطان الكعبة بدماء الهدي، وكأنّهم بعملهم هذا يُريدون أن يصل ذلك إلى اللّه تعالى، فردّ اللّه تعالى بقوله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bookmarkStart w:id="1188" w:name="pg14912_141515"/>
    </w:p>
    <w:p>
      <w:pPr>
        <w:pStyle w:val="BookText"/>
        <w:rPr/>
      </w:pPr>
      <w:bookmarkEnd w:id="1188"/>
      <w:r>
        <w:rPr>
          <w:rFonts w:ascii="Amiri" w:hAnsi="Amiri" w:eastAsia="Amiri" w:cs="Amiri"/>
          <w:color w:val="111111"/>
          <w:sz w:val="28"/>
          <w:sz w:val="28"/>
          <w:szCs w:val="28"/>
          <w:rtl w:val="true"/>
          <w:lang w:bidi="ar-SA"/>
        </w:rPr>
        <w:t>يَنالَ اَللّهَ لُحُومُها وَ لا دِماؤُها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يصل إليه ويقبله ويجازي عليه كون العمل خالصاً للّه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يَنالُهُ اَلتَّقْوى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قمت به من العمل للّه سبحانه كذكر اسم اللّه عليها والتصدّق على القانع والمعتر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كرّر ما ذكره في الآية السابقة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سَخَّرَها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تذكيراً بالنعمة وتقديماً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لِتُكَبِّرُوا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توحّدونه بالكبرياء، أو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هَداكُمْ‌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لأجل هدايته وإرشاده، حيث أرشدكم وهداكم من العادات الجاهلية إلى الدين الحنيف، وفي ختام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القائمين بإهداء البدن وإطعام الفقراء</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366789_388300464"/>
      <w:bookmarkStart w:id="1190" w:name="_Toc469"/>
      <w:bookmarkEnd w:id="1189"/>
      <w:r>
        <w:rPr>
          <w:rtl w:val="true"/>
        </w:rPr>
        <w:t>الآية</w:t>
      </w:r>
      <w:r>
        <w:rPr>
          <w:rtl w:val="true"/>
        </w:rPr>
        <w:t xml:space="preserve">: </w:t>
      </w:r>
      <w:r>
        <w:rPr>
          <w:rtl w:val="true"/>
        </w:rPr>
        <w:t>الثامنة</w:t>
      </w:r>
      <w:bookmarkEnd w:id="1190"/>
    </w:p>
    <w:p>
      <w:pPr>
        <w:pStyle w:val="Heading5"/>
        <w:numPr>
          <w:ilvl w:val="4"/>
          <w:numId w:val="1"/>
        </w:numPr>
        <w:rPr/>
      </w:pPr>
      <w:bookmarkStart w:id="1191" w:name="__RefHeading___Toc1366791_388300464"/>
      <w:bookmarkStart w:id="1192" w:name="_Toc470"/>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Style w:val="FootnoteAnchor"/>
          <w:rtl w:val="true"/>
        </w:rPr>
        <w:footnoteReference w:id="822"/>
      </w:r>
    </w:p>
    <w:p>
      <w:pPr>
        <w:pStyle w:val="Heading5"/>
        <w:numPr>
          <w:ilvl w:val="4"/>
          <w:numId w:val="1"/>
        </w:numPr>
        <w:rPr/>
      </w:pPr>
      <w:bookmarkStart w:id="1193" w:name="__RefHeading___Toc1366793_388300464"/>
      <w:bookmarkStart w:id="1194" w:name="_Toc471"/>
      <w:bookmarkEnd w:id="1193"/>
      <w:r>
        <w:rPr>
          <w:rtl w:val="true"/>
        </w:rPr>
        <w:t>المفردات</w:t>
      </w:r>
      <w:bookmarkEnd w:id="119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الإنسان بالليل،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بالليل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بالنهار، ثم قد يقال للمسكن بيت من غير اعتبار الليل فيه</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ثمّ 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الشيء إلى حالته الأُولى التي كان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الرجوع إلى الحالة الأُولى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 فلان إلى داره، وسُمّي البيت مثابة لأنّه المكان الذي يثوب إليه الناس على مرور الأوقات،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يكتسب فيه الثواب</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أمرناهما وألزمناهما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الطائفين والعاكفين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كلمة المفسّرين في معنى اللفظين، فعن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الطائفين هم الطارئون على مكّة من الآفاق، والعاكفين هم المقيمون فيها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وهنا احتمال آخر أقرب من المذكور وهو أنّه سبحانه عبّر عن العاكفين في آية 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وتفسيره بالمقيمين بعيد لأنّ القائم غير المقيم؛ لأنّ الأوّل لازم بخلاف الثاني، والظاهر أنّ الآية ناظرة لكلّ من دخل المسجد الحرام لغاية العبادة، فهم بين طائف حول الكعبة وبين قائم ينظر إلى الكعبة حيث إنّ النظر إليها عبادة، وبين مصلٍّ في حال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فأُريد من العاكفين، القائمون الناظرون إلى الكعبة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جعل حول الكعبة عشرين ومئة رحمة منها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وأربعون للمصلّين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195" w:name="pg14912_141517"/>
    </w:p>
    <w:p>
      <w:pPr>
        <w:pStyle w:val="BookText"/>
        <w:rPr/>
      </w:pPr>
      <w:bookmarkEnd w:id="1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وعشرون للناظرين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وعن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w:t>
      </w:r>
      <w:r>
        <w:rPr>
          <w:rFonts w:eastAsia="Amiri" w:cs="Amiri" w:ascii="Amiri" w:hAnsi="Amiri"/>
          <w:color w:val="111111"/>
          <w:sz w:val="28"/>
          <w:szCs w:val="28"/>
          <w:rtl w:val="true"/>
          <w:lang w:bidi="ar-SA"/>
        </w:rPr>
        <w:t>».</w:t>
      </w:r>
      <w:r>
        <w:rPr>
          <w:rStyle w:val="FootnoteAnchor"/>
          <w:rtl w:val="true"/>
        </w:rPr>
        <w:footnoteReference w:id="828"/>
      </w:r>
    </w:p>
    <w:p>
      <w:pPr>
        <w:pStyle w:val="Heading5"/>
        <w:numPr>
          <w:ilvl w:val="4"/>
          <w:numId w:val="1"/>
        </w:numPr>
        <w:rPr/>
      </w:pPr>
      <w:bookmarkStart w:id="1196" w:name="__RefHeading___Toc1366795_388300464"/>
      <w:bookmarkStart w:id="1197" w:name="_Toc472"/>
      <w:bookmarkEnd w:id="1196"/>
      <w:r>
        <w:rPr>
          <w:rtl w:val="true"/>
        </w:rPr>
        <w:t>التفسير</w:t>
      </w:r>
      <w:bookmarkEnd w:id="1197"/>
    </w:p>
    <w:p>
      <w:pPr>
        <w:pStyle w:val="Heading5"/>
        <w:numPr>
          <w:ilvl w:val="4"/>
          <w:numId w:val="1"/>
        </w:numPr>
        <w:rPr/>
      </w:pPr>
      <w:bookmarkStart w:id="1198" w:name="__RefHeading___Toc1366797_388300464"/>
      <w:bookmarkStart w:id="1199" w:name="_Toc473"/>
      <w:bookmarkEnd w:id="1198"/>
      <w:r>
        <w:rPr>
          <w:rtl w:val="true"/>
        </w:rPr>
        <w:t>الذهاب إلى مكّة لأداء فرائضها</w:t>
      </w:r>
      <w:bookmarkEnd w:id="1199"/>
    </w:p>
    <w:p>
      <w:pPr>
        <w:pStyle w:val="BookText"/>
        <w:rPr/>
      </w:pPr>
      <w:r>
        <w:rPr>
          <w:rFonts w:ascii="Amiri" w:hAnsi="Amiri" w:eastAsia="Amiri" w:cs="Amiri"/>
          <w:color w:val="111111"/>
          <w:sz w:val="28"/>
          <w:sz w:val="28"/>
          <w:szCs w:val="28"/>
          <w:rtl w:val="true"/>
          <w:lang w:bidi="ar-SA"/>
        </w:rPr>
        <w:t>يجب على الحاج بعد رمي جمرة العقبة أو بعد رمي الجمرات كلّها، الذهاب إلى مكة لإنجاز أعمالها، وهي عبارة عن الطواف بالبيت وركعتيه، ثمّ السعي وطواف النساء وركعتيه وقسم منها ثبت بالسنّة وقسم منها مذكور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الطواف فلم يذكر في الآية لكن أُشير إلى صلاته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التصريح بالطواف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البيت القديم؛ لأنّه أوّل بيت وضع للناس،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Style w:val="FootnoteAnchor"/>
          <w:rtl w:val="true"/>
        </w:rPr>
        <w:footnoteReference w:id="83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بإسناده عن أبان،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سمّى اللّه البيت العتيق‌؟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بيت حُرٌّ، عتيق من الناس، لم يملكه</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فهل المراد من الطواف بالبيت العتيق طواف الفريضة أو طواف النساء الذي به تحل النساء ويحلّ الطيب‌؟</w:t>
      </w:r>
    </w:p>
    <w:p>
      <w:pPr>
        <w:pStyle w:val="BookText"/>
        <w:rPr/>
      </w:pPr>
      <w:r>
        <w:rPr>
          <w:rFonts w:ascii="Amiri" w:hAnsi="Amiri" w:eastAsia="Amiri" w:cs="Amiri"/>
          <w:color w:val="111111"/>
          <w:sz w:val="28"/>
          <w:sz w:val="28"/>
          <w:szCs w:val="28"/>
          <w:rtl w:val="true"/>
          <w:lang w:bidi="ar-SA"/>
        </w:rPr>
        <w:t>ظاهر الآية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بعض الروايات أنّ المراد كليهما، حيث روى الكليني باسناده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في قول اللّه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الفريضة طواف النساء</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والظاهر سقوط العاطف لأنّ طواف الفريضة غير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بالطواف وأمّا صلاة الركعتين في مقام إبراهيم عليه السلام فسيأتي التصريح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فلندخل في تفسير فقرات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رغم وجازتها تتحدّث عن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تشريف البيت بكونه مثابة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أمناً، أي ليس لأحد أن يقصده بسوء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باتّخاذ المصلّى من مقام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إبراهيم وإسماعيل بتطهير البيت للطوائف الأربعة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جَعَلْنَا اَلْبَيْتَ 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ومعنى كون البيت مثاباً ومرجعاً هو أنّ الناس يرجعون إليه كلّ عام خصوصاً 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من سكان الحرم والقريبين منه، وربما قيل إنّه لا ينصرف منه أحد إلّاوينوي الرجوع إليه، وبما أنّ الناس يرجعون إليه مرّة بعد مرّة، صار البيت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مَن حل فيه من الناس، رغم قسوة الأعراب وتعاديهم وعدائهم، فكأنّه سبحانه أودع في القلوب نوع تعظيم له، وهذا لا ينافي كونه أمناً تشريعياً أيضاً بمعنى أنّ مَن لجأ إلى البيت وإن كان مجرماً لا يخرج بالإكراه والقوّة، بل له طريق خاص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اتّخذوا مقام إبراهيم محلّاً يُصلّى فيه بعد الطواف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هو الصخرة التي قام عليها إبراهيم، فصار فيها أثر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في لاميّته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وَمَوْطِئ إبراهيمَ في الصَّخرِ وَطأةً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قدميه حافياً غير ناعل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كان المقام هو الصخرة التي قام عليها إبراهيم عليه السلام كيف يتمكّن الإنسان من الصلاة عليها، فإنّ تلك الصخرة حسب ما يقولون على شكل مكعب متساوي الأضلاع، وطول الضلع ذراع واحد بذارع اليد، أي ما يساوي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تقريباً، وهذا المقدار لا يتّسع لأداء الصلاة، لأنّ ما يشغله المصلّي المستوي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المساحة الكافية لوقوفه وركوعه وسجوده وجلوسه هو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عرضاً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طولاً</w:t>
      </w:r>
      <w:r>
        <w:rPr>
          <w:rStyle w:val="FootnoteAnchor"/>
          <w:rtl w:val="true"/>
        </w:rPr>
        <w:footnoteReference w:id="834"/>
      </w:r>
      <w:r>
        <w:rPr>
          <w:rFonts w:ascii="Amiri" w:hAnsi="Amiri" w:eastAsia="Amiri" w:cs="Amiri"/>
          <w:color w:val="111111"/>
          <w:sz w:val="28"/>
          <w:sz w:val="28"/>
          <w:szCs w:val="28"/>
          <w:rtl w:val="true"/>
          <w:lang w:bidi="ar-SA"/>
        </w:rPr>
        <w:t>، وأين هذا من مساحة الحجر؟ ولذلك حاول صاحب الكشّاف تفسير مقام إبراهيم بعرفة، والمزدلفة، والجمار، لأنّه قام في هذه المواضع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فيها، وعن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مقام إبراهيم</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واحتمل بعضهم أنّ المراد من المقام المسجد الحرام لكن هذه الاحتمالات محجوجة بفعل النبي صلى الله عليه و آله و سلم حيث إنّه بعد ما طاف سبعة أشواط أتى إلى المقام فصلّاهما،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 الناس أنّ هذه الآية تأمر بهذه الصلاة وهنا مكانها</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وفي صحيح مسلم بسنده عن جابر في بيان حج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أتينا البيت معه استلم الركن فرمّل ثلاثاً ومشى أربعاً، ثم نفذ إلى مقام إبراهيم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وأمّا تفسير الآية فالظاهر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الآيات التي وردت فيها تلك المادّة،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 سُهُولِها قُصُوراً</w:t>
      </w:r>
      <w:r>
        <w:rPr>
          <w:rFonts w:eastAsia="Amiri" w:cs="Amiri" w:ascii="Amiri" w:hAnsi="Amiri"/>
          <w:color w:val="111111"/>
          <w:sz w:val="28"/>
          <w:szCs w:val="28"/>
          <w:rtl w:val="true"/>
          <w:lang w:bidi="ar-SA"/>
        </w:rPr>
        <w:t>) .</w:t>
      </w:r>
      <w:r>
        <w:rPr>
          <w:rStyle w:val="FootnoteAnchor"/>
          <w:rtl w:val="true"/>
        </w:rPr>
        <w:footnoteReference w:id="83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شيئاً عامّاً يؤخذ منه جزء لغرض ما، فالنحل تتّخذ من الجبال جزءاً بصفة البيت، أو أنّ الناس كانوا يتّخذون من سهول الأرض قصوراً، وعلى هذا فالآية منزلة على هذا النمط من الكلام، فيراد من المقام ما يجاوره ويقاربه تسمية لما حول المقام باسمه، ضرورة أنّ المقام لا يتبعّض لأخذ المصلّى منه، فعلى الطائف أن يأخذ جزءاً من هذا المقام المجازيّ مصلّى يصلّي فيه، وإطلاق الآية يعمّ الخلف وما حوله من اليمين واليسار، ولا يختصّ مفاده بالخلف؛ لأنّ المقام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ما استظهرناه هو المكان المتّسع قرب المقام الحقيقي، المسوِّغ لتسمية ذلك المكان مقاماً أيضاً، فالموضوع هو الصلاة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 فهو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أمر اللّه سبحانه إبراهيم وإسماعيل أن يطهّرا بيته للطوائف الأربع التي مرّ تفسيرها، ثمّ إنّ المراد من التطهير هو أعمّ من التطهير المادّي والمعنوي، ولذلك ترى أنّ النبي صلى الله عليه و آله و سلم عندما فتح مكّة طهّر البيت من الأصنام والأوثان الموجودة في البيت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في هذا الفصل بيان ما يجب على الحاج من الأعمال من الوقوف في المشاعر، وإنجاز إعمال منى، والذهاب إلى مكّة لإكمال أعمال الحجّ‌</w:t>
      </w:r>
      <w:r>
        <w:rPr>
          <w:rFonts w:eastAsia="Amiri" w:cs="Amiri" w:ascii="Amiri" w:hAnsi="Amiri"/>
          <w:color w:val="111111"/>
          <w:sz w:val="28"/>
          <w:szCs w:val="28"/>
          <w:rtl w:val="true"/>
          <w:lang w:bidi="ar-SA"/>
        </w:rPr>
        <w:t>.</w:t>
      </w:r>
      <w:bookmarkStart w:id="1200" w:name="pg14912_141522"/>
    </w:p>
    <w:p>
      <w:pPr>
        <w:pStyle w:val="BookText"/>
        <w:rPr/>
      </w:pPr>
      <w:bookmarkEnd w:id="1200"/>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201" w:name="__RefHeading___Toc1366799_388300464"/>
      <w:bookmarkStart w:id="1202" w:name="_Toc474"/>
      <w:bookmarkEnd w:id="1201"/>
      <w:r>
        <w:rPr/>
        <w:t>5</w:t>
      </w:r>
      <w:r>
        <w:rPr>
          <w:rtl w:val="true"/>
        </w:rPr>
        <w:t xml:space="preserve">. </w:t>
      </w:r>
      <w:r>
        <w:rPr>
          <w:rtl w:val="true"/>
        </w:rPr>
        <w:t>لزوم ذكر اللّه بدل التفاخر بالآباء في منى‌</w:t>
      </w:r>
      <w:bookmarkEnd w:id="1202"/>
    </w:p>
    <w:p>
      <w:pPr>
        <w:pStyle w:val="Heading4"/>
        <w:numPr>
          <w:ilvl w:val="3"/>
          <w:numId w:val="1"/>
        </w:numPr>
        <w:rPr/>
      </w:pPr>
      <w:bookmarkStart w:id="1203" w:name="__RefHeading___Toc1366801_388300464"/>
      <w:bookmarkStart w:id="1204" w:name="_Toc475"/>
      <w:bookmarkEnd w:id="1203"/>
      <w:r>
        <w:rPr>
          <w:rtl w:val="true"/>
        </w:rPr>
        <w:t>الآيات</w:t>
      </w:r>
      <w:r>
        <w:rPr>
          <w:rtl w:val="true"/>
        </w:rPr>
        <w:t xml:space="preserve">: </w:t>
      </w:r>
      <w:r>
        <w:rPr>
          <w:rtl w:val="true"/>
        </w:rPr>
        <w:t>الأُولى والثانية و الثالثة</w:t>
      </w:r>
      <w:bookmarkEnd w:id="1204"/>
    </w:p>
    <w:p>
      <w:pPr>
        <w:pStyle w:val="Heading5"/>
        <w:numPr>
          <w:ilvl w:val="4"/>
          <w:numId w:val="1"/>
        </w:numPr>
        <w:rPr/>
      </w:pPr>
      <w:bookmarkStart w:id="1205" w:name="__RefHeading___Toc1366803_388300464"/>
      <w:bookmarkStart w:id="1206" w:name="_Toc476"/>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 .</w:t>
      </w:r>
      <w:r>
        <w:rPr>
          <w:rStyle w:val="FootnoteAnchor"/>
          <w:rtl w:val="true"/>
        </w:rPr>
        <w:footnoteReference w:id="840"/>
      </w:r>
    </w:p>
    <w:p>
      <w:pPr>
        <w:pStyle w:val="Heading5"/>
        <w:numPr>
          <w:ilvl w:val="4"/>
          <w:numId w:val="1"/>
        </w:numPr>
        <w:rPr/>
      </w:pPr>
      <w:bookmarkStart w:id="1207" w:name="__RefHeading___Toc1366805_388300464"/>
      <w:bookmarkStart w:id="1208" w:name="_Toc477"/>
      <w:bookmarkEnd w:id="1207"/>
      <w:r>
        <w:rPr>
          <w:rtl w:val="true"/>
        </w:rPr>
        <w:t>المفردات</w:t>
      </w:r>
      <w:bookmarkEnd w:id="1208"/>
    </w:p>
    <w:p>
      <w:pPr>
        <w:pStyle w:val="BookText"/>
        <w:rPr/>
      </w:pP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ذكركم آبائكم</w:t>
      </w:r>
      <w:r>
        <w:rPr>
          <w:rFonts w:eastAsia="Amiri" w:cs="Amiri" w:ascii="Amiri" w:hAnsi="Amiri"/>
          <w:color w:val="111111"/>
          <w:sz w:val="28"/>
          <w:szCs w:val="28"/>
          <w:rtl w:val="true"/>
          <w:lang w:bidi="ar-SA"/>
        </w:rPr>
        <w:t>.</w:t>
      </w:r>
      <w:bookmarkStart w:id="1209" w:name="pg14912_141523"/>
    </w:p>
    <w:p>
      <w:pPr>
        <w:pStyle w:val="BookText"/>
        <w:rPr/>
      </w:pPr>
      <w:bookmarkEnd w:id="1209"/>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وقى يقي، والوقاء الحاجز الّذي يُسلم به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يجتلب به نفع أو يدفع به ضرر</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366807_388300464"/>
      <w:bookmarkStart w:id="1211" w:name="_Toc478"/>
      <w:bookmarkEnd w:id="1210"/>
      <w:r>
        <w:rPr>
          <w:rtl w:val="true"/>
        </w:rPr>
        <w:t>التفسير</w:t>
      </w:r>
      <w:bookmarkEnd w:id="1211"/>
    </w:p>
    <w:p>
      <w:pPr>
        <w:pStyle w:val="Heading5"/>
        <w:numPr>
          <w:ilvl w:val="4"/>
          <w:numId w:val="1"/>
        </w:numPr>
        <w:rPr/>
      </w:pPr>
      <w:bookmarkStart w:id="1212" w:name="__RefHeading___Toc1366809_388300464"/>
      <w:bookmarkStart w:id="1213" w:name="_Toc479"/>
      <w:bookmarkEnd w:id="1212"/>
      <w:r>
        <w:rPr>
          <w:rtl w:val="true"/>
        </w:rPr>
        <w:t>إبطال سنّة الجاهلية</w:t>
      </w:r>
      <w:r>
        <w:rPr>
          <w:rtl w:val="true"/>
        </w:rPr>
        <w:t xml:space="preserve">: </w:t>
      </w:r>
      <w:r>
        <w:rPr>
          <w:rtl w:val="true"/>
        </w:rPr>
        <w:t>التفاخر بالآباء</w:t>
      </w:r>
      <w:bookmarkEnd w:id="1213"/>
    </w:p>
    <w:p>
      <w:pPr>
        <w:pStyle w:val="BookText"/>
        <w:rPr/>
      </w:pPr>
      <w:r>
        <w:rPr>
          <w:rFonts w:ascii="Amiri" w:hAnsi="Amiri" w:eastAsia="Amiri" w:cs="Amiri"/>
          <w:color w:val="111111"/>
          <w:sz w:val="28"/>
          <w:sz w:val="28"/>
          <w:szCs w:val="28"/>
          <w:rtl w:val="true"/>
          <w:lang w:bidi="ar-SA"/>
        </w:rPr>
        <w:t>روى المفسّرون أنّ أهل الجاهلية كانوا معتادين أن يذكروا آباءهم بأبلغ الذكر على وجه التفاخر، بعد الفراغ من أعمال الحج، فكان الحج سوقاً للتفاخر بالآباء، والأعمال، فجاء البيان القرآني مغيّراً لهذه السنّة، ويُرغّب الحجاج بذكر اللّه في هذه الأيام الثلاثة، أو بعدها ذكراً أشدّ من ذكرهم آبائهم، فصار التفاخر بالرسوم الجاهلية أمراً محرّماً، وذكر اللّه والابتهال إليه أمر مرغباً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ثم يضرب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أَشَدَّ ذِكْراً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يكون ذكركم للّه أشدّ من ذكركم الآباء، إذ هو يناسب جلال اللّه ونعماءه؛ روى منصور بن حازم عن الإمام الصادق عليه السلام أنّه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قاموا بمنى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كذا وكذا،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w:t>
      </w:r>
      <w:r>
        <w:rPr>
          <w:rFonts w:eastAsia="Amiri" w:cs="Amiri" w:ascii="Amiri" w:hAnsi="Amiri"/>
          <w:color w:val="111111"/>
          <w:sz w:val="28"/>
          <w:szCs w:val="28"/>
          <w:rtl w:val="true"/>
          <w:lang w:bidi="ar-SA"/>
        </w:rPr>
        <w:t>) .</w:t>
      </w:r>
      <w:r>
        <w:rPr>
          <w:rStyle w:val="FootnoteAnchor"/>
          <w:rtl w:val="true"/>
        </w:rPr>
        <w:footnoteReference w:id="841"/>
      </w:r>
      <w:bookmarkStart w:id="1214" w:name="pg14912_141524"/>
    </w:p>
    <w:p>
      <w:pPr>
        <w:pStyle w:val="Heading5"/>
        <w:numPr>
          <w:ilvl w:val="4"/>
          <w:numId w:val="1"/>
        </w:numPr>
        <w:rPr/>
      </w:pPr>
      <w:bookmarkStart w:id="1215" w:name="__RefHeading___Toc1366811_388300464"/>
      <w:bookmarkStart w:id="1216" w:name="_Toc480"/>
      <w:bookmarkEnd w:id="1214"/>
      <w:bookmarkEnd w:id="1215"/>
      <w:r>
        <w:rPr>
          <w:rtl w:val="true"/>
        </w:rPr>
        <w:t>تقسيم الحجيج إلى نوعين</w:t>
      </w:r>
      <w:bookmarkEnd w:id="1216"/>
    </w:p>
    <w:p>
      <w:pPr>
        <w:pStyle w:val="BookText"/>
        <w:rPr/>
      </w:pPr>
      <w:r>
        <w:rPr>
          <w:rFonts w:ascii="Amiri" w:hAnsi="Amiri" w:eastAsia="Amiri" w:cs="Amiri"/>
          <w:color w:val="111111"/>
          <w:sz w:val="28"/>
          <w:sz w:val="28"/>
          <w:szCs w:val="28"/>
          <w:rtl w:val="true"/>
          <w:lang w:bidi="ar-SA"/>
        </w:rPr>
        <w:t>ثم إنّ الناس في حجّهم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يطلب إلّامتاع الحياة الدنيا، ولا همّ له إلّاهمّ الدنيا، كالبهيمة همّها علفها، وإلى هذا القسم يشير سبحانه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فيخصّ نعيم الدنيا ولا يسأل نعيم الآخرة، ومن المعلوم أنّ هذا النوع من الناس غير مؤمن بالبعث والنشور، ولذلك 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وحضوره في الحج لا يمنع من ذلك فإنّ عامّة المشركين كانوا يحضرون الحج من دون أن يعتقدوا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عادتهم في الجاهلية ألّا يدعوا إلّابمصالح الدنيا، إذ كانوا لا يعرفون الآخرة، فنهوا عن ذلك الدعاء المخصوص بأمر الدنيا، وجاء النهي في صيغة الخبر عنهم</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وأمّا القسم الثاني فهو ما تذكره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ترى أنّ هذا الفريق من الناس يطلب خير الدنيا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فِي اَلدُّنْيا 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خير الدنيا، وفي الوقت نفسه لا ينسى الآخرة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اَلْآخِرَةِ حَسَنَةً وَ قِنا 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يضيف إلى الحسنة في الآخرة هو أنّه يطلب منه سبحانه أن يجعل بينه وبين عذاب النار حاجزاً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الإجابة كانت على وفق الدعاء فالفريق الأوّل طلبوا خيرات الدنيا</w:t>
      </w:r>
    </w:p>
    <w:p>
      <w:pPr>
        <w:pStyle w:val="BookText"/>
        <w:rPr/>
      </w:pPr>
      <w:r>
        <w:rPr>
          <w:rFonts w:ascii="Amiri" w:hAnsi="Amiri" w:eastAsia="Amiri" w:cs="Amiri"/>
          <w:color w:val="111111"/>
          <w:sz w:val="28"/>
          <w:sz w:val="28"/>
          <w:szCs w:val="28"/>
          <w:rtl w:val="true"/>
          <w:lang w:bidi="ar-SA"/>
        </w:rPr>
        <w:t>وغفلوا عمّا في الآخرة من عذاب، فاستجاب لهم ربّهم بما سألوه؛ وأمّا الطائفة الثانية فلمّا طلبوا كلا الأمرين استجاب اللّه تعالى دعاءهم كما يأتي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بدأ سبحانه كلامه باسم الإشارة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ما يأتي بعده جزاء من اللّه سبحانه لطلبهم وعملهم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والفقرة تدلّ على أنّه سبحانه يجيب دعاءهم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ما يرغبون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تقتضيه المصلحة،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 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وتنكير النصيب 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يحاسب كلا الفريقين بسرعة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يحاسب الناس دفعة كما يرزقهم دفعة</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إشارة إلى ذينك الفريقين،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w:t>
      </w:r>
      <w:r>
        <w:rPr>
          <w:rStyle w:val="FootnoteAnchor"/>
        </w:rPr>
        <w:footnoteReference w:id="84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217" w:name="pg14912_141526"/>
    </w:p>
    <w:p>
      <w:pPr>
        <w:pStyle w:val="BookText"/>
        <w:rPr/>
      </w:pPr>
      <w:bookmarkEnd w:id="1217"/>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218" w:name="__RefHeading___Toc1366813_388300464"/>
      <w:bookmarkStart w:id="1219" w:name="_Toc481"/>
      <w:bookmarkEnd w:id="1218"/>
      <w:r>
        <w:rPr/>
        <w:t>6</w:t>
      </w:r>
      <w:r>
        <w:rPr>
          <w:rtl w:val="true"/>
        </w:rPr>
        <w:t xml:space="preserve">. </w:t>
      </w:r>
      <w:r>
        <w:rPr>
          <w:rtl w:val="true"/>
        </w:rPr>
        <w:t>حكم المُحْصَر والمصدود</w:t>
      </w:r>
      <w:bookmarkEnd w:id="1219"/>
    </w:p>
    <w:p>
      <w:pPr>
        <w:pStyle w:val="Heading4"/>
        <w:numPr>
          <w:ilvl w:val="3"/>
          <w:numId w:val="1"/>
        </w:numPr>
        <w:rPr/>
      </w:pPr>
      <w:bookmarkStart w:id="1220" w:name="__RefHeading___Toc1366815_388300464"/>
      <w:bookmarkStart w:id="1221" w:name="_Toc482"/>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 .</w:t>
      </w:r>
      <w:r>
        <w:rPr>
          <w:rStyle w:val="FootnoteAnchor"/>
          <w:rtl w:val="true"/>
        </w:rPr>
        <w:footnoteReference w:id="846"/>
      </w:r>
    </w:p>
    <w:p>
      <w:pPr>
        <w:pStyle w:val="Heading4"/>
        <w:numPr>
          <w:ilvl w:val="3"/>
          <w:numId w:val="1"/>
        </w:numPr>
        <w:rPr/>
      </w:pPr>
      <w:bookmarkStart w:id="1222" w:name="__RefHeading___Toc1366817_388300464"/>
      <w:bookmarkStart w:id="1223" w:name="_Toc483"/>
      <w:bookmarkEnd w:id="1222"/>
      <w:r>
        <w:rPr>
          <w:rtl w:val="true"/>
        </w:rPr>
        <w:t>المفردات</w:t>
      </w:r>
      <w:bookmarkEnd w:id="122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أكملوا الحجّ والعمرة</w:t>
      </w:r>
      <w:r>
        <w:rPr>
          <w:rFonts w:eastAsia="Amiri" w:cs="Amiri" w:ascii="Amiri" w:hAnsi="Amiri"/>
          <w:color w:val="111111"/>
          <w:sz w:val="28"/>
          <w:szCs w:val="28"/>
          <w:rtl w:val="true"/>
          <w:lang w:bidi="ar-SA"/>
        </w:rPr>
        <w:t>.</w:t>
      </w:r>
      <w:bookmarkStart w:id="1224" w:name="pg14912_141527"/>
    </w:p>
    <w:p>
      <w:pPr>
        <w:pStyle w:val="BookText"/>
        <w:rPr/>
      </w:pPr>
      <w:bookmarkEnd w:id="1224"/>
      <w:r>
        <w:rPr>
          <w:rFonts w:ascii="Amiri" w:hAnsi="Amiri" w:eastAsia="Amiri" w:cs="Amiri"/>
          <w:color w:val="111111"/>
          <w:sz w:val="28"/>
          <w:sz w:val="28"/>
          <w:szCs w:val="28"/>
          <w:rtl w:val="true"/>
          <w:lang w:bidi="ar-SA"/>
        </w:rPr>
        <w:t>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منعكم حابس حاصر عن إتمام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فالمُحصَر تارة يُحصر بالعدو، وأُخرى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الأوّل بالصدّ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الهدية، وهو ما يهديه الحاج إلى البيت الحرام من النعم ليذبح ويفرّق بين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الحلق، وهو حلق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يتأذّى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النسيكة وهي الذبيحة، ويجمع أيضاً على نسائك، كصحيفة وصحائف وصحف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التمتع بمعنى الالتذاذ والاستمتاع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عمّن كان على ثماني وأربعين ميلاً من كلّ جانب إلى مكّة، فمن كان خارجاً عن هذا الحد فليس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 عشر ميلاً من كلّ جانب</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366819_388300464"/>
      <w:bookmarkStart w:id="1226" w:name="_Toc484"/>
      <w:bookmarkEnd w:id="1225"/>
      <w:r>
        <w:rPr>
          <w:rtl w:val="true"/>
        </w:rPr>
        <w:t>التفسير</w:t>
      </w:r>
      <w:bookmarkEnd w:id="1226"/>
    </w:p>
    <w:p>
      <w:pPr>
        <w:pStyle w:val="Heading5"/>
        <w:numPr>
          <w:ilvl w:val="4"/>
          <w:numId w:val="1"/>
        </w:numPr>
        <w:rPr/>
      </w:pPr>
      <w:bookmarkStart w:id="1227" w:name="__RefHeading___Toc1366821_388300464"/>
      <w:bookmarkStart w:id="1228" w:name="_Toc485"/>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الآية المباركة تتضمّن أحكاماً نشرحها حسب مقاطع الجمل</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366823_388300464"/>
      <w:bookmarkStart w:id="1230" w:name="_Toc486"/>
      <w:bookmarkEnd w:id="1229"/>
      <w:r>
        <w:rPr/>
        <w:t>1</w:t>
      </w:r>
      <w:r>
        <w:rPr>
          <w:rtl w:val="true"/>
        </w:rPr>
        <w:t xml:space="preserve">. </w:t>
      </w:r>
      <w:r>
        <w:rPr>
          <w:rtl w:val="true"/>
        </w:rPr>
        <w:t>إتمام الحجّ والعمرة وإكمالهما</w:t>
      </w:r>
      <w:bookmarkEnd w:id="123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 ذكر أعمال العمرة، أنّ المراد من الإتمام انجاز العمل كاملاً للّه سبحانه، وقد مرّ توضيحه</w:t>
      </w:r>
      <w:r>
        <w:rPr>
          <w:rFonts w:eastAsia="Amiri" w:cs="Amiri" w:ascii="Amiri" w:hAnsi="Amiri"/>
          <w:color w:val="111111"/>
          <w:sz w:val="28"/>
          <w:szCs w:val="28"/>
          <w:rtl w:val="true"/>
          <w:lang w:bidi="ar-SA"/>
        </w:rPr>
        <w:t>.</w:t>
      </w:r>
      <w:bookmarkStart w:id="1231" w:name="pg14912_141528"/>
    </w:p>
    <w:p>
      <w:pPr>
        <w:pStyle w:val="Heading5"/>
        <w:numPr>
          <w:ilvl w:val="4"/>
          <w:numId w:val="1"/>
        </w:numPr>
        <w:rPr/>
      </w:pPr>
      <w:bookmarkStart w:id="1232" w:name="__RefHeading___Toc1366825_388300464"/>
      <w:bookmarkStart w:id="1233" w:name="_Toc487"/>
      <w:bookmarkEnd w:id="1231"/>
      <w:bookmarkEnd w:id="1232"/>
      <w:r>
        <w:rPr/>
        <w:t>2</w:t>
      </w:r>
      <w:r>
        <w:rPr>
          <w:rtl w:val="true"/>
        </w:rPr>
        <w:t xml:space="preserve">. </w:t>
      </w:r>
      <w:r>
        <w:rPr>
          <w:rtl w:val="true"/>
        </w:rPr>
        <w:t>كيفية خروج المحصر عن الإحرام</w:t>
      </w:r>
      <w:bookmarkEnd w:id="1233"/>
    </w:p>
    <w:p>
      <w:pPr>
        <w:pStyle w:val="BookText"/>
        <w:rPr/>
      </w:pPr>
      <w:r>
        <w:rPr>
          <w:rFonts w:ascii="Amiri" w:hAnsi="Amiri" w:eastAsia="Amiri" w:cs="Amiri"/>
          <w:color w:val="111111"/>
          <w:sz w:val="28"/>
          <w:sz w:val="28"/>
          <w:szCs w:val="28"/>
          <w:rtl w:val="true"/>
          <w:lang w:bidi="ar-SA"/>
        </w:rPr>
        <w:t>إذا أحرم للعمرة أو الحجّ ولكن منعه المرض أو العدو عن إنجاز أعمال العمرة أو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تيسّر منه، والمراد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يهدى إلى بيت اللّه عزوجل تقرّباً إليه سبحانه، أعلاه بدنة وأوسطه بقرة وأيسره شاة</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366827_388300464"/>
      <w:bookmarkStart w:id="1235" w:name="_Toc488"/>
      <w:bookmarkEnd w:id="1234"/>
      <w:r>
        <w:rPr/>
        <w:t>3</w:t>
      </w:r>
      <w:r>
        <w:rPr>
          <w:rtl w:val="true"/>
        </w:rPr>
        <w:t xml:space="preserve">. </w:t>
      </w:r>
      <w:r>
        <w:rPr>
          <w:rtl w:val="true"/>
        </w:rPr>
        <w:t>لا يتحلّل قبل الذبح</w:t>
      </w:r>
      <w:bookmarkEnd w:id="1235"/>
    </w:p>
    <w:p>
      <w:pPr>
        <w:pStyle w:val="BookText"/>
        <w:rPr/>
      </w:pPr>
      <w:r>
        <w:rPr>
          <w:rFonts w:ascii="Amiri" w:hAnsi="Amiri" w:eastAsia="Amiri" w:cs="Amiri"/>
          <w:color w:val="111111"/>
          <w:sz w:val="28"/>
          <w:sz w:val="28"/>
          <w:szCs w:val="28"/>
          <w:rtl w:val="true"/>
          <w:lang w:bidi="ar-SA"/>
        </w:rPr>
        <w:t>إنّ المحصر من المرض لا يتحلّل من الإحرام حتّى ينحر أو يذبح،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المحصر بالعدو يذبح في نفس الموضع الّذي أُحصر فيه، ثمّ يحلق رأسه ويتحلّل؛ لأنّ النبيّ صلى الله عليه و آله و سلم نحر هديه بالحديبية وأمر أصحابه ففعلوا مثل ذلك ورجعوا إلى المدينة، وليست الحديبية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المحصر بالمرض فهو يُرسل هديه إلى مكّة مع رفاقه وينتظر إلى أن يذبح في يوم النحر في منى، فإذا اطمأنّ بالذبح فعند ذلك يحلق ويحل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يقع الكلام في كفاية عمل المحصَر والمصدود عن الحجّ الواجب أو لا؟ فيرجع فيه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الشريعة الإسلامية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الفقرة على أنّ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المحرّمات لا كلّها كمسّ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بالحلق بعد الذبح</w:t>
      </w:r>
      <w:r>
        <w:rPr>
          <w:rFonts w:eastAsia="Amiri" w:cs="Amiri" w:ascii="Amiri" w:hAnsi="Amiri"/>
          <w:color w:val="111111"/>
          <w:sz w:val="28"/>
          <w:szCs w:val="28"/>
          <w:rtl w:val="true"/>
          <w:lang w:bidi="ar-SA"/>
        </w:rPr>
        <w:t>.</w:t>
      </w:r>
      <w:bookmarkStart w:id="1236" w:name="pg14912_141529"/>
    </w:p>
    <w:p>
      <w:pPr>
        <w:pStyle w:val="Heading5"/>
        <w:numPr>
          <w:ilvl w:val="4"/>
          <w:numId w:val="1"/>
        </w:numPr>
        <w:rPr/>
      </w:pPr>
      <w:bookmarkStart w:id="1237" w:name="__RefHeading___Toc1366829_388300464"/>
      <w:bookmarkStart w:id="1238" w:name="_Toc489"/>
      <w:bookmarkEnd w:id="1236"/>
      <w:bookmarkEnd w:id="1237"/>
      <w:r>
        <w:rPr/>
        <w:t>4</w:t>
      </w:r>
      <w:r>
        <w:rPr>
          <w:rtl w:val="true"/>
        </w:rPr>
        <w:t xml:space="preserve">. </w:t>
      </w:r>
      <w:r>
        <w:rPr>
          <w:rtl w:val="true"/>
        </w:rPr>
        <w:t>حكم المريض ومَن برأسه أذى</w:t>
      </w:r>
      <w:bookmarkEnd w:id="1238"/>
    </w:p>
    <w:p>
      <w:pPr>
        <w:pStyle w:val="BookText"/>
        <w:rPr/>
      </w:pPr>
      <w:r>
        <w:rPr>
          <w:rFonts w:ascii="Amiri" w:hAnsi="Amiri" w:eastAsia="Amiri" w:cs="Amiri"/>
          <w:color w:val="111111"/>
          <w:sz w:val="28"/>
          <w:sz w:val="28"/>
          <w:szCs w:val="28"/>
          <w:rtl w:val="true"/>
          <w:lang w:bidi="ar-SA"/>
        </w:rPr>
        <w:t>لمّا منع سبحانه عن حلق الرأس قبل بلوغ الهدي محلّه، وأجاز ذلك لفريقين وإن لم يذبحوا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يحتاج إلى الحلق للمداواة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بلوغ الهدي إلى محلّه،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برأسه أذى‌،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بِهِ أَذىً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الفداء،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الأُمور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فيتصدّق على ستة مساكين أو عشرة، كلّ واحد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مخيّر بين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الهدي الواجب بالأصالة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يجوز لهما الحلق قبل بلوغ الهدي محلّه</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366831_388300464"/>
      <w:bookmarkStart w:id="1240" w:name="_Toc490"/>
      <w:bookmarkEnd w:id="1239"/>
      <w:r>
        <w:rPr/>
        <w:t>5</w:t>
      </w:r>
      <w:r>
        <w:rPr>
          <w:rtl w:val="true"/>
        </w:rPr>
        <w:t xml:space="preserve">. </w:t>
      </w:r>
      <w:r>
        <w:rPr>
          <w:rtl w:val="true"/>
        </w:rPr>
        <w:t>التمتع بالعمرة إلى الحج</w:t>
      </w:r>
      <w:bookmarkEnd w:id="124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الكلام فيما تقدّم هو غير المأمون إمّا بالصدّ أو بالحصر، فجاء البيان القرآني لبيان مَن لم يكن محصراً ولا مصدوداً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الأمن وارتفع المانع ولم يكن هناك حصر أو صدّ، وأتيتم بفريضة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تمتّع بمحظورات الإحرام بسبب أداء العمرة، فيبقى متحلّلاً متمتّعاً إلى أن يحرم للحج، فعندئذٍ يأتي بأعمال الحج</w:t>
      </w:r>
      <w:bookmarkStart w:id="1241" w:name="pg14912_141530"/>
    </w:p>
    <w:p>
      <w:pPr>
        <w:pStyle w:val="BookText"/>
        <w:rPr/>
      </w:pPr>
      <w:bookmarkEnd w:id="1241"/>
      <w:r>
        <w:rPr>
          <w:rFonts w:ascii="Amiri" w:hAnsi="Amiri" w:eastAsia="Amiri" w:cs="Amiri"/>
          <w:color w:val="111111"/>
          <w:sz w:val="28"/>
          <w:sz w:val="28"/>
          <w:szCs w:val="28"/>
          <w:rtl w:val="true"/>
          <w:lang w:bidi="ar-SA"/>
        </w:rPr>
        <w:t>الّتي أشرنا إليها سابقاً، من الذهاب إلى عرفات ثم المشعر ثم إلى منى فيذبح بعد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ببقية أعمال الحج، لكن الآية تشير إلى فريضة واحدة من فرائض الحج وهو الهدي مع أنّه بعد الذهاب إلى عرفات، ثم إلى المشعر، ثم رمي الجمار، ثم الهدي، والحلق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خصوص الهدي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بحكم خاص، وهو ما يأتي في الأمر السادس</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366833_388300464"/>
      <w:bookmarkStart w:id="1243" w:name="_Toc491"/>
      <w:bookmarkEnd w:id="1242"/>
      <w:r>
        <w:rPr/>
        <w:t>6</w:t>
      </w:r>
      <w:r>
        <w:rPr>
          <w:rtl w:val="true"/>
        </w:rPr>
        <w:t xml:space="preserve">. </w:t>
      </w:r>
      <w:r>
        <w:rPr>
          <w:rtl w:val="true"/>
        </w:rPr>
        <w:t>حكم الفاقد للهدي</w:t>
      </w:r>
      <w:bookmarkEnd w:id="1243"/>
    </w:p>
    <w:p>
      <w:pPr>
        <w:pStyle w:val="BookText"/>
        <w:rPr/>
      </w:pPr>
      <w:r>
        <w:rPr>
          <w:rFonts w:ascii="Amiri" w:hAnsi="Amiri" w:eastAsia="Amiri" w:cs="Amiri"/>
          <w:color w:val="111111"/>
          <w:sz w:val="28"/>
          <w:sz w:val="28"/>
          <w:szCs w:val="28"/>
          <w:rtl w:val="true"/>
          <w:lang w:bidi="ar-SA"/>
        </w:rPr>
        <w:t>يبيّن سبحانه حكم مَن لم يجد الهدي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 سَبْعَةٍ إِذا رَجَعْتُمْ تِلْكَ عَشَرَةٌ كامِلَةٌ‌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يصوم بدل الهدي ثلاثة أيام في الحج وسبعة إذا رجع إلى موطنه، على وجه يكون الجميع عشرة كاملة، وأمّا أيّام الصوم فقد ذكرت في الكتب الفقهية، وهي اليوم السابع والثامن والتاسع</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366835_388300464"/>
      <w:bookmarkStart w:id="1245" w:name="_Toc492"/>
      <w:bookmarkEnd w:id="1244"/>
      <w:r>
        <w:rPr/>
        <w:t>7</w:t>
      </w:r>
      <w:r>
        <w:rPr>
          <w:rtl w:val="true"/>
        </w:rPr>
        <w:t xml:space="preserve">. </w:t>
      </w:r>
      <w:r>
        <w:rPr>
          <w:rtl w:val="true"/>
        </w:rPr>
        <w:t>التمتع بالعمرة إلى الحجّ وظيفة الآفاقي</w:t>
      </w:r>
      <w:bookmarkEnd w:id="1245"/>
    </w:p>
    <w:p>
      <w:pPr>
        <w:pStyle w:val="BookText"/>
        <w:rPr/>
      </w:pPr>
      <w:r>
        <w:rPr>
          <w:rFonts w:ascii="Amiri" w:hAnsi="Amiri" w:eastAsia="Amiri" w:cs="Amiri"/>
          <w:color w:val="111111"/>
          <w:sz w:val="28"/>
          <w:sz w:val="28"/>
          <w:szCs w:val="28"/>
          <w:rtl w:val="true"/>
          <w:lang w:bidi="ar-SA"/>
        </w:rPr>
        <w:t>إنّه سبحانه أشار كما مرّ بأنّ التمتّع بالعمرة إلى الحجّ فريضة مَن لم يكن أهله حاضري المسجد الحرام،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تقدّم ذكره من التمتّع بالعمرة إلى الحجّ‌، ليس لأهل مكّة و مَن يجري مجراهم، وإنّما هو لمَن لم يكن أهله من حاضري مكّة، وأمّا الحاضر فهو مَن يكون بينه و بينها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كلّ جانب على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أيضاً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أتمّ الآية بالأمر بالتقوى، أي تحصيل وقاية في النفس تبعثه</w:t>
      </w:r>
    </w:p>
    <w:p>
      <w:pPr>
        <w:pStyle w:val="BookText"/>
        <w:rPr/>
      </w:pPr>
      <w:r>
        <w:rPr>
          <w:rFonts w:ascii="Amiri" w:hAnsi="Amiri" w:eastAsia="Amiri" w:cs="Amiri"/>
          <w:color w:val="111111"/>
          <w:sz w:val="28"/>
          <w:sz w:val="28"/>
          <w:szCs w:val="28"/>
          <w:rtl w:val="true"/>
          <w:lang w:bidi="ar-SA"/>
        </w:rPr>
        <w:t>إلى العمل بما أمر والانتهاء عمّا نهى، وذلك لأنّه سبحانه شديد العقاب، فقال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شَدِيدُ اَلْعِقابِ‌</w:t>
      </w:r>
      <w:r>
        <w:rPr>
          <w:rFonts w:eastAsia="Amiri" w:cs="Amiri" w:ascii="Amiri" w:hAnsi="Amiri"/>
          <w:color w:val="111111"/>
          <w:sz w:val="28"/>
          <w:szCs w:val="28"/>
          <w:rtl w:val="true"/>
          <w:lang w:bidi="ar-SA"/>
        </w:rPr>
        <w:t>) .</w:t>
      </w:r>
      <w:bookmarkStart w:id="1246" w:name="pg14912_141532"/>
    </w:p>
    <w:p>
      <w:pPr>
        <w:pStyle w:val="BookText"/>
        <w:rPr/>
      </w:pPr>
      <w:bookmarkEnd w:id="1246"/>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247" w:name="__RefHeading___Toc1366837_388300464"/>
      <w:bookmarkStart w:id="1248" w:name="_Toc493"/>
      <w:bookmarkEnd w:id="1247"/>
      <w:r>
        <w:rPr/>
        <w:t>7</w:t>
      </w:r>
      <w:r>
        <w:rPr>
          <w:rtl w:val="true"/>
        </w:rPr>
        <w:t xml:space="preserve">. </w:t>
      </w:r>
      <w:r>
        <w:rPr>
          <w:rtl w:val="true"/>
        </w:rPr>
        <w:t>زمان الحجّ وتحريم أُمور ثلاثة</w:t>
      </w:r>
      <w:bookmarkEnd w:id="1248"/>
    </w:p>
    <w:p>
      <w:pPr>
        <w:pStyle w:val="Heading4"/>
        <w:numPr>
          <w:ilvl w:val="3"/>
          <w:numId w:val="1"/>
        </w:numPr>
        <w:rPr/>
      </w:pPr>
      <w:bookmarkStart w:id="1249" w:name="__RefHeading___Toc1366839_388300464"/>
      <w:bookmarkStart w:id="1250" w:name="_Toc494"/>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Amiri" w:cs="Amiri" w:ascii="Amiri" w:hAnsi="Amiri"/>
          <w:color w:val="111111"/>
          <w:sz w:val="28"/>
          <w:szCs w:val="28"/>
          <w:rtl w:val="true"/>
          <w:lang w:bidi="ar-SA"/>
        </w:rPr>
        <w:t>) .</w:t>
      </w:r>
      <w:r>
        <w:rPr>
          <w:rStyle w:val="FootnoteAnchor"/>
          <w:rtl w:val="true"/>
        </w:rPr>
        <w:footnoteReference w:id="847"/>
      </w:r>
    </w:p>
    <w:p>
      <w:pPr>
        <w:pStyle w:val="Heading4"/>
        <w:numPr>
          <w:ilvl w:val="3"/>
          <w:numId w:val="1"/>
        </w:numPr>
        <w:rPr/>
      </w:pPr>
      <w:bookmarkStart w:id="1251" w:name="__RefHeading___Toc1366841_388300464"/>
      <w:bookmarkStart w:id="1252" w:name="_Toc495"/>
      <w:bookmarkEnd w:id="1251"/>
      <w:r>
        <w:rPr>
          <w:rtl w:val="true"/>
        </w:rPr>
        <w:t>المفردات</w:t>
      </w:r>
      <w:bookmarkEnd w:id="1252"/>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زمان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بالحجّ هنا عمله، وأُريد من فرضه على نفسه، الإحرام له بالتلبية في هذه الأشهر، أو إشعار الهدي أو تقليده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الإفحاش بالنطق، وفُسّر في الروايات بالجماع</w:t>
      </w:r>
      <w:r>
        <w:rPr>
          <w:rFonts w:eastAsia="Amiri" w:cs="Amiri" w:ascii="Amiri" w:hAnsi="Amiri"/>
          <w:color w:val="111111"/>
          <w:sz w:val="28"/>
          <w:szCs w:val="28"/>
          <w:rtl w:val="true"/>
          <w:lang w:bidi="ar-SA"/>
        </w:rPr>
        <w:t>.</w:t>
      </w:r>
      <w:bookmarkStart w:id="1253" w:name="pg14912_141533"/>
    </w:p>
    <w:p>
      <w:pPr>
        <w:pStyle w:val="BookText"/>
        <w:rPr/>
      </w:pPr>
      <w:bookmarkEnd w:id="1253"/>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الطاقة، وفسّر في الروايات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الجدال في الكلام، وفسّر في الروايات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باللّه، وهو تفسير بالمصداق، وأُريد به التفوّق على الخصم بأي نحوٍ كان، وأمّا دراسة المسألة في جوٍّ هادئ، لتشخيص الحق، فهو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بالحج في هذه الفقرة زمانه ومكانه، فقد اعاد سبحانه لفظ الحج ثلاث مرات لافادة مقاصد مختلفة، ولذلك لم يأت بالضمير مكان الاسم الظاهر</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366843_388300464"/>
      <w:bookmarkStart w:id="1255" w:name="_Toc496"/>
      <w:bookmarkEnd w:id="1254"/>
      <w:r>
        <w:rPr>
          <w:rtl w:val="true"/>
        </w:rPr>
        <w:t>التفسير</w:t>
      </w:r>
      <w:bookmarkEnd w:id="1255"/>
    </w:p>
    <w:p>
      <w:pPr>
        <w:pStyle w:val="BookText"/>
        <w:rPr/>
      </w:pPr>
      <w:r>
        <w:rPr>
          <w:rFonts w:ascii="Amiri" w:hAnsi="Amiri" w:eastAsia="Amiri" w:cs="Amiri"/>
          <w:color w:val="111111"/>
          <w:sz w:val="28"/>
          <w:sz w:val="28"/>
          <w:szCs w:val="28"/>
          <w:rtl w:val="true"/>
          <w:lang w:bidi="ar-SA"/>
        </w:rPr>
        <w:t>أمّا الأوّل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وقت الحج والّذي يصحّ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مَعْلُوماتٌ‌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معيّنة، يعرفها الناس، وهي الأشهر الثلاثة، لا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يتدخّل بعض سدنة البيت أو الحج بالتقديم والتأخير الّذي يُسمّى النسيء، فهو كفر،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من أجزاء هذه الأشهر، صالح للحج، مع أنّ الصالح لفريضة الحج وحده، هو الأيام الخاصّة من الأشهر، فالحاج يحرم يوم التروية ويتمّ عمله في اليوم الثالث عشر، فكيف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العبارة أنّ الأشهر الثلاثة تصلح لعمل الحج، فالمحرم بالعمرة يجوز له أن يحرم أثناء الشهرين المتقدّمين على يوم التروية، وأمّا الحج</w:t>
      </w:r>
    </w:p>
    <w:p>
      <w:pPr>
        <w:pStyle w:val="BookText"/>
        <w:rPr/>
      </w:pPr>
      <w:r>
        <w:rPr>
          <w:rFonts w:ascii="Amiri" w:hAnsi="Amiri" w:eastAsia="Amiri" w:cs="Amiri"/>
          <w:color w:val="111111"/>
          <w:sz w:val="28"/>
          <w:sz w:val="28"/>
          <w:szCs w:val="28"/>
          <w:rtl w:val="true"/>
          <w:lang w:bidi="ar-SA"/>
        </w:rPr>
        <w:t>فيأتي به المحرم إلى اليوم الثالث عشر، فصار مجموع الأشهر صالحاً لعمل الحج،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أتى في جزء من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الأشهر صالح لمجموع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فرض على نفسه الحج بسبب عقده للإحرام بالتلبية أو إشعار الهدي أو تقليده قبل أن يحرم، فعليه أن يحذر من الأُمور الثلاثة فإن الحج بطبيعته لا يصلح لها،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يرفث ولا يفسق ولا 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جزاء 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في حجّه عن الرفث والفسوق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نفي الموضوعات الثلاثة مكان النهي عنها يدلّ على التأكيد، فالإخبار عن عدم هذه الأُمور الثلاثة بنيّة الإنشاء، دليل على التأكيد، وشدّة الزجر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عليه شيء، وبما أنّ وصف العمل بالخير فرع كونه صادراً ممّن تزيّن بالتقوى،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اِتَّقُونِ يا أُولِي اَلْأَلْبابِ‌</w:t>
      </w:r>
      <w:r>
        <w:rPr>
          <w:rFonts w:eastAsia="Amiri" w:cs="Amiri" w:ascii="Amiri" w:hAnsi="Amiri"/>
          <w:color w:val="111111"/>
          <w:sz w:val="28"/>
          <w:szCs w:val="28"/>
          <w:rtl w:val="true"/>
          <w:lang w:bidi="ar-SA"/>
        </w:rPr>
        <w:t>) .</w:t>
      </w:r>
      <w:bookmarkStart w:id="1256" w:name="pg14912_141535"/>
    </w:p>
    <w:p>
      <w:pPr>
        <w:pStyle w:val="BookText"/>
        <w:rPr/>
      </w:pPr>
      <w:bookmarkEnd w:id="1256"/>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257" w:name="__RefHeading___Toc1366845_388300464"/>
      <w:bookmarkStart w:id="1258" w:name="_Toc497"/>
      <w:bookmarkEnd w:id="1257"/>
      <w:r>
        <w:rPr/>
        <w:t>8</w:t>
      </w:r>
      <w:r>
        <w:rPr>
          <w:rtl w:val="true"/>
        </w:rPr>
        <w:t xml:space="preserve">. </w:t>
      </w:r>
      <w:r>
        <w:rPr>
          <w:rtl w:val="true"/>
        </w:rPr>
        <w:t>الابتلاء بالصيد قتلاً واصطياداً وأحكامه</w:t>
      </w:r>
      <w:bookmarkEnd w:id="1258"/>
    </w:p>
    <w:p>
      <w:pPr>
        <w:pStyle w:val="Heading4"/>
        <w:numPr>
          <w:ilvl w:val="3"/>
          <w:numId w:val="1"/>
        </w:numPr>
        <w:rPr/>
      </w:pPr>
      <w:bookmarkStart w:id="1259" w:name="__RefHeading___Toc1366847_388300464"/>
      <w:bookmarkStart w:id="1260" w:name="_Toc498"/>
      <w:bookmarkEnd w:id="1259"/>
      <w:r>
        <w:rPr>
          <w:rtl w:val="true"/>
        </w:rPr>
        <w:t>الآية الأُولى</w:t>
      </w:r>
      <w:bookmarkEnd w:id="1260"/>
    </w:p>
    <w:p>
      <w:pPr>
        <w:pStyle w:val="Heading5"/>
        <w:numPr>
          <w:ilvl w:val="4"/>
          <w:numId w:val="1"/>
        </w:numPr>
        <w:rPr/>
      </w:pPr>
      <w:bookmarkStart w:id="1261" w:name="__RefHeading___Toc1366849_388300464"/>
      <w:bookmarkStart w:id="1262" w:name="_Toc499"/>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 .</w:t>
      </w:r>
      <w:r>
        <w:rPr>
          <w:rStyle w:val="FootnoteAnchor"/>
          <w:rtl w:val="true"/>
        </w:rPr>
        <w:footnoteReference w:id="848"/>
      </w:r>
    </w:p>
    <w:p>
      <w:pPr>
        <w:pStyle w:val="Heading5"/>
        <w:numPr>
          <w:ilvl w:val="4"/>
          <w:numId w:val="1"/>
        </w:numPr>
        <w:rPr/>
      </w:pPr>
      <w:bookmarkStart w:id="1263" w:name="__RefHeading___Toc1366851_388300464"/>
      <w:bookmarkStart w:id="1264" w:name="_Toc500"/>
      <w:bookmarkEnd w:id="1263"/>
      <w:r>
        <w:rPr>
          <w:rtl w:val="true"/>
        </w:rPr>
        <w:t>المفردات</w:t>
      </w:r>
      <w:bookmarkEnd w:id="1264"/>
    </w:p>
    <w:p>
      <w:pPr>
        <w:pStyle w:val="BookText"/>
        <w:rPr/>
      </w:pPr>
      <w:r>
        <w:rPr>
          <w:rFonts w:ascii="Amiri" w:hAnsi="Amiri" w:eastAsia="Amiri" w:cs="Amiri"/>
          <w:color w:val="111111"/>
          <w:sz w:val="28"/>
          <w:sz w:val="28"/>
          <w:szCs w:val="28"/>
          <w:rtl w:val="true"/>
          <w:lang w:bidi="ar-SA"/>
        </w:rPr>
        <w:t>ليبلونّكم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الابتلاء بمعنى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يصطاد من حيوانات البحر والبرّ الوحشية ولا يعمّ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كثرة الصيد وسهولة الأخذ</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معلومه ويحقّقه</w:t>
      </w:r>
      <w:r>
        <w:rPr>
          <w:rFonts w:eastAsia="Amiri" w:cs="Amiri" w:ascii="Amiri" w:hAnsi="Amiri"/>
          <w:color w:val="111111"/>
          <w:sz w:val="28"/>
          <w:szCs w:val="28"/>
          <w:rtl w:val="true"/>
          <w:lang w:bidi="ar-SA"/>
        </w:rPr>
        <w:t>.</w:t>
      </w:r>
      <w:bookmarkStart w:id="1265" w:name="pg14912_141536"/>
    </w:p>
    <w:p>
      <w:pPr>
        <w:pStyle w:val="BookText"/>
        <w:rPr/>
      </w:pPr>
      <w:bookmarkEnd w:id="1265"/>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الحسّ‌</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366853_388300464"/>
      <w:bookmarkStart w:id="1267" w:name="_Toc501"/>
      <w:bookmarkEnd w:id="1266"/>
      <w:r>
        <w:rPr>
          <w:rtl w:val="true"/>
        </w:rPr>
        <w:t>التفسير</w:t>
      </w:r>
      <w:bookmarkEnd w:id="1267"/>
    </w:p>
    <w:p>
      <w:pPr>
        <w:pStyle w:val="Heading5"/>
        <w:numPr>
          <w:ilvl w:val="4"/>
          <w:numId w:val="1"/>
        </w:numPr>
        <w:rPr/>
      </w:pPr>
      <w:bookmarkStart w:id="1268" w:name="__RefHeading___Toc1366855_388300464"/>
      <w:bookmarkStart w:id="1269" w:name="_Toc502"/>
      <w:bookmarkEnd w:id="1268"/>
      <w:r>
        <w:rPr>
          <w:rtl w:val="true"/>
        </w:rPr>
        <w:t>الابتلاء سنّة من سنن اللّه في عباده</w:t>
      </w:r>
      <w:bookmarkEnd w:id="1269"/>
    </w:p>
    <w:p>
      <w:pPr>
        <w:pStyle w:val="BookText"/>
        <w:rPr/>
      </w:pPr>
      <w:r>
        <w:rPr>
          <w:rFonts w:ascii="Amiri" w:hAnsi="Amiri" w:eastAsia="Amiri" w:cs="Amiri"/>
          <w:color w:val="111111"/>
          <w:sz w:val="28"/>
          <w:sz w:val="28"/>
          <w:szCs w:val="28"/>
          <w:rtl w:val="true"/>
          <w:lang w:bidi="ar-SA"/>
        </w:rPr>
        <w:t>جرت سنّة اللّه تعالى على اختبار عباده في مواضع حسّاسة ليتميّز المطيع عن العاصي والطيّب من الخبيث، وقد أشار سبحانه في الذكر الحكيم إلى مواضع من الاختبار،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فقد أمر سبحانه طالوت أن يختبر جيشه في الصبر على العطش مع التمكّن من الماء حتى يتميّز الصامد أمام العدو عن المدبر أمامه، وليس هذا هو الموضع الوحيد لاختباره سبحانه بعض عباده، فقد اختبر جمعاً من بني إسرائيل الذين كانوا يسكنون على ساحل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فصار القوم طوائف ثلاثة فمن مقترف عاصٍ لنهي اللّه سبحانه، ومن آمر بالمعروف وناهٍ عن المنكر، وإلى طائفة ثالثة لم يشاركوا القوم في الصيد ولكن سكتوا عن الأمر بالمعروف والنهي عن المنكر، فعمّ عذاب اللّه العصاة والتاركين للأمر بالمعروف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وآيتنا هذه تكشف أنّه سبحانه اختبر أصحاب النبي صلى الله عليه و آله و سلم في ظروف</w:t>
      </w:r>
    </w:p>
    <w:p>
      <w:pPr>
        <w:pStyle w:val="BookText"/>
        <w:rPr/>
      </w:pPr>
      <w:r>
        <w:rPr>
          <w:rFonts w:ascii="Amiri" w:hAnsi="Amiri" w:eastAsia="Amiri" w:cs="Amiri"/>
          <w:color w:val="111111"/>
          <w:sz w:val="28"/>
          <w:sz w:val="28"/>
          <w:szCs w:val="28"/>
          <w:rtl w:val="true"/>
          <w:lang w:bidi="ar-SA"/>
        </w:rPr>
        <w:t>خاصّة كان الصيد في متناول أيديهم كما سيأتي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وإن وردت في الحديبية، لكن الابتلاء مستمر إلى يوم القيامة، فاللّه سبحانه حرّم الاصطياد لطائفتين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الاصطياد في الحرم وإن كان الصائد غير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الاصطياد محرماً داخل الحرم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النهي عن الاصطياد إنّما هو لأجل المحافظة على البيئة، حيث إنّ هذا العدد الكبير من الحجاج الذين يتوافدون على مكّة المكرمة لو أبيح لهم الصيد، لانقرضت هذه الحيوانات من تلك المناطق ممّا يسبب خللاً في التوازن الطبيعي الذي أودعه سبحانه الأرض، 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تخاطب الآية المؤمنين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عام للمؤمن والكافر، خُصّ المؤمنون بالذكر لأنّهم المهتمّون بالعمل بهذا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يُقسم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سبحانه يبتلي المؤمنين كما مرّ في حالتين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كانوا في الحرم وإن لم يكونوا محرمين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كانوا محرمين وإن لم يكونوا في الحرم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مشيراً إلى صيد البر دون البحر، ويمكن أن يكون لتبيين الجنس، والأوّل أظهر حسب سياق الآية، وسيأتي جواز صيد البحر للمحرم في الآية التالية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فاللّه سبحانه يُقسم بأنّه يمتحنكم بشيء من الصيد أو بجنس الصيد، ثمّ يصف الصيد بشيء يعرب عن أنّه يريد 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 وَ 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بالأوّل فراخ الطير وصغار الوحش والبيض التي يمكن أن يُصاد</w:t>
      </w:r>
      <w:bookmarkStart w:id="1270" w:name="pg14912_141538"/>
    </w:p>
    <w:p>
      <w:pPr>
        <w:pStyle w:val="BookText"/>
        <w:rPr/>
      </w:pPr>
      <w:bookmarkEnd w:id="1270"/>
      <w:r>
        <w:rPr>
          <w:rFonts w:ascii="Amiri" w:hAnsi="Amiri" w:eastAsia="Amiri" w:cs="Amiri"/>
          <w:color w:val="111111"/>
          <w:sz w:val="28"/>
          <w:sz w:val="28"/>
          <w:szCs w:val="28"/>
          <w:rtl w:val="true"/>
          <w:lang w:bidi="ar-SA"/>
        </w:rPr>
        <w:t>بلا آلة، وأُريد من الثاني الكبار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محمد بن يحيى، عن أحمد بن محمد رفعه عن أبي عبد اللّه عليه السلام في تفسير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 وَ 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تناله الأيدي البيض والفراخ، وما تناله الرماح فهو ما لا تصل إليه الأيدي</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وروى العياشي في تفسيره عن حريز،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يتصدّق به بمكّة ومنى‌، وهو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الكبار</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فالأقرب ما في هاتين الروايتين، وأمّا سائر الاحتمالات فلا دليل عليه</w:t>
      </w:r>
      <w:r>
        <w:rPr>
          <w:rFonts w:eastAsia="Amiri" w:cs="Amiri" w:ascii="Amiri" w:hAnsi="Amiri"/>
          <w:color w:val="111111"/>
          <w:sz w:val="28"/>
          <w:szCs w:val="28"/>
          <w:rtl w:val="true"/>
          <w:lang w:bidi="ar-SA"/>
        </w:rPr>
        <w:t>.</w:t>
      </w:r>
      <w:r>
        <w:rPr>
          <w:rStyle w:val="FootnoteAnchor"/>
          <w:rtl w:val="true"/>
        </w:rPr>
        <w:footnoteReference w:id="853"/>
      </w:r>
    </w:p>
    <w:p>
      <w:pPr>
        <w:pStyle w:val="Heading5"/>
        <w:numPr>
          <w:ilvl w:val="4"/>
          <w:numId w:val="1"/>
        </w:numPr>
        <w:rPr/>
      </w:pPr>
      <w:bookmarkStart w:id="1271" w:name="__RefHeading___Toc1366857_388300464"/>
      <w:bookmarkStart w:id="1272" w:name="_Toc503"/>
      <w:bookmarkEnd w:id="1271"/>
      <w:r>
        <w:rPr>
          <w:rtl w:val="true"/>
        </w:rPr>
        <w:t>ما هي الغاية من ابتلاء العباد؟</w:t>
      </w:r>
      <w:bookmarkEnd w:id="12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ليعلم اللّه من هذا الطريق مَن يخافه ويتميّز عمّن لا يخافه، فالمراد من العلم كما ذكرنا هو تميّز الخائف من اللّه عن غيره، وأُريد من العلم علمه الفعلي لا علمه الذاتي، واللّه سبحانه عالم بالأنفس قبل أن يخلقها وبعد أن خلقها، قبل أن يصيد وبعد أن يصيد، وإنّما الغاية تميّز الخائفين عن غيرهم،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 وَ يَجْعَلَ اَلْخَبِيثَ بَعْضَهُ عَلى بَعْضٍ فَيَرْكُمَهُ جَمِيعاً فَيَجْعَلَهُ فِي</w:t>
      </w:r>
      <w:bookmarkStart w:id="1273" w:name="pg14912_141539"/>
    </w:p>
    <w:p>
      <w:pPr>
        <w:pStyle w:val="BookText"/>
        <w:rPr/>
      </w:pPr>
      <w:bookmarkEnd w:id="1273"/>
      <w:r>
        <w:rPr>
          <w:rFonts w:ascii="Amiri" w:hAnsi="Amiri" w:eastAsia="Amiri" w:cs="Amiri"/>
          <w:color w:val="111111"/>
          <w:sz w:val="28"/>
          <w:sz w:val="28"/>
          <w:szCs w:val="28"/>
          <w:rtl w:val="true"/>
          <w:lang w:bidi="ar-SA"/>
        </w:rPr>
        <w:t>جَهَنَّمَ أُولئِكَ هُمُ اَلْخاسِرُونَ‌</w:t>
      </w:r>
      <w:r>
        <w:rPr>
          <w:rFonts w:eastAsia="Amiri" w:cs="Amiri" w:ascii="Amiri" w:hAnsi="Amiri"/>
          <w:color w:val="111111"/>
          <w:sz w:val="28"/>
          <w:szCs w:val="28"/>
          <w:rtl w:val="true"/>
          <w:lang w:bidi="ar-SA"/>
        </w:rPr>
        <w:t>) .</w:t>
      </w:r>
      <w:r>
        <w:rPr>
          <w:rStyle w:val="FootnoteAnchor"/>
          <w:rtl w:val="true"/>
        </w:rPr>
        <w:footnoteReference w:id="854"/>
      </w:r>
      <w:r>
        <w:rPr>
          <w:rFonts w:ascii="Amiri" w:hAnsi="Amiri" w:eastAsia="Amiri" w:cs="Amiri"/>
          <w:color w:val="111111"/>
          <w:sz w:val="28"/>
          <w:sz w:val="28"/>
          <w:szCs w:val="28"/>
          <w:rtl w:val="true"/>
          <w:lang w:bidi="ar-SA"/>
        </w:rPr>
        <w:t>وقد ذكر الإمام علي عليه السلام معنى اختبار اللّه سبحانه، قال عليه السلام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وَمَعْنَى ذلِكَ أَنَّهُ يَخْتَبِرُهُمْ بِالْأَمْوَالِ وَالْأَوْلَادِ لِيَتَبَيَّنَ السَّاخِطَ لِرِزْقِهِ‌، وَ الرَّاضِيَ بِقِسْمِهِ‌، وَإِنْ كَانَ سُبْحانَهُ أَعْلَمَ بِهِمْ مِنْ أَنْفُسِهِمْ‌، وَلكِنْ لِتَظْهَرَ الْأَفْعَالُ الَّتِي بِهَا يُسْتَحَقُّ الثَّوَابُ وَالْعِقَابُ‌؛ لِأَنَّ بَعْضَهُمْ يُحِبُّ الذُّكُورَ وَيَكْرَهُ الْإِنَاثَ‌، وَبَعْضَهُمْ يُحِبُّ تَثْمِيرَ الْمَالِ‌، وَيَكْرَهُ انْثِلَامَ الْحَالِ‌</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وعلى كلّ تقدير إنّه سبحانه يبلو المؤمنين ويختبرهم ليتميّز مطيعهم من عاصيهم، وقد مرّ أنّ اللّه ابتلى قوم موسى بتحريم صيد السمك يوم السبت، ثمّ إنّه كان يجيئهم ذلك اليوم حتى يدخل بيوتهم، فإذا خرج السبت لم يبق منه شيء، وكما ابتلى قوم طالوت بالنهر</w:t>
      </w:r>
      <w:r>
        <w:rPr>
          <w:rFonts w:eastAsia="Amiri" w:cs="Amiri" w:ascii="Amiri" w:hAnsi="Amiri"/>
          <w:color w:val="111111"/>
          <w:sz w:val="28"/>
          <w:szCs w:val="28"/>
          <w:rtl w:val="true"/>
          <w:lang w:bidi="ar-SA"/>
        </w:rPr>
        <w:t>.</w:t>
      </w:r>
      <w:r>
        <w:rPr>
          <w:rStyle w:val="FootnoteAnchor"/>
          <w:rtl w:val="true"/>
        </w:rPr>
        <w:footnoteReference w:id="857"/>
      </w:r>
    </w:p>
    <w:p>
      <w:pPr>
        <w:pStyle w:val="Heading5"/>
        <w:numPr>
          <w:ilvl w:val="4"/>
          <w:numId w:val="1"/>
        </w:numPr>
        <w:rPr/>
      </w:pPr>
      <w:bookmarkStart w:id="1274" w:name="__RefHeading___Toc1366859_388300464"/>
      <w:bookmarkStart w:id="1275" w:name="_Toc504"/>
      <w:bookmarkEnd w:id="1274"/>
      <w:r>
        <w:rPr>
          <w:rtl w:val="true"/>
        </w:rPr>
        <w:t>ما هو المراد من الخوف بالغيب‌؟</w:t>
      </w:r>
      <w:bookmarkEnd w:id="1275"/>
    </w:p>
    <w:p>
      <w:pPr>
        <w:pStyle w:val="BookText"/>
        <w:rPr/>
      </w:pPr>
      <w:r>
        <w:rPr>
          <w:rFonts w:ascii="Amiri" w:hAnsi="Amiri" w:eastAsia="Amiri" w:cs="Amiri"/>
          <w:color w:val="111111"/>
          <w:sz w:val="28"/>
          <w:sz w:val="28"/>
          <w:szCs w:val="28"/>
          <w:rtl w:val="true"/>
          <w:lang w:bidi="ar-SA"/>
        </w:rPr>
        <w:t>وأمّا ما هو المراد من الخوف بالغيب‌؟ فقد فسّره الطبري بأنّ معناه في الدنيا حيث لا يرى العبد ربّه فهو غائب عنه</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وفسّره ابن عطية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من الناس، أي في الخلوة، فمَن خاف اللّه انتهى عن الصيد من ذات نفسه</w:t>
      </w:r>
      <w:r>
        <w:rPr>
          <w:rFonts w:eastAsia="Amiri" w:cs="Amiri" w:ascii="Amiri" w:hAnsi="Amiri"/>
          <w:color w:val="111111"/>
          <w:sz w:val="28"/>
          <w:szCs w:val="28"/>
          <w:rtl w:val="true"/>
          <w:lang w:bidi="ar-SA"/>
        </w:rPr>
        <w:t>.</w:t>
      </w:r>
      <w:r>
        <w:rPr>
          <w:rStyle w:val="FootnoteAnchor"/>
          <w:rtl w:val="true"/>
        </w:rPr>
        <w:footnoteReference w:id="859"/>
      </w:r>
      <w:bookmarkStart w:id="1276" w:name="pg14912_141540"/>
    </w:p>
    <w:p>
      <w:pPr>
        <w:pStyle w:val="BookText"/>
        <w:rPr/>
      </w:pPr>
      <w:bookmarkEnd w:id="1276"/>
      <w:r>
        <w:rPr>
          <w:rFonts w:ascii="Amiri" w:hAnsi="Amiri" w:eastAsia="Amiri" w:cs="Amiri"/>
          <w:color w:val="111111"/>
          <w:sz w:val="28"/>
          <w:sz w:val="28"/>
          <w:szCs w:val="28"/>
          <w:rtl w:val="true"/>
          <w:lang w:bidi="ar-SA"/>
        </w:rPr>
        <w:t>وفسّره السيد الطباطبائي بما يرجع إلى ما ذكره الطبري لكن بنحو مستدل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الخوف بالغيب، أن يخاف الإنسان ربّه ويحترز ممّا ينذره به من عذاب الآخرة، وأليم عقابه، وكلّ ذلك في غيب من الإنسان لا يشاهد شيئاً منه بظاهر مشاعره،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 خَشِيَ اَلرَّحْمنَ بِالْغَيْبِ‌</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وَ هُمْ مِنَ اَلسّاعَةِ مُشْفِقُونَ‌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 ما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عقاب شديد في الآخرة، بما اجترأ على الحرم بل على الإحرام؛ لأنّ الموضوع هو القتل محرماً فيعمّ الحرم وغير الحرم، وبذلك يُعلم أنّ آيتنا هذه جاءت كالتقديم للآية التالية</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366861_388300464"/>
      <w:bookmarkStart w:id="1278" w:name="_Toc505"/>
      <w:bookmarkEnd w:id="1277"/>
      <w:r>
        <w:rPr>
          <w:rtl w:val="true"/>
        </w:rPr>
        <w:t>الآية الثانية</w:t>
      </w:r>
      <w:bookmarkEnd w:id="1278"/>
    </w:p>
    <w:p>
      <w:pPr>
        <w:pStyle w:val="Heading5"/>
        <w:numPr>
          <w:ilvl w:val="4"/>
          <w:numId w:val="1"/>
        </w:numPr>
        <w:rPr/>
      </w:pPr>
      <w:bookmarkStart w:id="1279" w:name="__RefHeading___Toc1366863_388300464"/>
      <w:bookmarkStart w:id="1280" w:name="_Toc506"/>
      <w:bookmarkEnd w:id="1279"/>
      <w:r>
        <w:rPr>
          <w:rtl w:val="true"/>
        </w:rPr>
        <w:t>اشارة</w:t>
      </w:r>
      <w:bookmarkEnd w:id="128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w:t>
      </w:r>
      <w:bookmarkStart w:id="1281" w:name="pg14912_141541"/>
    </w:p>
    <w:p>
      <w:pPr>
        <w:pStyle w:val="BookText"/>
        <w:rPr/>
      </w:pPr>
      <w:bookmarkEnd w:id="1281"/>
      <w:r>
        <w:rPr>
          <w:rFonts w:ascii="Amiri" w:hAnsi="Amiri" w:eastAsia="Amiri" w:cs="Amiri"/>
          <w:color w:val="111111"/>
          <w:sz w:val="28"/>
          <w:sz w:val="28"/>
          <w:szCs w:val="28"/>
          <w:rtl w:val="true"/>
          <w:lang w:bidi="ar-SA"/>
        </w:rPr>
        <w:t>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 .</w:t>
      </w:r>
      <w:r>
        <w:rPr>
          <w:rStyle w:val="FootnoteAnchor"/>
          <w:rtl w:val="true"/>
        </w:rPr>
        <w:footnoteReference w:id="864"/>
      </w:r>
    </w:p>
    <w:p>
      <w:pPr>
        <w:pStyle w:val="Heading5"/>
        <w:numPr>
          <w:ilvl w:val="4"/>
          <w:numId w:val="1"/>
        </w:numPr>
        <w:rPr/>
      </w:pPr>
      <w:bookmarkStart w:id="1282" w:name="__RefHeading___Toc1366865_388300464"/>
      <w:bookmarkStart w:id="1283" w:name="_Toc507"/>
      <w:bookmarkEnd w:id="1282"/>
      <w:r>
        <w:rPr>
          <w:rtl w:val="true"/>
        </w:rPr>
        <w:t>المفردات</w:t>
      </w:r>
      <w:bookmarkEnd w:id="1283"/>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ورجل حرام ومحرم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الحلال والمُحلّ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والبقر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 والمعادل للشيء، إمّا حسّاً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الوبل، الشيء الثقيل، والوابل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الغزير</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366867_388300464"/>
      <w:bookmarkStart w:id="1285" w:name="_Toc508"/>
      <w:bookmarkEnd w:id="1284"/>
      <w:r>
        <w:rPr>
          <w:rtl w:val="true"/>
        </w:rPr>
        <w:t>التفسير</w:t>
      </w:r>
      <w:bookmarkEnd w:id="1285"/>
    </w:p>
    <w:p>
      <w:pPr>
        <w:pStyle w:val="Heading5"/>
        <w:numPr>
          <w:ilvl w:val="4"/>
          <w:numId w:val="1"/>
        </w:numPr>
        <w:rPr/>
      </w:pPr>
      <w:bookmarkStart w:id="1286" w:name="__RefHeading___Toc1366869_388300464"/>
      <w:bookmarkStart w:id="1287" w:name="_Toc509"/>
      <w:bookmarkEnd w:id="1286"/>
      <w:r>
        <w:rPr>
          <w:rtl w:val="true"/>
        </w:rPr>
        <w:t>حرمة قتل الصيد وكفّارته</w:t>
      </w:r>
      <w:bookmarkEnd w:id="1287"/>
    </w:p>
    <w:p>
      <w:pPr>
        <w:pStyle w:val="BookText"/>
        <w:rPr/>
      </w:pPr>
      <w:r>
        <w:rPr>
          <w:rFonts w:ascii="Amiri" w:hAnsi="Amiri" w:eastAsia="Amiri" w:cs="Amiri"/>
          <w:color w:val="111111"/>
          <w:sz w:val="28"/>
          <w:sz w:val="28"/>
          <w:szCs w:val="28"/>
          <w:rtl w:val="true"/>
          <w:lang w:bidi="ar-SA"/>
        </w:rPr>
        <w:t>هذه الآية تتضمّن بيان عدة 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قتل الصيد على المحرم أمّا اصطياده فإنّه يأتي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فالفقرة مطلقة تعمّ المحرم للحج وللعمرة، كانا في أرض الحرم أو خارجه، وقد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المحرم على وجه الإطلاق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الصيد، الوحش كلّه أُكل أو لم يؤكل، وهو قول أهل العراق</w:t>
      </w:r>
    </w:p>
    <w:p>
      <w:pPr>
        <w:pStyle w:val="BookText"/>
        <w:rPr/>
      </w:pPr>
      <w:r>
        <w:rPr>
          <w:rFonts w:ascii="Amiri" w:hAnsi="Amiri" w:eastAsia="Amiri" w:cs="Amiri"/>
          <w:color w:val="111111"/>
          <w:sz w:val="28"/>
          <w:sz w:val="28"/>
          <w:szCs w:val="28"/>
          <w:rtl w:val="true"/>
          <w:lang w:bidi="ar-SA"/>
        </w:rPr>
        <w:t>واستدلّوا بما ينسب إلى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 الملوك أرانب وثعالب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ركبتُ فصيدي الأبطال</w:t>
      </w:r>
    </w:p>
    <w:p>
      <w:pPr>
        <w:pStyle w:val="BookText"/>
        <w:rPr/>
      </w:pPr>
      <w:r>
        <w:rPr>
          <w:rFonts w:ascii="Amiri" w:hAnsi="Amiri" w:eastAsia="Amiri" w:cs="Amiri"/>
          <w:color w:val="111111"/>
          <w:sz w:val="28"/>
          <w:sz w:val="28"/>
          <w:szCs w:val="28"/>
          <w:rtl w:val="true"/>
          <w:lang w:bidi="ar-SA"/>
        </w:rPr>
        <w:t>وخصّه الشافعي بكلّ ما يؤكل من الصيد، وإطلاق الصيد أوّلاً وإضافته إلى الأرانب والثعالب ثانياً، يدلّ على القول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كفارة المتعمّد لقتل الصيد 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حيواناً مماثلاً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الحيوان المماثل ويشتري بقيمته طعاماً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يلاحظ مقدار الطعام الذي يمكن اشتراءه بقيمة الحيوان المماثل، ثم يصوم أيّاماً بعدد المساكين الذين يمكن إطعامهم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هو مجمل ما ذكرته الآية حول كفّارة المتعمّد، وسيوافيك أنّها لا تختصّ بالمتعمّد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للمؤمنين مع أنّ التشريع عام يعمّهم وغيرهم، وذلك لأنّ المؤمن هو المهتم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وأنتم مُحرمون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فعليه جزاء،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مماثل لما قتله في الخلقة والصورة، ففي النعامة بدنة، وفي حمار الوحش وشبهه بقرة، وفي الظبي والإرنب شاة،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w:t>
      </w:r>
    </w:p>
    <w:p>
      <w:pPr>
        <w:pStyle w:val="BookText"/>
        <w:rPr/>
      </w:pPr>
      <w:r>
        <w:rPr>
          <w:rFonts w:ascii="Amiri" w:hAnsi="Amiri" w:eastAsia="Amiri" w:cs="Amiri"/>
          <w:color w:val="111111"/>
          <w:sz w:val="28"/>
          <w:sz w:val="28"/>
          <w:szCs w:val="28"/>
          <w:rtl w:val="true"/>
          <w:lang w:bidi="ar-SA"/>
        </w:rPr>
        <w:t>البيت عليهم السلام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أمّا الأخير فقد روي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أرنباً أو ثعلباً؟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الإرنب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حديث أبي جعفر الجواد عليه السلام أكثر تفصيلاً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ثمّ إنّ الآية تخص الكفارة بالمتعمّد، أي مَن قصد الصيد، سواء أكان ذاكراً لكونه محرماً أم ناسياً، فإنّ المتعمّد في مقابل الخاطئ، كما إذا قصد غير حيوان فصادف قتل الصيد فهو خارج عن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فتجب الكفّارة في غير العمد أيضاً، وإنّما قُيّد القتل بالعمد في الآية؛ لأنّ سبب نزولها في من تعمّد</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أو لأنّ الأصل فعل المتعمّد وألحق به الخطاء للتغليظ،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وَبالَ أَمْرِهِ عَفَا اَللّهُ عَمّا سَلَفَ وَ مَنْ عادَ فَيَنْتَقِمُ اَللّهُ مِنْهُ‌</w:t>
      </w:r>
      <w:r>
        <w:rPr>
          <w:rFonts w:eastAsia="Amiri" w:cs="Amiri" w:ascii="Amiri" w:hAnsi="Amiri"/>
          <w:color w:val="111111"/>
          <w:sz w:val="28"/>
          <w:szCs w:val="28"/>
          <w:rtl w:val="true"/>
          <w:lang w:bidi="ar-SA"/>
        </w:rPr>
        <w:t>)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وقد ثبت في الفقه أنّ الكفّارة في عامّة محرّمات الإحرام تختصّ بالعمد، إلّا الصيد فإنّه يجب في كلتا الحالتين، والتفصيل في المصادر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يرجع في تعيين المماثل إلى رجلين صالحين فيؤخذ بحكمهما في الأشبه،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تعيّن الأشبه فيذبح في مكّة المكرّمة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يهديه هدياً يبلغ الكعبة،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في الحرم بفناء الكعبة في الحزورة وتصدّق به هناك، وإن كان في إحرام الحجّ ذبح بمنى وتصدّق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الحزورة،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كان به سوق مكّة بين الصفا والمروة قريب من موضع النخاسين معروف ويؤيّده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المنحر ما بين الصفا والمروة وهي الحزورة</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وأمّا الآن فالذبح هناك غير ممكن فيذبح الأقرب فالأقرب إلى مكّة، وإلّا فبمنى‌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 أن يقوّم عدله من النعم ثم يشتري بقيمته طعاماً يتصدّق به على المساكين،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كَفّارَةٌ 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أن يصوم أياماً بعدد المساكين الذين يمكن إطعامهم، وإليه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هو مقدار الطعام لكلّ مسكين فهل هو المدّان أو المدّ الواحد؟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فظاهر الآية التخيير بين الأُمور الثلاثة، وتؤيّده السنّة؛ فقد روي عن أحد الصادقين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 يختار ما شاء</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الأصحاب الترتيب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نعامة كان عليه بدنة، فإن عجز قوّمت البدنة ثم يجعل قيمته طعاماً يتصدّق به ستين مسكيناً لكلّ مسكين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صاع، فلو لم يف بالستين كفاه، ولو زاد لم يلزمه الزائد وكان له، فإن عجز عن الإطعام صام عن كلّ مسكين يوماً</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فالأخذ بالترتيب أحوط لحصول تيقّن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مقدار ما يطعم به المسكين فهل الميزان هو المدّان كما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الجزاء الذي هو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 ثمنها على الأوسط ممّا يطعمون وهو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لكلّ مسكين، مدٌّ</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ولكلّ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فيدلّ عليه صحيح أبو عبيدة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قوّمت الدراهم طعاماً لكلّ مسكين نصف صاع، فإن لم يقدر على الطعام صام لكلّ نصف صاعٍ يوماً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فالميزان ما يُشترى بما قوّم من الطعام، ويقسط على كلّ مسكين نصف صاع، سواء أنقص من الستين أو زاد، وإذا أراد الصيام إنّما يصوم حسب ما يمكن إطعامه بما قوّم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فيدلّ عليه مرسلة العياشي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أن يقوم فيشتري به طعاماً فيطعمه المساكين يطعم كلّ مسكين مدّاً</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288" w:name="pg14912_141546"/>
    </w:p>
    <w:p>
      <w:pPr>
        <w:pStyle w:val="BookText"/>
        <w:rPr/>
      </w:pPr>
      <w:bookmarkEnd w:id="128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يعلّل إيجاب الكفّارة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أوجبنا عليه التكفير بأحد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ليذوق عقوبة أمره وعمله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المؤمنين مَن صاد في الجاهلية أو قبل بيان الحكم، فاللّه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تشريع حرمة الصيد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عمله لا يكفّر بالجزاء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مانع من وجوب الكفّارة عليه، أم لا؟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قال أكثر أصحابنا، وقال الحسن وابن جبير وعامّة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تجب، وبه قال بعض أصحابنا</w:t>
      </w:r>
      <w:r>
        <w:rPr>
          <w:rStyle w:val="FootnoteAnchor"/>
          <w:rtl w:val="true"/>
        </w:rPr>
        <w:footnoteReference w:id="875"/>
      </w:r>
      <w:r>
        <w:rPr>
          <w:rFonts w:ascii="Amiri" w:hAnsi="Amiri" w:eastAsia="Amiri" w:cs="Amiri"/>
          <w:color w:val="111111"/>
          <w:sz w:val="28"/>
          <w:sz w:val="28"/>
          <w:szCs w:val="28"/>
          <w:rtl w:val="true"/>
          <w:lang w:bidi="ar-SA"/>
        </w:rPr>
        <w:t>، لقول الإمام الصادق عليه السلام في صحيحة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كلّما عاد كفّارة</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وهي عامّة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يعلّل انتقامه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ذُو اِنْتِقامٍ‌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ينتقم ممّن تعدّى أمره وحكمه</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366871_388300464"/>
      <w:bookmarkStart w:id="1290" w:name="_Toc510"/>
      <w:bookmarkEnd w:id="1289"/>
      <w:r>
        <w:rPr>
          <w:rtl w:val="true"/>
        </w:rPr>
        <w:t>حرمة الإعانة على الاصطياد</w:t>
      </w:r>
      <w:bookmarkEnd w:id="129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المستفاد من الآية حرمة الاصطياد وذبح المصيد وأكله، لكن المستفاد من الروايات حرمة الإشارة والدلالة والإغلاق، ففي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وأنت حرام، ولا وأنت حلال في الحرم، ولا تدلّنّ عليه مُحِلّاً ولا محرماً فيصطاده، ولا تُشر إليه فيستحلّ من أجلك، فإنّ فيه فداء لمَن تعمّده</w:t>
      </w:r>
      <w:r>
        <w:rPr>
          <w:rFonts w:eastAsia="Amiri" w:cs="Amiri" w:ascii="Amiri" w:hAnsi="Amiri"/>
          <w:color w:val="111111"/>
          <w:sz w:val="28"/>
          <w:szCs w:val="28"/>
          <w:rtl w:val="true"/>
          <w:lang w:bidi="ar-SA"/>
        </w:rPr>
        <w:t>».</w:t>
      </w:r>
      <w:r>
        <w:rPr>
          <w:rStyle w:val="FootnoteAnchor"/>
          <w:rtl w:val="true"/>
        </w:rPr>
        <w:footnoteReference w:id="877"/>
      </w:r>
      <w:bookmarkStart w:id="1291" w:name="pg14912_141547"/>
    </w:p>
    <w:p>
      <w:pPr>
        <w:pStyle w:val="BookText"/>
        <w:rPr/>
      </w:pPr>
      <w:bookmarkEnd w:id="1291"/>
      <w:r>
        <w:rPr>
          <w:rFonts w:ascii="Amiri" w:hAnsi="Amiri" w:eastAsia="Amiri" w:cs="Amiri"/>
          <w:color w:val="111111"/>
          <w:sz w:val="28"/>
          <w:sz w:val="28"/>
          <w:szCs w:val="28"/>
          <w:rtl w:val="true"/>
          <w:lang w:bidi="ar-SA"/>
        </w:rPr>
        <w:t>وعلى هذا يحرم على المحرم مطلقاً مصيد البر، اصطياداً وأكلاً وذبحاً وإشارة ودلالة عليه وإغلاقاً وبيعاً وشراء وتملّكاً وإمساكاً وإغراء للحيوان به</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ثمّ إنّ هنا بحوثاً في صيد المحرم، وقد ذكرنا قسماً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الشريعة الإسلامية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ولصديقنا محمد جواد مغنية كلام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فقهاء المذاهب الكلام في الصيد وكفّاراته، وابتدأوا من صيد النعامة التي تشبه الناقة إلى صيد الجرادة، وفرعوا فروعاً، وافترضوا صوراً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نكتفي بما ذكرناه لعدم الجدوى من التطويل والتمثيل؛ لأنّ الذي يذهب إلى الحرمين الشريفين يذهب ناسكاً زاهداً، لا متنزّهاً صائداً</w:t>
      </w:r>
      <w:r>
        <w:rPr>
          <w:rFonts w:eastAsia="Amiri" w:cs="Amiri" w:ascii="Amiri" w:hAnsi="Amiri"/>
          <w:color w:val="111111"/>
          <w:sz w:val="28"/>
          <w:szCs w:val="28"/>
          <w:rtl w:val="true"/>
          <w:lang w:bidi="ar-SA"/>
        </w:rPr>
        <w:t>.</w:t>
      </w:r>
      <w:r>
        <w:rPr>
          <w:rStyle w:val="FootnoteAnchor"/>
          <w:rtl w:val="true"/>
        </w:rPr>
        <w:footnoteReference w:id="879"/>
      </w:r>
    </w:p>
    <w:p>
      <w:pPr>
        <w:pStyle w:val="Heading4"/>
        <w:numPr>
          <w:ilvl w:val="3"/>
          <w:numId w:val="1"/>
        </w:numPr>
        <w:rPr/>
      </w:pPr>
      <w:bookmarkStart w:id="1292" w:name="__RefHeading___Toc1366873_388300464"/>
      <w:bookmarkStart w:id="1293" w:name="_Toc511"/>
      <w:bookmarkEnd w:id="1292"/>
      <w:r>
        <w:rPr>
          <w:rtl w:val="true"/>
        </w:rPr>
        <w:t>الآية</w:t>
      </w:r>
      <w:r>
        <w:rPr>
          <w:rtl w:val="true"/>
        </w:rPr>
        <w:t xml:space="preserve">: </w:t>
      </w:r>
      <w:r>
        <w:rPr>
          <w:rtl w:val="true"/>
        </w:rPr>
        <w:t>الثالثة</w:t>
      </w:r>
      <w:bookmarkEnd w:id="1293"/>
    </w:p>
    <w:p>
      <w:pPr>
        <w:pStyle w:val="Heading5"/>
        <w:numPr>
          <w:ilvl w:val="4"/>
          <w:numId w:val="1"/>
        </w:numPr>
        <w:rPr/>
      </w:pPr>
      <w:bookmarkStart w:id="1294" w:name="__RefHeading___Toc1366875_388300464"/>
      <w:bookmarkStart w:id="1295" w:name="_Toc512"/>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 وَ اِتَّقُوا اَللّهَ اَلَّذِي إِلَيْهِ تُحْشَرُونَ‌</w:t>
      </w:r>
      <w:r>
        <w:rPr>
          <w:rFonts w:eastAsia="Amiri" w:cs="Amiri" w:ascii="Amiri" w:hAnsi="Amiri"/>
          <w:color w:val="111111"/>
          <w:sz w:val="28"/>
          <w:szCs w:val="28"/>
          <w:rtl w:val="true"/>
          <w:lang w:bidi="ar-SA"/>
        </w:rPr>
        <w:t>) .</w:t>
      </w:r>
      <w:r>
        <w:rPr>
          <w:rStyle w:val="FootnoteAnchor"/>
          <w:rtl w:val="true"/>
        </w:rPr>
        <w:footnoteReference w:id="880"/>
      </w:r>
    </w:p>
    <w:p>
      <w:pPr>
        <w:pStyle w:val="Heading5"/>
        <w:numPr>
          <w:ilvl w:val="4"/>
          <w:numId w:val="1"/>
        </w:numPr>
        <w:rPr/>
      </w:pPr>
      <w:bookmarkStart w:id="1296" w:name="__RefHeading___Toc1366877_388300464"/>
      <w:bookmarkStart w:id="1297" w:name="_Toc513"/>
      <w:bookmarkEnd w:id="1296"/>
      <w:r>
        <w:rPr>
          <w:rtl w:val="true"/>
        </w:rPr>
        <w:t>المفردات</w:t>
      </w:r>
      <w:bookmarkEnd w:id="129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w:t>
      </w:r>
      <w:r>
        <w:rPr>
          <w:rFonts w:eastAsia="Amiri" w:cs="Amiri" w:ascii="Amiri" w:hAnsi="Amiri"/>
          <w:color w:val="111111"/>
          <w:sz w:val="28"/>
          <w:szCs w:val="28"/>
          <w:rtl w:val="true"/>
          <w:lang w:bidi="ar-SA"/>
        </w:rPr>
        <w:t>.</w:t>
      </w:r>
      <w:bookmarkStart w:id="1298" w:name="pg14912_141548"/>
    </w:p>
    <w:p>
      <w:pPr>
        <w:pStyle w:val="Heading5"/>
        <w:numPr>
          <w:ilvl w:val="4"/>
          <w:numId w:val="1"/>
        </w:numPr>
        <w:rPr/>
      </w:pPr>
      <w:bookmarkStart w:id="1299" w:name="__RefHeading___Toc1366879_388300464"/>
      <w:bookmarkStart w:id="1300" w:name="_Toc514"/>
      <w:bookmarkEnd w:id="1298"/>
      <w:bookmarkEnd w:id="1299"/>
      <w:r>
        <w:rPr>
          <w:rtl w:val="true"/>
        </w:rPr>
        <w:t>التفسير</w:t>
      </w:r>
      <w:bookmarkEnd w:id="1300"/>
    </w:p>
    <w:p>
      <w:pPr>
        <w:pStyle w:val="BookText"/>
        <w:rPr/>
      </w:pPr>
      <w:r>
        <w:rPr>
          <w:rFonts w:ascii="Amiri" w:hAnsi="Amiri" w:eastAsia="Amiri" w:cs="Amiri"/>
          <w:color w:val="111111"/>
          <w:sz w:val="28"/>
          <w:sz w:val="28"/>
          <w:szCs w:val="28"/>
          <w:rtl w:val="true"/>
          <w:lang w:bidi="ar-SA"/>
        </w:rPr>
        <w:t>المتبادر من الآية أنّه سبحانه أحلّ لكلّ الناس أوّلاً وللمحرم ثانياً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الاصطياد،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وأُريد من الصيد المعنى المصدري بخلاف الآية السابقة فقد أُريد به المصيد،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الكبيرة والأهوار</w:t>
      </w:r>
      <w:r>
        <w:rPr>
          <w:rStyle w:val="FootnoteAnchor"/>
          <w:rtl w:val="true"/>
        </w:rPr>
        <w:footnoteReference w:id="881"/>
      </w:r>
      <w:r>
        <w:rPr>
          <w:rFonts w:ascii="IRNazanin" w:hAnsi="IRNazanin" w:eastAsia="IRNazanin"/>
          <w:color w:val="111111"/>
          <w:sz w:val="28"/>
          <w:sz w:val="28"/>
          <w:szCs w:val="28"/>
          <w:rtl w:val="true"/>
          <w:lang w:bidi="fa-IR"/>
        </w:rPr>
        <w:t>والمستنقعات</w:t>
      </w:r>
      <w:r>
        <w:rPr>
          <w:rStyle w:val="FootnoteAnchor"/>
          <w:rtl w:val="true"/>
        </w:rPr>
        <w:footnoteReference w:id="882"/>
      </w:r>
      <w:r>
        <w:rPr>
          <w:rFonts w:ascii="Amiri" w:hAnsi="Amiri" w:eastAsia="Amiri" w:cs="Amiri"/>
          <w:color w:val="111111"/>
          <w:sz w:val="28"/>
          <w:sz w:val="28"/>
          <w:szCs w:val="28"/>
          <w:rtl w:val="true"/>
          <w:lang w:bidi="ar-SA"/>
        </w:rPr>
        <w:t>،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بالبحر جميع المياه، والعرب تُسمّي النهر بحراً</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أكله وهو يشمل الطري والمُمْلَح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الصيد هو الطريّ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كنز العرفان إلى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يقع الكلام في ما هو الميزان لكون المصيد بحرياً أو برّياً فهنا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يمكن أن يعيش إلّافي الماء كلّه حلال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الطهور ماؤه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ميتته</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هو مذهب الشافعي ومالك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يحل السمك وما له مثلٌ في البرّ يؤكل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إلّاالسمك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الميزان هو ما يتولّد في البحر ويتّخذ لحياته من المواد الموجودة فيه فهو بحري، وصيده صيد البحر، وما ينشأ في البر ويستمد لبقائه من المواد الموجودة في البر فهو برّيّ‌، وعلى ذلك فالطيور المائية من صيد البرّ؛ لأنّها تبيض وتفرّخ حوالي الماء لا فيه وتعيش في البر أكثر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تمتيعاً لانتفاعكم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المسافرين يتزوّدون من السمك طرياً وقديداً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أحلّ الاصطياد من البحر والأكل من طعامه المتّخذ من حيوانه سواء أصاده الإنسان أو شخص آخر، وسواء أكنتم حلّالاً أو محرمين، واللّه سبحانه أحلّ صيد البحر لتمتّع الإنسان المقيم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ذكر صيد البر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عناوين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فالأوّلان حرام للمحرم، بخلاف الثالث</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حفظ ما حرّم اللّه سبحانه من الصيد وغيره فإنّكم ستحشرون إليه يوم القيامة ويحاسبكم</w:t>
      </w:r>
      <w:r>
        <w:rPr>
          <w:rFonts w:eastAsia="Amiri" w:cs="Amiri" w:ascii="Amiri" w:hAnsi="Amiri"/>
          <w:color w:val="111111"/>
          <w:sz w:val="28"/>
          <w:szCs w:val="28"/>
          <w:rtl w:val="true"/>
          <w:lang w:bidi="ar-SA"/>
        </w:rPr>
        <w:t>.</w:t>
      </w:r>
      <w:bookmarkStart w:id="1301" w:name="pg14912_141550"/>
    </w:p>
    <w:p>
      <w:pPr>
        <w:pStyle w:val="BookText"/>
        <w:rPr/>
      </w:pPr>
      <w:bookmarkEnd w:id="1301"/>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302" w:name="__RefHeading___Toc1366881_388300464"/>
      <w:bookmarkStart w:id="1303" w:name="_Toc515"/>
      <w:bookmarkEnd w:id="1302"/>
      <w:r>
        <w:rPr/>
        <w:t>9</w:t>
      </w:r>
      <w:r>
        <w:rPr>
          <w:rtl w:val="true"/>
        </w:rPr>
        <w:t xml:space="preserve">. </w:t>
      </w:r>
      <w:r>
        <w:rPr>
          <w:rtl w:val="true"/>
        </w:rPr>
        <w:t>الأُمور الأربعة التي جُعلت قياماً للناس</w:t>
      </w:r>
      <w:bookmarkEnd w:id="1303"/>
    </w:p>
    <w:p>
      <w:pPr>
        <w:pStyle w:val="Heading4"/>
        <w:numPr>
          <w:ilvl w:val="3"/>
          <w:numId w:val="1"/>
        </w:numPr>
        <w:rPr/>
      </w:pPr>
      <w:bookmarkStart w:id="1304" w:name="__RefHeading___Toc1366883_388300464"/>
      <w:bookmarkStart w:id="1305" w:name="_Toc516"/>
      <w:bookmarkEnd w:id="1304"/>
      <w:r>
        <w:rPr>
          <w:rtl w:val="true"/>
        </w:rPr>
        <w:t>الآيتان</w:t>
      </w:r>
      <w:r>
        <w:rPr>
          <w:rtl w:val="true"/>
        </w:rPr>
        <w:t xml:space="preserve">: </w:t>
      </w:r>
      <w:r>
        <w:rPr>
          <w:rtl w:val="true"/>
        </w:rPr>
        <w:t>الأُولى والثانية</w:t>
      </w:r>
      <w:bookmarkEnd w:id="1305"/>
    </w:p>
    <w:p>
      <w:pPr>
        <w:pStyle w:val="Heading5"/>
        <w:numPr>
          <w:ilvl w:val="4"/>
          <w:numId w:val="1"/>
        </w:numPr>
        <w:rPr/>
      </w:pPr>
      <w:bookmarkStart w:id="1306" w:name="__RefHeading___Toc1366885_388300464"/>
      <w:bookmarkStart w:id="1307" w:name="_Toc517"/>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شَدِيدُ اَلْعِقابِ وَ أَنَّ اَللّهَ غَفُورٌ رَحِيمٌ‌</w:t>
      </w:r>
      <w:r>
        <w:rPr>
          <w:rFonts w:eastAsia="Amiri" w:cs="Amiri" w:ascii="Amiri" w:hAnsi="Amiri"/>
          <w:color w:val="111111"/>
          <w:sz w:val="28"/>
          <w:szCs w:val="28"/>
          <w:rtl w:val="true"/>
          <w:lang w:bidi="ar-SA"/>
        </w:rPr>
        <w:t>) .</w:t>
      </w:r>
      <w:r>
        <w:rPr>
          <w:rStyle w:val="FootnoteAnchor"/>
          <w:rtl w:val="true"/>
        </w:rPr>
        <w:footnoteReference w:id="885"/>
      </w:r>
    </w:p>
    <w:p>
      <w:pPr>
        <w:pStyle w:val="Heading5"/>
        <w:numPr>
          <w:ilvl w:val="4"/>
          <w:numId w:val="1"/>
        </w:numPr>
        <w:rPr/>
      </w:pPr>
      <w:bookmarkStart w:id="1308" w:name="__RefHeading___Toc1366887_388300464"/>
      <w:bookmarkStart w:id="1309" w:name="_Toc518"/>
      <w:bookmarkEnd w:id="1308"/>
      <w:r>
        <w:rPr>
          <w:rtl w:val="true"/>
        </w:rPr>
        <w:t>المفردات</w:t>
      </w:r>
      <w:bookmarkEnd w:id="130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في اللغة هو النتوء في الشيء، ومن مصاديقه الانبوبة الناتئة من القصب، وما نتأ من العظام كما في المفصل، وما نتأ وارتفع من الأعضاء كالثدي، وربما يستعمل في الشرف والمجد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المرتفع ظاهراً وباطناً كالكعبة والغرفة</w:t>
      </w:r>
      <w:r>
        <w:rPr>
          <w:rFonts w:eastAsia="Amiri" w:cs="Amiri" w:ascii="Amiri" w:hAnsi="Amiri"/>
          <w:color w:val="111111"/>
          <w:sz w:val="28"/>
          <w:szCs w:val="28"/>
          <w:rtl w:val="true"/>
          <w:lang w:bidi="ar-SA"/>
        </w:rPr>
        <w:t>.</w:t>
      </w:r>
      <w:r>
        <w:rPr>
          <w:rStyle w:val="FootnoteAnchor"/>
          <w:rtl w:val="true"/>
        </w:rPr>
        <w:footnoteReference w:id="886"/>
      </w:r>
      <w:bookmarkStart w:id="1310" w:name="pg14912_141551"/>
    </w:p>
    <w:p>
      <w:pPr>
        <w:pStyle w:val="BookText"/>
        <w:rPr/>
      </w:pPr>
      <w:bookmarkEnd w:id="1310"/>
      <w:r>
        <w:rPr>
          <w:rFonts w:ascii="Amiri" w:hAnsi="Amiri" w:eastAsia="Amiri" w:cs="Amiri"/>
          <w:color w:val="111111"/>
          <w:sz w:val="28"/>
          <w:sz w:val="28"/>
          <w:szCs w:val="28"/>
          <w:rtl w:val="true"/>
          <w:lang w:bidi="ar-SA"/>
        </w:rPr>
        <w:t xml:space="preserve">وأُطلق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الذي بناه إبراهيم لارتفاعه، وسُمّيت الكعبة كعبة لتربيعها، وإنّما قيل للمربع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لنتوء زواياه الأربع</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قواماً لهم يقوم به معاشهم ومعادهم، وقال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ثابتاً مقوّماً لمعاشهم ومعادهم</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وعلى هذا فيكون معادلاً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وعماداً لحياة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الحرم الأربعة، واحد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ذوالقعدة، وذو الحجّة،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يهدى إلى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ذوات القلائد من الهدي، وهي الأنعام التي كانوا يقلّدونها بشيء إذا ساقوها هدياً وخصّها سبحانه بالذكر لعظم شأنها</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366889_388300464"/>
      <w:bookmarkStart w:id="1312" w:name="_Toc519"/>
      <w:bookmarkEnd w:id="1311"/>
      <w:r>
        <w:rPr>
          <w:rtl w:val="true"/>
        </w:rPr>
        <w:t>التفسير</w:t>
      </w:r>
      <w:bookmarkEnd w:id="1312"/>
    </w:p>
    <w:p>
      <w:pPr>
        <w:pStyle w:val="Heading4"/>
        <w:numPr>
          <w:ilvl w:val="3"/>
          <w:numId w:val="1"/>
        </w:numPr>
        <w:rPr/>
      </w:pPr>
      <w:bookmarkStart w:id="1313" w:name="__RefHeading___Toc1366891_388300464"/>
      <w:bookmarkStart w:id="1314" w:name="_Toc520"/>
      <w:bookmarkEnd w:id="1313"/>
      <w:r>
        <w:rPr>
          <w:rtl w:val="true"/>
        </w:rPr>
        <w:t>كون الكعبة قياماً للناس</w:t>
      </w:r>
      <w:bookmarkEnd w:id="1314"/>
    </w:p>
    <w:p>
      <w:pPr>
        <w:pStyle w:val="BookText"/>
        <w:rPr/>
      </w:pPr>
      <w:r>
        <w:rPr>
          <w:rFonts w:ascii="Amiri" w:hAnsi="Amiri" w:eastAsia="Amiri" w:cs="Amiri"/>
          <w:color w:val="111111"/>
          <w:sz w:val="28"/>
          <w:sz w:val="28"/>
          <w:szCs w:val="28"/>
          <w:rtl w:val="true"/>
          <w:lang w:bidi="ar-SA"/>
        </w:rPr>
        <w:t>إنّه سبحانه أشار في الآية إلى تكريم البيت وما يمتّ له بصلّة، وعرّف الكعبة، بكونها قواماً للناس، فدلّ ذلك على أنّ تحريم الصيد في الحرم وعلى المحرم لأجل تكريم البيت وتعظيمه، ولولاه لما تعرّض سبحانه لحكم الوحوش في بقعة خاصّة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 وَ اَلشَّهْرَ اَلْحَرامَ‌</w:t>
      </w:r>
    </w:p>
    <w:p>
      <w:pPr>
        <w:pStyle w:val="BookText"/>
        <w:rPr/>
      </w:pPr>
      <w:r>
        <w:rPr>
          <w:rFonts w:ascii="Amiri" w:hAnsi="Amiri" w:eastAsia="Amiri" w:cs="Amiri"/>
          <w:color w:val="111111"/>
          <w:sz w:val="28"/>
          <w:sz w:val="28"/>
          <w:szCs w:val="28"/>
          <w:rtl w:val="true"/>
          <w:lang w:bidi="ar-SA"/>
        </w:rPr>
        <w:t>وَ اَلْهَدْيَ وَ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سبحانه أنّه جعل الأُمور الأربعة قياماً للناس تقوم بها حياتهم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 وصفها بالبيت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القلائد، يقلّد بها البعير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فالجميع يُعدّ قياماً للناس أي قواماً لمعاشهم وحياتهم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فالبيت الحرام بدل من الكعبة، والشهر الحرام والهدي والقلائد كلّها عطف على الكعبة، ومعنى الآية أنّ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الأُمور الأربعة قواماً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الكعبة المعبّر عنها بالبيت الحرام، والشهر الحرام، وهي الشهور الأربعة، والهدي أي الحيوان المُهدى إلى البيت، والقلائد وهو الهدي المقلّد بشيء يدلّ على أنّه أُهدي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يقع الكلام كيف يمكن عدّ هذه الأُمور الأربعة قياماً للناس‌؟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الكعبة قياماً للناس، فإن أُريد به بعض الناس أي القاطنين منها، فيكون إشارة إلى أنّها قوام المعيشة؛ لأنّ مكة بلدة ميّتة لا ضرع فيها ولا زرع، وقلّما يوجد فيها 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جعل الكعبة معظمة في القلوب فيسافرون إليها من كلّ فج عميق ويأتون بكلّ ما يحتاج إليه الناس، وإليه سبحانه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 وَ 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هذا كلّه 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بالناس مَن يسكن مكّة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أُريد به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الكعبة قياماً للناس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عمل اجتماعي وملتقى ثقافي وفي الوقت نفسه مؤتمر سياسي سنوي يجتمع فيه قادة المسلمين فيتشاورون في مهام الأُمور بغية التنسيق والتعاون فيما بينهم ويشير إلى تلك الجوانب الثلاثة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كونه سبباً لقيام الناس بمعنى أنّه لولا حرمة هذا الشهر هلك الناس واستؤصلوا من الجوع والشدّة والحرب، ففي هذه الأشهر الحرم يزول الخوف من الناس عامّة في زيارة البيت الحرام، فهم آمنون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يناسب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الناس ينتفعون بذبحه حيث يفرّق الهدي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القلادة في عنق الهدي آية أنّه للبيت، فلا يتعرّض له الناس ويصل إلى البيت سالماً، وبه يكون قوام المعيشة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علّل ذلك أي جعل الأُمور الأربعة قواماً للناس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 أَنَّ اَللّهَ يَعْلَمُ ما فِي اَلسَّماواتِ وَ ما فِي اَلْأَرْضِ وَ 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كيفية التعليل حيث علّل جعل الأُمور الأربعة قواماً للناس، بعلمه سبحانه لما في السماوات وما في الأرض، وعلمه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الأُمور الأربعة قواماً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أَنَّ اَللّهَ يَعْلَمُ ما فِي اَلسَّماواتِ وَ ما فِي اَلْأَرْضِ وَ أَنَّ اَللّهَ بِكُلِّ شَيْ‌ءٍ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يعلم ما كان عليه العرب في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الخشونة والغلظة والميل إلى النهب والسلب والأنانية والسيادة، فلو بقيت هذه الأُمور في حياتهم لقطع نسل العرب ولم يبق أحدٌ منهم ولحلّ الخراب في البلاد، فلأجل الحدّ من أنانيّتهم وميولهم العدوانية أمرهم بتكريم الكعبة وما يمّت إليها بصلة كالأشهر الحرم حيث حرّم فيها القتل والتعرّض للغير، كما أمر بتكريم القلائد والهدي اللّتان بواسطتهما يتوفّر الطعام لأهل الحرم، فتشريع هذه الأحكام لأجل أن يسود الأمن والأمان على المجتمع العربي، وهو دليل على سعة علم المشرّع وأنّ مَنْ شرّع هذه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فِي اَلسَّماواتِ وَ ما فِي اَلْأَرْضِ وَ 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فتأمين الناس في قطر من الأقطار وزمن من الأزمان في كلّ سنة دليل على سعة علم المشرّع، حيث حطّ بهذا التشريع من أطماعهم الجشعة، لكي يعيش الناس في هذه المجتمعات عيشة أخوية متحابّين متسالمين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أشار في غير واحدة من الآيات إلى أسرار هذا التشريع،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شَيْ‌ءٍ رِزْقاً مِنْ لَدُنّا وَ 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 .</w:t>
      </w:r>
      <w:r>
        <w:rPr>
          <w:rStyle w:val="FootnoteAnchor"/>
          <w:rtl w:val="true"/>
        </w:rPr>
        <w:footnoteReference w:id="89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استجاب اللّه تعالى دعاء إبراهيم الخليل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بَلَداً آمِناً وَ 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صار بتدبير من اللّه سبحانه من بناء الكعبة بيد إبراهيم عليه السلام وتشريع الأشهر الحرم وإيجاب الهدي والقلائد، فلو دلّ على شيء فإنّما يدلّ على سعة علمه سبحانه بأسرار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ختم الآية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بِكُلِّ شَيْ‌ءٍ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يعلم ما كانت عليه العرب في الجزيرة العربية قبل الإسلام من الخشونة فلأجل الحدّ من غلظتهم، حرّم في هذه الأشهر الحرم كلّ تعرّض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ختم الآية الثانية بجملتين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شَدِيدُ اَلْعِقابِ‌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يجزي كلّ صانع بما صنع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تاب وأصلح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قدّم العقاب على الغفران والرحمة، يقول الرازي في سبب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الغفران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أنواع رحمته بعباده، ذكر بعده أنّه شديد العقاب، لأنّ الإيمان لا يتمّ إلّابالرجاء والخوف كما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وزن خوف المؤمن ورجاؤه لاعتدلا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عقيبه ما يدلّ على الرحمة وكونه غفوراً رحيماً، وذلك يدلّ على أنّ جانب الرحمة أغلب</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فيما سبق من الآيات إنّما هو موجّه للعصاة دون المطيعين، فناسب أن يبتدئ كلامه بذكر العقاب وشدّته، ثمّ يتبعه بذكر الغفران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والرحمة كما هو أُسلوب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خصوص الآية على كون رحمته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bookmarkStart w:id="1315" w:name="pg14912_141557"/>
    </w:p>
    <w:p>
      <w:pPr>
        <w:pStyle w:val="BookText"/>
        <w:rPr/>
      </w:pPr>
      <w:bookmarkEnd w:id="1315"/>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316" w:name="__RefHeading___Toc1366893_388300464"/>
      <w:bookmarkStart w:id="1317" w:name="_Toc521"/>
      <w:bookmarkEnd w:id="1316"/>
      <w:r>
        <w:rPr/>
        <w:t>10</w:t>
      </w:r>
      <w:r>
        <w:rPr>
          <w:rtl w:val="true"/>
        </w:rPr>
        <w:t xml:space="preserve">. </w:t>
      </w:r>
      <w:r>
        <w:rPr>
          <w:rtl w:val="true"/>
        </w:rPr>
        <w:t>تكريم شعائر اللّه والشهر الحرام</w:t>
      </w:r>
      <w:bookmarkEnd w:id="1317"/>
    </w:p>
    <w:p>
      <w:pPr>
        <w:pStyle w:val="Heading4"/>
        <w:numPr>
          <w:ilvl w:val="3"/>
          <w:numId w:val="1"/>
        </w:numPr>
        <w:rPr/>
      </w:pPr>
      <w:bookmarkStart w:id="1318" w:name="__RefHeading___Toc1366895_388300464"/>
      <w:bookmarkStart w:id="1319" w:name="_Toc522"/>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 .</w:t>
      </w:r>
      <w:r>
        <w:rPr>
          <w:rStyle w:val="FootnoteAnchor"/>
          <w:rtl w:val="true"/>
        </w:rPr>
        <w:footnoteReference w:id="895"/>
      </w:r>
    </w:p>
    <w:p>
      <w:pPr>
        <w:pStyle w:val="Heading4"/>
        <w:numPr>
          <w:ilvl w:val="3"/>
          <w:numId w:val="1"/>
        </w:numPr>
        <w:rPr/>
      </w:pPr>
      <w:bookmarkStart w:id="1320" w:name="__RefHeading___Toc1366897_388300464"/>
      <w:bookmarkStart w:id="1321" w:name="_Toc523"/>
      <w:bookmarkEnd w:id="1320"/>
      <w:r>
        <w:rPr>
          <w:rtl w:val="true"/>
        </w:rPr>
        <w:t>المفردات</w:t>
      </w:r>
      <w:bookmarkEnd w:id="1321"/>
    </w:p>
    <w:p>
      <w:pPr>
        <w:pStyle w:val="BookText"/>
        <w:rPr/>
      </w:pP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بمعنى العلامة وسيأتي ما هو المراد منها عند التفسير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هديّة، كالجَدْي جمع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كلّ ما يُهدى إلى</w:t>
      </w:r>
    </w:p>
    <w:p>
      <w:pPr>
        <w:pStyle w:val="BookText"/>
        <w:rPr/>
      </w:pPr>
      <w:r>
        <w:rPr>
          <w:rFonts w:ascii="Amiri" w:hAnsi="Amiri" w:eastAsia="Amiri" w:cs="Amiri"/>
          <w:color w:val="111111"/>
          <w:sz w:val="28"/>
          <w:sz w:val="28"/>
          <w:szCs w:val="28"/>
          <w:rtl w:val="true"/>
          <w:lang w:bidi="ar-SA"/>
        </w:rPr>
        <w:t>الكعبة من الأنعام ويذبح هناك،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مكّة والمصلّى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وأعناق الهدي مقلّدات</w:t>
      </w:r>
    </w:p>
    <w:p>
      <w:pPr>
        <w:pStyle w:val="BookText"/>
        <w:rPr/>
      </w:pP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قلادة وهي التي تُشدّ على عنق البعير وغيره، لتكون علامة على أنّه هدية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شنآن، وامرأة شنآنة، وهي كالضربان والسريان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بفعل الخير، وبهذا المعنى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اَلْبَرُّ اَلرَّحِيمُ‌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النفس في وقاية ممّا يُخاف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البطء عن السير،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الآثمة، ويطلق في القرآن على الذنب الذي يبطئ الإنسان عن تكامله، 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والآثام اسم للأفعال المبطئة عن الثواب</w:t>
      </w:r>
      <w:r>
        <w:rPr>
          <w:rStyle w:val="FootnoteAnchor"/>
          <w:rtl w:val="true"/>
        </w:rPr>
        <w:footnoteReference w:id="898"/>
      </w:r>
      <w:r>
        <w:rPr>
          <w:rFonts w:ascii="Amiri" w:hAnsi="Amiri" w:eastAsia="Amiri" w:cs="Amiri"/>
          <w:color w:val="111111"/>
          <w:sz w:val="28"/>
          <w:sz w:val="28"/>
          <w:szCs w:val="28"/>
          <w:rtl w:val="true"/>
          <w:lang w:bidi="ar-SA"/>
        </w:rPr>
        <w:t>، ويقسم إلى كبائر وصغائر،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يَجْتَنِبُونَ كَبائِرَ اَلْإِثْمِ‌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322" w:name="pg14912_141559"/>
    </w:p>
    <w:p>
      <w:pPr>
        <w:pStyle w:val="Heading4"/>
        <w:numPr>
          <w:ilvl w:val="3"/>
          <w:numId w:val="1"/>
        </w:numPr>
        <w:rPr/>
      </w:pPr>
      <w:bookmarkStart w:id="1323" w:name="__RefHeading___Toc1366899_388300464"/>
      <w:bookmarkStart w:id="1324" w:name="_Toc524"/>
      <w:bookmarkEnd w:id="1322"/>
      <w:bookmarkEnd w:id="1323"/>
      <w:r>
        <w:rPr>
          <w:rtl w:val="true"/>
        </w:rPr>
        <w:t>التفسير</w:t>
      </w:r>
      <w:bookmarkEnd w:id="1324"/>
    </w:p>
    <w:p>
      <w:pPr>
        <w:pStyle w:val="BookText"/>
        <w:rPr/>
      </w:pPr>
      <w:r>
        <w:rPr>
          <w:rFonts w:ascii="Amiri" w:hAnsi="Amiri" w:eastAsia="Amiri" w:cs="Amiri"/>
          <w:color w:val="111111"/>
          <w:sz w:val="28"/>
          <w:sz w:val="28"/>
          <w:szCs w:val="28"/>
          <w:rtl w:val="true"/>
          <w:lang w:bidi="ar-SA"/>
        </w:rPr>
        <w:t>إنّ الآية على رغم اختصارها، تشتمل على أحكام مختلفة وتشريعات كثيرة تناهز عشرة تدور بين الأمر و النهي، وإليك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شعائر اللّه تعالى‌؟ فيه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به خصوص البُدن،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يُراد خصوص الصفا والمروة،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الموردين من شعائر اللّه لا أنّها منحصرة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بها المعنى الأعمّ فيشمل أرض منى وعرفات والمشعر الحرام، ويشهد على ذلك ما ورد في سورة الحجّ حيث إنّه تعالى بعد أنّ عدّد أعمال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معالم دين اللّه، والبُدن والقلائد والهدي والصفا والمروة، من مصاديقه، فكلّ حكم من أحكامه سبحانه يُعدّ من علائم دين الإسلام، يجب تعظيمه، أو يستحب استحباباً مؤكّداً وجهان، فالقرآن المجيد، والمساجد الشريفة والكتب الروائية التي اشتملت على أحاديث الرسول</w:t>
      </w:r>
    </w:p>
    <w:p>
      <w:pPr>
        <w:pStyle w:val="BookText"/>
        <w:rPr/>
      </w:pPr>
      <w:r>
        <w:rPr>
          <w:rFonts w:ascii="Amiri" w:hAnsi="Amiri" w:eastAsia="Amiri" w:cs="Amiri"/>
          <w:color w:val="111111"/>
          <w:sz w:val="28"/>
          <w:sz w:val="28"/>
          <w:szCs w:val="28"/>
          <w:rtl w:val="true"/>
          <w:lang w:bidi="ar-SA"/>
        </w:rPr>
        <w:t>الأعظم صلى الله عليه و آله و سلم وصفاته، ومراقد أهل بيته الطاهرين، كلّها من شعائر دين اللّه، يجب تعظيمها، ولو قلنا بالاستحباب المؤكد، يحرم تخريبها وهتك حرمتها، وإهانتها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يحرم تنجيس المساجد وتجب إزالة النجاسة عنها، وكذا يحرم تخريب مراقد الأنبياء وأئمّة أهل البيت عليهم السلام وجعلها معرضاً للإهانة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اَلشَّهْرَ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تحلّوا الشهر الحرام، وهي الشهور الأربعة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ورجب وذا القعدة وذا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بالأخيرين الموصوفين بالحرام،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الحرام، وذو الحجّة الحرام، لأنّ الشهر اسم جنس يفيد العموم، فيراد به تحليل الحرب في بعض هذه الشهور، بتجويز القتال فيه، كما سيوافيك تفصيله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تحلّوا الهدي الذي يُهدى إلى بيت اللّه من الأنعام، وإحلاله المنع من بلوغه إلى محلّه بالسرقة والذبح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اَلْقَلائِدَ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ولا تحلّوا الهدي الذي في عنقه من القلائد، كنعل ونحوه الذي يُعلم أنّه هدي للحج، والنهي عن القلائد كناية عن النهي عن ذوات القلائد، والنهي عنه تخصيص بعد تعميم، لأنّ ذات القلائد من مصاديق الهدي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آمِّينَ اَلْبَيْتَ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القاصدين زيارة البيت الحرام، فلا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تتعرّضوا لأموالهم أو أنفسهم، وأُريد بالبيت الحرام هو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يصف اللّه سبحانه هؤلاء الآمّين البيت الحرام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رَبِّهِمْ وَ رِضْواناً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يأمّون البيت الحرام لإحدى 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وإلى ذلك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الحجّ‌، وإلى ذلك يشير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فالحيلولة بينهم وبين الكعبة أمر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الآية وردت في سورة المائدة التي هي آخر سورة نزلت على النبي صلى الله عليه و آله و سلم فتلك الفقرة تختصّ بغير المشركين، فلا يلزم فيها النسخ، بما ورد في سورة التوبة من قتل المشركين حيثما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مرّ في الآيات السابقة من تحريم الصيد على المُحرمين، جاءت هذه الآية مبيّنة لحدّ الحرمة وهي أنّكم إذا خرجتم عن إحرامكم بالحجّ والعمرة يجوز لكم الاصطياد، وبما أنّ الأمر ورد بعد النهي، فهو يفيد الترخيص والإباحة،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بعد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وهذه قاعدة كلّية، وهي أنّ الأمر بعد النهي أو بعد توهّمه، لا يفيد الوجوب، بل يشير إلى الإباحة أو رفع الحرمة السابقة، والجواز محدّد بغير الحرام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يحملنّكم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أَنْ صَدُّوكُمْ عَنِ اَلْمَسْجِدِ اَلْحَرامِ أَنْ تَعْتَدُوا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الاعتداء عليهم، وهي إشارة إلى منع قريش النبي صلى الله عليه و آله و سلم والمسلمين عن الذهاب إلى مكّة لأداء مناسك العمرة، كما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كَفَرُوا وَ صَدُّوكُمْ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عمل هؤلاء أوجد بغضاً في قلوب المسلمين، حيث منعوهم من مراسم العمرة،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البغض لا يصير سبباً للاعتداء، فلا يحملنّكم بغض هؤلاء على الاعتداء عليهم لأجل أنّهم صدوكم 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 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تَكُونَنَّ عَلَيْهِمْ سَبُعاً ضَارِياً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وقال عليه السلام في وصيته للحسن والحسين عليهما السلام 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لَاأُلْفِيَنَّكُمْ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لَاتَقْتُلُنَّ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إِذَا أَنَا مِتُّ مِنْ ضَرْبَتِهِ هذِهِ‌، فَاضْرِبُوهُ ضَرْبَةً بِضَرْبَةٍ‌، وَلَا تُمَثِّلُوا بِالرَّجُلِ‌،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السورة نزلت بعد فتح مكة، لأنّ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سورة نزلت على رسول اللّه صلى الله عليه و آله و سلم ولم يكن يتوقع صدّ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تنهى عن الاعتداء على القوم الذين اعتدوا على المسلمين في الأزمنة السابقة، وإن صاروا عُزّلاً غير قادرين على الصدّ، فهي من مظاهر العدل الإسلامي وأنّ المسلم يجب أن ينسى العدوان الذي يقع عليه بعد كون المعتدي ضعيفاً غير قادر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يمكن تفسير الفقرة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الطبرسي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عباده بأن يُعين بعضهم بعضاً على البر والتقوى‌، وهو العمل بما أمرهم اللّه تعالى به واتّقاء ما نهاهم عنه</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البرّ تحلية النفس بكلّ فعل يستحسن عند الناس، كما أنّ المراد من التقوى تقوية النفس بما يصدّها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فالفقرة تأمر الناس بأن يساعد بعضهم بعضاً في كلّ عمل من أعمال الخير التي ينتفع بها الناس في دينهم ودنياهم كما تدلّ على أنّ الإنسان يعرف البرّ عن ضدّه، والفعل الحسن عن مخالفه، خلافاً للأشاعرة الذين لا يعترفون بالتحسين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 القرآن ربما يشير إلى نقد ما يتصوّر أنّه 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 وَ اِتَّقُوا اَللّهَ لَعَلَّكُمْ تُفْلِحُونَ‌</w:t>
      </w:r>
      <w:r>
        <w:rPr>
          <w:rFonts w:eastAsia="Amiri" w:cs="Amiri" w:ascii="Amiri" w:hAnsi="Amiri"/>
          <w:color w:val="111111"/>
          <w:sz w:val="28"/>
          <w:szCs w:val="28"/>
          <w:rtl w:val="true"/>
          <w:lang w:bidi="ar-SA"/>
        </w:rPr>
        <w:t>) .</w:t>
      </w:r>
      <w:r>
        <w:rPr>
          <w:rStyle w:val="FootnoteAnchor"/>
          <w:rtl w:val="true"/>
        </w:rPr>
        <w:footnoteReference w:id="90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بصدد نقد ما كانوا عليه في الجاهلية حيث إنّهم يأتون البيوت من ظهورها إذا كانوا محرمين بالحج، ويتصوّرون أنّه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أمر اجتماعي لو كان المسلمون قائمون به عبر التاريخ لصار الوضع 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تقوم به جمعيات البر والإحسان في مختلف بلدان العالم لأجل إيواء من لا بيت له وتأمين حوائج الأيتام والمعوّقين وغير ذلك كلّها من مصاديق التعاون على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سبحانه أن يُعين بعضهم بعضاً على الإثم، كبيع العنب ممّن يعمل خمراً، فتكون النتيجة الإعانة على فعل الحرام كما نهاهم عن ارتكاب ما نهاهم عنه من العدوان، وهو مجاوزة ما حدّ اللّه لعباده في دينهم</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ثمّ إنّ هاتين الفقرتين قاعدتان فقهيتان قد أشبعنا الكلام فيهما في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الإيضاحات السنية للقواعد الفقهية</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قد عرفت معنى الإثم، الذي يبطئ الإنسان عن الثواب، وأمّا العدوان فهو التجاوز عن حدّ الشرع وما يحكم به العقل، أو ما هو سيرة المسلمين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شَدِيدُ اَلْعِقابِ‌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احذروا المعاصي التي نهيتم عنها، فإنّ اللّه شديد العقاب، فإنّ مصير العاصي هو النار التي لا يطفأ حرّها ولا يخمد جمرها، نستعيذ باللّه منها ومن عذابها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25" w:name="pg14912_141565"/>
    </w:p>
    <w:p>
      <w:pPr>
        <w:pStyle w:val="BookText"/>
        <w:rPr/>
      </w:pPr>
      <w:bookmarkEnd w:id="1325"/>
      <w:r>
        <w:rPr>
          <w:rFonts w:ascii="Amiri" w:hAnsi="Amiri" w:eastAsia="Amiri" w:cs="Amiri"/>
          <w:color w:val="111111"/>
          <w:sz w:val="28"/>
          <w:sz w:val="28"/>
          <w:szCs w:val="28"/>
          <w:rtl w:val="true"/>
          <w:lang w:bidi="ar-SA"/>
        </w:rPr>
        <w:t>أحكام الحج</w:t>
      </w:r>
    </w:p>
    <w:p>
      <w:pPr>
        <w:pStyle w:val="Heading3"/>
        <w:numPr>
          <w:ilvl w:val="2"/>
          <w:numId w:val="1"/>
        </w:numPr>
        <w:rPr/>
      </w:pPr>
      <w:bookmarkStart w:id="1326" w:name="__RefHeading___Toc1366901_388300464"/>
      <w:bookmarkStart w:id="1327" w:name="_Toc525"/>
      <w:bookmarkEnd w:id="1326"/>
      <w:r>
        <w:rPr/>
        <w:t>11</w:t>
      </w:r>
      <w:r>
        <w:rPr>
          <w:rtl w:val="true"/>
        </w:rPr>
        <w:t xml:space="preserve">. </w:t>
      </w:r>
      <w:r>
        <w:rPr>
          <w:rtl w:val="true"/>
        </w:rPr>
        <w:t>حكم الصدّ عن سبيل اللّه والمسجد الحرام وتعظيم حرمات اللّه</w:t>
      </w:r>
      <w:bookmarkEnd w:id="1327"/>
    </w:p>
    <w:p>
      <w:pPr>
        <w:pStyle w:val="Heading4"/>
        <w:numPr>
          <w:ilvl w:val="3"/>
          <w:numId w:val="1"/>
        </w:numPr>
        <w:rPr/>
      </w:pPr>
      <w:bookmarkStart w:id="1328" w:name="__RefHeading___Toc1366903_388300464"/>
      <w:bookmarkStart w:id="1329" w:name="_Toc526"/>
      <w:bookmarkEnd w:id="1328"/>
      <w:r>
        <w:rPr>
          <w:rtl w:val="true"/>
        </w:rPr>
        <w:t>الآية الأُولى</w:t>
      </w:r>
      <w:bookmarkEnd w:id="1329"/>
    </w:p>
    <w:p>
      <w:pPr>
        <w:pStyle w:val="Heading5"/>
        <w:numPr>
          <w:ilvl w:val="4"/>
          <w:numId w:val="1"/>
        </w:numPr>
        <w:rPr/>
      </w:pPr>
      <w:bookmarkStart w:id="1330" w:name="__RefHeading___Toc1366905_388300464"/>
      <w:bookmarkStart w:id="1331" w:name="_Toc527"/>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r>
        <w:rPr>
          <w:rStyle w:val="FootnoteAnchor"/>
          <w:rtl w:val="true"/>
        </w:rPr>
        <w:footnoteReference w:id="911"/>
      </w:r>
    </w:p>
    <w:p>
      <w:pPr>
        <w:pStyle w:val="Heading5"/>
        <w:numPr>
          <w:ilvl w:val="4"/>
          <w:numId w:val="1"/>
        </w:numPr>
        <w:rPr/>
      </w:pPr>
      <w:bookmarkStart w:id="1332" w:name="__RefHeading___Toc1366907_388300464"/>
      <w:bookmarkStart w:id="1333" w:name="_Toc528"/>
      <w:bookmarkEnd w:id="1332"/>
      <w:r>
        <w:rPr>
          <w:rtl w:val="true"/>
        </w:rPr>
        <w:t>المفردات</w:t>
      </w:r>
      <w:bookmarkEnd w:id="133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 أي خسروا أو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محذوف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نذيقهم العذاب الأليم</w:t>
      </w:r>
      <w:r>
        <w:rPr>
          <w:rStyle w:val="FootnoteAnchor"/>
          <w:rtl w:val="true"/>
        </w:rPr>
        <w:footnoteReference w:id="912"/>
      </w:r>
      <w:r>
        <w:rPr>
          <w:rFonts w:ascii="Amiri" w:hAnsi="Amiri" w:eastAsia="Amiri" w:cs="Amiri"/>
          <w:color w:val="111111"/>
          <w:sz w:val="28"/>
          <w:sz w:val="28"/>
          <w:szCs w:val="28"/>
          <w:rtl w:val="true"/>
          <w:lang w:bidi="ar-SA"/>
        </w:rPr>
        <w:t>، وقريب منه ما في الكشّاف</w:t>
      </w:r>
      <w:r>
        <w:rPr>
          <w:rFonts w:eastAsia="Amiri" w:cs="Amiri" w:ascii="Amiri" w:hAnsi="Amiri"/>
          <w:color w:val="111111"/>
          <w:sz w:val="28"/>
          <w:szCs w:val="28"/>
          <w:rtl w:val="true"/>
          <w:lang w:bidi="ar-SA"/>
        </w:rPr>
        <w:t>.</w:t>
      </w:r>
      <w:r>
        <w:rPr>
          <w:rStyle w:val="FootnoteAnchor"/>
          <w:rtl w:val="true"/>
        </w:rPr>
        <w:footnoteReference w:id="913"/>
      </w:r>
      <w:bookmarkStart w:id="1334" w:name="pg14912_141566"/>
    </w:p>
    <w:p>
      <w:pPr>
        <w:pStyle w:val="BookText"/>
        <w:rPr/>
      </w:pPr>
      <w:bookmarkEnd w:id="1334"/>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يحتضن البيت الحرام أي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البادي حذفت الياء تبعاً لرسم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الرسم وفقاً للوقف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به القادم إلى مكّة غير مقيم بل طارئاً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القصد والعدول عن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واللفظان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مترادفان</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366909_388300464"/>
      <w:bookmarkStart w:id="1336" w:name="_Toc529"/>
      <w:bookmarkEnd w:id="1335"/>
      <w:r>
        <w:rPr>
          <w:rtl w:val="true"/>
        </w:rPr>
        <w:t>التفسير</w:t>
      </w:r>
      <w:bookmarkEnd w:id="1336"/>
    </w:p>
    <w:p>
      <w:pPr>
        <w:pStyle w:val="BookText"/>
        <w:rPr/>
      </w:pPr>
      <w:r>
        <w:rPr>
          <w:rFonts w:ascii="Amiri" w:hAnsi="Amiri" w:eastAsia="Amiri" w:cs="Amiri"/>
          <w:color w:val="111111"/>
          <w:sz w:val="28"/>
          <w:sz w:val="28"/>
          <w:szCs w:val="28"/>
          <w:rtl w:val="true"/>
          <w:lang w:bidi="ar-SA"/>
        </w:rPr>
        <w:t>الآية تتضمّن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الناس عن سبيل اللّه والمسجد الحرام عمل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من مال عن الحقّ وقصد الظلم في ذاك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يمنعون الناس عن اعتناق الإسلام، وعطف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المراد من المضارع هو الإخبار عن الاستمرار في العمل من غير فرق بين الماضي والحال والاستقبال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يمنعون الناس عن دخول المسجد الحرام لأجل الطواف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جَعَلْناهُ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للمسجد الحرام فقد جعله للناس كافّة كائناً مَن كان، مكّياً كان أو آفاقيّاً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المقيم أو الطارئ الوافد عليه، والإخبار عن التسوية دليل لذم عملهم حيث يجعلون ما شرعه اللّه لعامة الناس خاصّاً لأنفسهم، ولعل الآية</w:t>
      </w:r>
    </w:p>
    <w:p>
      <w:pPr>
        <w:pStyle w:val="BookText"/>
        <w:rPr/>
      </w:pPr>
      <w:r>
        <w:rPr>
          <w:rFonts w:ascii="Amiri" w:hAnsi="Amiri" w:eastAsia="Amiri" w:cs="Amiri"/>
          <w:color w:val="111111"/>
          <w:sz w:val="28"/>
          <w:sz w:val="28"/>
          <w:szCs w:val="28"/>
          <w:rtl w:val="true"/>
          <w:lang w:bidi="ar-SA"/>
        </w:rPr>
        <w:t>نزلت في العهد المكّي، حيث كان المشركون يمنعون مَن أسلم عن دخول المسجد الحرام للنسك والعبادة، كما يحتمل أنّها نزلت في العهد المدني قبل فتح مكّة، حيث كانت القدرة بيد الكافرين فيصدّون الناس عن الإيمان بدين اللّه كما يصدّون مَن أسلم عن إتيان النسك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أراد الظلم فيه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تقدّم أنّ الإلحاد هو الميل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للتأكيد، ومعنى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إلحاداً بظلم أي مائلاً عن الحقّ متلبّساً بظلم، وعلى هذا فالباء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التلبّس به، وعلى هذا فاللّه سبحانه يهدّد مَن عدل عن الحقّ وتلبّس بالظلم في المسجد الحرام الذي هو من أفضل المقامات فاللّه سبحانه يعذبه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مراداً ما، عادلاً عن القصد ظالماً، نذقه من عذاب أليم</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وقد مرّ في قسم المفردات أنّ اللفظين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المراد من العدول عن الحقّ الذي يؤتيه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 عليه الذكر الحكيم، فنلجأ إلى ما ورد في الروايات التي نقلها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إلى الحرم ليشرك به عذّبه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فيه غير اللّه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الأفضل فيه 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تشتمل من الحرام ما حرّم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37" w:name="pg14912_141568"/>
    </w:p>
    <w:p>
      <w:pPr>
        <w:pStyle w:val="BookText"/>
        <w:rPr/>
      </w:pPr>
      <w:bookmarkEnd w:id="1337"/>
      <w:r>
        <w:rPr>
          <w:rFonts w:ascii="Amiri" w:hAnsi="Amiri" w:eastAsia="Amiri" w:cs="Amiri"/>
          <w:color w:val="111111"/>
          <w:sz w:val="28"/>
          <w:sz w:val="28"/>
          <w:szCs w:val="28"/>
          <w:rtl w:val="true"/>
          <w:lang w:bidi="ar-SA"/>
        </w:rPr>
        <w:t>عليك من لسان أو قتل فتظلم مَن لا يظلمك، وتقتل مَن لا يقتلك، فمَن فعل ذلك فقد وجب له عذاب أليم</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هذا،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لأمير المؤمنين عليه السلام إلى قُثَم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أهل مكّة أن لا يأخذوا من ساكن أجراً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والظاهر أنّ ما ورد في الروايات هو بعض المصاديق، والمراد هو التعريف بمكانة المسجد الحرام وأنّه يجب أن يكون منزّهاً عن كلّ إلحاد وميل إلى الظلم من غير فرق بين ظلم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النهي عن الأُجرة هو أخذ الأُجرة على النزول في أرض مكّة لا النزول على الدار الذي بناه المقيم على أرضها، وقد جرت السيرة على نزول الحجّاج على أرض مكّة وضرب الخيام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يعملها كتب عليه سيئة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بلد غيره</w:t>
      </w:r>
      <w:r>
        <w:rPr>
          <w:rFonts w:eastAsia="Amiri" w:cs="Amiri" w:ascii="Amiri" w:hAnsi="Amiri"/>
          <w:color w:val="111111"/>
          <w:sz w:val="28"/>
          <w:szCs w:val="28"/>
          <w:rtl w:val="true"/>
          <w:lang w:bidi="ar-SA"/>
        </w:rPr>
        <w:t>.</w:t>
      </w:r>
      <w:r>
        <w:rPr>
          <w:rStyle w:val="FootnoteAnchor"/>
          <w:rtl w:val="true"/>
        </w:rPr>
        <w:footnoteReference w:id="917"/>
      </w:r>
    </w:p>
    <w:p>
      <w:pPr>
        <w:pStyle w:val="Heading4"/>
        <w:numPr>
          <w:ilvl w:val="3"/>
          <w:numId w:val="1"/>
        </w:numPr>
        <w:rPr/>
      </w:pPr>
      <w:bookmarkStart w:id="1338" w:name="__RefHeading___Toc1366911_388300464"/>
      <w:bookmarkStart w:id="1339" w:name="_Toc530"/>
      <w:bookmarkEnd w:id="1338"/>
      <w:r>
        <w:rPr>
          <w:rtl w:val="true"/>
        </w:rPr>
        <w:t>الآية</w:t>
      </w:r>
      <w:r>
        <w:rPr>
          <w:rtl w:val="true"/>
        </w:rPr>
        <w:t xml:space="preserve">: </w:t>
      </w:r>
      <w:r>
        <w:rPr>
          <w:rtl w:val="true"/>
        </w:rPr>
        <w:t>الثانية</w:t>
      </w:r>
      <w:bookmarkEnd w:id="1339"/>
    </w:p>
    <w:p>
      <w:pPr>
        <w:pStyle w:val="Heading5"/>
        <w:numPr>
          <w:ilvl w:val="4"/>
          <w:numId w:val="1"/>
        </w:numPr>
        <w:rPr/>
      </w:pPr>
      <w:bookmarkStart w:id="1340" w:name="__RefHeading___Toc1366913_388300464"/>
      <w:bookmarkStart w:id="1341" w:name="_Toc531"/>
      <w:bookmarkEnd w:id="1340"/>
      <w:r>
        <w:rPr>
          <w:rtl w:val="true"/>
        </w:rPr>
        <w:t>اشارة</w:t>
      </w:r>
      <w:bookmarkEnd w:id="134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حُرُماتِ اَللّهِ فَهُوَ خَيْرٌ لَهُ عِنْدَ رَبِّهِ‌</w:t>
      </w:r>
      <w:bookmarkStart w:id="1342" w:name="pg14912_141569"/>
    </w:p>
    <w:p>
      <w:pPr>
        <w:pStyle w:val="BookText"/>
        <w:rPr/>
      </w:pPr>
      <w:bookmarkEnd w:id="1342"/>
      <w:r>
        <w:rPr>
          <w:rFonts w:ascii="Amiri" w:hAnsi="Amiri" w:eastAsia="Amiri" w:cs="Amiri"/>
          <w:color w:val="111111"/>
          <w:sz w:val="28"/>
          <w:sz w:val="28"/>
          <w:szCs w:val="28"/>
          <w:rtl w:val="true"/>
          <w:lang w:bidi="ar-SA"/>
        </w:rPr>
        <w:t>وَ أُحِلَّتْ لَكُمُ اَلْأَنْعامُ إِلاّ ما يُتْلى عَلَيْكُمْ فَاجْتَنِبُوا اَلرِّجْسَ مِنَ اَلْأَوْثانِ وَ اِجْتَنِبُوا قَوْلَ اَلزُّورِ</w:t>
      </w:r>
      <w:r>
        <w:rPr>
          <w:rFonts w:eastAsia="Amiri" w:cs="Amiri" w:ascii="Amiri" w:hAnsi="Amiri"/>
          <w:color w:val="111111"/>
          <w:sz w:val="28"/>
          <w:szCs w:val="28"/>
          <w:rtl w:val="true"/>
          <w:lang w:bidi="ar-SA"/>
        </w:rPr>
        <w:t>) .</w:t>
      </w:r>
      <w:r>
        <w:rPr>
          <w:rStyle w:val="FootnoteAnchor"/>
          <w:rtl w:val="true"/>
        </w:rPr>
        <w:footnoteReference w:id="918"/>
      </w:r>
    </w:p>
    <w:p>
      <w:pPr>
        <w:pStyle w:val="Heading5"/>
        <w:numPr>
          <w:ilvl w:val="4"/>
          <w:numId w:val="1"/>
        </w:numPr>
        <w:rPr/>
      </w:pPr>
      <w:bookmarkStart w:id="1343" w:name="__RefHeading___Toc1366915_388300464"/>
      <w:bookmarkStart w:id="1344" w:name="_Toc532"/>
      <w:bookmarkEnd w:id="1343"/>
      <w:r>
        <w:rPr>
          <w:rtl w:val="true"/>
        </w:rPr>
        <w:t>المفردات</w:t>
      </w:r>
      <w:bookmarkEnd w:id="1344"/>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يقع للفصل بين كلامين أو لوجه من كلام واحد وأُريد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هكذا،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فاسم الإشارة خبر لمبتدأ محذوف،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هكذا، أو الأمر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 وهي ما يجب احترامه ويحرم انتهاكه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 والقذارة، وهو تارة محسوس كما في النجاسات، وأُخرى معنوي كما في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وسيوافيك الكلام في تخصيص تفسيره به في المقام</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366917_388300464"/>
      <w:bookmarkStart w:id="1346" w:name="_Toc533"/>
      <w:bookmarkEnd w:id="1345"/>
      <w:r>
        <w:rPr>
          <w:rtl w:val="true"/>
        </w:rPr>
        <w:t>التفسير</w:t>
      </w:r>
      <w:bookmarkEnd w:id="1346"/>
    </w:p>
    <w:p>
      <w:pPr>
        <w:pStyle w:val="BookText"/>
        <w:rPr/>
      </w:pPr>
      <w:r>
        <w:rPr>
          <w:rFonts w:ascii="Amiri" w:hAnsi="Amiri" w:eastAsia="Amiri" w:cs="Amiri"/>
          <w:color w:val="111111"/>
          <w:sz w:val="28"/>
          <w:sz w:val="28"/>
          <w:szCs w:val="28"/>
          <w:rtl w:val="true"/>
          <w:lang w:bidi="ar-SA"/>
        </w:rPr>
        <w:t>لمّا فرغ سبحانه عن بيان مناسك الحجّ شرع ببيان ما يجب على الحاج بل على كلّ مؤمن 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تعظيم حرمات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ما ذكر من مناسك الحجّ في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الحرام، والمسجد الحرام، والبلد الحرام، والشهر الحرام،</w:t>
      </w:r>
      <w:bookmarkStart w:id="1347" w:name="pg14912_141570"/>
    </w:p>
    <w:p>
      <w:pPr>
        <w:pStyle w:val="BookText"/>
        <w:rPr/>
      </w:pPr>
      <w:bookmarkEnd w:id="1347"/>
      <w:r>
        <w:rPr>
          <w:rFonts w:ascii="Amiri" w:hAnsi="Amiri" w:eastAsia="Amiri" w:cs="Amiri"/>
          <w:color w:val="111111"/>
          <w:sz w:val="28"/>
          <w:sz w:val="28"/>
          <w:szCs w:val="28"/>
          <w:rtl w:val="true"/>
          <w:lang w:bidi="ar-SA"/>
        </w:rPr>
        <w:t>والمحرم حتى يحل</w:t>
      </w:r>
      <w:r>
        <w:rPr>
          <w:rStyle w:val="FootnoteAnchor"/>
          <w:rtl w:val="true"/>
        </w:rPr>
        <w:footnoteReference w:id="920"/>
      </w:r>
      <w:r>
        <w:rPr>
          <w:rFonts w:ascii="Amiri" w:hAnsi="Amiri" w:eastAsia="Amiri" w:cs="Amiri"/>
          <w:color w:val="111111"/>
          <w:sz w:val="28"/>
          <w:sz w:val="28"/>
          <w:szCs w:val="28"/>
          <w:rtl w:val="true"/>
          <w:lang w:bidi="ar-SA"/>
        </w:rPr>
        <w:t>، 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ثالث أنّ المراد رعاية الحدود فيما أحلّ اللّه وحرّمه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أُحِلَّتْ لَكُمُ اَلْأَنْعامُ 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للفقرة الثانية، أي تحليل حلاله وتحريم حرامه، الوارد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أُحِلَّتْ لَكُمُ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ذلك يكون ردّاً لما قام به عبدة الأصنام من تحريم البحيرة والسائبة وغير ذلك، وتحليل ما حرّم اللّه من أكل الموقوذة والميتة وغير ذلك، وقد حكى اللّه سبحانه عن أهل الجاهلية أنّهم حرّموا الأنعام المذكورة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كما أنّهم أحلّوا قسماً من المحرّمات،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w:t>
      </w:r>
      <w:r>
        <w:rPr>
          <w:rFonts w:eastAsia="Amiri" w:cs="Amiri" w:ascii="Amiri" w:hAnsi="Amiri"/>
          <w:color w:val="111111"/>
          <w:sz w:val="28"/>
          <w:szCs w:val="28"/>
          <w:rtl w:val="true"/>
          <w:lang w:bidi="ar-SA"/>
        </w:rPr>
        <w:t>) .</w:t>
      </w:r>
      <w:r>
        <w:rPr>
          <w:rStyle w:val="FootnoteAnchor"/>
          <w:rtl w:val="true"/>
        </w:rPr>
        <w:footnoteReference w:id="922"/>
      </w:r>
    </w:p>
    <w:p>
      <w:pPr>
        <w:pStyle w:val="Heading4"/>
        <w:numPr>
          <w:ilvl w:val="3"/>
          <w:numId w:val="1"/>
        </w:numPr>
        <w:rPr/>
      </w:pPr>
      <w:bookmarkStart w:id="1348" w:name="__RefHeading___Toc1366919_388300464"/>
      <w:bookmarkStart w:id="1349" w:name="_Toc534"/>
      <w:bookmarkEnd w:id="1348"/>
      <w:r>
        <w:rPr>
          <w:rtl w:val="true"/>
        </w:rPr>
        <w:t>تخصيص أمرين مهمّين بالذكر</w:t>
      </w:r>
      <w:bookmarkEnd w:id="1349"/>
    </w:p>
    <w:p>
      <w:pPr>
        <w:pStyle w:val="BookText"/>
        <w:rPr/>
      </w:pPr>
      <w:r>
        <w:rPr>
          <w:rFonts w:ascii="Amiri" w:hAnsi="Amiri" w:eastAsia="Amiri" w:cs="Amiri"/>
          <w:color w:val="111111"/>
          <w:sz w:val="28"/>
          <w:sz w:val="28"/>
          <w:szCs w:val="28"/>
          <w:rtl w:val="true"/>
          <w:lang w:bidi="ar-SA"/>
        </w:rPr>
        <w:t xml:space="preserve">ثمّ إنّه سبحانه يخصّ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الأمر بتعظيم حرمات اللّه وحرمة انتهاكها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وهما الأمر الثاني والثالث من الأُمور التي أوعزنا إليها في صدر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الأدب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أي الرجس الذي هو الأوثان، وهل المراد من اجتنابها هو</w:t>
      </w:r>
    </w:p>
    <w:p>
      <w:pPr>
        <w:pStyle w:val="BookText"/>
        <w:rPr/>
      </w:pPr>
      <w:r>
        <w:rPr>
          <w:rFonts w:ascii="Amiri" w:hAnsi="Amiri" w:eastAsia="Amiri" w:cs="Amiri"/>
          <w:color w:val="111111"/>
          <w:sz w:val="28"/>
          <w:sz w:val="28"/>
          <w:szCs w:val="28"/>
          <w:rtl w:val="true"/>
          <w:lang w:bidi="ar-SA"/>
        </w:rPr>
        <w:t>الاجتناب عن عبادتها، أو المراد الاجتناب عن ذكر أسمائها لدى النحر والذبح‌؟ الظاهر هو الأخير بحكم سياق الآيات، وفي وصف الأوثان بالرجس إشارة إلى الرجس المعنوي لا الرجس الحسّي، فكأنّ انكباب المشركين عليها والتمسّح والاستشفاء بها جعلها أمراً منفوراً مرغوباً عنه كحال كلّ رجس حسّي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في الروايات بالكلام الباطل والغناء</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والظاهر أنّه تفسير بالمصداق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كلّ شيء مائل عن الحقّ فيشمل الكذب والغيبة والشتم والفحشاء، وفي بعض الروايات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شهادة الزور بالشرك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Style w:val="FootnoteAnchor"/>
          <w:rtl w:val="true"/>
        </w:rPr>
        <w:footnoteReference w:id="924"/>
      </w:r>
      <w:r>
        <w:rPr>
          <w:rFonts w:ascii="Amiri" w:hAnsi="Amiri" w:eastAsia="Amiri" w:cs="Amiri"/>
          <w:color w:val="111111"/>
          <w:sz w:val="28"/>
          <w:sz w:val="28"/>
          <w:szCs w:val="28"/>
          <w:rtl w:val="true"/>
          <w:lang w:bidi="ar-SA"/>
        </w:rPr>
        <w:t>والذي يناسب سياق الآية هو الكلام الذي يخرج الإنسان من الإيمان إلى الكفر بشهادة 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وعلى هذا فلا يبعد أن يكون المراد قول الجاهلية في تلبيتهم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لا شريك لك، إلّاشريك هو لك، تملكه وما ملك</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مؤلّفي آيات الأحكام درسوا عدداً من الآيات التي ترجع إلى حياة إبراهيم وإسماعيل عليهما السلام حول بناء البيت ورفع قوائمه، إلى غير ذلك من الآيات التي لها صلة بالحج ولكنّها لا تتضمّن حكماً فقهياً شرعياً حتى تقع في إطار الموضوع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أُلّف لأجله الكتاب، ولذلك فنحن تركناها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سائر الأبواب والكتب فنقتصر بتفسير الآيات التي تقع ذريعة للاستنباط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دراسة الآيات المتعلّقة بأحكام الحجّ‌</w:t>
      </w:r>
    </w:p>
    <w:p>
      <w:pPr>
        <w:pStyle w:val="BookText"/>
        <w:rPr/>
      </w:pPr>
      <w:r>
        <w:rPr>
          <w:rFonts w:ascii="Amiri" w:hAnsi="Amiri" w:eastAsia="Amiri" w:cs="Amiri"/>
          <w:color w:val="111111"/>
          <w:sz w:val="28"/>
          <w:sz w:val="28"/>
          <w:szCs w:val="28"/>
          <w:rtl w:val="true"/>
          <w:lang w:bidi="ar-SA"/>
        </w:rPr>
        <w:t>وبه يتمّ الجزء الأوّل من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ألطاف الرحمن في فقه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بعونه تعالى الجزء الثاني</w:t>
      </w:r>
    </w:p>
    <w:p>
      <w:pPr>
        <w:pStyle w:val="BookText"/>
        <w:rPr/>
      </w:pPr>
      <w:r>
        <w:rPr>
          <w:rFonts w:ascii="Amiri" w:hAnsi="Amiri" w:eastAsia="Amiri" w:cs="Amiri"/>
          <w:color w:val="111111"/>
          <w:sz w:val="28"/>
          <w:sz w:val="28"/>
          <w:szCs w:val="28"/>
          <w:rtl w:val="true"/>
          <w:lang w:bidi="ar-SA"/>
        </w:rPr>
        <w:t>مبتدئاً بأحكام الجهاد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bookmarkStart w:id="1350" w:name="pg14912_141574"/>
    </w:p>
    <w:p>
      <w:pPr>
        <w:pStyle w:val="Heading2"/>
        <w:numPr>
          <w:ilvl w:val="1"/>
          <w:numId w:val="1"/>
        </w:numPr>
        <w:rPr/>
      </w:pPr>
      <w:bookmarkStart w:id="1351" w:name="__RefHeading___Toc1366921_388300464"/>
      <w:bookmarkStart w:id="1352" w:name="_Toc535"/>
      <w:bookmarkEnd w:id="1350"/>
      <w:bookmarkEnd w:id="1351"/>
      <w:r>
        <w:rPr>
          <w:rtl w:val="true"/>
        </w:rPr>
        <w:t>فهرس المحتويات</w:t>
      </w:r>
      <w:bookmarkEnd w:id="135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الحجر الأساس للتشريع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التشريع تدريجياً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الاقتصار على الأحكام الكلّيّة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مرونة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كم هو عدد 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تحديد عدد الآيات غير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الذمّي الّذي نقض حكم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موضوعات خفيّت عن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المناهج في تفسير 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الكتب المشهورة المؤلّفة في آيات الأحكام عند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أحكام الطهارة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الوضوء والغسل والتيمّم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كيفية الوضوء في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بيان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قراءة النصب ورأي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قراءة الجر ورأي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دراسة كلام صاحب المنار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مسح الأرجل في أحاديث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ما هو المراد من الكعب‌؟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حكم غير المتمكّن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الصعيد؟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الملامسة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المريض والمسافر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فتوى شاذّة لصاحب المنار وأُستاذه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الاختلاف في حكم الأرجل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كان يغسل رجليه قبل نزول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الغسل من قبل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حكم الطوائف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عليٌّ إمام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عليّ ربيب بيت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عدم مفارقة عليّ رسول اللّه منذ صباه إلى رحيله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تحريم الخمر في عامة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رواية مجعولة للحطّ من مقام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الحائض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جواز إتيان النساء بالنقاء عن الدم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تقييد الجواز بغسل الموضع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المشرك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المشرك وطهارته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بالنجاسة الجعلية الاعتبارية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عرض الآراء على مفاد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الاحتجاج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المنع في الآية مختصّ بالمسجد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خوف المسلمين الجُدَد من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الخمر تكليفاً ووضعاً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نجاسة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ما يدلّ على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ما يدلّ على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حكم الكحول الرائجة في الطبابة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أحكام الصلاة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أوقات الصلاة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الاهتمام بالصلاة في أوقاتها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مواقيت الصلوات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مواقيت الصلوات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وقت الظهرين وغيبوبتها وقت العشائين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والقامتان آخر وقتي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والذراعان أوّل وقتي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وأربع أقدام أوّل وقتي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وأربع أقدام آخر وقتي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رفع التعارض بين الأصناف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عرفة ومزدلفة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الصلاتين في الحضر لأجل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الحضر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استقبال الكعبة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الإخبار الغيبي عن نقاش اليهود في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 هو السرّ لجعل بيت المقدس 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ما هو الواجب في الاستقبال‌؟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كلام المحقّق الأردبيلي في كفاية 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كفاية استقبال الجهة عند 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تأييد صاحب الحدائق كفاية 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الصف الطويل وكون القبلة عين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مختارنا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المسافر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تفسير مفردات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أدلّة القول بأنّ القصر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الخوف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صلاة الخوف ثنائيّة في السفر والحضر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ذكر اللّه بعد إقامة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المطاردة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الجمعة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وقت صلاة الجمعة بدءاً ونهاية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آخر 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كيفية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فلسفة كون الخطبتين قبل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حكم صلاة الجمعة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أدلّة القائلين بشرطية الإمام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الإمام السجّاد عليه السلام يوم الأضحى ويوم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زرارة تاركاً لصلاة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الإمام لترك صلاة الجمعة في يوم اجتمع فيه عيدان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بروايات ضعاف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القول على ضوء القواعد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القول حسب الأدلة الاجتهادية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الاستدلال على الوجوب التخييري بالاستبعادات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التعييني في عصري الحضور والغيبة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مَن تجب عليه صلاة الجمعة من دون أن يذكر حضور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البعث على الإقامة مع عدم كون المقيم هو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يركّز على الوجوب عند العدد المخصوص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أنّ الخطيب ليس هو الإمام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بقيت هنا أسئلة نطرحها على طاولة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الجمعة في أقلّ من فرسخ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والمخافتة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على النبيّ صلى الله عليه و آله و سلم في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الآية دالّة على أنّ النبيّ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الصلاة على النبيّ عند ذكر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الصلاة على النبيّ صلى الله عليه و آله و سلم إذا لم يذكر الآل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ذا يراد من الآل‌؟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الاستماع والإنصات عند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اختصاص السكوت بحال الصلاة عند قراءة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سجود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حكم سجود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عدم جواز قراءة إحدى سور العزائم في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أحكام الصيام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الصيام فريضة مكتوبة في عامّة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تشريع الصوم في أيام معدودة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الإفطار عزيمة على المريض والمسافر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الإفطار في السفر عزيمة أو رخصة‌؟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الوجوب على العنوانين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الجملتين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المريض والمسافر في سياق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أوّل الأمر هو صيام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لتطبيق الآية على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إفطار المطيق عزيمة أو رخصة‌؟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الروايات تؤيّد أنّ الإفطار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شهر رمضان وحكم المريض و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أيام الصيام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الإجابة عن سؤال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القرآن على البيّنات والفرقان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الشهر فعليه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والمسافر يفطران ويصومان في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إرادة اللّه في حقّ المكلّفين على اليسر دون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سؤال وإجابة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سبحانه بإكمال العدّة والتكبير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الآثار البنّاءة للصوم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الآثار الاجتماعية للصوم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وزمان الصوم ومباشرة النساء في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الرفث إلى النساء في ليالي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الصوم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مباشرة النساء في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أحكام الزكاة في الذكر الحكيم</w:t>
      </w:r>
    </w:p>
    <w:p>
      <w:pPr>
        <w:pStyle w:val="BookText"/>
        <w:rPr/>
      </w:pPr>
      <w:r>
        <w:rPr>
          <w:rFonts w:ascii="Amiri" w:hAnsi="Amiri" w:eastAsia="Amiri" w:cs="Amiri"/>
          <w:color w:val="111111"/>
          <w:sz w:val="28"/>
          <w:sz w:val="28"/>
          <w:szCs w:val="28"/>
          <w:rtl w:val="true"/>
          <w:lang w:bidi="ar-SA"/>
        </w:rPr>
        <w:t>أحكام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المنابع المالية للحكومة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الغنائم المأخوذة من أهل الحرب قهراً بالقتال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والمقاسمة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ضرائب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المظالم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الأوقاف والوصايا العامة والنذور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توظيف الأموال في المجالات الاقتصادية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إخراج الزكاة من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المجتمع الإيماني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بالفرائض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بالأخلاق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اكتناز العملة قبل إخراج زكاتها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وصف عمل الأحبار والرهبان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تحريم اكتناز الذهب والفضة على المسلم والكتابي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نزاع بين عثمان وأُبيّ في كتابة 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أخذ الزكاة على النبيّ وعلى مَن يقوم مقامه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جواز الصلاة على المؤمن مفرداً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قبول التوبة 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مصارف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بحوث حول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إخراج الطيّب من الأموال للزكاة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التقرّب إلى اللّه في إعطاء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 بالصدقات أو إخفاؤها؟ في الإخفاء تكفير لبعض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اللازم في 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عن إتباع الإنفاق بالمنّ والأذى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أحكام الخمس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ما هو المراد من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الأسرى وأخذ الفدية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الغنيمة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في معاجم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ورود الخمس في أرباح المكاسب في الحديث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حقّ ذي القربى بعد رحيل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خمس الغنائم للنبي وآله ليس تفرقة عنصرية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تحليل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خمس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الخمس لمَن ضاق عليه معاشه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ما ينتقل إلى الشيعة من غير المخمس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الأنفال والفيء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أوصاف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فريضة الحجّ في الذكر الحكيم</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الحجّ من أركان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الحجّ على المستطيع 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الاستطاعة الشرعية شرط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وجوب الحجّ مرّة واحدة في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الحج وحجّ التمتع باقٍ على تشريعه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أعمال العمرة والحجّ في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أعمال حجّ الإفراد والقران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ميقات عمرة المفرد والقارن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ميقات 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الفرق بين العمرتين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 وعمرة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العمرة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تفسير الاتمام بإفراد العمرة عن الحجّ إنكار لحجّ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الإفاضة من عرفات إلى المشعر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من أعمال منى الرمي وذكر اللّه في أيام معدودات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التخيير في النفر بين الثاني عشر والثالث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من أعمال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والذبيحة وإطعام البائس والفقير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نسخ ما عليه المشركون عند الذبح والنحر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على التفث</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الوفاء بالنذور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آداب ذبح البُدن وتقسيم لحمها إلى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إبطال عادات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الذهاب إلى مكّة لأداء فرائضها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ذكر اللّه بدل التفاخر بالآباء 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و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إبطال سنّة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بالآباء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تقسيم الحجيج إلى نوعين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المُحْصَر والمصدود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الحجّ والعمرة وإكمالهما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خروج المحصر عن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يتحلّل قبل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المريض ومَن برأسه 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التمتع بالعمرة إلى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الفاقد للهدي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التمتع بالعمرة إلى الحجّ وظيفة الآفاقي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الحجّ وتحريم 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الابتلاء بالصيد قتلاً واصطياداً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الابتلاء سنّة من سنن اللّه في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الغاية من ابتلاء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ما هو المراد من الخوف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حرمة قتل الصيد وكفّارته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حرمة الإعانة على 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الأربعة التي جُعلت قياماً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كون الكعبة قياماً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شعائر اللّه والشهر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الصدّ عن سبيل اللّه والمسجد الحرام وتعظيم حرمات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تخصيص أمرين مهمّين بالذكر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تاريخ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في المهور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ورد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فِي صَلاتِهِمْ خاشِعُونَ‌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الطهارة،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جميع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حدّه من منابت الشعر من رأسه إلى مجمع اللحية والذقن طولاً، ومن الأُذن إلى الأُذن عرضاً إلّامالكاً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فصل في أفعال الوضوء،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النشر الإسلامي،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في أقسام العطف،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على المحل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النهر المارد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المتملي في شرح منية المصلي المعروف بالشرح الحلبي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فيضان دموع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واعرابه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الصدر مرفق واحد وهو تصحيف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شيئاً بعد شيء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من رفع صوته بالعلم من كتاب العلم،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الرقاق المفترشة فوق ظهرالقدم، وربّما يطلق على القدم أجمع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 بفتح الباء وسكونها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المالحة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المصادر على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وجدنا ما يشتمل على موضع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xml:space="preserve">، تفسير سورة الرحمن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الوطن، لأجل المقابلة مع السفر الذي مرّ ذكره في الآية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الجبهة 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الجبين فوق الصدغ وهما جبينان عن يمين الجبهة وشمالها يتصاعدان من طرفي الحاجبين إلى قصاص الشعر فتكون الجبهة بين الجبينين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التبيينية لا تدخل على الضمير مطلقاً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وقد ناغت الأُمّ صبيّها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لاطفته وشاغلته بالمحادثة والملاعبة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1198/3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طبعة المكتبة العصرية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يدخره الإنسان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للخنساء ترثي بقصيدتها أخاها صخراً، ولكنّها تُشير في هذا البيت إلى ناقة فقدت ولدها بموت أو نحر، فضنّت بلبنها، فلأجل أن تدر اللبن يحشون جلد ولدها بالتبن ويقربوه منها حتى تشمه، وتظنه ولدها فيدر لبنها، ولذلك قالت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القُحَم جمع القحمة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الشاقّ والأمر المكروه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دارالمديني جدّة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نقلاً عن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الحسين بن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 والتعليقة على الروضة البهية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والجرّيث نوع من السمك النهري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ثعبان الماء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 الخادم ثقة من أصحاب الإمام الهادي عليه السلام، وأُريد بالرجل، الإمام علي الهادي عليه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 ضرب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كوامخ، إدام يؤتدم به وخصّه بعضهم بالمخلِّلات التي تستعمل لتشهي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الخشب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من الزجاج عظيمة تُملأ من الشراب وتوضع بين الشَّرْب يغرفون منها ويشربون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من اللحم والشحم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من يقوم بحياكتها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أدلّة الطهارة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14/144</w:t>
      </w:r>
      <w:r>
        <w:rPr>
          <w:rFonts w:ascii="IRNazanin" w:hAnsi="IRNazanin" w:eastAsia="IRNazanin"/>
          <w:b w:val="false"/>
          <w:b w:val="false"/>
          <w:bCs w:val="false"/>
          <w:i w:val="false"/>
          <w:i w:val="false"/>
          <w:iCs w:val="false"/>
          <w:color w:val="333333"/>
          <w:sz w:val="20"/>
          <w:sz w:val="20"/>
          <w:szCs w:val="20"/>
          <w:rtl w:val="true"/>
        </w:rPr>
        <w:t>، نشر مؤسسة التاريخ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عاشور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الأوقات المذكورة في هذه الآية، هي أوقات الصلوات، ثم قال وهو يعدّدها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ووقتان قبل غروبها وهما الظهر والعصر،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معنى القامة عن قريب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مربط العنز الأُنثى من المعز، و المراد موضع جلوسه كجلوس الإنسان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الفصل الثاني في الجمع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الأمر بالتوجّه شطر المسجد الحرام في هذه الآية وفي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وسيوافيك وجه التكرار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ورود التوجه إلى شطر المسجد الحرام في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التوجّه إلى شطر المسجد الحرام ورد في آيتين سابقتين 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وقد تقدّم وجه التكرار في الآية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ويأتي وجهه في آيتنا هذه فلاحظ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شرقيّ العراق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سائر الأحاديث الواردة فيه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اقتصرنا بذكر الوجه الأوّل فمن أراد الوقوف على الوجه الثاني فليرجع إلى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 باب صلاة المسافرين وقصرها من كتاب الصلاة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كتاب الصلاة، 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الشاك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التردّد في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مسيرة ثلاثة أميال أو ثلاثة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شعبة أحد الرواة الموجودين في سند الرواية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صلاة المسافرين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والمطاردة،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تفسير سورة الجمعة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طبع مطبعة الحلبي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كتاب تفسير القرآن، تفسير سورة الجمعة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الظلّ الأول، ظلّ قبل الزوال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والحديث يدلّ على جواز تقديم الخطبتين على الزوال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20085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أحاديث الباب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تفسير سورة الجمعة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قهراً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1007/5</w:t>
      </w:r>
      <w:r>
        <w:rPr>
          <w:rFonts w:ascii="IRNazanin" w:hAnsi="IRNazanin" w:eastAsia="IRNazanin"/>
          <w:b w:val="false"/>
          <w:b w:val="false"/>
          <w:bCs w:val="false"/>
          <w:i w:val="false"/>
          <w:i w:val="false"/>
          <w:iCs w:val="false"/>
          <w:color w:val="333333"/>
          <w:sz w:val="20"/>
          <w:sz w:val="20"/>
          <w:szCs w:val="20"/>
          <w:rtl w:val="true"/>
        </w:rPr>
        <w:t>، وسيوافيك أنّ المفيد والتقي أبو الصلاح من القائلين بالوجوب العيني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الروايات بصورة طوائف أربع من إفاضات آية اللّه مرتضى الحائري قدس سره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نقله عن المنكرين للوجوب التعييني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نقله عن المنكرين للوجوب التعييني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ناقلاً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مبسوطة ألّفها في تحقيق المسألة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بتصرف للإيضاح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الصلاة، باب أقلّ ما يجزي في إقامة الجمعة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صلاة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سقطت من قلم صاحب الوسائل وإنّما نقلناها من 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نشر كلمة الحق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صلاة العصر يوم الجمعة في وقت الظهر في سائر الأيام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دارالفكر للطباعة والنشر والتوزيع،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نقلاً عن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بدء الخلق، باب يزفّون النسلان في المشي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الصلاة على النبي بعد التشهّد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العبارة يدلّ على هذه الزيادة ولعلّها سقطت عند الطبع، وإلّا فلا تستقيم العبارة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إتقان الصنعة في تحقيق معنى البدعة لعبد اللّه الصدّيق الغماري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طبع دار الحديث، مصر،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طبع دار الحديث مصر،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بيان إطلاق اسم الكفر على مَن ترك الصلاة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التثنية، 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بقية روايات الباب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البقر، والروق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روق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جماعتهم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ذلك الباب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عامّة روايات الباب التي يناهز عددها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جواز الصوم والفطر في شهر رمضان للمسافر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8666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يسير في العبارة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الإيضاحات السنية للقواعد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ولاحظ بقية الوجوه في نفس الكتاب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كتاب تفسير القرآن، سورة البقرة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النباتات الطبيعية التي تنتشر بين أشجار الغابات وهي مرتفعة نسبيّاً، بخلاف أعلاف المراتع فهي منخفضة يخطمها الإبل والدواب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حيث عنون تفسير الآية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الوجوب ومحلّه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شيوعية في الإسلام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ولاحظ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مرّ من الآيات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النيّرة على مختصر القدوري في الفقه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496/10</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من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حصين، والأقرع بن حابس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باب طلاق الثلاث،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مؤسسة الأعلمي، بيروت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الفرق بين كون شيء واجباً قريباً يتقرب به إلى اللّه، دون أن يتعبّد به كالزكاة والخمس والوضوء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كونه قربياً عبادياً، يُعبد به كالصلاة والصوم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أوضحنا حالهما في المبسوط عند تقسيم الأوامر إلى توصلية وقربية وتعبدية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كتاب الزكاة، باب ما يقال عند إخراج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 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بالإيمان؛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غزوة خيبر؛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وصلّى عليها عليّ‌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الجميع لهم عليهم السلام لأنّ كلّ غزو بلا إذن من المعصوم، يصبح أنفالاً ويخرج عن كونه غنائم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قُمُط،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 أي شدّ ويطلق على الحبل، وعلى خرقة عريضة تلفّ على الصغير إذا شدّ في المهد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نقل هذه الرواية فلاحظ</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 قول النبي صلى الله عليه و آله و سلم بني الإسلام على خمس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منصوب على استواء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المجلسي في مرآة العقول عن والده انّه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فعل من أفعال الحجّ سبب لرفع رذيلة من الرذائل النفسانية وموجباً لحصول فضيلة من الفضائل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طبعة دار الكتب العلمية،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طبعة دار إحياء التراث العربي، بيروت؛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باب التمتع والإقران والإفراد بالحج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باب التمتّع؛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كتاب تفسير القرآن،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تَمَتَّعَ بِالْعُمْرَةِ إِلَى اَلْحَجِّ‌</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أنّهم كانوا يقدّمون بعض أعمال الحجّ على الوقوف في عرفات ولذلك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فاجعلوهاعمرة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فاجعلوا ما أتيتم به بعنوان أعمال الحجّ‌، عمرة نظير الطواف بالبيت أو السعي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ونقتصر في هذا الفصل بتفسير الفقرة الأُولى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أَتِمُّوا اَلْحَجَّ وَ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سائر الفقرات فستأتي في فصل حكم المحصور والمصدود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اقتصرنا بما له مساس بالمقام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ما هو الإسلام‌؟</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الغُواث والغَواث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ولاحظ أيضاً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أُريد من قطن البيت مكانه، من قَطنَ يَقطنُ‌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سكن وتوطّن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باب إنّ أوّل ما خلق اللّه من الأرضين موضع البيت،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باب طواف النساء،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حجّة النبي صلى الله عليه و آله و سلم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تفسير الفقرة الأُولى فقط،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أَتِمُّوا اَلْحَجَّ وَ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فصل أعمال العمرة ونركّز هنا على تفسير سائر الفقرات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بكفّارته بمكّة ومنى كما سيأتي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عطية في 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وتوابعها،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سائر الروايات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لكلّ مسكين نصف صاع كما مرّ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حديث أبي عبيدة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والأقوى هو الأوّل لصحّة السند دون الثاني لإرساله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وتوابعها،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البحيرة تجري إليها مياه غياض وآجام فتتّسع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المستنقع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دعاؤه في موقف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الإيضاحات السنية للقواعد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38249</Words>
  <Characters>168576</Characters>
  <CharactersWithSpaces>204611</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2026-08-24T19:01:07Z</dcterms:created>
  <dc:creator>ghaemiyeh.com</dc:creator>
  <dc:description/>
  <dc:language>en-US</dc:language>
  <cp:lastModifiedBy/>
  <dcterms:modified xsi:type="dcterms:W3CDTF">2026-08-24T22:31:23Z</dcterms:modified>
  <cp:revision>1</cp:revision>
  <dc:subject/>
  <dc:title>الطاف الرحمن فی فقه القرآن جلد 1</dc:title>
</cp:coreProperties>
</file>

<file path=docProps/custom.xml><?xml version="1.0" encoding="utf-8"?>
<Properties xmlns="http://schemas.openxmlformats.org/officeDocument/2006/custom-properties" xmlns:vt="http://schemas.openxmlformats.org/officeDocument/2006/docPropsVTypes"/>
</file>