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8416_232238742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138418_232238742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138420_2322387425">
            <w:r>
              <w:rPr>
                <w:webHidden/>
                <w:rStyle w:val="IndexLink"/>
                <w:rtl w:val="true"/>
              </w:rPr>
              <w:t>کتاب الضمان</w:t>
            </w:r>
            <w:r>
              <w:rPr>
                <w:rStyle w:val="IndexLink"/>
                <w:rtl w:val="true"/>
              </w:rPr>
              <w:tab/>
            </w:r>
            <w:r>
              <w:rPr>
                <w:rStyle w:val="IndexLink"/>
              </w:rPr>
              <w:t>18</w:t>
            </w:r>
          </w:hyperlink>
        </w:p>
        <w:p>
          <w:pPr>
            <w:pStyle w:val="Contents3"/>
            <w:tabs>
              <w:tab w:val="clear" w:pos="8459"/>
              <w:tab w:val="right" w:pos="9026" w:leader="dot"/>
            </w:tabs>
            <w:rPr/>
          </w:pPr>
          <w:hyperlink w:anchor="__RefHeading___Toc2138422_2322387425">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138424_2322387425">
            <w:r>
              <w:rPr>
                <w:webHidden/>
                <w:rStyle w:val="IndexLink"/>
                <w:rtl w:val="true"/>
              </w:rPr>
              <w:t>معنی الضمان وإطلاقاته وشرائطه</w:t>
            </w:r>
            <w:r>
              <w:rPr>
                <w:rStyle w:val="IndexLink"/>
                <w:rtl w:val="true"/>
              </w:rPr>
              <w:tab/>
            </w:r>
            <w:r>
              <w:rPr>
                <w:rStyle w:val="IndexLink"/>
              </w:rPr>
              <w:t>20</w:t>
            </w:r>
          </w:hyperlink>
        </w:p>
        <w:p>
          <w:pPr>
            <w:pStyle w:val="Contents4"/>
            <w:tabs>
              <w:tab w:val="clear" w:pos="8176"/>
              <w:tab w:val="right" w:pos="9026" w:leader="dot"/>
            </w:tabs>
            <w:rPr/>
          </w:pPr>
          <w:hyperlink w:anchor="__RefHeading___Toc2138426_2322387425">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138428_2322387425">
            <w:r>
              <w:rPr>
                <w:webHidden/>
                <w:rStyle w:val="IndexLink"/>
                <w:rtl w:val="true"/>
              </w:rPr>
              <w:t>أحدها</w:t>
            </w:r>
            <w:r>
              <w:rPr>
                <w:rStyle w:val="IndexLink"/>
                <w:rtl w:val="true"/>
              </w:rPr>
              <w:t xml:space="preserve">: </w:t>
            </w:r>
            <w:r>
              <w:rPr>
                <w:rStyle w:val="IndexLink"/>
                <w:rtl w:val="true"/>
              </w:rPr>
              <w:t>الإیجاب</w:t>
            </w:r>
            <w:r>
              <w:rPr>
                <w:rStyle w:val="IndexLink"/>
                <w:rtl w:val="true"/>
              </w:rPr>
              <w:tab/>
            </w:r>
            <w:r>
              <w:rPr>
                <w:rStyle w:val="IndexLink"/>
              </w:rPr>
              <w:t>21</w:t>
            </w:r>
          </w:hyperlink>
        </w:p>
        <w:p>
          <w:pPr>
            <w:pStyle w:val="Contents4"/>
            <w:tabs>
              <w:tab w:val="clear" w:pos="8176"/>
              <w:tab w:val="right" w:pos="9026" w:leader="dot"/>
            </w:tabs>
            <w:rPr/>
          </w:pPr>
          <w:hyperlink w:anchor="__RefHeading___Toc2138430_2322387425">
            <w:r>
              <w:rPr>
                <w:webHidden/>
                <w:rStyle w:val="IndexLink"/>
                <w:rtl w:val="true"/>
              </w:rPr>
              <w:t>الثانی</w:t>
            </w:r>
            <w:r>
              <w:rPr>
                <w:rStyle w:val="IndexLink"/>
                <w:rtl w:val="true"/>
              </w:rPr>
              <w:t xml:space="preserve">: </w:t>
            </w:r>
            <w:r>
              <w:rPr>
                <w:rStyle w:val="IndexLink"/>
                <w:rtl w:val="true"/>
              </w:rPr>
              <w:t>القبول من المضمون له</w:t>
            </w:r>
            <w:r>
              <w:rPr>
                <w:rStyle w:val="IndexLink"/>
                <w:rtl w:val="true"/>
              </w:rPr>
              <w:tab/>
            </w:r>
            <w:r>
              <w:rPr>
                <w:rStyle w:val="IndexLink"/>
              </w:rPr>
              <w:t>22</w:t>
            </w:r>
          </w:hyperlink>
        </w:p>
        <w:p>
          <w:pPr>
            <w:pStyle w:val="Contents4"/>
            <w:tabs>
              <w:tab w:val="clear" w:pos="8176"/>
              <w:tab w:val="right" w:pos="9026" w:leader="dot"/>
            </w:tabs>
            <w:rPr/>
          </w:pPr>
          <w:hyperlink w:anchor="__RefHeading___Toc2138432_2322387425">
            <w:r>
              <w:rPr>
                <w:webHidden/>
                <w:rStyle w:val="IndexLink"/>
                <w:rtl w:val="true"/>
              </w:rPr>
              <w:t>الثالث</w:t>
            </w:r>
            <w:r>
              <w:rPr>
                <w:rStyle w:val="IndexLink"/>
                <w:rtl w:val="true"/>
              </w:rPr>
              <w:t xml:space="preserve">: </w:t>
            </w:r>
            <w:r>
              <w:rPr>
                <w:rStyle w:val="IndexLink"/>
                <w:rtl w:val="true"/>
              </w:rPr>
              <w:t>کون الضامن بالغاً عاقلاً</w:t>
            </w:r>
            <w:r>
              <w:rPr>
                <w:rStyle w:val="IndexLink"/>
                <w:rtl w:val="true"/>
              </w:rPr>
              <w:tab/>
            </w:r>
            <w:r>
              <w:rPr>
                <w:rStyle w:val="IndexLink"/>
              </w:rPr>
              <w:t>25</w:t>
            </w:r>
          </w:hyperlink>
        </w:p>
        <w:p>
          <w:pPr>
            <w:pStyle w:val="Contents4"/>
            <w:tabs>
              <w:tab w:val="clear" w:pos="8176"/>
              <w:tab w:val="right" w:pos="9026" w:leader="dot"/>
            </w:tabs>
            <w:rPr/>
          </w:pPr>
          <w:hyperlink w:anchor="__RefHeading___Toc2138434_2322387425">
            <w:r>
              <w:rPr>
                <w:webHidden/>
                <w:rStyle w:val="IndexLink"/>
                <w:rtl w:val="true"/>
              </w:rPr>
              <w:t>الرابع</w:t>
            </w:r>
            <w:r>
              <w:rPr>
                <w:rStyle w:val="IndexLink"/>
                <w:rtl w:val="true"/>
              </w:rPr>
              <w:t xml:space="preserve">: </w:t>
            </w:r>
            <w:r>
              <w:rPr>
                <w:rStyle w:val="IndexLink"/>
                <w:rtl w:val="true"/>
              </w:rPr>
              <w:t>کونه مختاراً</w:t>
            </w:r>
            <w:r>
              <w:rPr>
                <w:rStyle w:val="IndexLink"/>
                <w:rtl w:val="true"/>
              </w:rPr>
              <w:tab/>
            </w:r>
            <w:r>
              <w:rPr>
                <w:rStyle w:val="IndexLink"/>
              </w:rPr>
              <w:t>26</w:t>
            </w:r>
          </w:hyperlink>
        </w:p>
        <w:p>
          <w:pPr>
            <w:pStyle w:val="Contents4"/>
            <w:tabs>
              <w:tab w:val="clear" w:pos="8176"/>
              <w:tab w:val="right" w:pos="9026" w:leader="dot"/>
            </w:tabs>
            <w:rPr/>
          </w:pPr>
          <w:hyperlink w:anchor="__RefHeading___Toc2138436_2322387425">
            <w:r>
              <w:rPr>
                <w:webHidden/>
                <w:rStyle w:val="IndexLink"/>
                <w:rtl w:val="true"/>
              </w:rPr>
              <w:t>الخامس</w:t>
            </w:r>
            <w:r>
              <w:rPr>
                <w:rStyle w:val="IndexLink"/>
                <w:rtl w:val="true"/>
              </w:rPr>
              <w:t xml:space="preserve">: </w:t>
            </w:r>
            <w:r>
              <w:rPr>
                <w:rStyle w:val="IndexLink"/>
                <w:rtl w:val="true"/>
              </w:rPr>
              <w:t>عدم کونه محجوراً</w:t>
            </w:r>
            <w:r>
              <w:rPr>
                <w:rStyle w:val="IndexLink"/>
                <w:rtl w:val="true"/>
              </w:rPr>
              <w:tab/>
            </w:r>
            <w:r>
              <w:rPr>
                <w:rStyle w:val="IndexLink"/>
              </w:rPr>
              <w:t>27</w:t>
            </w:r>
          </w:hyperlink>
        </w:p>
        <w:p>
          <w:pPr>
            <w:pStyle w:val="Contents4"/>
            <w:tabs>
              <w:tab w:val="clear" w:pos="8176"/>
              <w:tab w:val="right" w:pos="9026" w:leader="dot"/>
            </w:tabs>
            <w:rPr/>
          </w:pPr>
          <w:hyperlink w:anchor="__RefHeading___Toc2138438_2322387425">
            <w:r>
              <w:rPr>
                <w:webHidden/>
                <w:rStyle w:val="IndexLink"/>
                <w:rtl w:val="true"/>
              </w:rPr>
              <w:t>السادس</w:t>
            </w:r>
            <w:r>
              <w:rPr>
                <w:rStyle w:val="IndexLink"/>
                <w:rtl w:val="true"/>
              </w:rPr>
              <w:t xml:space="preserve">: </w:t>
            </w:r>
            <w:r>
              <w:rPr>
                <w:rStyle w:val="IndexLink"/>
                <w:rtl w:val="true"/>
              </w:rPr>
              <w:t>عدم کون الضامن مملوکاً</w:t>
            </w:r>
            <w:r>
              <w:rPr>
                <w:rStyle w:val="IndexLink"/>
                <w:rtl w:val="true"/>
              </w:rPr>
              <w:tab/>
            </w:r>
            <w:r>
              <w:rPr>
                <w:rStyle w:val="IndexLink"/>
              </w:rPr>
              <w:t>28</w:t>
            </w:r>
          </w:hyperlink>
        </w:p>
        <w:p>
          <w:pPr>
            <w:pStyle w:val="Contents4"/>
            <w:tabs>
              <w:tab w:val="clear" w:pos="8176"/>
              <w:tab w:val="right" w:pos="9026" w:leader="dot"/>
            </w:tabs>
            <w:rPr/>
          </w:pPr>
          <w:hyperlink w:anchor="__RefHeading___Toc2138440_2322387425">
            <w:r>
              <w:rPr>
                <w:webHidden/>
                <w:rStyle w:val="IndexLink"/>
                <w:rtl w:val="true"/>
              </w:rPr>
              <w:t>السابع</w:t>
            </w:r>
            <w:r>
              <w:rPr>
                <w:rStyle w:val="IndexLink"/>
                <w:rtl w:val="true"/>
              </w:rPr>
              <w:t xml:space="preserve">: </w:t>
            </w:r>
            <w:r>
              <w:rPr>
                <w:rStyle w:val="IndexLink"/>
                <w:rtl w:val="true"/>
              </w:rPr>
              <w:t>التنجیز</w:t>
            </w:r>
            <w:r>
              <w:rPr>
                <w:rStyle w:val="IndexLink"/>
                <w:rtl w:val="true"/>
              </w:rPr>
              <w:tab/>
            </w:r>
            <w:r>
              <w:rPr>
                <w:rStyle w:val="IndexLink"/>
              </w:rPr>
              <w:t>32</w:t>
            </w:r>
          </w:hyperlink>
        </w:p>
        <w:p>
          <w:pPr>
            <w:pStyle w:val="Contents4"/>
            <w:tabs>
              <w:tab w:val="clear" w:pos="8176"/>
              <w:tab w:val="right" w:pos="9026" w:leader="dot"/>
            </w:tabs>
            <w:rPr/>
          </w:pPr>
          <w:hyperlink w:anchor="__RefHeading___Toc2138442_2322387425">
            <w:r>
              <w:rPr>
                <w:webHidden/>
                <w:rStyle w:val="IndexLink"/>
                <w:rtl w:val="true"/>
              </w:rPr>
              <w:t>الثامن</w:t>
            </w:r>
            <w:r>
              <w:rPr>
                <w:rStyle w:val="IndexLink"/>
                <w:rtl w:val="true"/>
              </w:rPr>
              <w:t xml:space="preserve">: </w:t>
            </w:r>
            <w:r>
              <w:rPr>
                <w:rStyle w:val="IndexLink"/>
                <w:rtl w:val="true"/>
              </w:rPr>
              <w:t>ثبوت الدین فیذمّة المضمون عنه</w:t>
            </w:r>
            <w:r>
              <w:rPr>
                <w:rStyle w:val="IndexLink"/>
                <w:rtl w:val="true"/>
              </w:rPr>
              <w:tab/>
            </w:r>
            <w:r>
              <w:rPr>
                <w:rStyle w:val="IndexLink"/>
              </w:rPr>
              <w:t>38</w:t>
            </w:r>
          </w:hyperlink>
        </w:p>
        <w:p>
          <w:pPr>
            <w:pStyle w:val="Contents4"/>
            <w:tabs>
              <w:tab w:val="clear" w:pos="8176"/>
              <w:tab w:val="right" w:pos="9026" w:leader="dot"/>
            </w:tabs>
            <w:rPr/>
          </w:pPr>
          <w:hyperlink w:anchor="__RefHeading___Toc2138444_2322387425">
            <w:r>
              <w:rPr>
                <w:webHidden/>
                <w:rStyle w:val="IndexLink"/>
                <w:rtl w:val="true"/>
              </w:rPr>
              <w:t>التاسع</w:t>
            </w:r>
            <w:r>
              <w:rPr>
                <w:rStyle w:val="IndexLink"/>
                <w:rtl w:val="true"/>
              </w:rPr>
              <w:t xml:space="preserve">: </w:t>
            </w:r>
            <w:r>
              <w:rPr>
                <w:rStyle w:val="IndexLink"/>
                <w:rtl w:val="true"/>
              </w:rPr>
              <w:t>عدم اشتغال ذمّة الضامن</w:t>
            </w:r>
            <w:r>
              <w:rPr>
                <w:rStyle w:val="IndexLink"/>
                <w:rtl w:val="true"/>
              </w:rPr>
              <w:tab/>
            </w:r>
            <w:r>
              <w:rPr>
                <w:rStyle w:val="IndexLink"/>
              </w:rPr>
              <w:t>41</w:t>
            </w:r>
          </w:hyperlink>
        </w:p>
        <w:p>
          <w:pPr>
            <w:pStyle w:val="Contents4"/>
            <w:tabs>
              <w:tab w:val="clear" w:pos="8176"/>
              <w:tab w:val="right" w:pos="9026" w:leader="dot"/>
            </w:tabs>
            <w:rPr/>
          </w:pPr>
          <w:hyperlink w:anchor="__RefHeading___Toc2138446_2322387425">
            <w:r>
              <w:rPr>
                <w:webHidden/>
                <w:rStyle w:val="IndexLink"/>
                <w:rtl w:val="true"/>
              </w:rPr>
              <w:t>العاشر</w:t>
            </w:r>
            <w:r>
              <w:rPr>
                <w:rStyle w:val="IndexLink"/>
                <w:rtl w:val="true"/>
              </w:rPr>
              <w:t xml:space="preserve">: </w:t>
            </w:r>
            <w:r>
              <w:rPr>
                <w:rStyle w:val="IndexLink"/>
                <w:rtl w:val="true"/>
              </w:rPr>
              <w:t>امتیاز الدَین والمضمون له والمضمون عنه</w:t>
            </w:r>
            <w:r>
              <w:rPr>
                <w:rStyle w:val="IndexLink"/>
                <w:rtl w:val="true"/>
              </w:rPr>
              <w:tab/>
            </w:r>
            <w:r>
              <w:rPr>
                <w:rStyle w:val="IndexLink"/>
              </w:rPr>
              <w:t>43</w:t>
            </w:r>
          </w:hyperlink>
        </w:p>
        <w:p>
          <w:pPr>
            <w:pStyle w:val="Contents3"/>
            <w:tabs>
              <w:tab w:val="clear" w:pos="8459"/>
              <w:tab w:val="right" w:pos="9026" w:leader="dot"/>
            </w:tabs>
            <w:rPr/>
          </w:pPr>
          <w:hyperlink w:anchor="__RefHeading___Toc2138448_2322387425">
            <w:r>
              <w:rPr>
                <w:webHidden/>
                <w:rStyle w:val="IndexLink"/>
                <w:rtl w:val="true"/>
              </w:rPr>
              <w:t>عدم اعتبار العلم بمقدار المضمون أو جنسه</w:t>
            </w:r>
            <w:r>
              <w:rPr>
                <w:rStyle w:val="IndexLink"/>
                <w:rtl w:val="true"/>
              </w:rPr>
              <w:tab/>
            </w:r>
            <w:r>
              <w:rPr>
                <w:rStyle w:val="IndexLink"/>
              </w:rPr>
              <w:t>44</w:t>
            </w:r>
          </w:hyperlink>
        </w:p>
        <w:p>
          <w:pPr>
            <w:pStyle w:val="Contents3"/>
            <w:tabs>
              <w:tab w:val="clear" w:pos="8459"/>
              <w:tab w:val="right" w:pos="9026" w:leader="dot"/>
            </w:tabs>
            <w:rPr/>
          </w:pPr>
          <w:hyperlink w:anchor="__RefHeading___Toc2138450_2322387425">
            <w:r>
              <w:rPr>
                <w:webHidden/>
                <w:rStyle w:val="IndexLink"/>
                <w:rtl w:val="true"/>
              </w:rPr>
              <w:t>انتقال الحق إلی ذمّة الضامن بالضمان</w:t>
            </w:r>
            <w:r>
              <w:rPr>
                <w:rStyle w:val="IndexLink"/>
                <w:rtl w:val="true"/>
              </w:rPr>
              <w:tab/>
            </w:r>
            <w:r>
              <w:rPr>
                <w:rStyle w:val="IndexLink"/>
              </w:rPr>
              <w:t>46</w:t>
            </w:r>
          </w:hyperlink>
        </w:p>
        <w:p>
          <w:pPr>
            <w:pStyle w:val="Contents3"/>
            <w:tabs>
              <w:tab w:val="clear" w:pos="8459"/>
              <w:tab w:val="right" w:pos="9026" w:leader="dot"/>
            </w:tabs>
            <w:rPr/>
          </w:pPr>
          <w:hyperlink w:anchor="__RefHeading___Toc2138452_2322387425">
            <w:r>
              <w:rPr>
                <w:webHidden/>
                <w:rStyle w:val="IndexLink"/>
                <w:rtl w:val="true"/>
              </w:rPr>
              <w:t>إبراء ذمّة الضامن والمضمون عنه</w:t>
            </w:r>
            <w:r>
              <w:rPr>
                <w:rStyle w:val="IndexLink"/>
                <w:rtl w:val="true"/>
              </w:rPr>
              <w:tab/>
            </w:r>
            <w:r>
              <w:rPr>
                <w:rStyle w:val="IndexLink"/>
              </w:rPr>
              <w:t>48</w:t>
            </w:r>
          </w:hyperlink>
        </w:p>
        <w:p>
          <w:pPr>
            <w:pStyle w:val="Contents3"/>
            <w:tabs>
              <w:tab w:val="clear" w:pos="8459"/>
              <w:tab w:val="right" w:pos="9026" w:leader="dot"/>
            </w:tabs>
            <w:rPr/>
          </w:pPr>
          <w:hyperlink w:anchor="__RefHeading___Toc2138454_2322387425">
            <w:r>
              <w:rPr>
                <w:webHidden/>
                <w:rStyle w:val="IndexLink"/>
                <w:rtl w:val="true"/>
              </w:rPr>
              <w:t>لزوم الضمان من طرف الضامن والمضمون له وحکم ضمان المعسر</w:t>
            </w:r>
            <w:r>
              <w:rPr>
                <w:rStyle w:val="IndexLink"/>
                <w:rtl w:val="true"/>
              </w:rPr>
              <w:tab/>
            </w:r>
            <w:r>
              <w:rPr>
                <w:rStyle w:val="IndexLink"/>
              </w:rPr>
              <w:t>50</w:t>
            </w:r>
          </w:hyperlink>
        </w:p>
        <w:p>
          <w:pPr>
            <w:pStyle w:val="Contents3"/>
            <w:tabs>
              <w:tab w:val="clear" w:pos="8459"/>
              <w:tab w:val="right" w:pos="9026" w:leader="dot"/>
            </w:tabs>
            <w:rPr/>
          </w:pPr>
          <w:hyperlink w:anchor="__RefHeading___Toc2138456_2322387425">
            <w:r>
              <w:rPr>
                <w:webHidden/>
                <w:rStyle w:val="IndexLink"/>
                <w:rtl w:val="true"/>
              </w:rPr>
              <w:t>اشتراط الخیار وغیره فی الضمان</w:t>
            </w:r>
            <w:r>
              <w:rPr>
                <w:rStyle w:val="IndexLink"/>
                <w:rtl w:val="true"/>
              </w:rPr>
              <w:tab/>
            </w:r>
            <w:r>
              <w:rPr>
                <w:rStyle w:val="IndexLink"/>
              </w:rPr>
              <w:t>51</w:t>
            </w:r>
          </w:hyperlink>
        </w:p>
        <w:p>
          <w:pPr>
            <w:pStyle w:val="Contents3"/>
            <w:tabs>
              <w:tab w:val="clear" w:pos="8459"/>
              <w:tab w:val="right" w:pos="9026" w:leader="dot"/>
            </w:tabs>
            <w:rPr/>
          </w:pPr>
          <w:hyperlink w:anchor="__RefHeading___Toc2138458_2322387425">
            <w:r>
              <w:rPr>
                <w:webHidden/>
                <w:rStyle w:val="IndexLink"/>
                <w:rtl w:val="true"/>
              </w:rPr>
              <w:t>تبیّن کون الضامن مملوکاً</w:t>
            </w:r>
            <w:r>
              <w:rPr>
                <w:rStyle w:val="IndexLink"/>
                <w:rtl w:val="true"/>
              </w:rPr>
              <w:tab/>
            </w:r>
            <w:r>
              <w:rPr>
                <w:rStyle w:val="IndexLink"/>
              </w:rPr>
              <w:t>53</w:t>
            </w:r>
          </w:hyperlink>
        </w:p>
        <w:p>
          <w:pPr>
            <w:pStyle w:val="Contents3"/>
            <w:tabs>
              <w:tab w:val="clear" w:pos="8459"/>
              <w:tab w:val="right" w:pos="9026" w:leader="dot"/>
            </w:tabs>
            <w:rPr/>
          </w:pPr>
          <w:hyperlink w:anchor="__RefHeading___Toc2138460_2322387425">
            <w:r>
              <w:rPr>
                <w:webHidden/>
                <w:rStyle w:val="IndexLink"/>
                <w:rtl w:val="true"/>
              </w:rPr>
              <w:t>ضمان الدَین الحالّ مؤجّلاً وبالعکس</w:t>
            </w:r>
            <w:r>
              <w:rPr>
                <w:rStyle w:val="IndexLink"/>
                <w:rtl w:val="true"/>
              </w:rPr>
              <w:tab/>
            </w:r>
            <w:r>
              <w:rPr>
                <w:rStyle w:val="IndexLink"/>
              </w:rPr>
              <w:t>53</w:t>
            </w:r>
          </w:hyperlink>
        </w:p>
        <w:p>
          <w:pPr>
            <w:pStyle w:val="Contents3"/>
            <w:tabs>
              <w:tab w:val="clear" w:pos="8459"/>
              <w:tab w:val="right" w:pos="9026" w:leader="dot"/>
            </w:tabs>
            <w:rPr/>
          </w:pPr>
          <w:hyperlink w:anchor="__RefHeading___Toc2138462_2322387425">
            <w:r>
              <w:rPr>
                <w:webHidden/>
                <w:rStyle w:val="IndexLink"/>
                <w:rtl w:val="true"/>
              </w:rPr>
              <w:t>موت الضامن وحلول الدَین المؤجّل</w:t>
            </w:r>
            <w:r>
              <w:rPr>
                <w:rStyle w:val="IndexLink"/>
                <w:rtl w:val="true"/>
              </w:rPr>
              <w:tab/>
            </w:r>
            <w:r>
              <w:rPr>
                <w:rStyle w:val="IndexLink"/>
              </w:rPr>
              <w:t>54</w:t>
            </w:r>
          </w:hyperlink>
        </w:p>
        <w:p>
          <w:pPr>
            <w:pStyle w:val="Contents3"/>
            <w:tabs>
              <w:tab w:val="clear" w:pos="8459"/>
              <w:tab w:val="right" w:pos="9026" w:leader="dot"/>
            </w:tabs>
            <w:rPr/>
          </w:pPr>
          <w:hyperlink w:anchor="__RefHeading___Toc2138464_2322387425">
            <w:r>
              <w:rPr>
                <w:webHidden/>
                <w:rStyle w:val="IndexLink"/>
                <w:rtl w:val="true"/>
              </w:rPr>
              <w:t>ضمان الدَین المؤجّل حالّاً بإذن المضمون عنه</w:t>
            </w:r>
            <w:r>
              <w:rPr>
                <w:rStyle w:val="IndexLink"/>
                <w:rtl w:val="true"/>
              </w:rPr>
              <w:tab/>
            </w:r>
            <w:r>
              <w:rPr>
                <w:rStyle w:val="IndexLink"/>
              </w:rPr>
              <w:t>54</w:t>
            </w:r>
          </w:hyperlink>
        </w:p>
        <w:p>
          <w:pPr>
            <w:pStyle w:val="Contents3"/>
            <w:tabs>
              <w:tab w:val="clear" w:pos="8459"/>
              <w:tab w:val="right" w:pos="9026" w:leader="dot"/>
            </w:tabs>
            <w:rPr/>
          </w:pPr>
          <w:hyperlink w:anchor="__RefHeading___Toc2138466_2322387425">
            <w:r>
              <w:rPr>
                <w:webHidden/>
                <w:rStyle w:val="IndexLink"/>
                <w:rtl w:val="true"/>
              </w:rPr>
              <w:t>ضمان الدَین المؤجّل بأقلّ من أجله وأدائه</w:t>
            </w:r>
            <w:r>
              <w:rPr>
                <w:rStyle w:val="IndexLink"/>
                <w:rtl w:val="true"/>
              </w:rPr>
              <w:tab/>
            </w:r>
            <w:r>
              <w:rPr>
                <w:rStyle w:val="IndexLink"/>
              </w:rPr>
              <w:t>54</w:t>
            </w:r>
          </w:hyperlink>
        </w:p>
        <w:p>
          <w:pPr>
            <w:pStyle w:val="Contents3"/>
            <w:tabs>
              <w:tab w:val="clear" w:pos="8459"/>
              <w:tab w:val="right" w:pos="9026" w:leader="dot"/>
            </w:tabs>
            <w:rPr/>
          </w:pPr>
          <w:hyperlink w:anchor="__RefHeading___Toc2138468_2322387425">
            <w:r>
              <w:rPr>
                <w:webHidden/>
                <w:rStyle w:val="IndexLink"/>
                <w:rtl w:val="true"/>
              </w:rPr>
              <w:t>حکم الضمان من غیر إذن المضمون عنه</w:t>
            </w:r>
            <w:r>
              <w:rPr>
                <w:rStyle w:val="IndexLink"/>
                <w:rtl w:val="true"/>
              </w:rPr>
              <w:tab/>
            </w:r>
            <w:r>
              <w:rPr>
                <w:rStyle w:val="IndexLink"/>
              </w:rPr>
              <w:t>55</w:t>
            </w:r>
          </w:hyperlink>
        </w:p>
        <w:p>
          <w:pPr>
            <w:pStyle w:val="Contents3"/>
            <w:tabs>
              <w:tab w:val="clear" w:pos="8459"/>
              <w:tab w:val="right" w:pos="9026" w:leader="dot"/>
            </w:tabs>
            <w:rPr/>
          </w:pPr>
          <w:hyperlink w:anchor="__RefHeading___Toc2138470_2322387425">
            <w:r>
              <w:rPr>
                <w:webHidden/>
                <w:rStyle w:val="IndexLink"/>
                <w:rtl w:val="true"/>
              </w:rPr>
              <w:t>لیس للضامن الرجوع إلّا بعد الأداء بمقدار ما أدّی</w:t>
            </w:r>
            <w:r>
              <w:rPr>
                <w:rStyle w:val="IndexLink"/>
                <w:rtl w:val="true"/>
              </w:rPr>
              <w:tab/>
            </w:r>
            <w:r>
              <w:rPr>
                <w:rStyle w:val="IndexLink"/>
              </w:rPr>
              <w:t>56</w:t>
            </w:r>
          </w:hyperlink>
        </w:p>
        <w:p>
          <w:pPr>
            <w:pStyle w:val="Contents3"/>
            <w:tabs>
              <w:tab w:val="clear" w:pos="8459"/>
              <w:tab w:val="right" w:pos="9026" w:leader="dot"/>
            </w:tabs>
            <w:rPr/>
          </w:pPr>
          <w:hyperlink w:anchor="__RefHeading___Toc2138472_2322387425">
            <w:r>
              <w:rPr>
                <w:webHidden/>
                <w:rStyle w:val="IndexLink"/>
                <w:rtl w:val="true"/>
              </w:rPr>
              <w:t>احتساب المضمون له الدَین علی الضامن من الحقوق الشرعیّة</w:t>
            </w:r>
            <w:r>
              <w:rPr>
                <w:rStyle w:val="IndexLink"/>
                <w:rtl w:val="true"/>
              </w:rPr>
              <w:tab/>
            </w:r>
            <w:r>
              <w:rPr>
                <w:rStyle w:val="IndexLink"/>
              </w:rPr>
              <w:t>61</w:t>
            </w:r>
          </w:hyperlink>
        </w:p>
        <w:p>
          <w:pPr>
            <w:pStyle w:val="Contents3"/>
            <w:tabs>
              <w:tab w:val="clear" w:pos="8459"/>
              <w:tab w:val="right" w:pos="9026" w:leader="dot"/>
            </w:tabs>
            <w:rPr/>
          </w:pPr>
          <w:hyperlink w:anchor="__RefHeading___Toc2138474_2322387425">
            <w:r>
              <w:rPr>
                <w:webHidden/>
                <w:rStyle w:val="IndexLink"/>
                <w:rtl w:val="true"/>
              </w:rPr>
              <w:t>بیع المضمون له بما یساوی أقلّ من الدَین</w:t>
            </w:r>
            <w:r>
              <w:rPr>
                <w:rStyle w:val="IndexLink"/>
                <w:rtl w:val="true"/>
              </w:rPr>
              <w:tab/>
            </w:r>
            <w:r>
              <w:rPr>
                <w:rStyle w:val="IndexLink"/>
              </w:rPr>
              <w:t>62</w:t>
            </w:r>
          </w:hyperlink>
        </w:p>
        <w:p>
          <w:pPr>
            <w:pStyle w:val="Contents3"/>
            <w:tabs>
              <w:tab w:val="clear" w:pos="8459"/>
              <w:tab w:val="right" w:pos="9026" w:leader="dot"/>
            </w:tabs>
            <w:rPr/>
          </w:pPr>
          <w:hyperlink w:anchor="__RefHeading___Toc2138476_2322387425">
            <w:r>
              <w:rPr>
                <w:webHidden/>
                <w:rStyle w:val="IndexLink"/>
                <w:rtl w:val="true"/>
              </w:rPr>
              <w:t>لو دفع المضمون عنه إلی الضامن مقدار ما ضمن قبل الأداء</w:t>
            </w:r>
            <w:r>
              <w:rPr>
                <w:rStyle w:val="IndexLink"/>
                <w:rtl w:val="true"/>
              </w:rPr>
              <w:tab/>
            </w:r>
            <w:r>
              <w:rPr>
                <w:rStyle w:val="IndexLink"/>
              </w:rPr>
              <w:t>64</w:t>
            </w:r>
          </w:hyperlink>
        </w:p>
        <w:p>
          <w:pPr>
            <w:pStyle w:val="Contents3"/>
            <w:tabs>
              <w:tab w:val="clear" w:pos="8459"/>
              <w:tab w:val="right" w:pos="9026" w:leader="dot"/>
            </w:tabs>
            <w:rPr/>
          </w:pPr>
          <w:hyperlink w:anchor="__RefHeading___Toc2138478_2322387425">
            <w:r>
              <w:rPr>
                <w:webHidden/>
                <w:rStyle w:val="IndexLink"/>
                <w:rtl w:val="true"/>
              </w:rPr>
              <w:t>لو دفع المضمون عنه بأمر الضامن</w:t>
            </w:r>
            <w:r>
              <w:rPr>
                <w:rStyle w:val="IndexLink"/>
                <w:rtl w:val="true"/>
              </w:rPr>
              <w:tab/>
            </w:r>
            <w:r>
              <w:rPr>
                <w:rStyle w:val="IndexLink"/>
              </w:rPr>
              <w:t>66</w:t>
            </w:r>
          </w:hyperlink>
        </w:p>
        <w:p>
          <w:pPr>
            <w:pStyle w:val="Contents3"/>
            <w:tabs>
              <w:tab w:val="clear" w:pos="8459"/>
              <w:tab w:val="right" w:pos="9026" w:leader="dot"/>
            </w:tabs>
            <w:rPr/>
          </w:pPr>
          <w:hyperlink w:anchor="__RefHeading___Toc2138480_2322387425">
            <w:r>
              <w:rPr>
                <w:webHidden/>
                <w:rStyle w:val="IndexLink"/>
                <w:rtl w:val="true"/>
              </w:rPr>
              <w:t>إذا دفع المضمون عنه بغیر إذن الضامن</w:t>
            </w:r>
            <w:r>
              <w:rPr>
                <w:rStyle w:val="IndexLink"/>
                <w:rtl w:val="true"/>
              </w:rPr>
              <w:tab/>
            </w:r>
            <w:r>
              <w:rPr>
                <w:rStyle w:val="IndexLink"/>
              </w:rPr>
              <w:t>68</w:t>
            </w:r>
          </w:hyperlink>
        </w:p>
        <w:p>
          <w:pPr>
            <w:pStyle w:val="Contents3"/>
            <w:tabs>
              <w:tab w:val="clear" w:pos="8459"/>
              <w:tab w:val="right" w:pos="9026" w:leader="dot"/>
            </w:tabs>
            <w:rPr/>
          </w:pPr>
          <w:hyperlink w:anchor="__RefHeading___Toc2138482_2322387425">
            <w:r>
              <w:rPr>
                <w:webHidden/>
                <w:rStyle w:val="IndexLink"/>
                <w:rtl w:val="true"/>
              </w:rPr>
              <w:t>إذا ضمن تبرّعاً فضمن عنه ضامن</w:t>
            </w:r>
            <w:r>
              <w:rPr>
                <w:rStyle w:val="IndexLink"/>
                <w:rtl w:val="true"/>
              </w:rPr>
              <w:tab/>
            </w:r>
            <w:r>
              <w:rPr>
                <w:rStyle w:val="IndexLink"/>
              </w:rPr>
              <w:t>68</w:t>
            </w:r>
          </w:hyperlink>
        </w:p>
        <w:p>
          <w:pPr>
            <w:pStyle w:val="Contents3"/>
            <w:tabs>
              <w:tab w:val="clear" w:pos="8459"/>
              <w:tab w:val="right" w:pos="9026" w:leader="dot"/>
            </w:tabs>
            <w:rPr/>
          </w:pPr>
          <w:hyperlink w:anchor="__RefHeading___Toc2138484_2322387425">
            <w:r>
              <w:rPr>
                <w:webHidden/>
                <w:rStyle w:val="IndexLink"/>
                <w:rtl w:val="true"/>
              </w:rPr>
              <w:t>ضمان الدَین بأقلّ منه أو أکثر</w:t>
            </w:r>
            <w:r>
              <w:rPr>
                <w:rStyle w:val="IndexLink"/>
                <w:rtl w:val="true"/>
              </w:rPr>
              <w:tab/>
            </w:r>
            <w:r>
              <w:rPr>
                <w:rStyle w:val="IndexLink"/>
              </w:rPr>
              <w:t>68</w:t>
            </w:r>
          </w:hyperlink>
        </w:p>
        <w:p>
          <w:pPr>
            <w:pStyle w:val="Contents3"/>
            <w:tabs>
              <w:tab w:val="clear" w:pos="8459"/>
              <w:tab w:val="right" w:pos="9026" w:leader="dot"/>
            </w:tabs>
            <w:rPr/>
          </w:pPr>
          <w:hyperlink w:anchor="__RefHeading___Toc2138486_2322387425">
            <w:r>
              <w:rPr>
                <w:webHidden/>
                <w:rStyle w:val="IndexLink"/>
                <w:rtl w:val="true"/>
              </w:rPr>
              <w:t>الضمان بغیر جنس الدَین</w:t>
            </w:r>
            <w:r>
              <w:rPr>
                <w:rStyle w:val="IndexLink"/>
                <w:rtl w:val="true"/>
              </w:rPr>
              <w:tab/>
            </w:r>
            <w:r>
              <w:rPr>
                <w:rStyle w:val="IndexLink"/>
              </w:rPr>
              <w:t>69</w:t>
            </w:r>
          </w:hyperlink>
        </w:p>
        <w:p>
          <w:pPr>
            <w:pStyle w:val="Contents3"/>
            <w:tabs>
              <w:tab w:val="clear" w:pos="8459"/>
              <w:tab w:val="right" w:pos="9026" w:leader="dot"/>
            </w:tabs>
            <w:rPr/>
          </w:pPr>
          <w:hyperlink w:anchor="__RefHeading___Toc2138488_2322387425">
            <w:r>
              <w:rPr>
                <w:webHidden/>
                <w:rStyle w:val="IndexLink"/>
                <w:rtl w:val="true"/>
              </w:rPr>
              <w:t>الضمان بشرط الرهانة</w:t>
            </w:r>
            <w:r>
              <w:rPr>
                <w:rStyle w:val="IndexLink"/>
                <w:rtl w:val="true"/>
              </w:rPr>
              <w:tab/>
            </w:r>
            <w:r>
              <w:rPr>
                <w:rStyle w:val="IndexLink"/>
              </w:rPr>
              <w:t>69</w:t>
            </w:r>
          </w:hyperlink>
        </w:p>
        <w:p>
          <w:pPr>
            <w:pStyle w:val="Contents3"/>
            <w:tabs>
              <w:tab w:val="clear" w:pos="8459"/>
              <w:tab w:val="right" w:pos="9026" w:leader="dot"/>
            </w:tabs>
            <w:rPr/>
          </w:pPr>
          <w:hyperlink w:anchor="__RefHeading___Toc2138490_2322387425">
            <w:r>
              <w:rPr>
                <w:webHidden/>
                <w:rStyle w:val="IndexLink"/>
                <w:rtl w:val="true"/>
              </w:rPr>
              <w:t>إذا کان علی الدَین رهن فهل ینفک بالضمان؟</w:t>
            </w:r>
            <w:r>
              <w:rPr>
                <w:rStyle w:val="IndexLink"/>
                <w:rtl w:val="true"/>
              </w:rPr>
              <w:tab/>
            </w:r>
            <w:r>
              <w:rPr>
                <w:rStyle w:val="IndexLink"/>
              </w:rPr>
              <w:t>70</w:t>
            </w:r>
          </w:hyperlink>
        </w:p>
        <w:p>
          <w:pPr>
            <w:pStyle w:val="Contents3"/>
            <w:tabs>
              <w:tab w:val="clear" w:pos="8459"/>
              <w:tab w:val="right" w:pos="9026" w:leader="dot"/>
            </w:tabs>
            <w:rPr/>
          </w:pPr>
          <w:hyperlink w:anchor="__RefHeading___Toc2138492_2322387425">
            <w:r>
              <w:rPr>
                <w:webHidden/>
                <w:rStyle w:val="IndexLink"/>
                <w:rtl w:val="true"/>
              </w:rPr>
              <w:t>اشتراط الضمان فی مالٍ معیّن وما فیه من أقسام</w:t>
            </w:r>
            <w:r>
              <w:rPr>
                <w:rStyle w:val="IndexLink"/>
                <w:rtl w:val="true"/>
              </w:rPr>
              <w:tab/>
            </w:r>
            <w:r>
              <w:rPr>
                <w:rStyle w:val="IndexLink"/>
              </w:rPr>
              <w:t>72</w:t>
            </w:r>
          </w:hyperlink>
        </w:p>
        <w:p>
          <w:pPr>
            <w:pStyle w:val="Contents3"/>
            <w:tabs>
              <w:tab w:val="clear" w:pos="8459"/>
              <w:tab w:val="right" w:pos="9026" w:leader="dot"/>
            </w:tabs>
            <w:rPr/>
          </w:pPr>
          <w:hyperlink w:anchor="__RefHeading___Toc2138494_2322387425">
            <w:r>
              <w:rPr>
                <w:webHidden/>
                <w:rStyle w:val="IndexLink"/>
                <w:rtl w:val="true"/>
              </w:rPr>
              <w:t>إذن المولی لعبده بالضمان فی کسبه</w:t>
            </w:r>
            <w:r>
              <w:rPr>
                <w:rStyle w:val="IndexLink"/>
                <w:rtl w:val="true"/>
              </w:rPr>
              <w:tab/>
            </w:r>
            <w:r>
              <w:rPr>
                <w:rStyle w:val="IndexLink"/>
              </w:rPr>
              <w:t>76</w:t>
            </w:r>
          </w:hyperlink>
        </w:p>
        <w:p>
          <w:pPr>
            <w:pStyle w:val="Contents3"/>
            <w:tabs>
              <w:tab w:val="clear" w:pos="8459"/>
              <w:tab w:val="right" w:pos="9026" w:leader="dot"/>
            </w:tabs>
            <w:rPr/>
          </w:pPr>
          <w:hyperlink w:anchor="__RefHeading___Toc2138496_2322387425">
            <w:r>
              <w:rPr>
                <w:webHidden/>
                <w:rStyle w:val="IndexLink"/>
                <w:rtl w:val="true"/>
              </w:rPr>
              <w:t>ضمان إثنین عن واحد</w:t>
            </w:r>
            <w:r>
              <w:rPr>
                <w:rStyle w:val="IndexLink"/>
                <w:rtl w:val="true"/>
              </w:rPr>
              <w:tab/>
            </w:r>
            <w:r>
              <w:rPr>
                <w:rStyle w:val="IndexLink"/>
              </w:rPr>
              <w:t>77</w:t>
            </w:r>
          </w:hyperlink>
        </w:p>
        <w:p>
          <w:pPr>
            <w:pStyle w:val="Contents3"/>
            <w:tabs>
              <w:tab w:val="clear" w:pos="8459"/>
              <w:tab w:val="right" w:pos="9026" w:leader="dot"/>
            </w:tabs>
            <w:rPr/>
          </w:pPr>
          <w:hyperlink w:anchor="__RefHeading___Toc2138498_2322387425">
            <w:r>
              <w:rPr>
                <w:webHidden/>
                <w:rStyle w:val="IndexLink"/>
                <w:rtl w:val="true"/>
              </w:rPr>
              <w:t>ضمان کلّ من المدینین ما علیه للاخر</w:t>
            </w:r>
            <w:r>
              <w:rPr>
                <w:rStyle w:val="IndexLink"/>
                <w:rtl w:val="true"/>
              </w:rPr>
              <w:tab/>
            </w:r>
            <w:r>
              <w:rPr>
                <w:rStyle w:val="IndexLink"/>
              </w:rPr>
              <w:t>81</w:t>
            </w:r>
          </w:hyperlink>
        </w:p>
        <w:p>
          <w:pPr>
            <w:pStyle w:val="Contents3"/>
            <w:tabs>
              <w:tab w:val="clear" w:pos="8459"/>
              <w:tab w:val="right" w:pos="9026" w:leader="dot"/>
            </w:tabs>
            <w:rPr/>
          </w:pPr>
          <w:hyperlink w:anchor="__RefHeading___Toc2138500_2322387425">
            <w:r>
              <w:rPr>
                <w:webHidden/>
                <w:rStyle w:val="IndexLink"/>
                <w:rtl w:val="true"/>
              </w:rPr>
              <w:t>عدم اعتبار علم الضامن بثبوت الدَین</w:t>
            </w:r>
            <w:r>
              <w:rPr>
                <w:rStyle w:val="IndexLink"/>
                <w:rtl w:val="true"/>
              </w:rPr>
              <w:tab/>
            </w:r>
            <w:r>
              <w:rPr>
                <w:rStyle w:val="IndexLink"/>
              </w:rPr>
              <w:t>84</w:t>
            </w:r>
          </w:hyperlink>
        </w:p>
        <w:p>
          <w:pPr>
            <w:pStyle w:val="Contents3"/>
            <w:tabs>
              <w:tab w:val="clear" w:pos="8459"/>
              <w:tab w:val="right" w:pos="9026" w:leader="dot"/>
            </w:tabs>
            <w:rPr/>
          </w:pPr>
          <w:hyperlink w:anchor="__RefHeading___Toc2138502_2322387425">
            <w:r>
              <w:rPr>
                <w:webHidden/>
                <w:rStyle w:val="IndexLink"/>
                <w:rtl w:val="true"/>
              </w:rPr>
              <w:t>ضمان ما تشهد به البیّنة</w:t>
            </w:r>
            <w:r>
              <w:rPr>
                <w:rStyle w:val="IndexLink"/>
                <w:rtl w:val="true"/>
              </w:rPr>
              <w:tab/>
            </w:r>
            <w:r>
              <w:rPr>
                <w:rStyle w:val="IndexLink"/>
              </w:rPr>
              <w:t>85</w:t>
            </w:r>
          </w:hyperlink>
        </w:p>
        <w:p>
          <w:pPr>
            <w:pStyle w:val="Contents3"/>
            <w:tabs>
              <w:tab w:val="clear" w:pos="8459"/>
              <w:tab w:val="right" w:pos="9026" w:leader="dot"/>
            </w:tabs>
            <w:rPr/>
          </w:pPr>
          <w:hyperlink w:anchor="__RefHeading___Toc2138504_2322387425">
            <w:r>
              <w:rPr>
                <w:webHidden/>
                <w:rStyle w:val="IndexLink"/>
                <w:rtl w:val="true"/>
              </w:rPr>
              <w:t>جواز الدور فی الضمان</w:t>
            </w:r>
            <w:r>
              <w:rPr>
                <w:rStyle w:val="IndexLink"/>
                <w:rtl w:val="true"/>
              </w:rPr>
              <w:tab/>
            </w:r>
            <w:r>
              <w:rPr>
                <w:rStyle w:val="IndexLink"/>
              </w:rPr>
              <w:t>87</w:t>
            </w:r>
          </w:hyperlink>
        </w:p>
        <w:p>
          <w:pPr>
            <w:pStyle w:val="Contents3"/>
            <w:tabs>
              <w:tab w:val="clear" w:pos="8459"/>
              <w:tab w:val="right" w:pos="9026" w:leader="dot"/>
            </w:tabs>
            <w:rPr/>
          </w:pPr>
          <w:hyperlink w:anchor="__RefHeading___Toc2138506_2322387425">
            <w:r>
              <w:rPr>
                <w:webHidden/>
                <w:rStyle w:val="IndexLink"/>
                <w:rtl w:val="true"/>
              </w:rPr>
              <w:t>ضمان دَین الفقیر بالوفاء من الخمس ونحوه</w:t>
            </w:r>
            <w:r>
              <w:rPr>
                <w:rStyle w:val="IndexLink"/>
                <w:rtl w:val="true"/>
              </w:rPr>
              <w:tab/>
            </w:r>
            <w:r>
              <w:rPr>
                <w:rStyle w:val="IndexLink"/>
              </w:rPr>
              <w:t>87</w:t>
            </w:r>
          </w:hyperlink>
        </w:p>
        <w:p>
          <w:pPr>
            <w:pStyle w:val="Contents3"/>
            <w:tabs>
              <w:tab w:val="clear" w:pos="8459"/>
              <w:tab w:val="right" w:pos="9026" w:leader="dot"/>
            </w:tabs>
            <w:rPr/>
          </w:pPr>
          <w:hyperlink w:anchor="__RefHeading___Toc2138508_2322387425">
            <w:r>
              <w:rPr>
                <w:webHidden/>
                <w:rStyle w:val="IndexLink"/>
                <w:rtl w:val="true"/>
              </w:rPr>
              <w:t>کون الدَین زکاةً أو خمساً</w:t>
            </w:r>
            <w:r>
              <w:rPr>
                <w:rStyle w:val="IndexLink"/>
                <w:rtl w:val="true"/>
              </w:rPr>
              <w:tab/>
            </w:r>
            <w:r>
              <w:rPr>
                <w:rStyle w:val="IndexLink"/>
              </w:rPr>
              <w:t>90</w:t>
            </w:r>
          </w:hyperlink>
        </w:p>
        <w:p>
          <w:pPr>
            <w:pStyle w:val="Contents3"/>
            <w:tabs>
              <w:tab w:val="clear" w:pos="8459"/>
              <w:tab w:val="right" w:pos="9026" w:leader="dot"/>
            </w:tabs>
            <w:rPr/>
          </w:pPr>
          <w:hyperlink w:anchor="__RefHeading___Toc2138510_2322387425">
            <w:r>
              <w:rPr>
                <w:webHidden/>
                <w:rStyle w:val="IndexLink"/>
                <w:rtl w:val="true"/>
              </w:rPr>
              <w:t>الضمان فی مرض الموت</w:t>
            </w:r>
            <w:r>
              <w:rPr>
                <w:rStyle w:val="IndexLink"/>
                <w:rtl w:val="true"/>
              </w:rPr>
              <w:tab/>
            </w:r>
            <w:r>
              <w:rPr>
                <w:rStyle w:val="IndexLink"/>
              </w:rPr>
              <w:t>91</w:t>
            </w:r>
          </w:hyperlink>
        </w:p>
        <w:p>
          <w:pPr>
            <w:pStyle w:val="Contents3"/>
            <w:tabs>
              <w:tab w:val="clear" w:pos="8459"/>
              <w:tab w:val="right" w:pos="9026" w:leader="dot"/>
            </w:tabs>
            <w:rPr/>
          </w:pPr>
          <w:hyperlink w:anchor="__RefHeading___Toc2138512_2322387425">
            <w:r>
              <w:rPr>
                <w:webHidden/>
                <w:rStyle w:val="IndexLink"/>
                <w:rtl w:val="true"/>
              </w:rPr>
              <w:t>ضمان ما یعتبر مباشرة المدیون له وضمان الکلّی فی المعیّن</w:t>
            </w:r>
            <w:r>
              <w:rPr>
                <w:rStyle w:val="IndexLink"/>
                <w:rtl w:val="true"/>
              </w:rPr>
              <w:tab/>
            </w:r>
            <w:r>
              <w:rPr>
                <w:rStyle w:val="IndexLink"/>
              </w:rPr>
              <w:t>91</w:t>
            </w:r>
          </w:hyperlink>
        </w:p>
        <w:p>
          <w:pPr>
            <w:pStyle w:val="Contents3"/>
            <w:tabs>
              <w:tab w:val="clear" w:pos="8459"/>
              <w:tab w:val="right" w:pos="9026" w:leader="dot"/>
            </w:tabs>
            <w:rPr/>
          </w:pPr>
          <w:hyperlink w:anchor="__RefHeading___Toc2138514_2322387425">
            <w:r>
              <w:rPr>
                <w:webHidden/>
                <w:rStyle w:val="IndexLink"/>
                <w:rtl w:val="true"/>
              </w:rPr>
              <w:t>حکم ضمان نفقة الزوجة والأقارب</w:t>
            </w:r>
            <w:r>
              <w:rPr>
                <w:rStyle w:val="IndexLink"/>
                <w:rtl w:val="true"/>
              </w:rPr>
              <w:tab/>
            </w:r>
            <w:r>
              <w:rPr>
                <w:rStyle w:val="IndexLink"/>
              </w:rPr>
              <w:t>92</w:t>
            </w:r>
          </w:hyperlink>
        </w:p>
        <w:p>
          <w:pPr>
            <w:pStyle w:val="Contents3"/>
            <w:tabs>
              <w:tab w:val="clear" w:pos="8459"/>
              <w:tab w:val="right" w:pos="9026" w:leader="dot"/>
            </w:tabs>
            <w:rPr/>
          </w:pPr>
          <w:hyperlink w:anchor="__RefHeading___Toc2138516_2322387425">
            <w:r>
              <w:rPr>
                <w:webHidden/>
                <w:rStyle w:val="IndexLink"/>
                <w:rtl w:val="true"/>
              </w:rPr>
              <w:t>ضمان مال الکتابة</w:t>
            </w:r>
            <w:r>
              <w:rPr>
                <w:rStyle w:val="IndexLink"/>
                <w:rtl w:val="true"/>
              </w:rPr>
              <w:tab/>
            </w:r>
            <w:r>
              <w:rPr>
                <w:rStyle w:val="IndexLink"/>
              </w:rPr>
              <w:t>95</w:t>
            </w:r>
          </w:hyperlink>
        </w:p>
        <w:p>
          <w:pPr>
            <w:pStyle w:val="Contents3"/>
            <w:tabs>
              <w:tab w:val="clear" w:pos="8459"/>
              <w:tab w:val="right" w:pos="9026" w:leader="dot"/>
            </w:tabs>
            <w:rPr/>
          </w:pPr>
          <w:hyperlink w:anchor="__RefHeading___Toc2138518_2322387425">
            <w:r>
              <w:rPr>
                <w:webHidden/>
                <w:rStyle w:val="IndexLink"/>
                <w:rtl w:val="true"/>
              </w:rPr>
              <w:t>حکم ضمان مال الجعالة والسبق والرمایة</w:t>
            </w:r>
            <w:r>
              <w:rPr>
                <w:rStyle w:val="IndexLink"/>
                <w:rtl w:val="true"/>
              </w:rPr>
              <w:tab/>
            </w:r>
            <w:r>
              <w:rPr>
                <w:rStyle w:val="IndexLink"/>
              </w:rPr>
              <w:t>96</w:t>
            </w:r>
          </w:hyperlink>
        </w:p>
        <w:p>
          <w:pPr>
            <w:pStyle w:val="Contents3"/>
            <w:tabs>
              <w:tab w:val="clear" w:pos="8459"/>
              <w:tab w:val="right" w:pos="9026" w:leader="dot"/>
            </w:tabs>
            <w:rPr/>
          </w:pPr>
          <w:hyperlink w:anchor="__RefHeading___Toc2138520_2322387425">
            <w:r>
              <w:rPr>
                <w:webHidden/>
                <w:rStyle w:val="IndexLink"/>
                <w:rtl w:val="true"/>
              </w:rPr>
              <w:t>حکم ضمان الأعیان المضمونة</w:t>
            </w:r>
            <w:r>
              <w:rPr>
                <w:rStyle w:val="IndexLink"/>
                <w:rtl w:val="true"/>
              </w:rPr>
              <w:tab/>
            </w:r>
            <w:r>
              <w:rPr>
                <w:rStyle w:val="IndexLink"/>
              </w:rPr>
              <w:t>98</w:t>
            </w:r>
          </w:hyperlink>
        </w:p>
        <w:p>
          <w:pPr>
            <w:pStyle w:val="Contents3"/>
            <w:tabs>
              <w:tab w:val="clear" w:pos="8459"/>
              <w:tab w:val="right" w:pos="9026" w:leader="dot"/>
            </w:tabs>
            <w:rPr/>
          </w:pPr>
          <w:hyperlink w:anchor="__RefHeading___Toc2138522_2322387425">
            <w:r>
              <w:rPr>
                <w:webHidden/>
                <w:rStyle w:val="IndexLink"/>
                <w:rtl w:val="true"/>
              </w:rPr>
              <w:t>حکم ضمان درک الثمن للمشتری</w:t>
            </w:r>
            <w:r>
              <w:rPr>
                <w:rStyle w:val="IndexLink"/>
                <w:rtl w:val="true"/>
              </w:rPr>
              <w:tab/>
            </w:r>
            <w:r>
              <w:rPr>
                <w:rStyle w:val="IndexLink"/>
              </w:rPr>
              <w:t>103</w:t>
            </w:r>
          </w:hyperlink>
        </w:p>
        <w:p>
          <w:pPr>
            <w:pStyle w:val="Contents3"/>
            <w:tabs>
              <w:tab w:val="clear" w:pos="8459"/>
              <w:tab w:val="right" w:pos="9026" w:leader="dot"/>
            </w:tabs>
            <w:rPr/>
          </w:pPr>
          <w:hyperlink w:anchor="__RefHeading___Toc2138524_2322387425">
            <w:r>
              <w:rPr>
                <w:webHidden/>
                <w:rStyle w:val="IndexLink"/>
                <w:rtl w:val="true"/>
              </w:rPr>
              <w:t>ضمان أرش المعیب</w:t>
            </w:r>
            <w:r>
              <w:rPr>
                <w:rStyle w:val="IndexLink"/>
                <w:rtl w:val="true"/>
              </w:rPr>
              <w:tab/>
            </w:r>
            <w:r>
              <w:rPr>
                <w:rStyle w:val="IndexLink"/>
              </w:rPr>
              <w:t>106</w:t>
            </w:r>
          </w:hyperlink>
        </w:p>
        <w:p>
          <w:pPr>
            <w:pStyle w:val="Contents3"/>
            <w:tabs>
              <w:tab w:val="clear" w:pos="8459"/>
              <w:tab w:val="right" w:pos="9026" w:leader="dot"/>
            </w:tabs>
            <w:rPr/>
          </w:pPr>
          <w:hyperlink w:anchor="__RefHeading___Toc2138526_2322387425">
            <w:r>
              <w:rPr>
                <w:webHidden/>
                <w:rStyle w:val="IndexLink"/>
                <w:rtl w:val="true"/>
              </w:rPr>
              <w:t>ضمان عهدة الثمن وتبیّن بعض المبیع مستحقّاً</w:t>
            </w:r>
            <w:r>
              <w:rPr>
                <w:rStyle w:val="IndexLink"/>
                <w:rtl w:val="true"/>
              </w:rPr>
              <w:tab/>
            </w:r>
            <w:r>
              <w:rPr>
                <w:rStyle w:val="IndexLink"/>
              </w:rPr>
              <w:t>106</w:t>
            </w:r>
          </w:hyperlink>
        </w:p>
        <w:p>
          <w:pPr>
            <w:pStyle w:val="Contents3"/>
            <w:tabs>
              <w:tab w:val="clear" w:pos="8459"/>
              <w:tab w:val="right" w:pos="9026" w:leader="dot"/>
            </w:tabs>
            <w:rPr/>
          </w:pPr>
          <w:hyperlink w:anchor="__RefHeading___Toc2138528_2322387425">
            <w:r>
              <w:rPr>
                <w:webHidden/>
                <w:rStyle w:val="IndexLink"/>
                <w:rtl w:val="true"/>
              </w:rPr>
              <w:t>ضمان ما یحدثه المشتری فی الأرض</w:t>
            </w:r>
            <w:r>
              <w:rPr>
                <w:rStyle w:val="IndexLink"/>
                <w:rtl w:val="true"/>
              </w:rPr>
              <w:tab/>
            </w:r>
            <w:r>
              <w:rPr>
                <w:rStyle w:val="IndexLink"/>
              </w:rPr>
              <w:t>107</w:t>
            </w:r>
          </w:hyperlink>
        </w:p>
        <w:p>
          <w:pPr>
            <w:pStyle w:val="Contents3"/>
            <w:tabs>
              <w:tab w:val="clear" w:pos="8459"/>
              <w:tab w:val="right" w:pos="9026" w:leader="dot"/>
            </w:tabs>
            <w:rPr/>
          </w:pPr>
          <w:hyperlink w:anchor="__RefHeading___Toc2138530_2322387425">
            <w:r>
              <w:rPr>
                <w:webHidden/>
                <w:rStyle w:val="IndexLink"/>
                <w:rtl w:val="true"/>
              </w:rPr>
              <w:t>ضمان المتاع الملقی فی البحر لغرضٍ عقلائی</w:t>
            </w:r>
            <w:r>
              <w:rPr>
                <w:rStyle w:val="IndexLink"/>
                <w:rtl w:val="true"/>
              </w:rPr>
              <w:tab/>
            </w:r>
            <w:r>
              <w:rPr>
                <w:rStyle w:val="IndexLink"/>
              </w:rPr>
              <w:t>110</w:t>
            </w:r>
          </w:hyperlink>
        </w:p>
        <w:p>
          <w:pPr>
            <w:pStyle w:val="Contents3"/>
            <w:tabs>
              <w:tab w:val="clear" w:pos="8459"/>
              <w:tab w:val="right" w:pos="9026" w:leader="dot"/>
            </w:tabs>
            <w:rPr/>
          </w:pPr>
          <w:hyperlink w:anchor="__RefHeading___Toc2138532_2322387425">
            <w:r>
              <w:rPr>
                <w:webHidden/>
                <w:rStyle w:val="IndexLink"/>
                <w:rtl w:val="true"/>
              </w:rPr>
              <w:t>اختلاف المضمون له والمضمون عنه</w:t>
            </w:r>
            <w:r>
              <w:rPr>
                <w:rStyle w:val="IndexLink"/>
                <w:rtl w:val="true"/>
              </w:rPr>
              <w:tab/>
            </w:r>
            <w:r>
              <w:rPr>
                <w:rStyle w:val="IndexLink"/>
              </w:rPr>
              <w:t>112</w:t>
            </w:r>
          </w:hyperlink>
        </w:p>
        <w:p>
          <w:pPr>
            <w:pStyle w:val="Contents3"/>
            <w:tabs>
              <w:tab w:val="clear" w:pos="8459"/>
              <w:tab w:val="right" w:pos="9026" w:leader="dot"/>
            </w:tabs>
            <w:rPr/>
          </w:pPr>
          <w:hyperlink w:anchor="__RefHeading___Toc2138534_2322387425">
            <w:r>
              <w:rPr>
                <w:webHidden/>
                <w:rStyle w:val="IndexLink"/>
                <w:rtl w:val="true"/>
              </w:rPr>
              <w:t>اختلاف الضامن والمضمون له</w:t>
            </w:r>
            <w:r>
              <w:rPr>
                <w:rStyle w:val="IndexLink"/>
                <w:rtl w:val="true"/>
              </w:rPr>
              <w:tab/>
            </w:r>
            <w:r>
              <w:rPr>
                <w:rStyle w:val="IndexLink"/>
              </w:rPr>
              <w:t>114</w:t>
            </w:r>
          </w:hyperlink>
        </w:p>
        <w:p>
          <w:pPr>
            <w:pStyle w:val="Contents3"/>
            <w:tabs>
              <w:tab w:val="clear" w:pos="8459"/>
              <w:tab w:val="right" w:pos="9026" w:leader="dot"/>
            </w:tabs>
            <w:rPr/>
          </w:pPr>
          <w:hyperlink w:anchor="__RefHeading___Toc2138536_2322387425">
            <w:r>
              <w:rPr>
                <w:webHidden/>
                <w:rStyle w:val="IndexLink"/>
                <w:rtl w:val="true"/>
              </w:rPr>
              <w:t>اختلاف الضامن والمضمون عنه</w:t>
            </w:r>
            <w:r>
              <w:rPr>
                <w:rStyle w:val="IndexLink"/>
                <w:rtl w:val="true"/>
              </w:rPr>
              <w:tab/>
            </w:r>
            <w:r>
              <w:rPr>
                <w:rStyle w:val="IndexLink"/>
              </w:rPr>
              <w:t>114</w:t>
            </w:r>
          </w:hyperlink>
        </w:p>
        <w:p>
          <w:pPr>
            <w:pStyle w:val="Contents3"/>
            <w:tabs>
              <w:tab w:val="clear" w:pos="8459"/>
              <w:tab w:val="right" w:pos="9026" w:leader="dot"/>
            </w:tabs>
            <w:rPr/>
          </w:pPr>
          <w:hyperlink w:anchor="__RefHeading___Toc2138538_2322387425">
            <w:r>
              <w:rPr>
                <w:webHidden/>
                <w:rStyle w:val="IndexLink"/>
                <w:rtl w:val="true"/>
              </w:rPr>
              <w:t>إنکار الضامن الضمان</w:t>
            </w:r>
            <w:r>
              <w:rPr>
                <w:rStyle w:val="IndexLink"/>
                <w:rtl w:val="true"/>
              </w:rPr>
              <w:tab/>
            </w:r>
            <w:r>
              <w:rPr>
                <w:rStyle w:val="IndexLink"/>
              </w:rPr>
              <w:t>116</w:t>
            </w:r>
          </w:hyperlink>
        </w:p>
        <w:p>
          <w:pPr>
            <w:pStyle w:val="Contents3"/>
            <w:tabs>
              <w:tab w:val="clear" w:pos="8459"/>
              <w:tab w:val="right" w:pos="9026" w:leader="dot"/>
            </w:tabs>
            <w:rPr/>
          </w:pPr>
          <w:hyperlink w:anchor="__RefHeading___Toc2138540_2322387425">
            <w:r>
              <w:rPr>
                <w:webHidden/>
                <w:rStyle w:val="IndexLink"/>
                <w:rtl w:val="true"/>
              </w:rPr>
              <w:t>لو ادّعی الضامن الوفاء وأنکر المضمون له</w:t>
            </w:r>
            <w:r>
              <w:rPr>
                <w:rStyle w:val="IndexLink"/>
                <w:rtl w:val="true"/>
              </w:rPr>
              <w:tab/>
            </w:r>
            <w:r>
              <w:rPr>
                <w:rStyle w:val="IndexLink"/>
              </w:rPr>
              <w:t>120</w:t>
            </w:r>
          </w:hyperlink>
        </w:p>
        <w:p>
          <w:pPr>
            <w:pStyle w:val="Contents3"/>
            <w:tabs>
              <w:tab w:val="clear" w:pos="8459"/>
              <w:tab w:val="right" w:pos="9026" w:leader="dot"/>
            </w:tabs>
            <w:rPr/>
          </w:pPr>
          <w:hyperlink w:anchor="__RefHeading___Toc2138542_2322387425">
            <w:r>
              <w:rPr>
                <w:webHidden/>
                <w:rStyle w:val="IndexLink"/>
                <w:rtl w:val="true"/>
              </w:rPr>
              <w:t>لو أذِن له المدین فی وفاء دینه بلا ضمان فوفی</w:t>
            </w:r>
            <w:r>
              <w:rPr>
                <w:rStyle w:val="IndexLink"/>
                <w:rtl w:val="true"/>
              </w:rPr>
              <w:tab/>
            </w:r>
            <w:r>
              <w:rPr>
                <w:rStyle w:val="IndexLink"/>
              </w:rPr>
              <w:t>120</w:t>
            </w:r>
          </w:hyperlink>
        </w:p>
        <w:p>
          <w:pPr>
            <w:pStyle w:val="Contents2"/>
            <w:tabs>
              <w:tab w:val="clear" w:pos="8743"/>
              <w:tab w:val="right" w:pos="9026" w:leader="dot"/>
            </w:tabs>
            <w:rPr/>
          </w:pPr>
          <w:hyperlink w:anchor="__RefHeading___Toc2138544_2322387425">
            <w:r>
              <w:rPr>
                <w:webHidden/>
                <w:rStyle w:val="IndexLink"/>
                <w:rtl w:val="true"/>
              </w:rPr>
              <w:t>کتاب الحوالة</w:t>
            </w:r>
            <w:r>
              <w:rPr>
                <w:rStyle w:val="IndexLink"/>
                <w:rtl w:val="true"/>
              </w:rPr>
              <w:tab/>
            </w:r>
            <w:r>
              <w:rPr>
                <w:rStyle w:val="IndexLink"/>
              </w:rPr>
              <w:t>122</w:t>
            </w:r>
          </w:hyperlink>
        </w:p>
        <w:p>
          <w:pPr>
            <w:pStyle w:val="Contents3"/>
            <w:tabs>
              <w:tab w:val="clear" w:pos="8459"/>
              <w:tab w:val="right" w:pos="9026" w:leader="dot"/>
            </w:tabs>
            <w:rPr/>
          </w:pPr>
          <w:hyperlink w:anchor="__RefHeading___Toc2138546_2322387425">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138548_2322387425">
            <w:r>
              <w:rPr>
                <w:webHidden/>
                <w:rStyle w:val="IndexLink"/>
                <w:rtl w:val="true"/>
              </w:rPr>
              <w:t>تعریف الحوالة وشرائطها العامّة</w:t>
            </w:r>
            <w:r>
              <w:rPr>
                <w:rStyle w:val="IndexLink"/>
                <w:rtl w:val="true"/>
              </w:rPr>
              <w:tab/>
            </w:r>
            <w:r>
              <w:rPr>
                <w:rStyle w:val="IndexLink"/>
              </w:rPr>
              <w:t>124</w:t>
            </w:r>
          </w:hyperlink>
        </w:p>
        <w:p>
          <w:pPr>
            <w:pStyle w:val="Contents3"/>
            <w:tabs>
              <w:tab w:val="clear" w:pos="8459"/>
              <w:tab w:val="right" w:pos="9026" w:leader="dot"/>
            </w:tabs>
            <w:rPr/>
          </w:pPr>
          <w:hyperlink w:anchor="__RefHeading___Toc2138550_2322387425">
            <w:r>
              <w:rPr>
                <w:webHidden/>
                <w:rStyle w:val="IndexLink"/>
                <w:rtl w:val="true"/>
              </w:rPr>
              <w:t>الشرائط المعتبرة فی الحوالة</w:t>
            </w:r>
            <w:r>
              <w:rPr>
                <w:rStyle w:val="IndexLink"/>
                <w:rtl w:val="true"/>
              </w:rPr>
              <w:tab/>
            </w:r>
            <w:r>
              <w:rPr>
                <w:rStyle w:val="IndexLink"/>
              </w:rPr>
              <w:t>127</w:t>
            </w:r>
          </w:hyperlink>
        </w:p>
        <w:p>
          <w:pPr>
            <w:pStyle w:val="Contents4"/>
            <w:tabs>
              <w:tab w:val="clear" w:pos="8176"/>
              <w:tab w:val="right" w:pos="9026" w:leader="dot"/>
            </w:tabs>
            <w:rPr/>
          </w:pPr>
          <w:hyperlink w:anchor="__RefHeading___Toc2138552_2322387425">
            <w:r>
              <w:rPr>
                <w:webHidden/>
                <w:rStyle w:val="IndexLink"/>
                <w:rtl w:val="true"/>
              </w:rPr>
              <w:t>الأوّل</w:t>
            </w:r>
            <w:r>
              <w:rPr>
                <w:rStyle w:val="IndexLink"/>
                <w:rtl w:val="true"/>
              </w:rPr>
              <w:t xml:space="preserve">: </w:t>
            </w:r>
            <w:r>
              <w:rPr>
                <w:rStyle w:val="IndexLink"/>
                <w:rtl w:val="true"/>
              </w:rPr>
              <w:t>الإیجاب والقبول</w:t>
            </w:r>
            <w:r>
              <w:rPr>
                <w:rStyle w:val="IndexLink"/>
                <w:rtl w:val="true"/>
              </w:rPr>
              <w:tab/>
            </w:r>
            <w:r>
              <w:rPr>
                <w:rStyle w:val="IndexLink"/>
              </w:rPr>
              <w:t>127</w:t>
            </w:r>
          </w:hyperlink>
        </w:p>
        <w:p>
          <w:pPr>
            <w:pStyle w:val="Contents4"/>
            <w:tabs>
              <w:tab w:val="clear" w:pos="8176"/>
              <w:tab w:val="right" w:pos="9026" w:leader="dot"/>
            </w:tabs>
            <w:rPr/>
          </w:pPr>
          <w:hyperlink w:anchor="__RefHeading___Toc2138554_2322387425">
            <w:r>
              <w:rPr>
                <w:webHidden/>
                <w:rStyle w:val="IndexLink"/>
                <w:rtl w:val="true"/>
              </w:rPr>
              <w:t>الثانی</w:t>
            </w:r>
            <w:r>
              <w:rPr>
                <w:rStyle w:val="IndexLink"/>
                <w:rtl w:val="true"/>
              </w:rPr>
              <w:t xml:space="preserve">: </w:t>
            </w:r>
            <w:r>
              <w:rPr>
                <w:rStyle w:val="IndexLink"/>
                <w:rtl w:val="true"/>
              </w:rPr>
              <w:t>التنجیز</w:t>
            </w:r>
            <w:r>
              <w:rPr>
                <w:rStyle w:val="IndexLink"/>
                <w:rtl w:val="true"/>
              </w:rPr>
              <w:tab/>
            </w:r>
            <w:r>
              <w:rPr>
                <w:rStyle w:val="IndexLink"/>
              </w:rPr>
              <w:t>137</w:t>
            </w:r>
          </w:hyperlink>
        </w:p>
        <w:p>
          <w:pPr>
            <w:pStyle w:val="Contents4"/>
            <w:tabs>
              <w:tab w:val="clear" w:pos="8176"/>
              <w:tab w:val="right" w:pos="9026" w:leader="dot"/>
            </w:tabs>
            <w:rPr/>
          </w:pPr>
          <w:hyperlink w:anchor="__RefHeading___Toc2138556_2322387425">
            <w:r>
              <w:rPr>
                <w:webHidden/>
                <w:rStyle w:val="IndexLink"/>
                <w:rtl w:val="true"/>
              </w:rPr>
              <w:t>الثالث</w:t>
            </w:r>
            <w:r>
              <w:rPr>
                <w:rStyle w:val="IndexLink"/>
                <w:rtl w:val="true"/>
              </w:rPr>
              <w:t xml:space="preserve">: </w:t>
            </w:r>
            <w:r>
              <w:rPr>
                <w:rStyle w:val="IndexLink"/>
                <w:rtl w:val="true"/>
              </w:rPr>
              <w:t>الرضا من المحیل والمحتال</w:t>
            </w:r>
            <w:r>
              <w:rPr>
                <w:rStyle w:val="IndexLink"/>
                <w:rtl w:val="true"/>
              </w:rPr>
              <w:tab/>
            </w:r>
            <w:r>
              <w:rPr>
                <w:rStyle w:val="IndexLink"/>
              </w:rPr>
              <w:t>138</w:t>
            </w:r>
          </w:hyperlink>
        </w:p>
        <w:p>
          <w:pPr>
            <w:pStyle w:val="Contents4"/>
            <w:tabs>
              <w:tab w:val="clear" w:pos="8176"/>
              <w:tab w:val="right" w:pos="9026" w:leader="dot"/>
            </w:tabs>
            <w:rPr/>
          </w:pPr>
          <w:hyperlink w:anchor="__RefHeading___Toc2138558_2322387425">
            <w:r>
              <w:rPr>
                <w:webHidden/>
                <w:rStyle w:val="IndexLink"/>
                <w:rtl w:val="true"/>
              </w:rPr>
              <w:t>الرابع</w:t>
            </w:r>
            <w:r>
              <w:rPr>
                <w:rStyle w:val="IndexLink"/>
                <w:rtl w:val="true"/>
              </w:rPr>
              <w:t xml:space="preserve">: </w:t>
            </w:r>
            <w:r>
              <w:rPr>
                <w:rStyle w:val="IndexLink"/>
                <w:rtl w:val="true"/>
              </w:rPr>
              <w:t>کون المحال به ثابتاً فی ذمّة المحیل</w:t>
            </w:r>
            <w:r>
              <w:rPr>
                <w:rStyle w:val="IndexLink"/>
                <w:rtl w:val="true"/>
              </w:rPr>
              <w:tab/>
            </w:r>
            <w:r>
              <w:rPr>
                <w:rStyle w:val="IndexLink"/>
              </w:rPr>
              <w:t>141</w:t>
            </w:r>
          </w:hyperlink>
        </w:p>
        <w:p>
          <w:pPr>
            <w:pStyle w:val="Contents4"/>
            <w:tabs>
              <w:tab w:val="clear" w:pos="8176"/>
              <w:tab w:val="right" w:pos="9026" w:leader="dot"/>
            </w:tabs>
            <w:rPr/>
          </w:pPr>
          <w:hyperlink w:anchor="__RefHeading___Toc2138560_2322387425">
            <w:r>
              <w:rPr>
                <w:webHidden/>
                <w:rStyle w:val="IndexLink"/>
                <w:rtl w:val="true"/>
              </w:rPr>
              <w:t>الخامس</w:t>
            </w:r>
            <w:r>
              <w:rPr>
                <w:rStyle w:val="IndexLink"/>
                <w:rtl w:val="true"/>
              </w:rPr>
              <w:t xml:space="preserve">: </w:t>
            </w:r>
            <w:r>
              <w:rPr>
                <w:rStyle w:val="IndexLink"/>
                <w:rtl w:val="true"/>
              </w:rPr>
              <w:t>کون المحال به معلوماً جنساً وقدراً لهما</w:t>
            </w:r>
            <w:r>
              <w:rPr>
                <w:rStyle w:val="IndexLink"/>
                <w:rtl w:val="true"/>
              </w:rPr>
              <w:tab/>
            </w:r>
            <w:r>
              <w:rPr>
                <w:rStyle w:val="IndexLink"/>
              </w:rPr>
              <w:t>144</w:t>
            </w:r>
          </w:hyperlink>
        </w:p>
        <w:p>
          <w:pPr>
            <w:pStyle w:val="Contents4"/>
            <w:tabs>
              <w:tab w:val="clear" w:pos="8176"/>
              <w:tab w:val="right" w:pos="9026" w:leader="dot"/>
            </w:tabs>
            <w:rPr/>
          </w:pPr>
          <w:hyperlink w:anchor="__RefHeading___Toc2138562_2322387425">
            <w:r>
              <w:rPr>
                <w:webHidden/>
                <w:rStyle w:val="IndexLink"/>
                <w:rtl w:val="true"/>
              </w:rPr>
              <w:t>السادس</w:t>
            </w:r>
            <w:r>
              <w:rPr>
                <w:rStyle w:val="IndexLink"/>
                <w:rtl w:val="true"/>
              </w:rPr>
              <w:t xml:space="preserve">: </w:t>
            </w:r>
            <w:r>
              <w:rPr>
                <w:rStyle w:val="IndexLink"/>
                <w:rtl w:val="true"/>
              </w:rPr>
              <w:t>تساوی المالین المحال به والمحال علیه</w:t>
            </w:r>
            <w:r>
              <w:rPr>
                <w:rStyle w:val="IndexLink"/>
                <w:rtl w:val="true"/>
              </w:rPr>
              <w:tab/>
            </w:r>
            <w:r>
              <w:rPr>
                <w:rStyle w:val="IndexLink"/>
              </w:rPr>
              <w:t>147</w:t>
            </w:r>
          </w:hyperlink>
        </w:p>
        <w:p>
          <w:pPr>
            <w:pStyle w:val="Contents3"/>
            <w:tabs>
              <w:tab w:val="clear" w:pos="8459"/>
              <w:tab w:val="right" w:pos="9026" w:leader="dot"/>
            </w:tabs>
            <w:rPr/>
          </w:pPr>
          <w:hyperlink w:anchor="__RefHeading___Toc2138564_2322387425">
            <w:r>
              <w:rPr>
                <w:webHidden/>
                <w:rStyle w:val="IndexLink"/>
                <w:rtl w:val="true"/>
              </w:rPr>
              <w:t>حکم الحوالة بالمنفعة والعمل</w:t>
            </w:r>
            <w:r>
              <w:rPr>
                <w:rStyle w:val="IndexLink"/>
                <w:rtl w:val="true"/>
              </w:rPr>
              <w:tab/>
            </w:r>
            <w:r>
              <w:rPr>
                <w:rStyle w:val="IndexLink"/>
              </w:rPr>
              <w:t>150</w:t>
            </w:r>
          </w:hyperlink>
        </w:p>
        <w:p>
          <w:pPr>
            <w:pStyle w:val="Contents3"/>
            <w:tabs>
              <w:tab w:val="clear" w:pos="8459"/>
              <w:tab w:val="right" w:pos="9026" w:leader="dot"/>
            </w:tabs>
            <w:rPr/>
          </w:pPr>
          <w:hyperlink w:anchor="__RefHeading___Toc2138566_2322387425">
            <w:r>
              <w:rPr>
                <w:webHidden/>
                <w:rStyle w:val="IndexLink"/>
                <w:rtl w:val="true"/>
              </w:rPr>
              <w:t>براءة ذمّة المحیل بمجرّد تحقّق الحوالة</w:t>
            </w:r>
            <w:r>
              <w:rPr>
                <w:rStyle w:val="IndexLink"/>
                <w:rtl w:val="true"/>
              </w:rPr>
              <w:tab/>
            </w:r>
            <w:r>
              <w:rPr>
                <w:rStyle w:val="IndexLink"/>
              </w:rPr>
              <w:t>151</w:t>
            </w:r>
          </w:hyperlink>
        </w:p>
        <w:p>
          <w:pPr>
            <w:pStyle w:val="Contents3"/>
            <w:tabs>
              <w:tab w:val="clear" w:pos="8459"/>
              <w:tab w:val="right" w:pos="9026" w:leader="dot"/>
            </w:tabs>
            <w:rPr/>
          </w:pPr>
          <w:hyperlink w:anchor="__RefHeading___Toc2138568_2322387425">
            <w:r>
              <w:rPr>
                <w:webHidden/>
                <w:rStyle w:val="IndexLink"/>
                <w:rtl w:val="true"/>
              </w:rPr>
              <w:t>عدم وجوب قبول الحوالة</w:t>
            </w:r>
            <w:r>
              <w:rPr>
                <w:rStyle w:val="IndexLink"/>
                <w:rtl w:val="true"/>
              </w:rPr>
              <w:tab/>
            </w:r>
            <w:r>
              <w:rPr>
                <w:rStyle w:val="IndexLink"/>
              </w:rPr>
              <w:t>151</w:t>
            </w:r>
          </w:hyperlink>
        </w:p>
        <w:p>
          <w:pPr>
            <w:pStyle w:val="Contents3"/>
            <w:tabs>
              <w:tab w:val="clear" w:pos="8459"/>
              <w:tab w:val="right" w:pos="9026" w:leader="dot"/>
            </w:tabs>
            <w:rPr/>
          </w:pPr>
          <w:hyperlink w:anchor="__RefHeading___Toc2138570_2322387425">
            <w:r>
              <w:rPr>
                <w:webHidden/>
                <w:rStyle w:val="IndexLink"/>
                <w:rtl w:val="true"/>
              </w:rPr>
              <w:t>لزوم الحوالة ما لم تکن علی معسر</w:t>
            </w:r>
            <w:r>
              <w:rPr>
                <w:rStyle w:val="IndexLink"/>
                <w:rtl w:val="true"/>
              </w:rPr>
              <w:tab/>
            </w:r>
            <w:r>
              <w:rPr>
                <w:rStyle w:val="IndexLink"/>
              </w:rPr>
              <w:t>151</w:t>
            </w:r>
          </w:hyperlink>
        </w:p>
        <w:p>
          <w:pPr>
            <w:pStyle w:val="Contents3"/>
            <w:tabs>
              <w:tab w:val="clear" w:pos="8459"/>
              <w:tab w:val="right" w:pos="9026" w:leader="dot"/>
            </w:tabs>
            <w:rPr/>
          </w:pPr>
          <w:hyperlink w:anchor="__RefHeading___Toc2138572_2322387425">
            <w:r>
              <w:rPr>
                <w:webHidden/>
                <w:rStyle w:val="IndexLink"/>
                <w:rtl w:val="true"/>
              </w:rPr>
              <w:t>الحوالة‌علی البریء</w:t>
            </w:r>
            <w:r>
              <w:rPr>
                <w:rStyle w:val="IndexLink"/>
                <w:rtl w:val="true"/>
              </w:rPr>
              <w:tab/>
            </w:r>
            <w:r>
              <w:rPr>
                <w:rStyle w:val="IndexLink"/>
              </w:rPr>
              <w:t>152</w:t>
            </w:r>
          </w:hyperlink>
        </w:p>
        <w:p>
          <w:pPr>
            <w:pStyle w:val="Contents3"/>
            <w:tabs>
              <w:tab w:val="clear" w:pos="8459"/>
              <w:tab w:val="right" w:pos="9026" w:leader="dot"/>
            </w:tabs>
            <w:rPr/>
          </w:pPr>
          <w:hyperlink w:anchor="__RefHeading___Toc2138574_2322387425">
            <w:r>
              <w:rPr>
                <w:webHidden/>
                <w:rStyle w:val="IndexLink"/>
                <w:rtl w:val="true"/>
              </w:rPr>
              <w:t>اشتراط خیار الفسخ</w:t>
            </w:r>
            <w:r>
              <w:rPr>
                <w:rStyle w:val="IndexLink"/>
                <w:rtl w:val="true"/>
              </w:rPr>
              <w:tab/>
            </w:r>
            <w:r>
              <w:rPr>
                <w:rStyle w:val="IndexLink"/>
              </w:rPr>
              <w:t>153</w:t>
            </w:r>
          </w:hyperlink>
        </w:p>
        <w:p>
          <w:pPr>
            <w:pStyle w:val="Contents3"/>
            <w:tabs>
              <w:tab w:val="clear" w:pos="8459"/>
              <w:tab w:val="right" w:pos="9026" w:leader="dot"/>
            </w:tabs>
            <w:rPr/>
          </w:pPr>
          <w:hyperlink w:anchor="__RefHeading___Toc2138576_2322387425">
            <w:r>
              <w:rPr>
                <w:webHidden/>
                <w:rStyle w:val="IndexLink"/>
                <w:rtl w:val="true"/>
              </w:rPr>
              <w:t>جواز الدور والترامی فی الحوالة</w:t>
            </w:r>
            <w:r>
              <w:rPr>
                <w:rStyle w:val="IndexLink"/>
                <w:rtl w:val="true"/>
              </w:rPr>
              <w:tab/>
            </w:r>
            <w:r>
              <w:rPr>
                <w:rStyle w:val="IndexLink"/>
              </w:rPr>
              <w:t>153</w:t>
            </w:r>
          </w:hyperlink>
        </w:p>
        <w:p>
          <w:pPr>
            <w:pStyle w:val="Contents3"/>
            <w:tabs>
              <w:tab w:val="clear" w:pos="8459"/>
              <w:tab w:val="right" w:pos="9026" w:leader="dot"/>
            </w:tabs>
            <w:rPr/>
          </w:pPr>
          <w:hyperlink w:anchor="__RefHeading___Toc2138578_2322387425">
            <w:r>
              <w:rPr>
                <w:webHidden/>
                <w:rStyle w:val="IndexLink"/>
                <w:rtl w:val="true"/>
              </w:rPr>
              <w:t>جواز التبرّع عن الغیر</w:t>
            </w:r>
            <w:r>
              <w:rPr>
                <w:rStyle w:val="IndexLink"/>
                <w:rtl w:val="true"/>
              </w:rPr>
              <w:tab/>
            </w:r>
            <w:r>
              <w:rPr>
                <w:rStyle w:val="IndexLink"/>
              </w:rPr>
              <w:t>153</w:t>
            </w:r>
          </w:hyperlink>
        </w:p>
        <w:p>
          <w:pPr>
            <w:pStyle w:val="Contents3"/>
            <w:tabs>
              <w:tab w:val="clear" w:pos="8459"/>
              <w:tab w:val="right" w:pos="9026" w:leader="dot"/>
            </w:tabs>
            <w:rPr/>
          </w:pPr>
          <w:hyperlink w:anchor="__RefHeading___Toc2138580_2322387425">
            <w:r>
              <w:rPr>
                <w:webHidden/>
                <w:rStyle w:val="IndexLink"/>
                <w:rtl w:val="true"/>
              </w:rPr>
              <w:t>لو ادّعی المحیل علی المحال علیه مالاً فأنکره</w:t>
            </w:r>
            <w:r>
              <w:rPr>
                <w:rStyle w:val="IndexLink"/>
                <w:rtl w:val="true"/>
              </w:rPr>
              <w:tab/>
            </w:r>
            <w:r>
              <w:rPr>
                <w:rStyle w:val="IndexLink"/>
              </w:rPr>
              <w:t>153</w:t>
            </w:r>
          </w:hyperlink>
        </w:p>
        <w:p>
          <w:pPr>
            <w:pStyle w:val="Contents3"/>
            <w:tabs>
              <w:tab w:val="clear" w:pos="8459"/>
              <w:tab w:val="right" w:pos="9026" w:leader="dot"/>
            </w:tabs>
            <w:rPr/>
          </w:pPr>
          <w:hyperlink w:anchor="__RefHeading___Toc2138582_2322387425">
            <w:r>
              <w:rPr>
                <w:webHidden/>
                <w:rStyle w:val="IndexLink"/>
                <w:rtl w:val="true"/>
              </w:rPr>
              <w:t>اشتغال ذمّة المحیل للبریء عند الحوالة أو الأداء</w:t>
            </w:r>
            <w:r>
              <w:rPr>
                <w:rStyle w:val="IndexLink"/>
                <w:rtl w:val="true"/>
              </w:rPr>
              <w:tab/>
            </w:r>
            <w:r>
              <w:rPr>
                <w:rStyle w:val="IndexLink"/>
              </w:rPr>
              <w:t>155</w:t>
            </w:r>
          </w:hyperlink>
        </w:p>
        <w:p>
          <w:pPr>
            <w:pStyle w:val="Contents3"/>
            <w:tabs>
              <w:tab w:val="clear" w:pos="8459"/>
              <w:tab w:val="right" w:pos="9026" w:leader="dot"/>
            </w:tabs>
            <w:rPr/>
          </w:pPr>
          <w:hyperlink w:anchor="__RefHeading___Toc2138584_2322387425">
            <w:r>
              <w:rPr>
                <w:webHidden/>
                <w:rStyle w:val="IndexLink"/>
                <w:rtl w:val="true"/>
              </w:rPr>
              <w:t>حوالة السیّد علی مکاتبه بمال الکتابة وفروع فی المقام</w:t>
            </w:r>
            <w:r>
              <w:rPr>
                <w:rStyle w:val="IndexLink"/>
                <w:rtl w:val="true"/>
              </w:rPr>
              <w:tab/>
            </w:r>
            <w:r>
              <w:rPr>
                <w:rStyle w:val="IndexLink"/>
              </w:rPr>
              <w:t>158</w:t>
            </w:r>
          </w:hyperlink>
        </w:p>
        <w:p>
          <w:pPr>
            <w:pStyle w:val="Contents3"/>
            <w:tabs>
              <w:tab w:val="clear" w:pos="8459"/>
              <w:tab w:val="right" w:pos="9026" w:leader="dot"/>
            </w:tabs>
            <w:rPr/>
          </w:pPr>
          <w:hyperlink w:anchor="__RefHeading___Toc2138586_2322387425">
            <w:r>
              <w:rPr>
                <w:webHidden/>
                <w:rStyle w:val="IndexLink"/>
                <w:rtl w:val="true"/>
              </w:rPr>
              <w:t>الاختلاف فی کون الواقع حوالة أو وکالة</w:t>
            </w:r>
            <w:r>
              <w:rPr>
                <w:rStyle w:val="IndexLink"/>
                <w:rtl w:val="true"/>
              </w:rPr>
              <w:tab/>
            </w:r>
            <w:r>
              <w:rPr>
                <w:rStyle w:val="IndexLink"/>
              </w:rPr>
              <w:t>162</w:t>
            </w:r>
          </w:hyperlink>
        </w:p>
        <w:p>
          <w:pPr>
            <w:pStyle w:val="Contents3"/>
            <w:tabs>
              <w:tab w:val="clear" w:pos="8459"/>
              <w:tab w:val="right" w:pos="9026" w:leader="dot"/>
            </w:tabs>
            <w:rPr/>
          </w:pPr>
          <w:hyperlink w:anchor="__RefHeading___Toc2138588_2322387425">
            <w:r>
              <w:rPr>
                <w:webHidden/>
                <w:rStyle w:val="IndexLink"/>
                <w:rtl w:val="true"/>
              </w:rPr>
              <w:t>إذا وقعت الحوالة علی المشتری وبالعکس وتبیّن بطلان البیع</w:t>
            </w:r>
            <w:r>
              <w:rPr>
                <w:rStyle w:val="IndexLink"/>
                <w:rtl w:val="true"/>
              </w:rPr>
              <w:tab/>
            </w:r>
            <w:r>
              <w:rPr>
                <w:rStyle w:val="IndexLink"/>
              </w:rPr>
              <w:t>167</w:t>
            </w:r>
          </w:hyperlink>
        </w:p>
        <w:p>
          <w:pPr>
            <w:pStyle w:val="Contents3"/>
            <w:tabs>
              <w:tab w:val="clear" w:pos="8459"/>
              <w:tab w:val="right" w:pos="9026" w:leader="dot"/>
            </w:tabs>
            <w:rPr/>
          </w:pPr>
          <w:hyperlink w:anchor="__RefHeading___Toc2138590_2322387425">
            <w:r>
              <w:rPr>
                <w:webHidden/>
                <w:rStyle w:val="IndexLink"/>
                <w:rtl w:val="true"/>
              </w:rPr>
              <w:t>إذا وقعت الحوالة بأحد الوجهین</w:t>
            </w:r>
            <w:r>
              <w:rPr>
                <w:rStyle w:val="IndexLink"/>
                <w:rtl w:val="true"/>
              </w:rPr>
              <w:tab/>
            </w:r>
            <w:r>
              <w:rPr>
                <w:rStyle w:val="IndexLink"/>
              </w:rPr>
              <w:t>170</w:t>
            </w:r>
          </w:hyperlink>
        </w:p>
        <w:p>
          <w:pPr>
            <w:pStyle w:val="Contents3"/>
            <w:tabs>
              <w:tab w:val="clear" w:pos="8459"/>
              <w:tab w:val="right" w:pos="9026" w:leader="dot"/>
            </w:tabs>
            <w:rPr/>
          </w:pPr>
          <w:hyperlink w:anchor="__RefHeading___Toc2138592_2322387425">
            <w:r>
              <w:rPr>
                <w:webHidden/>
                <w:rStyle w:val="IndexLink"/>
                <w:rtl w:val="true"/>
              </w:rPr>
              <w:t>إذا أحال علی وکیله بمال شخصی فی یده</w:t>
            </w:r>
            <w:r>
              <w:rPr>
                <w:rStyle w:val="IndexLink"/>
                <w:rtl w:val="true"/>
              </w:rPr>
              <w:tab/>
            </w:r>
            <w:r>
              <w:rPr>
                <w:rStyle w:val="IndexLink"/>
              </w:rPr>
              <w:t>173</w:t>
            </w:r>
          </w:hyperlink>
        </w:p>
        <w:p>
          <w:pPr>
            <w:pStyle w:val="Contents2"/>
            <w:tabs>
              <w:tab w:val="clear" w:pos="8743"/>
              <w:tab w:val="right" w:pos="9026" w:leader="dot"/>
            </w:tabs>
            <w:rPr/>
          </w:pPr>
          <w:hyperlink w:anchor="__RefHeading___Toc2138594_2322387425">
            <w:r>
              <w:rPr>
                <w:webHidden/>
                <w:rStyle w:val="IndexLink"/>
                <w:rtl w:val="true"/>
              </w:rPr>
              <w:t>کتاب النکاح</w:t>
            </w:r>
            <w:r>
              <w:rPr>
                <w:rStyle w:val="IndexLink"/>
                <w:rtl w:val="true"/>
              </w:rPr>
              <w:tab/>
            </w:r>
            <w:r>
              <w:rPr>
                <w:rStyle w:val="IndexLink"/>
              </w:rPr>
              <w:t>175</w:t>
            </w:r>
          </w:hyperlink>
        </w:p>
        <w:p>
          <w:pPr>
            <w:pStyle w:val="Contents3"/>
            <w:tabs>
              <w:tab w:val="clear" w:pos="8459"/>
              <w:tab w:val="right" w:pos="9026" w:leader="dot"/>
            </w:tabs>
            <w:rPr/>
          </w:pPr>
          <w:hyperlink w:anchor="__RefHeading___Toc2138596_2322387425">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2138598_2322387425">
            <w:r>
              <w:rPr>
                <w:webHidden/>
                <w:rStyle w:val="IndexLink"/>
                <w:rtl w:val="true"/>
              </w:rPr>
              <w:t xml:space="preserve">فصل </w:t>
            </w:r>
            <w:r>
              <w:rPr>
                <w:rStyle w:val="IndexLink"/>
                <w:rtl w:val="true"/>
              </w:rPr>
              <w:t>[</w:t>
            </w:r>
            <w:r>
              <w:rPr>
                <w:rStyle w:val="IndexLink"/>
                <w:rtl w:val="true"/>
              </w:rPr>
              <w:t>فی فضل النکاح وآدابه</w:t>
            </w:r>
            <w:r>
              <w:rPr>
                <w:rStyle w:val="IndexLink"/>
                <w:rtl w:val="true"/>
              </w:rPr>
              <w:t>]</w:t>
              <w:tab/>
            </w:r>
            <w:r>
              <w:rPr>
                <w:rStyle w:val="IndexLink"/>
              </w:rPr>
              <w:t>177</w:t>
            </w:r>
          </w:hyperlink>
        </w:p>
        <w:p>
          <w:pPr>
            <w:pStyle w:val="Contents4"/>
            <w:tabs>
              <w:tab w:val="clear" w:pos="8176"/>
              <w:tab w:val="right" w:pos="9026" w:leader="dot"/>
            </w:tabs>
            <w:rPr/>
          </w:pPr>
          <w:hyperlink w:anchor="__RefHeading___Toc2138600_2322387425">
            <w:r>
              <w:rPr>
                <w:webHidden/>
                <w:rStyle w:val="IndexLink"/>
                <w:rtl w:val="true"/>
              </w:rPr>
              <w:t>التزوّج بالنساء وحبهنّ من سنن الإسلام المؤکّدة</w:t>
            </w:r>
            <w:r>
              <w:rPr>
                <w:rStyle w:val="IndexLink"/>
                <w:rtl w:val="true"/>
              </w:rPr>
              <w:tab/>
            </w:r>
            <w:r>
              <w:rPr>
                <w:rStyle w:val="IndexLink"/>
              </w:rPr>
              <w:t>177</w:t>
            </w:r>
          </w:hyperlink>
        </w:p>
        <w:p>
          <w:pPr>
            <w:pStyle w:val="Contents4"/>
            <w:tabs>
              <w:tab w:val="clear" w:pos="8176"/>
              <w:tab w:val="right" w:pos="9026" w:leader="dot"/>
            </w:tabs>
            <w:rPr/>
          </w:pPr>
          <w:hyperlink w:anchor="__RefHeading___Toc2138602_2322387425">
            <w:r>
              <w:rPr>
                <w:webHidden/>
                <w:rStyle w:val="IndexLink"/>
                <w:rtl w:val="true"/>
              </w:rPr>
              <w:t>کراهة العزوبة وثبوت الاستحباب للنکاح من غیر اختصاص بواحدة أو بنوع</w:t>
            </w:r>
            <w:r>
              <w:rPr>
                <w:rStyle w:val="IndexLink"/>
                <w:rtl w:val="true"/>
              </w:rPr>
              <w:tab/>
            </w:r>
            <w:r>
              <w:rPr>
                <w:rStyle w:val="IndexLink"/>
              </w:rPr>
              <w:t>179</w:t>
            </w:r>
          </w:hyperlink>
        </w:p>
        <w:p>
          <w:pPr>
            <w:pStyle w:val="Contents4"/>
            <w:tabs>
              <w:tab w:val="clear" w:pos="8176"/>
              <w:tab w:val="right" w:pos="9026" w:leader="dot"/>
            </w:tabs>
            <w:rPr/>
          </w:pPr>
          <w:hyperlink w:anchor="__RefHeading___Toc2138604_2322387425">
            <w:r>
              <w:rPr>
                <w:webHidden/>
                <w:rStyle w:val="IndexLink"/>
                <w:rtl w:val="true"/>
              </w:rPr>
              <w:t>حکم النکاح بالنظر إلی الطبیعة والطوارئ</w:t>
            </w:r>
            <w:r>
              <w:rPr>
                <w:rStyle w:val="IndexLink"/>
                <w:rtl w:val="true"/>
              </w:rPr>
              <w:tab/>
            </w:r>
            <w:r>
              <w:rPr>
                <w:rStyle w:val="IndexLink"/>
              </w:rPr>
              <w:t>180</w:t>
            </w:r>
          </w:hyperlink>
        </w:p>
        <w:p>
          <w:pPr>
            <w:pStyle w:val="Contents4"/>
            <w:tabs>
              <w:tab w:val="clear" w:pos="8176"/>
              <w:tab w:val="right" w:pos="9026" w:leader="dot"/>
            </w:tabs>
            <w:rPr/>
          </w:pPr>
          <w:hyperlink w:anchor="__RefHeading___Toc2138606_2322387425">
            <w:r>
              <w:rPr>
                <w:webHidden/>
                <w:rStyle w:val="IndexLink"/>
                <w:rtl w:val="true"/>
              </w:rPr>
              <w:t>مستحبات من أراد التزویج</w:t>
            </w:r>
            <w:r>
              <w:rPr>
                <w:rStyle w:val="IndexLink"/>
                <w:rtl w:val="true"/>
              </w:rPr>
              <w:tab/>
            </w:r>
            <w:r>
              <w:rPr>
                <w:rStyle w:val="IndexLink"/>
              </w:rPr>
              <w:t>185</w:t>
            </w:r>
          </w:hyperlink>
        </w:p>
        <w:p>
          <w:pPr>
            <w:pStyle w:val="Contents4"/>
            <w:tabs>
              <w:tab w:val="clear" w:pos="8176"/>
              <w:tab w:val="right" w:pos="9026" w:leader="dot"/>
            </w:tabs>
            <w:rPr/>
          </w:pPr>
          <w:hyperlink w:anchor="__RefHeading___Toc2138608_2322387425">
            <w:r>
              <w:rPr>
                <w:webHidden/>
                <w:rStyle w:val="IndexLink"/>
                <w:rtl w:val="true"/>
              </w:rPr>
              <w:t>المکروه عند إیقاع العقد</w:t>
            </w:r>
            <w:r>
              <w:rPr>
                <w:rStyle w:val="IndexLink"/>
                <w:rtl w:val="true"/>
              </w:rPr>
              <w:tab/>
            </w:r>
            <w:r>
              <w:rPr>
                <w:rStyle w:val="IndexLink"/>
              </w:rPr>
              <w:t>188</w:t>
            </w:r>
          </w:hyperlink>
        </w:p>
        <w:p>
          <w:pPr>
            <w:pStyle w:val="Contents4"/>
            <w:tabs>
              <w:tab w:val="clear" w:pos="8176"/>
              <w:tab w:val="right" w:pos="9026" w:leader="dot"/>
            </w:tabs>
            <w:rPr/>
          </w:pPr>
          <w:hyperlink w:anchor="__RefHeading___Toc2138610_2322387425">
            <w:r>
              <w:rPr>
                <w:webHidden/>
                <w:rStyle w:val="IndexLink"/>
                <w:rtl w:val="true"/>
              </w:rPr>
              <w:t>ترجیح جملة صفات للتزویج</w:t>
            </w:r>
            <w:r>
              <w:rPr>
                <w:rStyle w:val="IndexLink"/>
                <w:rtl w:val="true"/>
              </w:rPr>
              <w:tab/>
            </w:r>
            <w:r>
              <w:rPr>
                <w:rStyle w:val="IndexLink"/>
              </w:rPr>
              <w:t>189</w:t>
            </w:r>
          </w:hyperlink>
        </w:p>
        <w:p>
          <w:pPr>
            <w:pStyle w:val="Contents4"/>
            <w:tabs>
              <w:tab w:val="clear" w:pos="8176"/>
              <w:tab w:val="right" w:pos="9026" w:leader="dot"/>
            </w:tabs>
            <w:rPr/>
          </w:pPr>
          <w:hyperlink w:anchor="__RefHeading___Toc2138612_2322387425">
            <w:r>
              <w:rPr>
                <w:webHidden/>
                <w:rStyle w:val="IndexLink"/>
                <w:rtl w:val="true"/>
              </w:rPr>
              <w:t>الأخبار فی کراهة تزویج جملة من الرجال وما تحمل علیه</w:t>
            </w:r>
            <w:r>
              <w:rPr>
                <w:rStyle w:val="IndexLink"/>
                <w:rtl w:val="true"/>
              </w:rPr>
              <w:tab/>
            </w:r>
            <w:r>
              <w:rPr>
                <w:rStyle w:val="IndexLink"/>
              </w:rPr>
              <w:t>191</w:t>
            </w:r>
          </w:hyperlink>
        </w:p>
        <w:p>
          <w:pPr>
            <w:pStyle w:val="Contents4"/>
            <w:tabs>
              <w:tab w:val="clear" w:pos="8176"/>
              <w:tab w:val="right" w:pos="9026" w:leader="dot"/>
            </w:tabs>
            <w:rPr/>
          </w:pPr>
          <w:hyperlink w:anchor="__RefHeading___Toc2138614_2322387425">
            <w:r>
              <w:rPr>
                <w:webHidden/>
                <w:rStyle w:val="IndexLink"/>
                <w:rtl w:val="true"/>
              </w:rPr>
              <w:t>مستحبّات الدخول علی الزوجة</w:t>
            </w:r>
            <w:r>
              <w:rPr>
                <w:rStyle w:val="IndexLink"/>
                <w:rtl w:val="true"/>
              </w:rPr>
              <w:tab/>
            </w:r>
            <w:r>
              <w:rPr>
                <w:rStyle w:val="IndexLink"/>
              </w:rPr>
              <w:t>192</w:t>
            </w:r>
          </w:hyperlink>
        </w:p>
        <w:p>
          <w:pPr>
            <w:pStyle w:val="Contents4"/>
            <w:tabs>
              <w:tab w:val="clear" w:pos="8176"/>
              <w:tab w:val="right" w:pos="9026" w:leader="dot"/>
            </w:tabs>
            <w:rPr/>
          </w:pPr>
          <w:hyperlink w:anchor="__RefHeading___Toc2138616_2322387425">
            <w:r>
              <w:rPr>
                <w:webHidden/>
                <w:rStyle w:val="IndexLink"/>
                <w:rtl w:val="true"/>
              </w:rPr>
              <w:t>أکل ما ینثر فی الأعراس</w:t>
            </w:r>
            <w:r>
              <w:rPr>
                <w:rStyle w:val="IndexLink"/>
                <w:rtl w:val="true"/>
              </w:rPr>
              <w:tab/>
            </w:r>
            <w:r>
              <w:rPr>
                <w:rStyle w:val="IndexLink"/>
              </w:rPr>
              <w:t>193</w:t>
            </w:r>
          </w:hyperlink>
        </w:p>
        <w:p>
          <w:pPr>
            <w:pStyle w:val="Contents4"/>
            <w:tabs>
              <w:tab w:val="clear" w:pos="8176"/>
              <w:tab w:val="right" w:pos="9026" w:leader="dot"/>
            </w:tabs>
            <w:rPr/>
          </w:pPr>
          <w:hyperlink w:anchor="__RefHeading___Toc2138618_2322387425">
            <w:r>
              <w:rPr>
                <w:webHidden/>
                <w:rStyle w:val="IndexLink"/>
                <w:rtl w:val="true"/>
              </w:rPr>
              <w:t>مستحبّات ومکروهات الجماع</w:t>
            </w:r>
            <w:r>
              <w:rPr>
                <w:rStyle w:val="IndexLink"/>
                <w:rtl w:val="true"/>
              </w:rPr>
              <w:tab/>
            </w:r>
            <w:r>
              <w:rPr>
                <w:rStyle w:val="IndexLink"/>
              </w:rPr>
              <w:t>195</w:t>
            </w:r>
          </w:hyperlink>
        </w:p>
        <w:p>
          <w:pPr>
            <w:pStyle w:val="Contents4"/>
            <w:tabs>
              <w:tab w:val="clear" w:pos="8176"/>
              <w:tab w:val="right" w:pos="9026" w:leader="dot"/>
            </w:tabs>
            <w:rPr/>
          </w:pPr>
          <w:hyperlink w:anchor="__RefHeading___Toc2138620_2322387425">
            <w:r>
              <w:rPr>
                <w:webHidden/>
                <w:rStyle w:val="IndexLink"/>
                <w:rtl w:val="true"/>
              </w:rPr>
              <w:t>أوقات کراهة الجماع</w:t>
            </w:r>
            <w:r>
              <w:rPr>
                <w:rStyle w:val="IndexLink"/>
                <w:rtl w:val="true"/>
              </w:rPr>
              <w:tab/>
            </w:r>
            <w:r>
              <w:rPr>
                <w:rStyle w:val="IndexLink"/>
              </w:rPr>
              <w:t>195</w:t>
            </w:r>
          </w:hyperlink>
        </w:p>
        <w:p>
          <w:pPr>
            <w:pStyle w:val="Contents4"/>
            <w:tabs>
              <w:tab w:val="clear" w:pos="8176"/>
              <w:tab w:val="right" w:pos="9026" w:leader="dot"/>
            </w:tabs>
            <w:rPr/>
          </w:pPr>
          <w:hyperlink w:anchor="__RefHeading___Toc2138622_2322387425">
            <w:r>
              <w:rPr>
                <w:webHidden/>
                <w:rStyle w:val="IndexLink"/>
                <w:rtl w:val="true"/>
              </w:rPr>
              <w:t>جملة من سنن النکاح وآدابه</w:t>
            </w:r>
            <w:r>
              <w:rPr>
                <w:rStyle w:val="IndexLink"/>
                <w:rtl w:val="true"/>
              </w:rPr>
              <w:tab/>
            </w:r>
            <w:r>
              <w:rPr>
                <w:rStyle w:val="IndexLink"/>
              </w:rPr>
              <w:t>196</w:t>
            </w:r>
          </w:hyperlink>
        </w:p>
        <w:p>
          <w:pPr>
            <w:pStyle w:val="Contents4"/>
            <w:tabs>
              <w:tab w:val="clear" w:pos="8176"/>
              <w:tab w:val="right" w:pos="9026" w:leader="dot"/>
            </w:tabs>
            <w:rPr/>
          </w:pPr>
          <w:hyperlink w:anchor="__RefHeading___Toc2138624_2322387425">
            <w:r>
              <w:rPr>
                <w:webHidden/>
                <w:rStyle w:val="IndexLink"/>
                <w:rtl w:val="true"/>
              </w:rPr>
              <w:t>النظر إلی المرأة لمن یرید تزویجها</w:t>
            </w:r>
            <w:r>
              <w:rPr>
                <w:rStyle w:val="IndexLink"/>
                <w:rtl w:val="true"/>
              </w:rPr>
              <w:tab/>
            </w:r>
            <w:r>
              <w:rPr>
                <w:rStyle w:val="IndexLink"/>
              </w:rPr>
              <w:t>198</w:t>
            </w:r>
          </w:hyperlink>
        </w:p>
        <w:p>
          <w:pPr>
            <w:pStyle w:val="Contents4"/>
            <w:tabs>
              <w:tab w:val="clear" w:pos="8176"/>
              <w:tab w:val="right" w:pos="9026" w:leader="dot"/>
            </w:tabs>
            <w:rPr/>
          </w:pPr>
          <w:hyperlink w:anchor="__RefHeading___Toc2138626_2322387425">
            <w:r>
              <w:rPr>
                <w:webHidden/>
                <w:rStyle w:val="IndexLink"/>
                <w:rtl w:val="true"/>
              </w:rPr>
              <w:t>نظر المرأة إلی الرجل الّذی یرید تزویجها</w:t>
            </w:r>
            <w:r>
              <w:rPr>
                <w:rStyle w:val="IndexLink"/>
                <w:rtl w:val="true"/>
              </w:rPr>
              <w:tab/>
            </w:r>
            <w:r>
              <w:rPr>
                <w:rStyle w:val="IndexLink"/>
              </w:rPr>
              <w:t>200</w:t>
            </w:r>
          </w:hyperlink>
        </w:p>
        <w:p>
          <w:pPr>
            <w:pStyle w:val="Contents4"/>
            <w:tabs>
              <w:tab w:val="clear" w:pos="8176"/>
              <w:tab w:val="right" w:pos="9026" w:leader="dot"/>
            </w:tabs>
            <w:rPr/>
          </w:pPr>
          <w:hyperlink w:anchor="__RefHeading___Toc2138628_2322387425">
            <w:r>
              <w:rPr>
                <w:webHidden/>
                <w:rStyle w:val="IndexLink"/>
                <w:rtl w:val="true"/>
              </w:rPr>
              <w:t>النظر إلی نساء أهل الذمّة وسائر الکفّار</w:t>
            </w:r>
            <w:r>
              <w:rPr>
                <w:rStyle w:val="IndexLink"/>
                <w:rtl w:val="true"/>
              </w:rPr>
              <w:tab/>
            </w:r>
            <w:r>
              <w:rPr>
                <w:rStyle w:val="IndexLink"/>
              </w:rPr>
              <w:t>201</w:t>
            </w:r>
          </w:hyperlink>
        </w:p>
        <w:p>
          <w:pPr>
            <w:pStyle w:val="Contents4"/>
            <w:tabs>
              <w:tab w:val="clear" w:pos="8176"/>
              <w:tab w:val="right" w:pos="9026" w:leader="dot"/>
            </w:tabs>
            <w:rPr/>
          </w:pPr>
          <w:hyperlink w:anchor="__RefHeading___Toc2138630_2322387425">
            <w:r>
              <w:rPr>
                <w:webHidden/>
                <w:rStyle w:val="IndexLink"/>
                <w:rtl w:val="true"/>
              </w:rPr>
              <w:t>نظر کلّ من الرجل والمرأة لمماثله</w:t>
            </w:r>
            <w:r>
              <w:rPr>
                <w:rStyle w:val="IndexLink"/>
                <w:rtl w:val="true"/>
              </w:rPr>
              <w:tab/>
            </w:r>
            <w:r>
              <w:rPr>
                <w:rStyle w:val="IndexLink"/>
              </w:rPr>
              <w:t>203</w:t>
            </w:r>
          </w:hyperlink>
        </w:p>
        <w:p>
          <w:pPr>
            <w:pStyle w:val="Contents4"/>
            <w:tabs>
              <w:tab w:val="clear" w:pos="8176"/>
              <w:tab w:val="right" w:pos="9026" w:leader="dot"/>
            </w:tabs>
            <w:rPr/>
          </w:pPr>
          <w:hyperlink w:anchor="__RefHeading___Toc2138632_2322387425">
            <w:r>
              <w:rPr>
                <w:webHidden/>
                <w:rStyle w:val="IndexLink"/>
                <w:rtl w:val="true"/>
              </w:rPr>
              <w:t>حلّیّة کلّ المرأة لزوجها والرجل لزوجته</w:t>
            </w:r>
            <w:r>
              <w:rPr>
                <w:rStyle w:val="IndexLink"/>
                <w:rtl w:val="true"/>
              </w:rPr>
              <w:tab/>
            </w:r>
            <w:r>
              <w:rPr>
                <w:rStyle w:val="IndexLink"/>
              </w:rPr>
              <w:t>204</w:t>
            </w:r>
          </w:hyperlink>
        </w:p>
        <w:p>
          <w:pPr>
            <w:pStyle w:val="Contents4"/>
            <w:tabs>
              <w:tab w:val="clear" w:pos="8176"/>
              <w:tab w:val="right" w:pos="9026" w:leader="dot"/>
            </w:tabs>
            <w:rPr/>
          </w:pPr>
          <w:hyperlink w:anchor="__RefHeading___Toc2138634_2322387425">
            <w:r>
              <w:rPr>
                <w:webHidden/>
                <w:rStyle w:val="IndexLink"/>
                <w:rtl w:val="true"/>
              </w:rPr>
              <w:t>نظر الخنثی إلی الذکر وبالعکس</w:t>
            </w:r>
            <w:r>
              <w:rPr>
                <w:rStyle w:val="IndexLink"/>
                <w:rtl w:val="true"/>
              </w:rPr>
              <w:tab/>
            </w:r>
            <w:r>
              <w:rPr>
                <w:rStyle w:val="IndexLink"/>
              </w:rPr>
              <w:t>204</w:t>
            </w:r>
          </w:hyperlink>
        </w:p>
        <w:p>
          <w:pPr>
            <w:pStyle w:val="Contents4"/>
            <w:tabs>
              <w:tab w:val="clear" w:pos="8176"/>
              <w:tab w:val="right" w:pos="9026" w:leader="dot"/>
            </w:tabs>
            <w:rPr/>
          </w:pPr>
          <w:hyperlink w:anchor="__RefHeading___Toc2138636_2322387425">
            <w:r>
              <w:rPr>
                <w:webHidden/>
                <w:rStyle w:val="IndexLink"/>
                <w:rtl w:val="true"/>
              </w:rPr>
              <w:t>حکم النظر إلی الأجنبیّة وهی إلی الأجنبی وحکم الوجه والکفّین</w:t>
            </w:r>
            <w:r>
              <w:rPr>
                <w:rStyle w:val="IndexLink"/>
                <w:rtl w:val="true"/>
              </w:rPr>
              <w:tab/>
            </w:r>
            <w:r>
              <w:rPr>
                <w:rStyle w:val="IndexLink"/>
              </w:rPr>
              <w:t>204</w:t>
            </w:r>
          </w:hyperlink>
        </w:p>
        <w:p>
          <w:pPr>
            <w:pStyle w:val="Contents4"/>
            <w:tabs>
              <w:tab w:val="clear" w:pos="8176"/>
              <w:tab w:val="right" w:pos="9026" w:leader="dot"/>
            </w:tabs>
            <w:rPr/>
          </w:pPr>
          <w:hyperlink w:anchor="__RefHeading___Toc2138638_2322387425">
            <w:r>
              <w:rPr>
                <w:webHidden/>
                <w:rStyle w:val="IndexLink"/>
                <w:rtl w:val="true"/>
              </w:rPr>
              <w:t>النظر إلی المحارم</w:t>
            </w:r>
            <w:r>
              <w:rPr>
                <w:rStyle w:val="IndexLink"/>
                <w:rtl w:val="true"/>
              </w:rPr>
              <w:tab/>
            </w:r>
            <w:r>
              <w:rPr>
                <w:rStyle w:val="IndexLink"/>
              </w:rPr>
              <w:t>206</w:t>
            </w:r>
          </w:hyperlink>
        </w:p>
        <w:p>
          <w:pPr>
            <w:pStyle w:val="Contents4"/>
            <w:tabs>
              <w:tab w:val="clear" w:pos="8176"/>
              <w:tab w:val="right" w:pos="9026" w:leader="dot"/>
            </w:tabs>
            <w:rPr/>
          </w:pPr>
          <w:hyperlink w:anchor="__RefHeading___Toc2138640_2322387425">
            <w:r>
              <w:rPr>
                <w:webHidden/>
                <w:rStyle w:val="IndexLink"/>
                <w:rtl w:val="true"/>
              </w:rPr>
              <w:t>نظر السیّد إلی مملوکته</w:t>
            </w:r>
            <w:r>
              <w:rPr>
                <w:rStyle w:val="IndexLink"/>
                <w:rtl w:val="true"/>
              </w:rPr>
              <w:tab/>
            </w:r>
            <w:r>
              <w:rPr>
                <w:rStyle w:val="IndexLink"/>
              </w:rPr>
              <w:t>206</w:t>
            </w:r>
          </w:hyperlink>
        </w:p>
        <w:p>
          <w:pPr>
            <w:pStyle w:val="Contents4"/>
            <w:tabs>
              <w:tab w:val="clear" w:pos="8176"/>
              <w:tab w:val="right" w:pos="9026" w:leader="dot"/>
            </w:tabs>
            <w:rPr/>
          </w:pPr>
          <w:hyperlink w:anchor="__RefHeading___Toc2138642_2322387425">
            <w:r>
              <w:rPr>
                <w:webHidden/>
                <w:rStyle w:val="IndexLink"/>
                <w:rtl w:val="true"/>
              </w:rPr>
              <w:t>موارد الاستثناء من الحرمة فی الأجنبی والأجنبیّة</w:t>
            </w:r>
            <w:r>
              <w:rPr>
                <w:rStyle w:val="IndexLink"/>
                <w:rtl w:val="true"/>
              </w:rPr>
              <w:tab/>
            </w:r>
            <w:r>
              <w:rPr>
                <w:rStyle w:val="IndexLink"/>
              </w:rPr>
              <w:t>209</w:t>
            </w:r>
          </w:hyperlink>
        </w:p>
        <w:p>
          <w:pPr>
            <w:pStyle w:val="Contents4"/>
            <w:tabs>
              <w:tab w:val="clear" w:pos="8176"/>
              <w:tab w:val="right" w:pos="9026" w:leader="dot"/>
            </w:tabs>
            <w:rPr/>
          </w:pPr>
          <w:hyperlink w:anchor="__RefHeading___Toc2138644_2322387425">
            <w:r>
              <w:rPr>
                <w:webHidden/>
                <w:rStyle w:val="IndexLink"/>
                <w:rtl w:val="true"/>
              </w:rPr>
              <w:t>حمل وتقبیل الصبیّة من غیر المحارم</w:t>
            </w:r>
            <w:r>
              <w:rPr>
                <w:rStyle w:val="IndexLink"/>
                <w:rtl w:val="true"/>
              </w:rPr>
              <w:tab/>
            </w:r>
            <w:r>
              <w:rPr>
                <w:rStyle w:val="IndexLink"/>
              </w:rPr>
              <w:t>211</w:t>
            </w:r>
          </w:hyperlink>
        </w:p>
        <w:p>
          <w:pPr>
            <w:pStyle w:val="Contents4"/>
            <w:tabs>
              <w:tab w:val="clear" w:pos="8176"/>
              <w:tab w:val="right" w:pos="9026" w:leader="dot"/>
            </w:tabs>
            <w:rPr/>
          </w:pPr>
          <w:hyperlink w:anchor="__RefHeading___Toc2138646_2322387425">
            <w:r>
              <w:rPr>
                <w:webHidden/>
                <w:rStyle w:val="IndexLink"/>
                <w:rtl w:val="true"/>
              </w:rPr>
              <w:t>نظر المملوک والخصی لمالکتهما</w:t>
            </w:r>
            <w:r>
              <w:rPr>
                <w:rStyle w:val="IndexLink"/>
                <w:rtl w:val="true"/>
              </w:rPr>
              <w:tab/>
            </w:r>
            <w:r>
              <w:rPr>
                <w:rStyle w:val="IndexLink"/>
              </w:rPr>
              <w:t>211</w:t>
            </w:r>
          </w:hyperlink>
        </w:p>
        <w:p>
          <w:pPr>
            <w:pStyle w:val="Contents4"/>
            <w:tabs>
              <w:tab w:val="clear" w:pos="8176"/>
              <w:tab w:val="right" w:pos="9026" w:leader="dot"/>
            </w:tabs>
            <w:rPr/>
          </w:pPr>
          <w:hyperlink w:anchor="__RefHeading___Toc2138648_2322387425">
            <w:r>
              <w:rPr>
                <w:webHidden/>
                <w:rStyle w:val="IndexLink"/>
                <w:rtl w:val="true"/>
              </w:rPr>
              <w:t>نظر المرأة للرجل الأعمی</w:t>
            </w:r>
            <w:r>
              <w:rPr>
                <w:rStyle w:val="IndexLink"/>
                <w:rtl w:val="true"/>
              </w:rPr>
              <w:tab/>
            </w:r>
            <w:r>
              <w:rPr>
                <w:rStyle w:val="IndexLink"/>
              </w:rPr>
              <w:t>211</w:t>
            </w:r>
          </w:hyperlink>
        </w:p>
        <w:p>
          <w:pPr>
            <w:pStyle w:val="Contents4"/>
            <w:tabs>
              <w:tab w:val="clear" w:pos="8176"/>
              <w:tab w:val="right" w:pos="9026" w:leader="dot"/>
            </w:tabs>
            <w:rPr/>
          </w:pPr>
          <w:hyperlink w:anchor="__RefHeading___Toc2138650_2322387425">
            <w:r>
              <w:rPr>
                <w:webHidden/>
                <w:rStyle w:val="IndexLink"/>
                <w:rtl w:val="true"/>
              </w:rPr>
              <w:t>سماع صوت الأجنبیّة</w:t>
            </w:r>
            <w:r>
              <w:rPr>
                <w:rStyle w:val="IndexLink"/>
                <w:rtl w:val="true"/>
              </w:rPr>
              <w:tab/>
            </w:r>
            <w:r>
              <w:rPr>
                <w:rStyle w:val="IndexLink"/>
              </w:rPr>
              <w:t>211</w:t>
            </w:r>
          </w:hyperlink>
        </w:p>
        <w:p>
          <w:pPr>
            <w:pStyle w:val="Contents4"/>
            <w:tabs>
              <w:tab w:val="clear" w:pos="8176"/>
              <w:tab w:val="right" w:pos="9026" w:leader="dot"/>
            </w:tabs>
            <w:rPr/>
          </w:pPr>
          <w:hyperlink w:anchor="__RefHeading___Toc2138652_2322387425">
            <w:r>
              <w:rPr>
                <w:webHidden/>
                <w:rStyle w:val="IndexLink"/>
                <w:rtl w:val="true"/>
              </w:rPr>
              <w:t>مصافحة الأجنبی للأجنبیّة</w:t>
            </w:r>
            <w:r>
              <w:rPr>
                <w:rStyle w:val="IndexLink"/>
                <w:rtl w:val="true"/>
              </w:rPr>
              <w:tab/>
            </w:r>
            <w:r>
              <w:rPr>
                <w:rStyle w:val="IndexLink"/>
              </w:rPr>
              <w:t>212</w:t>
            </w:r>
          </w:hyperlink>
        </w:p>
        <w:p>
          <w:pPr>
            <w:pStyle w:val="Contents4"/>
            <w:tabs>
              <w:tab w:val="clear" w:pos="8176"/>
              <w:tab w:val="right" w:pos="9026" w:leader="dot"/>
            </w:tabs>
            <w:rPr/>
          </w:pPr>
          <w:hyperlink w:anchor="__RefHeading___Toc2138654_2322387425">
            <w:r>
              <w:rPr>
                <w:webHidden/>
                <w:rStyle w:val="IndexLink"/>
                <w:rtl w:val="true"/>
              </w:rPr>
              <w:t>السلام علی النساء من غیر المحارم</w:t>
            </w:r>
            <w:r>
              <w:rPr>
                <w:rStyle w:val="IndexLink"/>
                <w:rtl w:val="true"/>
              </w:rPr>
              <w:tab/>
            </w:r>
            <w:r>
              <w:rPr>
                <w:rStyle w:val="IndexLink"/>
              </w:rPr>
              <w:t>213</w:t>
            </w:r>
          </w:hyperlink>
        </w:p>
        <w:p>
          <w:pPr>
            <w:pStyle w:val="Contents4"/>
            <w:tabs>
              <w:tab w:val="clear" w:pos="8176"/>
              <w:tab w:val="right" w:pos="9026" w:leader="dot"/>
            </w:tabs>
            <w:rPr/>
          </w:pPr>
          <w:hyperlink w:anchor="__RefHeading___Toc2138656_2322387425">
            <w:r>
              <w:rPr>
                <w:webHidden/>
                <w:rStyle w:val="IndexLink"/>
                <w:rtl w:val="true"/>
              </w:rPr>
              <w:t>الجلوس فی مجلس المرأة قبل برده</w:t>
            </w:r>
            <w:r>
              <w:rPr>
                <w:rStyle w:val="IndexLink"/>
                <w:rtl w:val="true"/>
              </w:rPr>
              <w:tab/>
            </w:r>
            <w:r>
              <w:rPr>
                <w:rStyle w:val="IndexLink"/>
              </w:rPr>
              <w:t>213</w:t>
            </w:r>
          </w:hyperlink>
        </w:p>
        <w:p>
          <w:pPr>
            <w:pStyle w:val="Contents4"/>
            <w:tabs>
              <w:tab w:val="clear" w:pos="8176"/>
              <w:tab w:val="right" w:pos="9026" w:leader="dot"/>
            </w:tabs>
            <w:rPr/>
          </w:pPr>
          <w:hyperlink w:anchor="__RefHeading___Toc2138658_2322387425">
            <w:r>
              <w:rPr>
                <w:webHidden/>
                <w:rStyle w:val="IndexLink"/>
                <w:rtl w:val="true"/>
              </w:rPr>
              <w:t>الاستئذان علی الأب</w:t>
            </w:r>
            <w:r>
              <w:rPr>
                <w:rStyle w:val="IndexLink"/>
                <w:rtl w:val="true"/>
              </w:rPr>
              <w:tab/>
            </w:r>
            <w:r>
              <w:rPr>
                <w:rStyle w:val="IndexLink"/>
              </w:rPr>
              <w:t>214</w:t>
            </w:r>
          </w:hyperlink>
        </w:p>
        <w:p>
          <w:pPr>
            <w:pStyle w:val="Contents4"/>
            <w:tabs>
              <w:tab w:val="clear" w:pos="8176"/>
              <w:tab w:val="right" w:pos="9026" w:leader="dot"/>
            </w:tabs>
            <w:rPr/>
          </w:pPr>
          <w:hyperlink w:anchor="__RefHeading___Toc2138660_2322387425">
            <w:r>
              <w:rPr>
                <w:webHidden/>
                <w:rStyle w:val="IndexLink"/>
                <w:rtl w:val="true"/>
              </w:rPr>
              <w:t>تفریق الأطفال فی المضاجع</w:t>
            </w:r>
            <w:r>
              <w:rPr>
                <w:rStyle w:val="IndexLink"/>
                <w:rtl w:val="true"/>
              </w:rPr>
              <w:tab/>
            </w:r>
            <w:r>
              <w:rPr>
                <w:rStyle w:val="IndexLink"/>
              </w:rPr>
              <w:t>215</w:t>
            </w:r>
          </w:hyperlink>
        </w:p>
        <w:p>
          <w:pPr>
            <w:pStyle w:val="Contents4"/>
            <w:tabs>
              <w:tab w:val="clear" w:pos="8176"/>
              <w:tab w:val="right" w:pos="9026" w:leader="dot"/>
            </w:tabs>
            <w:rPr/>
          </w:pPr>
          <w:hyperlink w:anchor="__RefHeading___Toc2138662_2322387425">
            <w:r>
              <w:rPr>
                <w:webHidden/>
                <w:rStyle w:val="IndexLink"/>
                <w:rtl w:val="true"/>
              </w:rPr>
              <w:t>النظر إلی العضو المبان من الأجنبیّ</w:t>
            </w:r>
            <w:r>
              <w:rPr>
                <w:rStyle w:val="IndexLink"/>
                <w:rtl w:val="true"/>
              </w:rPr>
              <w:tab/>
            </w:r>
            <w:r>
              <w:rPr>
                <w:rStyle w:val="IndexLink"/>
              </w:rPr>
              <w:t>215</w:t>
            </w:r>
          </w:hyperlink>
        </w:p>
        <w:p>
          <w:pPr>
            <w:pStyle w:val="Contents4"/>
            <w:tabs>
              <w:tab w:val="clear" w:pos="8176"/>
              <w:tab w:val="right" w:pos="9026" w:leader="dot"/>
            </w:tabs>
            <w:rPr/>
          </w:pPr>
          <w:hyperlink w:anchor="__RefHeading___Toc2138664_2322387425">
            <w:r>
              <w:rPr>
                <w:webHidden/>
                <w:rStyle w:val="IndexLink"/>
                <w:rtl w:val="true"/>
              </w:rPr>
              <w:t>وصل شعر المرأة بشعر غیرها</w:t>
            </w:r>
            <w:r>
              <w:rPr>
                <w:rStyle w:val="IndexLink"/>
                <w:rtl w:val="true"/>
              </w:rPr>
              <w:tab/>
            </w:r>
            <w:r>
              <w:rPr>
                <w:rStyle w:val="IndexLink"/>
              </w:rPr>
              <w:t>216</w:t>
            </w:r>
          </w:hyperlink>
        </w:p>
        <w:p>
          <w:pPr>
            <w:pStyle w:val="Contents4"/>
            <w:tabs>
              <w:tab w:val="clear" w:pos="8176"/>
              <w:tab w:val="right" w:pos="9026" w:leader="dot"/>
            </w:tabs>
            <w:rPr/>
          </w:pPr>
          <w:hyperlink w:anchor="__RefHeading___Toc2138666_2322387425">
            <w:r>
              <w:rPr>
                <w:webHidden/>
                <w:rStyle w:val="IndexLink"/>
                <w:rtl w:val="true"/>
              </w:rPr>
              <w:t>عدم اقتضاء جواز النظر جواز المسّ</w:t>
            </w:r>
            <w:r>
              <w:rPr>
                <w:rStyle w:val="IndexLink"/>
                <w:rtl w:val="true"/>
              </w:rPr>
              <w:tab/>
            </w:r>
            <w:r>
              <w:rPr>
                <w:rStyle w:val="IndexLink"/>
              </w:rPr>
              <w:t>217</w:t>
            </w:r>
          </w:hyperlink>
        </w:p>
        <w:p>
          <w:pPr>
            <w:pStyle w:val="Contents4"/>
            <w:tabs>
              <w:tab w:val="clear" w:pos="8176"/>
              <w:tab w:val="right" w:pos="9026" w:leader="dot"/>
            </w:tabs>
            <w:rPr/>
          </w:pPr>
          <w:hyperlink w:anchor="__RefHeading___Toc2138668_2322387425">
            <w:r>
              <w:rPr>
                <w:webHidden/>
                <w:rStyle w:val="IndexLink"/>
                <w:rtl w:val="true"/>
              </w:rPr>
              <w:t>اعتبار عدم التعدّی عن مقدار الضرورة</w:t>
            </w:r>
            <w:r>
              <w:rPr>
                <w:rStyle w:val="IndexLink"/>
                <w:rtl w:val="true"/>
              </w:rPr>
              <w:tab/>
            </w:r>
            <w:r>
              <w:rPr>
                <w:rStyle w:val="IndexLink"/>
              </w:rPr>
              <w:t>217</w:t>
            </w:r>
          </w:hyperlink>
        </w:p>
        <w:p>
          <w:pPr>
            <w:pStyle w:val="Contents4"/>
            <w:tabs>
              <w:tab w:val="clear" w:pos="8176"/>
              <w:tab w:val="right" w:pos="9026" w:leader="dot"/>
            </w:tabs>
            <w:rPr/>
          </w:pPr>
          <w:hyperlink w:anchor="__RefHeading___Toc2138670_2322387425">
            <w:r>
              <w:rPr>
                <w:webHidden/>
                <w:rStyle w:val="IndexLink"/>
                <w:rtl w:val="true"/>
              </w:rPr>
              <w:t>کراهة خروج النساء واختلاطهنّ بالرجال</w:t>
            </w:r>
            <w:r>
              <w:rPr>
                <w:rStyle w:val="IndexLink"/>
                <w:rtl w:val="true"/>
              </w:rPr>
              <w:tab/>
            </w:r>
            <w:r>
              <w:rPr>
                <w:rStyle w:val="IndexLink"/>
              </w:rPr>
              <w:t>217</w:t>
            </w:r>
          </w:hyperlink>
        </w:p>
        <w:p>
          <w:pPr>
            <w:pStyle w:val="Contents4"/>
            <w:tabs>
              <w:tab w:val="clear" w:pos="8176"/>
              <w:tab w:val="right" w:pos="9026" w:leader="dot"/>
            </w:tabs>
            <w:rPr/>
          </w:pPr>
          <w:hyperlink w:anchor="__RefHeading___Toc2138672_2322387425">
            <w:r>
              <w:rPr>
                <w:webHidden/>
                <w:rStyle w:val="IndexLink"/>
                <w:rtl w:val="true"/>
              </w:rPr>
              <w:t>اشتباه محلّل النظر والتستّر مع محرّمه بالشبهة المحصورة وغیرها</w:t>
            </w:r>
            <w:r>
              <w:rPr>
                <w:rStyle w:val="IndexLink"/>
                <w:rtl w:val="true"/>
              </w:rPr>
              <w:tab/>
            </w:r>
            <w:r>
              <w:rPr>
                <w:rStyle w:val="IndexLink"/>
              </w:rPr>
              <w:t>218</w:t>
            </w:r>
          </w:hyperlink>
        </w:p>
        <w:p>
          <w:pPr>
            <w:pStyle w:val="Contents4"/>
            <w:tabs>
              <w:tab w:val="clear" w:pos="8176"/>
              <w:tab w:val="right" w:pos="9026" w:leader="dot"/>
            </w:tabs>
            <w:rPr/>
          </w:pPr>
          <w:hyperlink w:anchor="__RefHeading___Toc2138674_2322387425">
            <w:r>
              <w:rPr>
                <w:webHidden/>
                <w:rStyle w:val="IndexLink"/>
                <w:rtl w:val="true"/>
              </w:rPr>
              <w:t>وجوب التستّر علی النساء وحرمة النظر علی الرجال وحکم العکس</w:t>
            </w:r>
            <w:r>
              <w:rPr>
                <w:rStyle w:val="IndexLink"/>
                <w:rtl w:val="true"/>
              </w:rPr>
              <w:tab/>
            </w:r>
            <w:r>
              <w:rPr>
                <w:rStyle w:val="IndexLink"/>
              </w:rPr>
              <w:t>225</w:t>
            </w:r>
          </w:hyperlink>
        </w:p>
        <w:p>
          <w:pPr>
            <w:pStyle w:val="Contents4"/>
            <w:tabs>
              <w:tab w:val="clear" w:pos="8176"/>
              <w:tab w:val="right" w:pos="9026" w:leader="dot"/>
            </w:tabs>
            <w:rPr/>
          </w:pPr>
          <w:hyperlink w:anchor="__RefHeading___Toc2138676_2322387425">
            <w:r>
              <w:rPr>
                <w:webHidden/>
                <w:rStyle w:val="IndexLink"/>
                <w:rtl w:val="true"/>
              </w:rPr>
              <w:t>تحدید النظر المحرّم</w:t>
            </w:r>
            <w:r>
              <w:rPr>
                <w:rStyle w:val="IndexLink"/>
                <w:rtl w:val="true"/>
              </w:rPr>
              <w:tab/>
            </w:r>
            <w:r>
              <w:rPr>
                <w:rStyle w:val="IndexLink"/>
              </w:rPr>
              <w:t>227</w:t>
            </w:r>
          </w:hyperlink>
        </w:p>
        <w:p>
          <w:pPr>
            <w:pStyle w:val="Contents3"/>
            <w:tabs>
              <w:tab w:val="clear" w:pos="8459"/>
              <w:tab w:val="right" w:pos="9026" w:leader="dot"/>
            </w:tabs>
            <w:rPr/>
          </w:pPr>
          <w:hyperlink w:anchor="__RefHeading___Toc2138678_2322387425">
            <w:r>
              <w:rPr>
                <w:webHidden/>
                <w:rStyle w:val="IndexLink"/>
                <w:rtl w:val="true"/>
              </w:rPr>
              <w:t xml:space="preserve">فصل </w:t>
            </w:r>
            <w:r>
              <w:rPr>
                <w:rStyle w:val="IndexLink"/>
                <w:rtl w:val="true"/>
              </w:rPr>
              <w:t>[</w:t>
            </w:r>
            <w:r>
              <w:rPr>
                <w:rStyle w:val="IndexLink"/>
                <w:rtl w:val="true"/>
              </w:rPr>
              <w:t>فی ما یتعلّق بأحکام الدخول علی الزوجة</w:t>
            </w:r>
            <w:r>
              <w:rPr>
                <w:rStyle w:val="IndexLink"/>
                <w:rtl w:val="true"/>
              </w:rPr>
              <w:t>]</w:t>
              <w:tab/>
            </w:r>
            <w:r>
              <w:rPr>
                <w:rStyle w:val="IndexLink"/>
              </w:rPr>
              <w:t>229</w:t>
            </w:r>
          </w:hyperlink>
        </w:p>
        <w:p>
          <w:pPr>
            <w:pStyle w:val="Contents4"/>
            <w:tabs>
              <w:tab w:val="clear" w:pos="8176"/>
              <w:tab w:val="right" w:pos="9026" w:leader="dot"/>
            </w:tabs>
            <w:rPr/>
          </w:pPr>
          <w:hyperlink w:anchor="__RefHeading___Toc2138680_2322387425">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2138682_2322387425">
            <w:r>
              <w:rPr>
                <w:webHidden/>
                <w:rStyle w:val="IndexLink"/>
                <w:rtl w:val="true"/>
              </w:rPr>
              <w:t>حکم وطء الزوجة والمملوکة فی الدبر</w:t>
            </w:r>
            <w:r>
              <w:rPr>
                <w:rStyle w:val="IndexLink"/>
                <w:rtl w:val="true"/>
              </w:rPr>
              <w:tab/>
            </w:r>
            <w:r>
              <w:rPr>
                <w:rStyle w:val="IndexLink"/>
              </w:rPr>
              <w:t>229</w:t>
            </w:r>
          </w:hyperlink>
        </w:p>
        <w:p>
          <w:pPr>
            <w:pStyle w:val="Contents4"/>
            <w:tabs>
              <w:tab w:val="clear" w:pos="8176"/>
              <w:tab w:val="right" w:pos="9026" w:leader="dot"/>
            </w:tabs>
            <w:rPr/>
          </w:pPr>
          <w:hyperlink w:anchor="__RefHeading___Toc2138684_2322387425">
            <w:r>
              <w:rPr>
                <w:webHidden/>
                <w:rStyle w:val="IndexLink"/>
                <w:rtl w:val="true"/>
              </w:rPr>
              <w:t>حکم وطء الحائض دبراً</w:t>
            </w:r>
            <w:r>
              <w:rPr>
                <w:rStyle w:val="IndexLink"/>
                <w:rtl w:val="true"/>
              </w:rPr>
              <w:tab/>
            </w:r>
            <w:r>
              <w:rPr>
                <w:rStyle w:val="IndexLink"/>
              </w:rPr>
              <w:t>229</w:t>
            </w:r>
          </w:hyperlink>
        </w:p>
        <w:p>
          <w:pPr>
            <w:pStyle w:val="Contents4"/>
            <w:tabs>
              <w:tab w:val="clear" w:pos="8176"/>
              <w:tab w:val="right" w:pos="9026" w:leader="dot"/>
            </w:tabs>
            <w:rPr/>
          </w:pPr>
          <w:hyperlink w:anchor="__RefHeading___Toc2138686_2322387425">
            <w:r>
              <w:rPr>
                <w:webHidden/>
                <w:rStyle w:val="IndexLink"/>
                <w:rtl w:val="true"/>
              </w:rPr>
              <w:t>هل یتحقّق النشوز بعدم تمکین الزوجة من وطئها دبراً؟</w:t>
            </w:r>
            <w:r>
              <w:rPr>
                <w:rStyle w:val="IndexLink"/>
                <w:rtl w:val="true"/>
              </w:rPr>
              <w:tab/>
            </w:r>
            <w:r>
              <w:rPr>
                <w:rStyle w:val="IndexLink"/>
              </w:rPr>
              <w:t>230</w:t>
            </w:r>
          </w:hyperlink>
        </w:p>
        <w:p>
          <w:pPr>
            <w:pStyle w:val="Contents4"/>
            <w:tabs>
              <w:tab w:val="clear" w:pos="8176"/>
              <w:tab w:val="right" w:pos="9026" w:leader="dot"/>
            </w:tabs>
            <w:rPr/>
          </w:pPr>
          <w:hyperlink w:anchor="__RefHeading___Toc2138688_2322387425">
            <w:r>
              <w:rPr>
                <w:webHidden/>
                <w:rStyle w:val="IndexLink"/>
                <w:rtl w:val="true"/>
              </w:rPr>
              <w:t>اشتراک الوطء فی الدبر والقبل فی جملة الأحکام</w:t>
            </w:r>
            <w:r>
              <w:rPr>
                <w:rStyle w:val="IndexLink"/>
                <w:rtl w:val="true"/>
              </w:rPr>
              <w:tab/>
            </w:r>
            <w:r>
              <w:rPr>
                <w:rStyle w:val="IndexLink"/>
              </w:rPr>
              <w:t>230</w:t>
            </w:r>
          </w:hyperlink>
        </w:p>
        <w:p>
          <w:pPr>
            <w:pStyle w:val="Contents4"/>
            <w:tabs>
              <w:tab w:val="clear" w:pos="8176"/>
              <w:tab w:val="right" w:pos="9026" w:leader="dot"/>
            </w:tabs>
            <w:rPr/>
          </w:pPr>
          <w:hyperlink w:anchor="__RefHeading___Toc2138690_2322387425">
            <w:r>
              <w:rPr>
                <w:webHidden/>
                <w:rStyle w:val="IndexLink"/>
                <w:rtl w:val="true"/>
              </w:rPr>
              <w:t>تحقّق الحنث بالوطء دبراً لو حلف علی الترک</w:t>
            </w:r>
            <w:r>
              <w:rPr>
                <w:rStyle w:val="IndexLink"/>
                <w:rtl w:val="true"/>
              </w:rPr>
              <w:tab/>
            </w:r>
            <w:r>
              <w:rPr>
                <w:rStyle w:val="IndexLink"/>
              </w:rPr>
              <w:t>234</w:t>
            </w:r>
          </w:hyperlink>
        </w:p>
        <w:p>
          <w:pPr>
            <w:pStyle w:val="Contents4"/>
            <w:tabs>
              <w:tab w:val="clear" w:pos="8176"/>
              <w:tab w:val="right" w:pos="9026" w:leader="dot"/>
            </w:tabs>
            <w:rPr/>
          </w:pPr>
          <w:hyperlink w:anchor="__RefHeading___Toc2138692_2322387425">
            <w:r>
              <w:rPr>
                <w:webHidden/>
                <w:rStyle w:val="IndexLink"/>
                <w:rtl w:val="true"/>
              </w:rPr>
              <w:t>موارد العزل</w:t>
            </w:r>
            <w:r>
              <w:rPr>
                <w:rStyle w:val="IndexLink"/>
                <w:rtl w:val="true"/>
              </w:rPr>
              <w:tab/>
            </w:r>
            <w:r>
              <w:rPr>
                <w:rStyle w:val="IndexLink"/>
              </w:rPr>
              <w:t>235</w:t>
            </w:r>
          </w:hyperlink>
        </w:p>
        <w:p>
          <w:pPr>
            <w:pStyle w:val="Contents4"/>
            <w:tabs>
              <w:tab w:val="clear" w:pos="8176"/>
              <w:tab w:val="right" w:pos="9026" w:leader="dot"/>
            </w:tabs>
            <w:rPr/>
          </w:pPr>
          <w:hyperlink w:anchor="__RefHeading___Toc2138694_2322387425">
            <w:r>
              <w:rPr>
                <w:webHidden/>
                <w:rStyle w:val="IndexLink"/>
                <w:rtl w:val="true"/>
              </w:rPr>
              <w:t>ترک وطء الزوجة أکثر من أربعة أشهر</w:t>
            </w:r>
            <w:r>
              <w:rPr>
                <w:rStyle w:val="IndexLink"/>
                <w:rtl w:val="true"/>
              </w:rPr>
              <w:tab/>
            </w:r>
            <w:r>
              <w:rPr>
                <w:rStyle w:val="IndexLink"/>
              </w:rPr>
              <w:t>237</w:t>
            </w:r>
          </w:hyperlink>
        </w:p>
        <w:p>
          <w:pPr>
            <w:pStyle w:val="Contents4"/>
            <w:tabs>
              <w:tab w:val="clear" w:pos="8176"/>
              <w:tab w:val="right" w:pos="9026" w:leader="dot"/>
            </w:tabs>
            <w:rPr/>
          </w:pPr>
          <w:hyperlink w:anchor="__RefHeading___Toc2138696_2322387425">
            <w:r>
              <w:rPr>
                <w:webHidden/>
                <w:rStyle w:val="IndexLink"/>
                <w:rtl w:val="true"/>
              </w:rPr>
              <w:t>حکم ما لو کانت المرأة لا تصبر عن المواقعة إلی أربعة أشهر</w:t>
            </w:r>
            <w:r>
              <w:rPr>
                <w:rStyle w:val="IndexLink"/>
                <w:rtl w:val="true"/>
              </w:rPr>
              <w:tab/>
            </w:r>
            <w:r>
              <w:rPr>
                <w:rStyle w:val="IndexLink"/>
              </w:rPr>
              <w:t>242</w:t>
            </w:r>
          </w:hyperlink>
        </w:p>
        <w:p>
          <w:pPr>
            <w:pStyle w:val="Contents4"/>
            <w:tabs>
              <w:tab w:val="clear" w:pos="8176"/>
              <w:tab w:val="right" w:pos="9026" w:leader="dot"/>
            </w:tabs>
            <w:rPr/>
          </w:pPr>
          <w:hyperlink w:anchor="__RefHeading___Toc2138698_2322387425">
            <w:r>
              <w:rPr>
                <w:webHidden/>
                <w:rStyle w:val="IndexLink"/>
                <w:rtl w:val="true"/>
              </w:rPr>
              <w:t>تدارک ما فات من ترک الوطء لمانع</w:t>
            </w:r>
            <w:r>
              <w:rPr>
                <w:rStyle w:val="IndexLink"/>
                <w:rtl w:val="true"/>
              </w:rPr>
              <w:tab/>
            </w:r>
            <w:r>
              <w:rPr>
                <w:rStyle w:val="IndexLink"/>
              </w:rPr>
              <w:t>242</w:t>
            </w:r>
          </w:hyperlink>
        </w:p>
        <w:p>
          <w:pPr>
            <w:pStyle w:val="Contents3"/>
            <w:tabs>
              <w:tab w:val="clear" w:pos="8459"/>
              <w:tab w:val="right" w:pos="9026" w:leader="dot"/>
            </w:tabs>
            <w:rPr/>
          </w:pPr>
          <w:hyperlink w:anchor="__RefHeading___Toc2138700_2322387425">
            <w:r>
              <w:rPr>
                <w:webHidden/>
                <w:rStyle w:val="IndexLink"/>
                <w:rtl w:val="true"/>
              </w:rPr>
              <w:t xml:space="preserve">فصل </w:t>
            </w:r>
            <w:r>
              <w:rPr>
                <w:rStyle w:val="IndexLink"/>
                <w:rtl w:val="true"/>
              </w:rPr>
              <w:t>[</w:t>
            </w:r>
            <w:r>
              <w:rPr>
                <w:rStyle w:val="IndexLink"/>
                <w:rtl w:val="true"/>
              </w:rPr>
              <w:t>فی وطء الزوجة الصغیرة</w:t>
            </w:r>
            <w:r>
              <w:rPr>
                <w:rStyle w:val="IndexLink"/>
                <w:rtl w:val="true"/>
              </w:rPr>
              <w:t>]</w:t>
              <w:tab/>
            </w:r>
            <w:r>
              <w:rPr>
                <w:rStyle w:val="IndexLink"/>
              </w:rPr>
              <w:t>246</w:t>
            </w:r>
          </w:hyperlink>
        </w:p>
        <w:p>
          <w:pPr>
            <w:pStyle w:val="Contents4"/>
            <w:tabs>
              <w:tab w:val="clear" w:pos="8176"/>
              <w:tab w:val="right" w:pos="9026" w:leader="dot"/>
            </w:tabs>
            <w:rPr/>
          </w:pPr>
          <w:hyperlink w:anchor="__RefHeading___Toc2138702_2322387425">
            <w:r>
              <w:rPr>
                <w:webHidden/>
                <w:rStyle w:val="IndexLink"/>
                <w:rtl w:val="true"/>
              </w:rPr>
              <w:t>حرمة وطء الزوجة قبل إکمال تسع سنین</w:t>
            </w:r>
            <w:r>
              <w:rPr>
                <w:rStyle w:val="IndexLink"/>
                <w:rtl w:val="true"/>
              </w:rPr>
              <w:tab/>
            </w:r>
            <w:r>
              <w:rPr>
                <w:rStyle w:val="IndexLink"/>
              </w:rPr>
              <w:t>246</w:t>
            </w:r>
          </w:hyperlink>
        </w:p>
        <w:p>
          <w:pPr>
            <w:pStyle w:val="Contents4"/>
            <w:tabs>
              <w:tab w:val="clear" w:pos="8176"/>
              <w:tab w:val="right" w:pos="9026" w:leader="dot"/>
            </w:tabs>
            <w:rPr/>
          </w:pPr>
          <w:hyperlink w:anchor="__RefHeading___Toc2138704_2322387425">
            <w:r>
              <w:rPr>
                <w:webHidden/>
                <w:rStyle w:val="IndexLink"/>
                <w:rtl w:val="true"/>
              </w:rPr>
              <w:t>التحریم بإفضاء الصغیرة قبل إکمال التسع</w:t>
            </w:r>
            <w:r>
              <w:rPr>
                <w:rStyle w:val="IndexLink"/>
                <w:rtl w:val="true"/>
              </w:rPr>
              <w:tab/>
            </w:r>
            <w:r>
              <w:rPr>
                <w:rStyle w:val="IndexLink"/>
              </w:rPr>
              <w:t>246</w:t>
            </w:r>
          </w:hyperlink>
        </w:p>
        <w:p>
          <w:pPr>
            <w:pStyle w:val="Contents4"/>
            <w:tabs>
              <w:tab w:val="clear" w:pos="8176"/>
              <w:tab w:val="right" w:pos="9026" w:leader="dot"/>
            </w:tabs>
            <w:rPr/>
          </w:pPr>
          <w:hyperlink w:anchor="__RefHeading___Toc2138706_2322387425">
            <w:r>
              <w:rPr>
                <w:webHidden/>
                <w:rStyle w:val="IndexLink"/>
                <w:rtl w:val="true"/>
              </w:rPr>
              <w:t>وجوب الدیة وتعلّق النفقة للمفضاة</w:t>
            </w:r>
            <w:r>
              <w:rPr>
                <w:rStyle w:val="IndexLink"/>
                <w:rtl w:val="true"/>
              </w:rPr>
              <w:tab/>
            </w:r>
            <w:r>
              <w:rPr>
                <w:rStyle w:val="IndexLink"/>
              </w:rPr>
              <w:t>247</w:t>
            </w:r>
          </w:hyperlink>
        </w:p>
        <w:p>
          <w:pPr>
            <w:pStyle w:val="Contents4"/>
            <w:tabs>
              <w:tab w:val="clear" w:pos="8176"/>
              <w:tab w:val="right" w:pos="9026" w:leader="dot"/>
            </w:tabs>
            <w:rPr/>
          </w:pPr>
          <w:hyperlink w:anchor="__RefHeading___Toc2138708_2322387425">
            <w:r>
              <w:rPr>
                <w:webHidden/>
                <w:rStyle w:val="IndexLink"/>
                <w:rtl w:val="true"/>
              </w:rPr>
              <w:t>حقیقة الإفضاء وأنّه لا فرق فیه بالدخول قبلاً ودبراً</w:t>
            </w:r>
            <w:r>
              <w:rPr>
                <w:rStyle w:val="IndexLink"/>
                <w:rtl w:val="true"/>
              </w:rPr>
              <w:tab/>
            </w:r>
            <w:r>
              <w:rPr>
                <w:rStyle w:val="IndexLink"/>
              </w:rPr>
              <w:t>248</w:t>
            </w:r>
          </w:hyperlink>
        </w:p>
        <w:p>
          <w:pPr>
            <w:pStyle w:val="Contents4"/>
            <w:tabs>
              <w:tab w:val="clear" w:pos="8176"/>
              <w:tab w:val="right" w:pos="9026" w:leader="dot"/>
            </w:tabs>
            <w:rPr/>
          </w:pPr>
          <w:hyperlink w:anchor="__RefHeading___Toc2138710_2322387425">
            <w:r>
              <w:rPr>
                <w:webHidden/>
                <w:rStyle w:val="IndexLink"/>
                <w:rtl w:val="true"/>
              </w:rPr>
              <w:t>اختصاص الحکم بالزوجة الصغیرة المفضاة بالوطء دون غیرها</w:t>
            </w:r>
            <w:r>
              <w:rPr>
                <w:rStyle w:val="IndexLink"/>
                <w:rtl w:val="true"/>
              </w:rPr>
              <w:tab/>
            </w:r>
            <w:r>
              <w:rPr>
                <w:rStyle w:val="IndexLink"/>
              </w:rPr>
              <w:t>249</w:t>
            </w:r>
          </w:hyperlink>
        </w:p>
        <w:p>
          <w:pPr>
            <w:pStyle w:val="Contents4"/>
            <w:tabs>
              <w:tab w:val="clear" w:pos="8176"/>
              <w:tab w:val="right" w:pos="9026" w:leader="dot"/>
            </w:tabs>
            <w:rPr/>
          </w:pPr>
          <w:hyperlink w:anchor="__RefHeading___Toc2138712_2322387425">
            <w:r>
              <w:rPr>
                <w:webHidden/>
                <w:rStyle w:val="IndexLink"/>
                <w:rtl w:val="true"/>
              </w:rPr>
              <w:t>الدخول بالزوجة بعد إکمالها التسع</w:t>
            </w:r>
            <w:r>
              <w:rPr>
                <w:rStyle w:val="IndexLink"/>
                <w:rtl w:val="true"/>
              </w:rPr>
              <w:tab/>
            </w:r>
            <w:r>
              <w:rPr>
                <w:rStyle w:val="IndexLink"/>
              </w:rPr>
              <w:t>251</w:t>
            </w:r>
          </w:hyperlink>
        </w:p>
        <w:p>
          <w:pPr>
            <w:pStyle w:val="Contents4"/>
            <w:tabs>
              <w:tab w:val="clear" w:pos="8176"/>
              <w:tab w:val="right" w:pos="9026" w:leader="dot"/>
            </w:tabs>
            <w:rPr/>
          </w:pPr>
          <w:hyperlink w:anchor="__RefHeading___Toc2138714_2322387425">
            <w:r>
              <w:rPr>
                <w:webHidden/>
                <w:rStyle w:val="IndexLink"/>
                <w:rtl w:val="true"/>
              </w:rPr>
              <w:t>حکم المفضی إذا کان صغیراً أو مجنوناً</w:t>
            </w:r>
            <w:r>
              <w:rPr>
                <w:rStyle w:val="IndexLink"/>
                <w:rtl w:val="true"/>
              </w:rPr>
              <w:tab/>
            </w:r>
            <w:r>
              <w:rPr>
                <w:rStyle w:val="IndexLink"/>
              </w:rPr>
              <w:t>252</w:t>
            </w:r>
          </w:hyperlink>
        </w:p>
        <w:p>
          <w:pPr>
            <w:pStyle w:val="Contents4"/>
            <w:tabs>
              <w:tab w:val="clear" w:pos="8176"/>
              <w:tab w:val="right" w:pos="9026" w:leader="dot"/>
            </w:tabs>
            <w:rPr/>
          </w:pPr>
          <w:hyperlink w:anchor="__RefHeading___Toc2138716_2322387425">
            <w:r>
              <w:rPr>
                <w:webHidden/>
                <w:rStyle w:val="IndexLink"/>
                <w:rtl w:val="true"/>
              </w:rPr>
              <w:t>ضمان من عیبت بغیر الإفضاء</w:t>
            </w:r>
            <w:r>
              <w:rPr>
                <w:rStyle w:val="IndexLink"/>
                <w:rtl w:val="true"/>
              </w:rPr>
              <w:tab/>
            </w:r>
            <w:r>
              <w:rPr>
                <w:rStyle w:val="IndexLink"/>
              </w:rPr>
              <w:t>252</w:t>
            </w:r>
          </w:hyperlink>
        </w:p>
        <w:p>
          <w:pPr>
            <w:pStyle w:val="Contents4"/>
            <w:tabs>
              <w:tab w:val="clear" w:pos="8176"/>
              <w:tab w:val="right" w:pos="9026" w:leader="dot"/>
            </w:tabs>
            <w:rPr/>
          </w:pPr>
          <w:hyperlink w:anchor="__RefHeading___Toc2138718_2322387425">
            <w:r>
              <w:rPr>
                <w:webHidden/>
                <w:rStyle w:val="IndexLink"/>
                <w:rtl w:val="true"/>
              </w:rPr>
              <w:t>وطء من شکّ فی إکمالها تسع سنین</w:t>
            </w:r>
            <w:r>
              <w:rPr>
                <w:rStyle w:val="IndexLink"/>
                <w:rtl w:val="true"/>
              </w:rPr>
              <w:tab/>
            </w:r>
            <w:r>
              <w:rPr>
                <w:rStyle w:val="IndexLink"/>
              </w:rPr>
              <w:t>252</w:t>
            </w:r>
          </w:hyperlink>
        </w:p>
        <w:p>
          <w:pPr>
            <w:pStyle w:val="Contents4"/>
            <w:tabs>
              <w:tab w:val="clear" w:pos="8176"/>
              <w:tab w:val="right" w:pos="9026" w:leader="dot"/>
            </w:tabs>
            <w:rPr/>
          </w:pPr>
          <w:hyperlink w:anchor="__RefHeading___Toc2138720_2322387425">
            <w:r>
              <w:rPr>
                <w:webHidden/>
                <w:rStyle w:val="IndexLink"/>
                <w:rtl w:val="true"/>
              </w:rPr>
              <w:t>جریان أحکام الزوجیّة بعد الإفضاء</w:t>
            </w:r>
            <w:r>
              <w:rPr>
                <w:rStyle w:val="IndexLink"/>
                <w:rtl w:val="true"/>
              </w:rPr>
              <w:tab/>
            </w:r>
            <w:r>
              <w:rPr>
                <w:rStyle w:val="IndexLink"/>
              </w:rPr>
              <w:t>256</w:t>
            </w:r>
          </w:hyperlink>
        </w:p>
        <w:p>
          <w:pPr>
            <w:pStyle w:val="Contents4"/>
            <w:tabs>
              <w:tab w:val="clear" w:pos="8176"/>
              <w:tab w:val="right" w:pos="9026" w:leader="dot"/>
            </w:tabs>
            <w:rPr/>
          </w:pPr>
          <w:hyperlink w:anchor="__RefHeading___Toc2138722_2322387425">
            <w:r>
              <w:rPr>
                <w:webHidden/>
                <w:rStyle w:val="IndexLink"/>
                <w:rtl w:val="true"/>
              </w:rPr>
              <w:t>عدم سقوط النفقة بنشوز المفضاة</w:t>
            </w:r>
            <w:r>
              <w:rPr>
                <w:rStyle w:val="IndexLink"/>
                <w:rtl w:val="true"/>
              </w:rPr>
              <w:tab/>
            </w:r>
            <w:r>
              <w:rPr>
                <w:rStyle w:val="IndexLink"/>
              </w:rPr>
              <w:t>257</w:t>
            </w:r>
          </w:hyperlink>
        </w:p>
        <w:p>
          <w:pPr>
            <w:pStyle w:val="Contents3"/>
            <w:tabs>
              <w:tab w:val="clear" w:pos="8459"/>
              <w:tab w:val="right" w:pos="9026" w:leader="dot"/>
            </w:tabs>
            <w:rPr/>
          </w:pPr>
          <w:hyperlink w:anchor="__RefHeading___Toc2138724_2322387425">
            <w:r>
              <w:rPr>
                <w:webHidden/>
                <w:rStyle w:val="IndexLink"/>
                <w:rtl w:val="true"/>
              </w:rPr>
              <w:t xml:space="preserve">فصل </w:t>
            </w:r>
            <w:r>
              <w:rPr>
                <w:rStyle w:val="IndexLink"/>
                <w:rtl w:val="true"/>
              </w:rPr>
              <w:t>[</w:t>
            </w:r>
            <w:r>
              <w:rPr>
                <w:rStyle w:val="IndexLink"/>
                <w:rtl w:val="true"/>
              </w:rPr>
              <w:t>فی ما یجوز من عدد الأزواج</w:t>
            </w:r>
            <w:r>
              <w:rPr>
                <w:rStyle w:val="IndexLink"/>
                <w:rtl w:val="true"/>
              </w:rPr>
              <w:t>]</w:t>
              <w:tab/>
            </w:r>
            <w:r>
              <w:rPr>
                <w:rStyle w:val="IndexLink"/>
              </w:rPr>
              <w:t>259</w:t>
            </w:r>
          </w:hyperlink>
        </w:p>
        <w:p>
          <w:pPr>
            <w:pStyle w:val="Contents4"/>
            <w:tabs>
              <w:tab w:val="clear" w:pos="8176"/>
              <w:tab w:val="right" w:pos="9026" w:leader="dot"/>
            </w:tabs>
            <w:rPr/>
          </w:pPr>
          <w:hyperlink w:anchor="__RefHeading___Toc2138726_2322387425">
            <w:r>
              <w:rPr>
                <w:webHidden/>
                <w:rStyle w:val="IndexLink"/>
                <w:rtl w:val="true"/>
              </w:rPr>
              <w:t>حرمة الزیادة علی الأربع فی العقد الدائم وجوازه فی الملک والتحلیل والمنقطع</w:t>
            </w:r>
            <w:r>
              <w:rPr>
                <w:rStyle w:val="IndexLink"/>
                <w:rtl w:val="true"/>
              </w:rPr>
              <w:tab/>
            </w:r>
            <w:r>
              <w:rPr>
                <w:rStyle w:val="IndexLink"/>
              </w:rPr>
              <w:t>259</w:t>
            </w:r>
          </w:hyperlink>
        </w:p>
        <w:p>
          <w:pPr>
            <w:pStyle w:val="Contents4"/>
            <w:tabs>
              <w:tab w:val="clear" w:pos="8176"/>
              <w:tab w:val="right" w:pos="9026" w:leader="dot"/>
            </w:tabs>
            <w:rPr/>
          </w:pPr>
          <w:hyperlink w:anchor="__RefHeading___Toc2138728_2322387425">
            <w:r>
              <w:rPr>
                <w:webHidden/>
                <w:rStyle w:val="IndexLink"/>
                <w:rtl w:val="true"/>
              </w:rPr>
              <w:t>الجمع بین أزید من أمتین للحرّ وأزید من حرّتین للعبد</w:t>
            </w:r>
            <w:r>
              <w:rPr>
                <w:rStyle w:val="IndexLink"/>
                <w:rtl w:val="true"/>
              </w:rPr>
              <w:tab/>
            </w:r>
            <w:r>
              <w:rPr>
                <w:rStyle w:val="IndexLink"/>
              </w:rPr>
              <w:t>259</w:t>
            </w:r>
          </w:hyperlink>
        </w:p>
        <w:p>
          <w:pPr>
            <w:pStyle w:val="Contents4"/>
            <w:tabs>
              <w:tab w:val="clear" w:pos="8176"/>
              <w:tab w:val="right" w:pos="9026" w:leader="dot"/>
            </w:tabs>
            <w:rPr/>
          </w:pPr>
          <w:hyperlink w:anchor="__RefHeading___Toc2138730_2322387425">
            <w:r>
              <w:rPr>
                <w:webHidden/>
                <w:rStyle w:val="IndexLink"/>
                <w:rtl w:val="true"/>
              </w:rPr>
              <w:t>صور الجمع للحرّ والعبد</w:t>
            </w:r>
            <w:r>
              <w:rPr>
                <w:rStyle w:val="IndexLink"/>
                <w:rtl w:val="true"/>
              </w:rPr>
              <w:tab/>
            </w:r>
            <w:r>
              <w:rPr>
                <w:rStyle w:val="IndexLink"/>
              </w:rPr>
              <w:t>259</w:t>
            </w:r>
          </w:hyperlink>
        </w:p>
        <w:p>
          <w:pPr>
            <w:pStyle w:val="Contents4"/>
            <w:tabs>
              <w:tab w:val="clear" w:pos="8176"/>
              <w:tab w:val="right" w:pos="9026" w:leader="dot"/>
            </w:tabs>
            <w:rPr/>
          </w:pPr>
          <w:hyperlink w:anchor="__RefHeading___Toc2138732_2322387425">
            <w:r>
              <w:rPr>
                <w:webHidden/>
                <w:rStyle w:val="IndexLink"/>
                <w:rtl w:val="true"/>
              </w:rPr>
              <w:t>حکم العبد والأمة المبعّضین</w:t>
            </w:r>
            <w:r>
              <w:rPr>
                <w:rStyle w:val="IndexLink"/>
                <w:rtl w:val="true"/>
              </w:rPr>
              <w:tab/>
            </w:r>
            <w:r>
              <w:rPr>
                <w:rStyle w:val="IndexLink"/>
              </w:rPr>
              <w:t>260</w:t>
            </w:r>
          </w:hyperlink>
        </w:p>
        <w:p>
          <w:pPr>
            <w:pStyle w:val="Contents4"/>
            <w:tabs>
              <w:tab w:val="clear" w:pos="8176"/>
              <w:tab w:val="right" w:pos="9026" w:leader="dot"/>
            </w:tabs>
            <w:rPr/>
          </w:pPr>
          <w:hyperlink w:anchor="__RefHeading___Toc2138734_2322387425">
            <w:r>
              <w:rPr>
                <w:webHidden/>
                <w:rStyle w:val="IndexLink"/>
                <w:rtl w:val="true"/>
              </w:rPr>
              <w:t>عتق العبد عن ثلاث أو أربع إماء</w:t>
            </w:r>
            <w:r>
              <w:rPr>
                <w:rStyle w:val="IndexLink"/>
                <w:rtl w:val="true"/>
              </w:rPr>
              <w:tab/>
            </w:r>
            <w:r>
              <w:rPr>
                <w:rStyle w:val="IndexLink"/>
              </w:rPr>
              <w:t>263</w:t>
            </w:r>
          </w:hyperlink>
        </w:p>
        <w:p>
          <w:pPr>
            <w:pStyle w:val="Contents4"/>
            <w:tabs>
              <w:tab w:val="clear" w:pos="8176"/>
              <w:tab w:val="right" w:pos="9026" w:leader="dot"/>
            </w:tabs>
            <w:rPr/>
          </w:pPr>
          <w:hyperlink w:anchor="__RefHeading___Toc2138736_2322387425">
            <w:r>
              <w:rPr>
                <w:webHidden/>
                <w:rStyle w:val="IndexLink"/>
                <w:rtl w:val="true"/>
              </w:rPr>
              <w:t>الشکّ فی أنّ عقد الأربع بالدائم</w:t>
            </w:r>
            <w:r>
              <w:rPr>
                <w:rStyle w:val="IndexLink"/>
                <w:rtl w:val="true"/>
              </w:rPr>
              <w:tab/>
            </w:r>
            <w:r>
              <w:rPr>
                <w:rStyle w:val="IndexLink"/>
              </w:rPr>
              <w:t>265</w:t>
            </w:r>
          </w:hyperlink>
        </w:p>
        <w:p>
          <w:pPr>
            <w:pStyle w:val="Contents4"/>
            <w:tabs>
              <w:tab w:val="clear" w:pos="8176"/>
              <w:tab w:val="right" w:pos="9026" w:leader="dot"/>
            </w:tabs>
            <w:rPr/>
          </w:pPr>
          <w:hyperlink w:anchor="__RefHeading___Toc2138738_2322387425">
            <w:r>
              <w:rPr>
                <w:webHidden/>
                <w:rStyle w:val="IndexLink"/>
                <w:rtl w:val="true"/>
              </w:rPr>
              <w:t>من کان عنده أربع فطلّق واحدة وأراد نکاح الخامسة</w:t>
            </w:r>
            <w:r>
              <w:rPr>
                <w:rStyle w:val="IndexLink"/>
                <w:rtl w:val="true"/>
              </w:rPr>
              <w:tab/>
            </w:r>
            <w:r>
              <w:rPr>
                <w:rStyle w:val="IndexLink"/>
              </w:rPr>
              <w:t>266</w:t>
            </w:r>
          </w:hyperlink>
        </w:p>
        <w:p>
          <w:pPr>
            <w:pStyle w:val="Contents3"/>
            <w:tabs>
              <w:tab w:val="clear" w:pos="8459"/>
              <w:tab w:val="right" w:pos="9026" w:leader="dot"/>
            </w:tabs>
            <w:rPr/>
          </w:pPr>
          <w:hyperlink w:anchor="__RefHeading___Toc2138740_2322387425">
            <w:r>
              <w:rPr>
                <w:webHidden/>
                <w:rStyle w:val="IndexLink"/>
                <w:rtl w:val="true"/>
              </w:rPr>
              <w:t xml:space="preserve">فصل </w:t>
            </w:r>
            <w:r>
              <w:rPr>
                <w:rStyle w:val="IndexLink"/>
                <w:rtl w:val="true"/>
              </w:rPr>
              <w:t>[</w:t>
            </w:r>
            <w:r>
              <w:rPr>
                <w:rStyle w:val="IndexLink"/>
                <w:rtl w:val="true"/>
              </w:rPr>
              <w:t>فی التزویج فی العدّة</w:t>
            </w:r>
            <w:r>
              <w:rPr>
                <w:rStyle w:val="IndexLink"/>
                <w:rtl w:val="true"/>
              </w:rPr>
              <w:t>]</w:t>
              <w:tab/>
            </w:r>
            <w:r>
              <w:rPr>
                <w:rStyle w:val="IndexLink"/>
              </w:rPr>
              <w:t>269</w:t>
            </w:r>
          </w:hyperlink>
        </w:p>
        <w:p>
          <w:pPr>
            <w:pStyle w:val="Contents4"/>
            <w:tabs>
              <w:tab w:val="clear" w:pos="8176"/>
              <w:tab w:val="right" w:pos="9026" w:leader="dot"/>
            </w:tabs>
            <w:rPr/>
          </w:pPr>
          <w:hyperlink w:anchor="__RefHeading___Toc2138742_2322387425">
            <w:r>
              <w:rPr>
                <w:webHidden/>
                <w:rStyle w:val="IndexLink"/>
                <w:rtl w:val="true"/>
              </w:rPr>
              <w:t>حرمة التزویج فی عدّة الغیر</w:t>
            </w:r>
            <w:r>
              <w:rPr>
                <w:rStyle w:val="IndexLink"/>
                <w:rtl w:val="true"/>
              </w:rPr>
              <w:tab/>
            </w:r>
            <w:r>
              <w:rPr>
                <w:rStyle w:val="IndexLink"/>
              </w:rPr>
              <w:t>269</w:t>
            </w:r>
          </w:hyperlink>
        </w:p>
        <w:p>
          <w:pPr>
            <w:pStyle w:val="Contents4"/>
            <w:tabs>
              <w:tab w:val="clear" w:pos="8176"/>
              <w:tab w:val="right" w:pos="9026" w:leader="dot"/>
            </w:tabs>
            <w:rPr/>
          </w:pPr>
          <w:hyperlink w:anchor="__RefHeading___Toc2138744_2322387425">
            <w:r>
              <w:rPr>
                <w:webHidden/>
                <w:rStyle w:val="IndexLink"/>
                <w:rtl w:val="true"/>
              </w:rPr>
              <w:t>تحریم المزوّجة فی العدّة مطلقاً دواماً ومتعة قبلاً دخل أو دبراً</w:t>
            </w:r>
            <w:r>
              <w:rPr>
                <w:rStyle w:val="IndexLink"/>
                <w:rtl w:val="true"/>
              </w:rPr>
              <w:tab/>
            </w:r>
            <w:r>
              <w:rPr>
                <w:rStyle w:val="IndexLink"/>
              </w:rPr>
              <w:t>269</w:t>
            </w:r>
          </w:hyperlink>
        </w:p>
        <w:p>
          <w:pPr>
            <w:pStyle w:val="Contents4"/>
            <w:tabs>
              <w:tab w:val="clear" w:pos="8176"/>
              <w:tab w:val="right" w:pos="9026" w:leader="dot"/>
            </w:tabs>
            <w:rPr/>
          </w:pPr>
          <w:hyperlink w:anchor="__RefHeading___Toc2138746_2322387425">
            <w:r>
              <w:rPr>
                <w:webHidden/>
                <w:rStyle w:val="IndexLink"/>
                <w:rtl w:val="true"/>
              </w:rPr>
              <w:t>ما لا یلحق بالتزویج فی العدّة من الموارد</w:t>
            </w:r>
            <w:r>
              <w:rPr>
                <w:rStyle w:val="IndexLink"/>
                <w:rtl w:val="true"/>
              </w:rPr>
              <w:tab/>
            </w:r>
            <w:r>
              <w:rPr>
                <w:rStyle w:val="IndexLink"/>
              </w:rPr>
              <w:t>270</w:t>
            </w:r>
          </w:hyperlink>
        </w:p>
        <w:p>
          <w:pPr>
            <w:pStyle w:val="Contents4"/>
            <w:tabs>
              <w:tab w:val="clear" w:pos="8176"/>
              <w:tab w:val="right" w:pos="9026" w:leader="dot"/>
            </w:tabs>
            <w:rPr/>
          </w:pPr>
          <w:hyperlink w:anchor="__RefHeading___Toc2138748_2322387425">
            <w:r>
              <w:rPr>
                <w:webHidden/>
                <w:rStyle w:val="IndexLink"/>
                <w:rtl w:val="true"/>
              </w:rPr>
              <w:t>عدم إلحاق وطء المعتدة شبهة ولا زناً ما عدا الرجعیّة</w:t>
            </w:r>
            <w:r>
              <w:rPr>
                <w:rStyle w:val="IndexLink"/>
                <w:rtl w:val="true"/>
              </w:rPr>
              <w:tab/>
            </w:r>
            <w:r>
              <w:rPr>
                <w:rStyle w:val="IndexLink"/>
              </w:rPr>
              <w:t>270</w:t>
            </w:r>
          </w:hyperlink>
        </w:p>
        <w:p>
          <w:pPr>
            <w:pStyle w:val="Contents4"/>
            <w:tabs>
              <w:tab w:val="clear" w:pos="8176"/>
              <w:tab w:val="right" w:pos="9026" w:leader="dot"/>
            </w:tabs>
            <w:rPr/>
          </w:pPr>
          <w:hyperlink w:anchor="__RefHeading___Toc2138750_2322387425">
            <w:r>
              <w:rPr>
                <w:webHidden/>
                <w:rStyle w:val="IndexLink"/>
                <w:rtl w:val="true"/>
              </w:rPr>
              <w:t>التزویج فی العدّة من قِبَل الولیّ والوکیل</w:t>
            </w:r>
            <w:r>
              <w:rPr>
                <w:rStyle w:val="IndexLink"/>
                <w:rtl w:val="true"/>
              </w:rPr>
              <w:tab/>
            </w:r>
            <w:r>
              <w:rPr>
                <w:rStyle w:val="IndexLink"/>
              </w:rPr>
              <w:t>274</w:t>
            </w:r>
          </w:hyperlink>
        </w:p>
        <w:p>
          <w:pPr>
            <w:pStyle w:val="Contents4"/>
            <w:tabs>
              <w:tab w:val="clear" w:pos="8176"/>
              <w:tab w:val="right" w:pos="9026" w:leader="dot"/>
            </w:tabs>
            <w:rPr/>
          </w:pPr>
          <w:hyperlink w:anchor="__RefHeading___Toc2138752_2322387425">
            <w:r>
              <w:rPr>
                <w:webHidden/>
                <w:rStyle w:val="IndexLink"/>
                <w:rtl w:val="true"/>
              </w:rPr>
              <w:t>جواز تزویج من فی العدّة لنفسه</w:t>
            </w:r>
            <w:r>
              <w:rPr>
                <w:rStyle w:val="IndexLink"/>
                <w:rtl w:val="true"/>
              </w:rPr>
              <w:tab/>
            </w:r>
            <w:r>
              <w:rPr>
                <w:rStyle w:val="IndexLink"/>
              </w:rPr>
              <w:t>276</w:t>
            </w:r>
          </w:hyperlink>
        </w:p>
        <w:p>
          <w:pPr>
            <w:pStyle w:val="Contents4"/>
            <w:tabs>
              <w:tab w:val="clear" w:pos="8176"/>
              <w:tab w:val="right" w:pos="9026" w:leader="dot"/>
            </w:tabs>
            <w:rPr/>
          </w:pPr>
          <w:hyperlink w:anchor="__RefHeading___Toc2138754_2322387425">
            <w:r>
              <w:rPr>
                <w:webHidden/>
                <w:rStyle w:val="IndexLink"/>
                <w:rtl w:val="true"/>
              </w:rPr>
              <w:t>المناط فی الدخول المعتبر شرطاً فی الحرمة الأبدیّة</w:t>
            </w:r>
            <w:r>
              <w:rPr>
                <w:rStyle w:val="IndexLink"/>
                <w:rtl w:val="true"/>
              </w:rPr>
              <w:tab/>
            </w:r>
            <w:r>
              <w:rPr>
                <w:rStyle w:val="IndexLink"/>
              </w:rPr>
              <w:t>278</w:t>
            </w:r>
          </w:hyperlink>
        </w:p>
        <w:p>
          <w:pPr>
            <w:pStyle w:val="Contents4"/>
            <w:tabs>
              <w:tab w:val="clear" w:pos="8176"/>
              <w:tab w:val="right" w:pos="9026" w:leader="dot"/>
            </w:tabs>
            <w:rPr/>
          </w:pPr>
          <w:hyperlink w:anchor="__RefHeading___Toc2138756_2322387425">
            <w:r>
              <w:rPr>
                <w:webHidden/>
                <w:rStyle w:val="IndexLink"/>
                <w:rtl w:val="true"/>
              </w:rPr>
              <w:t>الشکّ فی کون المرأة فی العدّة</w:t>
            </w:r>
            <w:r>
              <w:rPr>
                <w:rStyle w:val="IndexLink"/>
                <w:rtl w:val="true"/>
              </w:rPr>
              <w:tab/>
            </w:r>
            <w:r>
              <w:rPr>
                <w:rStyle w:val="IndexLink"/>
              </w:rPr>
              <w:t>279</w:t>
            </w:r>
          </w:hyperlink>
        </w:p>
        <w:p>
          <w:pPr>
            <w:pStyle w:val="Contents4"/>
            <w:tabs>
              <w:tab w:val="clear" w:pos="8176"/>
              <w:tab w:val="right" w:pos="9026" w:leader="dot"/>
            </w:tabs>
            <w:rPr/>
          </w:pPr>
          <w:hyperlink w:anchor="__RefHeading___Toc2138758_2322387425">
            <w:r>
              <w:rPr>
                <w:webHidden/>
                <w:rStyle w:val="IndexLink"/>
                <w:rtl w:val="true"/>
              </w:rPr>
              <w:t>العلم بالعدّة والشکّ فی الدخول والعلم بالدخول والشکّ من جهة اُخری</w:t>
            </w:r>
            <w:r>
              <w:rPr>
                <w:rStyle w:val="IndexLink"/>
                <w:rtl w:val="true"/>
              </w:rPr>
              <w:tab/>
            </w:r>
            <w:r>
              <w:rPr>
                <w:rStyle w:val="IndexLink"/>
              </w:rPr>
              <w:t>281</w:t>
            </w:r>
          </w:hyperlink>
        </w:p>
        <w:p>
          <w:pPr>
            <w:pStyle w:val="Contents4"/>
            <w:tabs>
              <w:tab w:val="clear" w:pos="8176"/>
              <w:tab w:val="right" w:pos="9026" w:leader="dot"/>
            </w:tabs>
            <w:rPr/>
          </w:pPr>
          <w:hyperlink w:anchor="__RefHeading___Toc2138760_2322387425">
            <w:r>
              <w:rPr>
                <w:webHidden/>
                <w:rStyle w:val="IndexLink"/>
                <w:rtl w:val="true"/>
              </w:rPr>
              <w:t>العلم الإجمالی بکون إحداهما فی العدّة</w:t>
            </w:r>
            <w:r>
              <w:rPr>
                <w:rStyle w:val="IndexLink"/>
                <w:rtl w:val="true"/>
              </w:rPr>
              <w:tab/>
            </w:r>
            <w:r>
              <w:rPr>
                <w:rStyle w:val="IndexLink"/>
              </w:rPr>
              <w:t>282</w:t>
            </w:r>
          </w:hyperlink>
        </w:p>
        <w:p>
          <w:pPr>
            <w:pStyle w:val="Contents4"/>
            <w:tabs>
              <w:tab w:val="clear" w:pos="8176"/>
              <w:tab w:val="right" w:pos="9026" w:leader="dot"/>
            </w:tabs>
            <w:rPr/>
          </w:pPr>
          <w:hyperlink w:anchor="__RefHeading___Toc2138762_2322387425">
            <w:r>
              <w:rPr>
                <w:webHidden/>
                <w:rStyle w:val="IndexLink"/>
                <w:rtl w:val="true"/>
              </w:rPr>
              <w:t>من علم بالعدّة شکّ فی أنّها لنفسه أو لغیره</w:t>
            </w:r>
            <w:r>
              <w:rPr>
                <w:rStyle w:val="IndexLink"/>
                <w:rtl w:val="true"/>
              </w:rPr>
              <w:tab/>
            </w:r>
            <w:r>
              <w:rPr>
                <w:rStyle w:val="IndexLink"/>
              </w:rPr>
              <w:t>283</w:t>
            </w:r>
          </w:hyperlink>
        </w:p>
        <w:p>
          <w:pPr>
            <w:pStyle w:val="Contents4"/>
            <w:tabs>
              <w:tab w:val="clear" w:pos="8176"/>
              <w:tab w:val="right" w:pos="9026" w:leader="dot"/>
            </w:tabs>
            <w:rPr/>
          </w:pPr>
          <w:hyperlink w:anchor="__RefHeading___Toc2138764_2322387425">
            <w:r>
              <w:rPr>
                <w:webHidden/>
                <w:rStyle w:val="IndexLink"/>
                <w:rtl w:val="true"/>
              </w:rPr>
              <w:t>الزواج بذات البعل وصوره</w:t>
            </w:r>
            <w:r>
              <w:rPr>
                <w:rStyle w:val="IndexLink"/>
                <w:rtl w:val="true"/>
              </w:rPr>
              <w:tab/>
            </w:r>
            <w:r>
              <w:rPr>
                <w:rStyle w:val="IndexLink"/>
              </w:rPr>
              <w:t>284</w:t>
            </w:r>
          </w:hyperlink>
        </w:p>
        <w:p>
          <w:pPr>
            <w:pStyle w:val="Contents4"/>
            <w:tabs>
              <w:tab w:val="clear" w:pos="8176"/>
              <w:tab w:val="right" w:pos="9026" w:leader="dot"/>
            </w:tabs>
            <w:rPr/>
          </w:pPr>
          <w:hyperlink w:anchor="__RefHeading___Toc2138766_2322387425">
            <w:r>
              <w:rPr>
                <w:webHidden/>
                <w:rStyle w:val="IndexLink"/>
                <w:rtl w:val="true"/>
              </w:rPr>
              <w:t>التزوّج بامرأة علیها عدّة لم تشرع فیها</w:t>
            </w:r>
            <w:r>
              <w:rPr>
                <w:rStyle w:val="IndexLink"/>
                <w:rtl w:val="true"/>
              </w:rPr>
              <w:tab/>
            </w:r>
            <w:r>
              <w:rPr>
                <w:rStyle w:val="IndexLink"/>
              </w:rPr>
              <w:t>285</w:t>
            </w:r>
          </w:hyperlink>
        </w:p>
        <w:p>
          <w:pPr>
            <w:pStyle w:val="Contents4"/>
            <w:tabs>
              <w:tab w:val="clear" w:pos="8176"/>
              <w:tab w:val="right" w:pos="9026" w:leader="dot"/>
            </w:tabs>
            <w:rPr/>
          </w:pPr>
          <w:hyperlink w:anchor="__RefHeading___Toc2138768_2322387425">
            <w:r>
              <w:rPr>
                <w:webHidden/>
                <w:rStyle w:val="IndexLink"/>
                <w:rtl w:val="true"/>
              </w:rPr>
              <w:t>الزواج بذات العدّة جهلاً والحمل منها</w:t>
            </w:r>
            <w:r>
              <w:rPr>
                <w:rStyle w:val="IndexLink"/>
                <w:rtl w:val="true"/>
              </w:rPr>
              <w:tab/>
            </w:r>
            <w:r>
              <w:rPr>
                <w:rStyle w:val="IndexLink"/>
              </w:rPr>
              <w:t>286</w:t>
            </w:r>
          </w:hyperlink>
        </w:p>
        <w:p>
          <w:pPr>
            <w:pStyle w:val="Contents4"/>
            <w:tabs>
              <w:tab w:val="clear" w:pos="8176"/>
              <w:tab w:val="right" w:pos="9026" w:leader="dot"/>
            </w:tabs>
            <w:rPr/>
          </w:pPr>
          <w:hyperlink w:anchor="__RefHeading___Toc2138770_2322387425">
            <w:r>
              <w:rPr>
                <w:webHidden/>
                <w:rStyle w:val="IndexLink"/>
                <w:rtl w:val="true"/>
              </w:rPr>
              <w:t>إذا اجتمعت عدد مختلفة هل تتداخل أم تتعدّد؟</w:t>
            </w:r>
            <w:r>
              <w:rPr>
                <w:rStyle w:val="IndexLink"/>
                <w:rtl w:val="true"/>
              </w:rPr>
              <w:tab/>
            </w:r>
            <w:r>
              <w:rPr>
                <w:rStyle w:val="IndexLink"/>
              </w:rPr>
              <w:t>289</w:t>
            </w:r>
          </w:hyperlink>
        </w:p>
        <w:p>
          <w:pPr>
            <w:pStyle w:val="Contents4"/>
            <w:tabs>
              <w:tab w:val="clear" w:pos="8176"/>
              <w:tab w:val="right" w:pos="9026" w:leader="dot"/>
            </w:tabs>
            <w:rPr/>
          </w:pPr>
          <w:hyperlink w:anchor="__RefHeading___Toc2138772_2322387425">
            <w:r>
              <w:rPr>
                <w:webHidden/>
                <w:rStyle w:val="IndexLink"/>
                <w:rtl w:val="true"/>
              </w:rPr>
              <w:t>حکم ما لو کانت العدّتان لشخصٍ واحد</w:t>
            </w:r>
            <w:r>
              <w:rPr>
                <w:rStyle w:val="IndexLink"/>
                <w:rtl w:val="true"/>
              </w:rPr>
              <w:tab/>
            </w:r>
            <w:r>
              <w:rPr>
                <w:rStyle w:val="IndexLink"/>
              </w:rPr>
              <w:t>293</w:t>
            </w:r>
          </w:hyperlink>
        </w:p>
        <w:p>
          <w:pPr>
            <w:pStyle w:val="Contents4"/>
            <w:tabs>
              <w:tab w:val="clear" w:pos="8176"/>
              <w:tab w:val="right" w:pos="9026" w:leader="dot"/>
            </w:tabs>
            <w:rPr/>
          </w:pPr>
          <w:hyperlink w:anchor="__RefHeading___Toc2138774_2322387425">
            <w:r>
              <w:rPr>
                <w:webHidden/>
                <w:rStyle w:val="IndexLink"/>
                <w:rtl w:val="true"/>
              </w:rPr>
              <w:t>ثبوت المهر للموطوءة أو المزوّجة فی العدّة</w:t>
            </w:r>
            <w:r>
              <w:rPr>
                <w:rStyle w:val="IndexLink"/>
                <w:rtl w:val="true"/>
              </w:rPr>
              <w:tab/>
            </w:r>
            <w:r>
              <w:rPr>
                <w:rStyle w:val="IndexLink"/>
              </w:rPr>
              <w:t>294</w:t>
            </w:r>
          </w:hyperlink>
        </w:p>
        <w:p>
          <w:pPr>
            <w:pStyle w:val="Contents4"/>
            <w:tabs>
              <w:tab w:val="clear" w:pos="8176"/>
              <w:tab w:val="right" w:pos="9026" w:leader="dot"/>
            </w:tabs>
            <w:rPr/>
          </w:pPr>
          <w:hyperlink w:anchor="__RefHeading___Toc2138776_2322387425">
            <w:r>
              <w:rPr>
                <w:webHidden/>
                <w:rStyle w:val="IndexLink"/>
                <w:rtl w:val="true"/>
              </w:rPr>
              <w:t>مبدأ العدّة فی وطء الشبهة</w:t>
            </w:r>
            <w:r>
              <w:rPr>
                <w:rStyle w:val="IndexLink"/>
                <w:rtl w:val="true"/>
              </w:rPr>
              <w:tab/>
            </w:r>
            <w:r>
              <w:rPr>
                <w:rStyle w:val="IndexLink"/>
              </w:rPr>
              <w:t>295</w:t>
            </w:r>
          </w:hyperlink>
        </w:p>
        <w:p>
          <w:pPr>
            <w:pStyle w:val="Contents4"/>
            <w:tabs>
              <w:tab w:val="clear" w:pos="8176"/>
              <w:tab w:val="right" w:pos="9026" w:leader="dot"/>
            </w:tabs>
            <w:rPr/>
          </w:pPr>
          <w:hyperlink w:anchor="__RefHeading___Toc2138778_2322387425">
            <w:r>
              <w:rPr>
                <w:webHidden/>
                <w:rStyle w:val="IndexLink"/>
                <w:rtl w:val="true"/>
              </w:rPr>
              <w:t>حکم الموطوءة بالشبهة لو کانت عالمة فی الحرّة والأمة</w:t>
            </w:r>
            <w:r>
              <w:rPr>
                <w:rStyle w:val="IndexLink"/>
                <w:rtl w:val="true"/>
              </w:rPr>
              <w:tab/>
            </w:r>
            <w:r>
              <w:rPr>
                <w:rStyle w:val="IndexLink"/>
              </w:rPr>
              <w:t>295</w:t>
            </w:r>
          </w:hyperlink>
        </w:p>
        <w:p>
          <w:pPr>
            <w:pStyle w:val="Contents4"/>
            <w:tabs>
              <w:tab w:val="clear" w:pos="8176"/>
              <w:tab w:val="right" w:pos="9026" w:leader="dot"/>
            </w:tabs>
            <w:rPr/>
          </w:pPr>
          <w:hyperlink w:anchor="__RefHeading___Toc2138780_2322387425">
            <w:r>
              <w:rPr>
                <w:webHidden/>
                <w:rStyle w:val="IndexLink"/>
                <w:rtl w:val="true"/>
              </w:rPr>
              <w:t>حکم المهر لو تعدّد الوطء</w:t>
            </w:r>
            <w:r>
              <w:rPr>
                <w:rStyle w:val="IndexLink"/>
                <w:rtl w:val="true"/>
              </w:rPr>
              <w:tab/>
            </w:r>
            <w:r>
              <w:rPr>
                <w:rStyle w:val="IndexLink"/>
              </w:rPr>
              <w:t>297</w:t>
            </w:r>
          </w:hyperlink>
        </w:p>
        <w:p>
          <w:pPr>
            <w:pStyle w:val="Contents4"/>
            <w:tabs>
              <w:tab w:val="clear" w:pos="8176"/>
              <w:tab w:val="right" w:pos="9026" w:leader="dot"/>
            </w:tabs>
            <w:rPr/>
          </w:pPr>
          <w:hyperlink w:anchor="__RefHeading___Toc2138782_2322387425">
            <w:r>
              <w:rPr>
                <w:webHidden/>
                <w:rStyle w:val="IndexLink"/>
                <w:rtl w:val="true"/>
              </w:rPr>
              <w:t>أحکام نکاح الزانیة</w:t>
            </w:r>
            <w:r>
              <w:rPr>
                <w:rStyle w:val="IndexLink"/>
                <w:rtl w:val="true"/>
              </w:rPr>
              <w:tab/>
            </w:r>
            <w:r>
              <w:rPr>
                <w:rStyle w:val="IndexLink"/>
              </w:rPr>
              <w:t>298</w:t>
            </w:r>
          </w:hyperlink>
        </w:p>
        <w:p>
          <w:pPr>
            <w:pStyle w:val="Contents4"/>
            <w:tabs>
              <w:tab w:val="clear" w:pos="8176"/>
              <w:tab w:val="right" w:pos="9026" w:leader="dot"/>
            </w:tabs>
            <w:rPr/>
          </w:pPr>
          <w:hyperlink w:anchor="__RefHeading___Toc2138784_2322387425">
            <w:r>
              <w:rPr>
                <w:webHidden/>
                <w:rStyle w:val="IndexLink"/>
                <w:rtl w:val="true"/>
              </w:rPr>
              <w:t>لا تحرم علی الرجل امرأته بزناها</w:t>
            </w:r>
            <w:r>
              <w:rPr>
                <w:rStyle w:val="IndexLink"/>
                <w:rtl w:val="true"/>
              </w:rPr>
              <w:tab/>
            </w:r>
            <w:r>
              <w:rPr>
                <w:rStyle w:val="IndexLink"/>
              </w:rPr>
              <w:t>299</w:t>
            </w:r>
          </w:hyperlink>
        </w:p>
        <w:p>
          <w:pPr>
            <w:pStyle w:val="Contents4"/>
            <w:tabs>
              <w:tab w:val="clear" w:pos="8176"/>
              <w:tab w:val="right" w:pos="9026" w:leader="dot"/>
            </w:tabs>
            <w:rPr/>
          </w:pPr>
          <w:hyperlink w:anchor="__RefHeading___Toc2138786_2322387425">
            <w:r>
              <w:rPr>
                <w:webHidden/>
                <w:rStyle w:val="IndexLink"/>
                <w:rtl w:val="true"/>
              </w:rPr>
              <w:t>الزنا بذات البعل</w:t>
            </w:r>
            <w:r>
              <w:rPr>
                <w:rStyle w:val="IndexLink"/>
                <w:rtl w:val="true"/>
              </w:rPr>
              <w:tab/>
            </w:r>
            <w:r>
              <w:rPr>
                <w:rStyle w:val="IndexLink"/>
              </w:rPr>
              <w:t>300</w:t>
            </w:r>
          </w:hyperlink>
        </w:p>
        <w:p>
          <w:pPr>
            <w:pStyle w:val="Contents4"/>
            <w:tabs>
              <w:tab w:val="clear" w:pos="8176"/>
              <w:tab w:val="right" w:pos="9026" w:leader="dot"/>
            </w:tabs>
            <w:rPr/>
          </w:pPr>
          <w:hyperlink w:anchor="__RefHeading___Toc2138788_2322387425">
            <w:r>
              <w:rPr>
                <w:webHidden/>
                <w:rStyle w:val="IndexLink"/>
                <w:rtl w:val="true"/>
              </w:rPr>
              <w:t>الزنا بذات العدّة الرجعیّة</w:t>
            </w:r>
            <w:r>
              <w:rPr>
                <w:rStyle w:val="IndexLink"/>
                <w:rtl w:val="true"/>
              </w:rPr>
              <w:tab/>
            </w:r>
            <w:r>
              <w:rPr>
                <w:rStyle w:val="IndexLink"/>
              </w:rPr>
              <w:t>302</w:t>
            </w:r>
          </w:hyperlink>
        </w:p>
        <w:p>
          <w:pPr>
            <w:pStyle w:val="Contents4"/>
            <w:tabs>
              <w:tab w:val="clear" w:pos="8176"/>
              <w:tab w:val="right" w:pos="9026" w:leader="dot"/>
            </w:tabs>
            <w:rPr/>
          </w:pPr>
          <w:hyperlink w:anchor="__RefHeading___Toc2138790_2322387425">
            <w:r>
              <w:rPr>
                <w:webHidden/>
                <w:rStyle w:val="IndexLink"/>
                <w:rtl w:val="true"/>
              </w:rPr>
              <w:t>من لاط بغلام فأوقبه وایجابه الحرمة علی اُمّه وبنته واُخته وعدمها فی الموطوء</w:t>
            </w:r>
            <w:r>
              <w:rPr>
                <w:rStyle w:val="IndexLink"/>
                <w:rtl w:val="true"/>
              </w:rPr>
              <w:tab/>
            </w:r>
            <w:r>
              <w:rPr>
                <w:rStyle w:val="IndexLink"/>
              </w:rPr>
              <w:t>302</w:t>
            </w:r>
          </w:hyperlink>
        </w:p>
        <w:p>
          <w:pPr>
            <w:pStyle w:val="Contents4"/>
            <w:tabs>
              <w:tab w:val="clear" w:pos="8176"/>
              <w:tab w:val="right" w:pos="9026" w:leader="dot"/>
            </w:tabs>
            <w:rPr/>
          </w:pPr>
          <w:hyperlink w:anchor="__RefHeading___Toc2138792_2322387425">
            <w:r>
              <w:rPr>
                <w:webHidden/>
                <w:rStyle w:val="IndexLink"/>
                <w:rtl w:val="true"/>
              </w:rPr>
              <w:t>الاُمّ الرضاعیّة کالنسبیة من جهة الحرمة وکذا الاُخت والبنت</w:t>
            </w:r>
            <w:r>
              <w:rPr>
                <w:rStyle w:val="IndexLink"/>
                <w:rtl w:val="true"/>
              </w:rPr>
              <w:tab/>
            </w:r>
            <w:r>
              <w:rPr>
                <w:rStyle w:val="IndexLink"/>
              </w:rPr>
              <w:t>307</w:t>
            </w:r>
          </w:hyperlink>
        </w:p>
        <w:p>
          <w:pPr>
            <w:pStyle w:val="Contents4"/>
            <w:tabs>
              <w:tab w:val="clear" w:pos="8176"/>
              <w:tab w:val="right" w:pos="9026" w:leader="dot"/>
            </w:tabs>
            <w:rPr/>
          </w:pPr>
          <w:hyperlink w:anchor="__RefHeading___Toc2138794_2322387425">
            <w:r>
              <w:rPr>
                <w:webHidden/>
                <w:rStyle w:val="IndexLink"/>
                <w:rtl w:val="true"/>
              </w:rPr>
              <w:t>حکم الوطء غیر العمدی</w:t>
            </w:r>
            <w:r>
              <w:rPr>
                <w:rStyle w:val="IndexLink"/>
                <w:rtl w:val="true"/>
              </w:rPr>
              <w:tab/>
            </w:r>
            <w:r>
              <w:rPr>
                <w:rStyle w:val="IndexLink"/>
              </w:rPr>
              <w:t>307</w:t>
            </w:r>
          </w:hyperlink>
        </w:p>
        <w:p>
          <w:pPr>
            <w:pStyle w:val="Contents4"/>
            <w:tabs>
              <w:tab w:val="clear" w:pos="8176"/>
              <w:tab w:val="right" w:pos="9026" w:leader="dot"/>
            </w:tabs>
            <w:rPr/>
          </w:pPr>
          <w:hyperlink w:anchor="__RefHeading___Toc2138796_2322387425">
            <w:r>
              <w:rPr>
                <w:webHidden/>
                <w:rStyle w:val="IndexLink"/>
                <w:rtl w:val="true"/>
              </w:rPr>
              <w:t>الشکّ فی تحقّق الإیقاب وعدمه</w:t>
            </w:r>
            <w:r>
              <w:rPr>
                <w:rStyle w:val="IndexLink"/>
                <w:rtl w:val="true"/>
              </w:rPr>
              <w:tab/>
            </w:r>
            <w:r>
              <w:rPr>
                <w:rStyle w:val="IndexLink"/>
              </w:rPr>
              <w:t>308</w:t>
            </w:r>
          </w:hyperlink>
        </w:p>
        <w:p>
          <w:pPr>
            <w:pStyle w:val="Contents3"/>
            <w:tabs>
              <w:tab w:val="clear" w:pos="8459"/>
              <w:tab w:val="right" w:pos="9026" w:leader="dot"/>
            </w:tabs>
            <w:rPr/>
          </w:pPr>
          <w:hyperlink w:anchor="__RefHeading___Toc2138798_2322387425">
            <w:r>
              <w:rPr>
                <w:webHidden/>
                <w:rStyle w:val="IndexLink"/>
                <w:rtl w:val="true"/>
              </w:rPr>
              <w:t xml:space="preserve">فصل </w:t>
            </w:r>
            <w:r>
              <w:rPr>
                <w:rStyle w:val="IndexLink"/>
                <w:rtl w:val="true"/>
              </w:rPr>
              <w:t>[</w:t>
            </w:r>
            <w:r>
              <w:rPr>
                <w:rStyle w:val="IndexLink"/>
                <w:rtl w:val="true"/>
              </w:rPr>
              <w:t>من المحرّمات الأبدیّة</w:t>
            </w:r>
            <w:r>
              <w:rPr>
                <w:rStyle w:val="IndexLink"/>
                <w:rtl w:val="true"/>
              </w:rPr>
              <w:t xml:space="preserve">: </w:t>
            </w:r>
            <w:r>
              <w:rPr>
                <w:rStyle w:val="IndexLink"/>
                <w:rtl w:val="true"/>
              </w:rPr>
              <w:t>التزویج حال الإحرام</w:t>
            </w:r>
            <w:r>
              <w:rPr>
                <w:rStyle w:val="IndexLink"/>
                <w:rtl w:val="true"/>
              </w:rPr>
              <w:t>]</w:t>
              <w:tab/>
            </w:r>
            <w:r>
              <w:rPr>
                <w:rStyle w:val="IndexLink"/>
              </w:rPr>
              <w:t>309</w:t>
            </w:r>
          </w:hyperlink>
        </w:p>
        <w:p>
          <w:pPr>
            <w:pStyle w:val="Contents4"/>
            <w:tabs>
              <w:tab w:val="clear" w:pos="8176"/>
              <w:tab w:val="right" w:pos="9026" w:leader="dot"/>
            </w:tabs>
            <w:rPr/>
          </w:pPr>
          <w:hyperlink w:anchor="__RefHeading___Toc2138800_2322387425">
            <w:r>
              <w:rPr>
                <w:webHidden/>
                <w:rStyle w:val="IndexLink"/>
                <w:rtl w:val="true"/>
              </w:rPr>
              <w:t>التزویج حال الإحرام وفروع فی البطلان والتحریم</w:t>
            </w:r>
            <w:r>
              <w:rPr>
                <w:rStyle w:val="IndexLink"/>
                <w:rtl w:val="true"/>
              </w:rPr>
              <w:tab/>
            </w:r>
            <w:r>
              <w:rPr>
                <w:rStyle w:val="IndexLink"/>
              </w:rPr>
              <w:t>309</w:t>
            </w:r>
          </w:hyperlink>
        </w:p>
        <w:p>
          <w:pPr>
            <w:pStyle w:val="Contents4"/>
            <w:tabs>
              <w:tab w:val="clear" w:pos="8176"/>
              <w:tab w:val="right" w:pos="9026" w:leader="dot"/>
            </w:tabs>
            <w:rPr/>
          </w:pPr>
          <w:hyperlink w:anchor="__RefHeading___Toc2138802_2322387425">
            <w:r>
              <w:rPr>
                <w:webHidden/>
                <w:rStyle w:val="IndexLink"/>
                <w:rtl w:val="true"/>
              </w:rPr>
              <w:t>من تزوج عالماً بالحرمة غافلاً عن کونه محرماً أو ناسیاً</w:t>
            </w:r>
            <w:r>
              <w:rPr>
                <w:rStyle w:val="IndexLink"/>
                <w:rtl w:val="true"/>
              </w:rPr>
              <w:tab/>
            </w:r>
            <w:r>
              <w:rPr>
                <w:rStyle w:val="IndexLink"/>
              </w:rPr>
              <w:t>311</w:t>
            </w:r>
          </w:hyperlink>
        </w:p>
        <w:p>
          <w:pPr>
            <w:pStyle w:val="Contents4"/>
            <w:tabs>
              <w:tab w:val="clear" w:pos="8176"/>
              <w:tab w:val="right" w:pos="9026" w:leader="dot"/>
            </w:tabs>
            <w:rPr/>
          </w:pPr>
          <w:hyperlink w:anchor="__RefHeading___Toc2138804_2322387425">
            <w:r>
              <w:rPr>
                <w:webHidden/>
                <w:rStyle w:val="IndexLink"/>
                <w:rtl w:val="true"/>
              </w:rPr>
              <w:t>وطء الزوجة فی حال الإحرام</w:t>
            </w:r>
            <w:r>
              <w:rPr>
                <w:rStyle w:val="IndexLink"/>
                <w:rtl w:val="true"/>
              </w:rPr>
              <w:tab/>
            </w:r>
            <w:r>
              <w:rPr>
                <w:rStyle w:val="IndexLink"/>
              </w:rPr>
              <w:t>311</w:t>
            </w:r>
          </w:hyperlink>
        </w:p>
        <w:p>
          <w:pPr>
            <w:pStyle w:val="Contents4"/>
            <w:tabs>
              <w:tab w:val="clear" w:pos="8176"/>
              <w:tab w:val="right" w:pos="9026" w:leader="dot"/>
            </w:tabs>
            <w:rPr/>
          </w:pPr>
          <w:hyperlink w:anchor="__RefHeading___Toc2138806_2322387425">
            <w:r>
              <w:rPr>
                <w:webHidden/>
                <w:rStyle w:val="IndexLink"/>
                <w:rtl w:val="true"/>
              </w:rPr>
              <w:t>بطلان التزویج من غیر جهة الإحرام</w:t>
            </w:r>
            <w:r>
              <w:rPr>
                <w:rStyle w:val="IndexLink"/>
                <w:rtl w:val="true"/>
              </w:rPr>
              <w:tab/>
            </w:r>
            <w:r>
              <w:rPr>
                <w:rStyle w:val="IndexLink"/>
              </w:rPr>
              <w:t>311</w:t>
            </w:r>
          </w:hyperlink>
        </w:p>
        <w:p>
          <w:pPr>
            <w:pStyle w:val="Contents4"/>
            <w:tabs>
              <w:tab w:val="clear" w:pos="8176"/>
              <w:tab w:val="right" w:pos="9026" w:leader="dot"/>
            </w:tabs>
            <w:rPr/>
          </w:pPr>
          <w:hyperlink w:anchor="__RefHeading___Toc2138808_2322387425">
            <w:r>
              <w:rPr>
                <w:webHidden/>
                <w:rStyle w:val="IndexLink"/>
                <w:rtl w:val="true"/>
              </w:rPr>
              <w:t>الشکّ فی کون التزویج فی الإحرام أو قبله أو بعده</w:t>
            </w:r>
            <w:r>
              <w:rPr>
                <w:rStyle w:val="IndexLink"/>
                <w:rtl w:val="true"/>
              </w:rPr>
              <w:tab/>
            </w:r>
            <w:r>
              <w:rPr>
                <w:rStyle w:val="IndexLink"/>
              </w:rPr>
              <w:t>313</w:t>
            </w:r>
          </w:hyperlink>
        </w:p>
        <w:p>
          <w:pPr>
            <w:pStyle w:val="Contents4"/>
            <w:tabs>
              <w:tab w:val="clear" w:pos="8176"/>
              <w:tab w:val="right" w:pos="9026" w:leader="dot"/>
            </w:tabs>
            <w:rPr/>
          </w:pPr>
          <w:hyperlink w:anchor="__RefHeading___Toc2138810_2322387425">
            <w:r>
              <w:rPr>
                <w:webHidden/>
                <w:rStyle w:val="IndexLink"/>
                <w:rtl w:val="true"/>
              </w:rPr>
              <w:t>حکم إنکشاف فساد الإحرام أو إفساده</w:t>
            </w:r>
            <w:r>
              <w:rPr>
                <w:rStyle w:val="IndexLink"/>
                <w:rtl w:val="true"/>
              </w:rPr>
              <w:tab/>
            </w:r>
            <w:r>
              <w:rPr>
                <w:rStyle w:val="IndexLink"/>
              </w:rPr>
              <w:t>315</w:t>
            </w:r>
          </w:hyperlink>
        </w:p>
        <w:p>
          <w:pPr>
            <w:pStyle w:val="Contents4"/>
            <w:tabs>
              <w:tab w:val="clear" w:pos="8176"/>
              <w:tab w:val="right" w:pos="9026" w:leader="dot"/>
            </w:tabs>
            <w:rPr/>
          </w:pPr>
          <w:hyperlink w:anchor="__RefHeading___Toc2138812_2322387425">
            <w:r>
              <w:rPr>
                <w:webHidden/>
                <w:rStyle w:val="IndexLink"/>
                <w:rtl w:val="true"/>
              </w:rPr>
              <w:t>رجوع المحرم فی الطلاق فی العدّة الرجعیّة</w:t>
            </w:r>
            <w:r>
              <w:rPr>
                <w:rStyle w:val="IndexLink"/>
                <w:rtl w:val="true"/>
              </w:rPr>
              <w:tab/>
            </w:r>
            <w:r>
              <w:rPr>
                <w:rStyle w:val="IndexLink"/>
              </w:rPr>
              <w:t>316</w:t>
            </w:r>
          </w:hyperlink>
        </w:p>
        <w:p>
          <w:pPr>
            <w:pStyle w:val="Contents4"/>
            <w:tabs>
              <w:tab w:val="clear" w:pos="8176"/>
              <w:tab w:val="right" w:pos="9026" w:leader="dot"/>
            </w:tabs>
            <w:rPr/>
          </w:pPr>
          <w:hyperlink w:anchor="__RefHeading___Toc2138814_2322387425">
            <w:r>
              <w:rPr>
                <w:webHidden/>
                <w:rStyle w:val="IndexLink"/>
                <w:rtl w:val="true"/>
              </w:rPr>
              <w:t>جواز التوکیل للمحرم فی إیقاع التزویج</w:t>
            </w:r>
            <w:r>
              <w:rPr>
                <w:rStyle w:val="IndexLink"/>
                <w:rtl w:val="true"/>
              </w:rPr>
              <w:tab/>
            </w:r>
            <w:r>
              <w:rPr>
                <w:rStyle w:val="IndexLink"/>
              </w:rPr>
              <w:t>316</w:t>
            </w:r>
          </w:hyperlink>
        </w:p>
        <w:p>
          <w:pPr>
            <w:pStyle w:val="Contents4"/>
            <w:tabs>
              <w:tab w:val="clear" w:pos="8176"/>
              <w:tab w:val="right" w:pos="9026" w:leader="dot"/>
            </w:tabs>
            <w:rPr/>
          </w:pPr>
          <w:hyperlink w:anchor="__RefHeading___Toc2138816_2322387425">
            <w:r>
              <w:rPr>
                <w:webHidden/>
                <w:rStyle w:val="IndexLink"/>
                <w:rtl w:val="true"/>
              </w:rPr>
              <w:t>إجازة عقد الفضولی فی حال الإحرام وبعده</w:t>
            </w:r>
            <w:r>
              <w:rPr>
                <w:rStyle w:val="IndexLink"/>
                <w:rtl w:val="true"/>
              </w:rPr>
              <w:tab/>
            </w:r>
            <w:r>
              <w:rPr>
                <w:rStyle w:val="IndexLink"/>
              </w:rPr>
              <w:t>316</w:t>
            </w:r>
          </w:hyperlink>
        </w:p>
        <w:p>
          <w:pPr>
            <w:pStyle w:val="Contents3"/>
            <w:tabs>
              <w:tab w:val="clear" w:pos="8459"/>
              <w:tab w:val="right" w:pos="9026" w:leader="dot"/>
            </w:tabs>
            <w:rPr/>
          </w:pPr>
          <w:hyperlink w:anchor="__RefHeading___Toc2138818_2322387425">
            <w:r>
              <w:rPr>
                <w:webHidden/>
                <w:rStyle w:val="IndexLink"/>
                <w:rtl w:val="true"/>
              </w:rPr>
              <w:t xml:space="preserve">فصل </w:t>
            </w:r>
            <w:r>
              <w:rPr>
                <w:rStyle w:val="IndexLink"/>
                <w:rtl w:val="true"/>
              </w:rPr>
              <w:t>[</w:t>
            </w:r>
            <w:r>
              <w:rPr>
                <w:rStyle w:val="IndexLink"/>
                <w:rtl w:val="true"/>
              </w:rPr>
              <w:t>فی المحرّمات بالمصاهرة</w:t>
            </w:r>
            <w:r>
              <w:rPr>
                <w:rStyle w:val="IndexLink"/>
                <w:rtl w:val="true"/>
              </w:rPr>
              <w:t>]</w:t>
              <w:tab/>
            </w:r>
            <w:r>
              <w:rPr>
                <w:rStyle w:val="IndexLink"/>
              </w:rPr>
              <w:t>318</w:t>
            </w:r>
          </w:hyperlink>
        </w:p>
        <w:p>
          <w:pPr>
            <w:pStyle w:val="Contents4"/>
            <w:tabs>
              <w:tab w:val="clear" w:pos="8176"/>
              <w:tab w:val="right" w:pos="9026" w:leader="dot"/>
            </w:tabs>
            <w:rPr/>
          </w:pPr>
          <w:hyperlink w:anchor="__RefHeading___Toc2138820_2322387425">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138822_2322387425">
            <w:r>
              <w:rPr>
                <w:webHidden/>
                <w:rStyle w:val="IndexLink"/>
                <w:rtl w:val="true"/>
              </w:rPr>
              <w:t>حقیقة المصاهرة</w:t>
            </w:r>
            <w:r>
              <w:rPr>
                <w:rStyle w:val="IndexLink"/>
                <w:rtl w:val="true"/>
              </w:rPr>
              <w:tab/>
            </w:r>
            <w:r>
              <w:rPr>
                <w:rStyle w:val="IndexLink"/>
              </w:rPr>
              <w:t>318</w:t>
            </w:r>
          </w:hyperlink>
        </w:p>
        <w:p>
          <w:pPr>
            <w:pStyle w:val="Contents4"/>
            <w:tabs>
              <w:tab w:val="clear" w:pos="8176"/>
              <w:tab w:val="right" w:pos="9026" w:leader="dot"/>
            </w:tabs>
            <w:rPr/>
          </w:pPr>
          <w:hyperlink w:anchor="__RefHeading___Toc2138824_2322387425">
            <w:r>
              <w:rPr>
                <w:webHidden/>
                <w:rStyle w:val="IndexLink"/>
                <w:rtl w:val="true"/>
              </w:rPr>
              <w:t>حرمة زوجة الأب والابن علی الآخر</w:t>
            </w:r>
            <w:r>
              <w:rPr>
                <w:rStyle w:val="IndexLink"/>
                <w:rtl w:val="true"/>
              </w:rPr>
              <w:tab/>
            </w:r>
            <w:r>
              <w:rPr>
                <w:rStyle w:val="IndexLink"/>
              </w:rPr>
              <w:t>318</w:t>
            </w:r>
          </w:hyperlink>
        </w:p>
        <w:p>
          <w:pPr>
            <w:pStyle w:val="Contents4"/>
            <w:tabs>
              <w:tab w:val="clear" w:pos="8176"/>
              <w:tab w:val="right" w:pos="9026" w:leader="dot"/>
            </w:tabs>
            <w:rPr/>
          </w:pPr>
          <w:hyperlink w:anchor="__RefHeading___Toc2138826_2322387425">
            <w:r>
              <w:rPr>
                <w:webHidden/>
                <w:rStyle w:val="IndexLink"/>
                <w:rtl w:val="true"/>
              </w:rPr>
              <w:t>حرمة مملوکة الأب علی الابن وبالعکس</w:t>
            </w:r>
            <w:r>
              <w:rPr>
                <w:rStyle w:val="IndexLink"/>
                <w:rtl w:val="true"/>
              </w:rPr>
              <w:tab/>
            </w:r>
            <w:r>
              <w:rPr>
                <w:rStyle w:val="IndexLink"/>
              </w:rPr>
              <w:t>319</w:t>
            </w:r>
          </w:hyperlink>
        </w:p>
        <w:p>
          <w:pPr>
            <w:pStyle w:val="Contents4"/>
            <w:tabs>
              <w:tab w:val="clear" w:pos="8176"/>
              <w:tab w:val="right" w:pos="9026" w:leader="dot"/>
            </w:tabs>
            <w:rPr/>
          </w:pPr>
          <w:hyperlink w:anchor="__RefHeading___Toc2138828_2322387425">
            <w:r>
              <w:rPr>
                <w:webHidden/>
                <w:rStyle w:val="IndexLink"/>
                <w:rtl w:val="true"/>
              </w:rPr>
              <w:t>حرمة اُمّ الزوجة علی الزوج</w:t>
            </w:r>
            <w:r>
              <w:rPr>
                <w:rStyle w:val="IndexLink"/>
                <w:rtl w:val="true"/>
              </w:rPr>
              <w:tab/>
            </w:r>
            <w:r>
              <w:rPr>
                <w:rStyle w:val="IndexLink"/>
              </w:rPr>
              <w:t>320</w:t>
            </w:r>
          </w:hyperlink>
        </w:p>
        <w:p>
          <w:pPr>
            <w:pStyle w:val="Contents4"/>
            <w:tabs>
              <w:tab w:val="clear" w:pos="8176"/>
              <w:tab w:val="right" w:pos="9026" w:leader="dot"/>
            </w:tabs>
            <w:rPr/>
          </w:pPr>
          <w:hyperlink w:anchor="__RefHeading___Toc2138830_2322387425">
            <w:r>
              <w:rPr>
                <w:webHidden/>
                <w:rStyle w:val="IndexLink"/>
                <w:rtl w:val="true"/>
              </w:rPr>
              <w:t>حرمة البنت علی الزوج الداخل باُمّها</w:t>
            </w:r>
            <w:r>
              <w:rPr>
                <w:rStyle w:val="IndexLink"/>
                <w:rtl w:val="true"/>
              </w:rPr>
              <w:tab/>
            </w:r>
            <w:r>
              <w:rPr>
                <w:rStyle w:val="IndexLink"/>
              </w:rPr>
              <w:t>320</w:t>
            </w:r>
          </w:hyperlink>
        </w:p>
        <w:p>
          <w:pPr>
            <w:pStyle w:val="Contents4"/>
            <w:tabs>
              <w:tab w:val="clear" w:pos="8176"/>
              <w:tab w:val="right" w:pos="9026" w:leader="dot"/>
            </w:tabs>
            <w:rPr/>
          </w:pPr>
          <w:hyperlink w:anchor="__RefHeading___Toc2138832_2322387425">
            <w:r>
              <w:rPr>
                <w:webHidden/>
                <w:rStyle w:val="IndexLink"/>
                <w:rtl w:val="true"/>
              </w:rPr>
              <w:t>تحدید الدخول المحرّم</w:t>
            </w:r>
            <w:r>
              <w:rPr>
                <w:rStyle w:val="IndexLink"/>
                <w:rtl w:val="true"/>
              </w:rPr>
              <w:tab/>
            </w:r>
            <w:r>
              <w:rPr>
                <w:rStyle w:val="IndexLink"/>
              </w:rPr>
              <w:t>320</w:t>
            </w:r>
          </w:hyperlink>
        </w:p>
        <w:p>
          <w:pPr>
            <w:pStyle w:val="Contents4"/>
            <w:tabs>
              <w:tab w:val="clear" w:pos="8176"/>
              <w:tab w:val="right" w:pos="9026" w:leader="dot"/>
            </w:tabs>
            <w:rPr/>
          </w:pPr>
          <w:hyperlink w:anchor="__RefHeading___Toc2138834_2322387425">
            <w:r>
              <w:rPr>
                <w:webHidden/>
                <w:rStyle w:val="IndexLink"/>
                <w:rtl w:val="true"/>
              </w:rPr>
              <w:t>وطء الأب والابن مملوکة الآخر</w:t>
            </w:r>
            <w:r>
              <w:rPr>
                <w:rStyle w:val="IndexLink"/>
                <w:rtl w:val="true"/>
              </w:rPr>
              <w:tab/>
            </w:r>
            <w:r>
              <w:rPr>
                <w:rStyle w:val="IndexLink"/>
              </w:rPr>
              <w:t>321</w:t>
            </w:r>
          </w:hyperlink>
        </w:p>
        <w:p>
          <w:pPr>
            <w:pStyle w:val="Contents4"/>
            <w:tabs>
              <w:tab w:val="clear" w:pos="8176"/>
              <w:tab w:val="right" w:pos="9026" w:leader="dot"/>
            </w:tabs>
            <w:rPr/>
          </w:pPr>
          <w:hyperlink w:anchor="__RefHeading___Toc2138836_2322387425">
            <w:r>
              <w:rPr>
                <w:webHidden/>
                <w:rStyle w:val="IndexLink"/>
                <w:rtl w:val="true"/>
              </w:rPr>
              <w:t>جواز وطء الأب مملوکة ابنه الصغیر</w:t>
            </w:r>
            <w:r>
              <w:rPr>
                <w:rStyle w:val="IndexLink"/>
                <w:rtl w:val="true"/>
              </w:rPr>
              <w:tab/>
            </w:r>
            <w:r>
              <w:rPr>
                <w:rStyle w:val="IndexLink"/>
              </w:rPr>
              <w:t>321</w:t>
            </w:r>
          </w:hyperlink>
        </w:p>
        <w:p>
          <w:pPr>
            <w:pStyle w:val="Contents4"/>
            <w:tabs>
              <w:tab w:val="clear" w:pos="8176"/>
              <w:tab w:val="right" w:pos="9026" w:leader="dot"/>
            </w:tabs>
            <w:rPr/>
          </w:pPr>
          <w:hyperlink w:anchor="__RefHeading___Toc2138838_2322387425">
            <w:r>
              <w:rPr>
                <w:webHidden/>
                <w:rStyle w:val="IndexLink"/>
                <w:rtl w:val="true"/>
              </w:rPr>
              <w:t>حکم ما لو زنی الأب أو الابن بمملوکة الآخر</w:t>
            </w:r>
            <w:r>
              <w:rPr>
                <w:rStyle w:val="IndexLink"/>
                <w:rtl w:val="true"/>
              </w:rPr>
              <w:tab/>
            </w:r>
            <w:r>
              <w:rPr>
                <w:rStyle w:val="IndexLink"/>
              </w:rPr>
              <w:t>322</w:t>
            </w:r>
          </w:hyperlink>
        </w:p>
        <w:p>
          <w:pPr>
            <w:pStyle w:val="Contents4"/>
            <w:tabs>
              <w:tab w:val="clear" w:pos="8176"/>
              <w:tab w:val="right" w:pos="9026" w:leader="dot"/>
            </w:tabs>
            <w:rPr/>
          </w:pPr>
          <w:hyperlink w:anchor="__RefHeading___Toc2138840_2322387425">
            <w:r>
              <w:rPr>
                <w:webHidden/>
                <w:rStyle w:val="IndexLink"/>
                <w:rtl w:val="true"/>
              </w:rPr>
              <w:t>حکم وطء الأب أو الابن مملوکة الآخر شبهة</w:t>
            </w:r>
            <w:r>
              <w:rPr>
                <w:rStyle w:val="IndexLink"/>
                <w:rtl w:val="true"/>
              </w:rPr>
              <w:tab/>
            </w:r>
            <w:r>
              <w:rPr>
                <w:rStyle w:val="IndexLink"/>
              </w:rPr>
              <w:t>323</w:t>
            </w:r>
          </w:hyperlink>
        </w:p>
        <w:p>
          <w:pPr>
            <w:pStyle w:val="Contents4"/>
            <w:tabs>
              <w:tab w:val="clear" w:pos="8176"/>
              <w:tab w:val="right" w:pos="9026" w:leader="dot"/>
            </w:tabs>
            <w:rPr/>
          </w:pPr>
          <w:hyperlink w:anchor="__RefHeading___Toc2138842_2322387425">
            <w:r>
              <w:rPr>
                <w:webHidden/>
                <w:rStyle w:val="IndexLink"/>
                <w:rtl w:val="true"/>
              </w:rPr>
              <w:t>نکاح المرأة علی عمّتها أو خالتها وبالعکس</w:t>
            </w:r>
            <w:r>
              <w:rPr>
                <w:rStyle w:val="IndexLink"/>
                <w:rtl w:val="true"/>
              </w:rPr>
              <w:tab/>
            </w:r>
            <w:r>
              <w:rPr>
                <w:rStyle w:val="IndexLink"/>
              </w:rPr>
              <w:t>324</w:t>
            </w:r>
          </w:hyperlink>
        </w:p>
        <w:p>
          <w:pPr>
            <w:pStyle w:val="Contents4"/>
            <w:tabs>
              <w:tab w:val="clear" w:pos="8176"/>
              <w:tab w:val="right" w:pos="9026" w:leader="dot"/>
            </w:tabs>
            <w:rPr/>
          </w:pPr>
          <w:hyperlink w:anchor="__RefHeading___Toc2138844_2322387425">
            <w:r>
              <w:rPr>
                <w:webHidden/>
                <w:rStyle w:val="IndexLink"/>
                <w:rtl w:val="true"/>
              </w:rPr>
              <w:t>شمول الحکم لمطلق العمّة والخالة بلا فرق ولا استثناء حال</w:t>
            </w:r>
            <w:r>
              <w:rPr>
                <w:rStyle w:val="IndexLink"/>
                <w:rtl w:val="true"/>
              </w:rPr>
              <w:tab/>
            </w:r>
            <w:r>
              <w:rPr>
                <w:rStyle w:val="IndexLink"/>
              </w:rPr>
              <w:t>324</w:t>
            </w:r>
          </w:hyperlink>
        </w:p>
        <w:p>
          <w:pPr>
            <w:pStyle w:val="Contents4"/>
            <w:tabs>
              <w:tab w:val="clear" w:pos="8176"/>
              <w:tab w:val="right" w:pos="9026" w:leader="dot"/>
            </w:tabs>
            <w:rPr/>
          </w:pPr>
          <w:hyperlink w:anchor="__RefHeading___Toc2138846_2322387425">
            <w:r>
              <w:rPr>
                <w:webHidden/>
                <w:rStyle w:val="IndexLink"/>
                <w:rtl w:val="true"/>
              </w:rPr>
              <w:t>اقتران العقدین علی العمّة وبنت أخیها أو الخالة وبنت اُختها</w:t>
            </w:r>
            <w:r>
              <w:rPr>
                <w:rStyle w:val="IndexLink"/>
                <w:rtl w:val="true"/>
              </w:rPr>
              <w:tab/>
            </w:r>
            <w:r>
              <w:rPr>
                <w:rStyle w:val="IndexLink"/>
              </w:rPr>
              <w:t>325</w:t>
            </w:r>
          </w:hyperlink>
        </w:p>
        <w:p>
          <w:pPr>
            <w:pStyle w:val="Contents4"/>
            <w:tabs>
              <w:tab w:val="clear" w:pos="8176"/>
              <w:tab w:val="right" w:pos="9026" w:leader="dot"/>
            </w:tabs>
            <w:rPr/>
          </w:pPr>
          <w:hyperlink w:anchor="__RefHeading___Toc2138848_2322387425">
            <w:r>
              <w:rPr>
                <w:webHidden/>
                <w:rStyle w:val="IndexLink"/>
                <w:rtl w:val="true"/>
              </w:rPr>
              <w:t>عدم الفرق فی العمّة والخالة مسلمتین وغیرهما وبین الدنیا والعلیا منهما</w:t>
            </w:r>
            <w:r>
              <w:rPr>
                <w:rStyle w:val="IndexLink"/>
                <w:rtl w:val="true"/>
              </w:rPr>
              <w:tab/>
            </w:r>
            <w:r>
              <w:rPr>
                <w:rStyle w:val="IndexLink"/>
              </w:rPr>
              <w:t>327</w:t>
            </w:r>
          </w:hyperlink>
        </w:p>
        <w:p>
          <w:pPr>
            <w:pStyle w:val="Contents4"/>
            <w:tabs>
              <w:tab w:val="clear" w:pos="8176"/>
              <w:tab w:val="right" w:pos="9026" w:leader="dot"/>
            </w:tabs>
            <w:rPr/>
          </w:pPr>
          <w:hyperlink w:anchor="__RefHeading___Toc2138850_2322387425">
            <w:r>
              <w:rPr>
                <w:webHidden/>
                <w:rStyle w:val="IndexLink"/>
                <w:rtl w:val="true"/>
              </w:rPr>
              <w:t>کفایة الرضا الباطنی</w:t>
            </w:r>
            <w:r>
              <w:rPr>
                <w:rStyle w:val="IndexLink"/>
                <w:rtl w:val="true"/>
              </w:rPr>
              <w:tab/>
            </w:r>
            <w:r>
              <w:rPr>
                <w:rStyle w:val="IndexLink"/>
              </w:rPr>
              <w:t>328</w:t>
            </w:r>
          </w:hyperlink>
        </w:p>
        <w:p>
          <w:pPr>
            <w:pStyle w:val="Contents4"/>
            <w:tabs>
              <w:tab w:val="clear" w:pos="8176"/>
              <w:tab w:val="right" w:pos="9026" w:leader="dot"/>
            </w:tabs>
            <w:rPr/>
          </w:pPr>
          <w:hyperlink w:anchor="__RefHeading___Toc2138852_2322387425">
            <w:r>
              <w:rPr>
                <w:webHidden/>
                <w:rStyle w:val="IndexLink"/>
                <w:rtl w:val="true"/>
              </w:rPr>
              <w:t>عدم کفایة الإذن السابق فی التزویج</w:t>
            </w:r>
            <w:r>
              <w:rPr>
                <w:rStyle w:val="IndexLink"/>
                <w:rtl w:val="true"/>
              </w:rPr>
              <w:tab/>
            </w:r>
            <w:r>
              <w:rPr>
                <w:rStyle w:val="IndexLink"/>
              </w:rPr>
              <w:t>328</w:t>
            </w:r>
          </w:hyperlink>
        </w:p>
        <w:p>
          <w:pPr>
            <w:pStyle w:val="Contents4"/>
            <w:tabs>
              <w:tab w:val="clear" w:pos="8176"/>
              <w:tab w:val="right" w:pos="9026" w:leader="dot"/>
            </w:tabs>
            <w:rPr/>
          </w:pPr>
          <w:hyperlink w:anchor="__RefHeading___Toc2138854_2322387425">
            <w:r>
              <w:rPr>
                <w:webHidden/>
                <w:rStyle w:val="IndexLink"/>
                <w:rtl w:val="true"/>
              </w:rPr>
              <w:t>الرجوع عن الإذن بعد العقد</w:t>
            </w:r>
            <w:r>
              <w:rPr>
                <w:rStyle w:val="IndexLink"/>
                <w:rtl w:val="true"/>
              </w:rPr>
              <w:tab/>
            </w:r>
            <w:r>
              <w:rPr>
                <w:rStyle w:val="IndexLink"/>
              </w:rPr>
              <w:t>329</w:t>
            </w:r>
          </w:hyperlink>
        </w:p>
        <w:p>
          <w:pPr>
            <w:pStyle w:val="Contents4"/>
            <w:tabs>
              <w:tab w:val="clear" w:pos="8176"/>
              <w:tab w:val="right" w:pos="9026" w:leader="dot"/>
            </w:tabs>
            <w:rPr/>
          </w:pPr>
          <w:hyperlink w:anchor="__RefHeading___Toc2138856_2322387425">
            <w:r>
              <w:rPr>
                <w:webHidden/>
                <w:rStyle w:val="IndexLink"/>
                <w:rtl w:val="true"/>
              </w:rPr>
              <w:t>کفایة الإذن وإن کان عن غرور</w:t>
            </w:r>
            <w:r>
              <w:rPr>
                <w:rStyle w:val="IndexLink"/>
                <w:rtl w:val="true"/>
              </w:rPr>
              <w:tab/>
            </w:r>
            <w:r>
              <w:rPr>
                <w:rStyle w:val="IndexLink"/>
              </w:rPr>
              <w:t>329</w:t>
            </w:r>
          </w:hyperlink>
        </w:p>
        <w:p>
          <w:pPr>
            <w:pStyle w:val="Contents4"/>
            <w:tabs>
              <w:tab w:val="clear" w:pos="8176"/>
              <w:tab w:val="right" w:pos="9026" w:leader="dot"/>
            </w:tabs>
            <w:rPr/>
          </w:pPr>
          <w:hyperlink w:anchor="__RefHeading___Toc2138858_2322387425">
            <w:r>
              <w:rPr>
                <w:webHidden/>
                <w:rStyle w:val="IndexLink"/>
                <w:rtl w:val="true"/>
              </w:rPr>
              <w:t>اعتبار إذنهما من باب الحکم الشرعی</w:t>
            </w:r>
            <w:r>
              <w:rPr>
                <w:rStyle w:val="IndexLink"/>
                <w:rtl w:val="true"/>
              </w:rPr>
              <w:tab/>
            </w:r>
            <w:r>
              <w:rPr>
                <w:rStyle w:val="IndexLink"/>
              </w:rPr>
              <w:t>329</w:t>
            </w:r>
          </w:hyperlink>
        </w:p>
        <w:p>
          <w:pPr>
            <w:pStyle w:val="Contents4"/>
            <w:tabs>
              <w:tab w:val="clear" w:pos="8176"/>
              <w:tab w:val="right" w:pos="9026" w:leader="dot"/>
            </w:tabs>
            <w:rPr/>
          </w:pPr>
          <w:hyperlink w:anchor="__RefHeading___Toc2138860_2322387425">
            <w:r>
              <w:rPr>
                <w:webHidden/>
                <w:rStyle w:val="IndexLink"/>
                <w:rtl w:val="true"/>
              </w:rPr>
              <w:t>الاشتراط علی العمّة أو الخالة الإذن فی تزویج بنت الأخ أو الاُخت</w:t>
            </w:r>
            <w:r>
              <w:rPr>
                <w:rStyle w:val="IndexLink"/>
                <w:rtl w:val="true"/>
              </w:rPr>
              <w:tab/>
            </w:r>
            <w:r>
              <w:rPr>
                <w:rStyle w:val="IndexLink"/>
              </w:rPr>
              <w:t>330</w:t>
            </w:r>
          </w:hyperlink>
        </w:p>
        <w:p>
          <w:pPr>
            <w:pStyle w:val="Contents4"/>
            <w:tabs>
              <w:tab w:val="clear" w:pos="8176"/>
              <w:tab w:val="right" w:pos="9026" w:leader="dot"/>
            </w:tabs>
            <w:rPr/>
          </w:pPr>
          <w:hyperlink w:anchor="__RefHeading___Toc2138862_2322387425">
            <w:r>
              <w:rPr>
                <w:webHidden/>
                <w:rStyle w:val="IndexLink"/>
                <w:rtl w:val="true"/>
              </w:rPr>
              <w:t>صحّة العقد بالإذن اللاحق</w:t>
            </w:r>
            <w:r>
              <w:rPr>
                <w:rStyle w:val="IndexLink"/>
                <w:rtl w:val="true"/>
              </w:rPr>
              <w:tab/>
            </w:r>
            <w:r>
              <w:rPr>
                <w:rStyle w:val="IndexLink"/>
              </w:rPr>
              <w:t>333</w:t>
            </w:r>
          </w:hyperlink>
        </w:p>
        <w:p>
          <w:pPr>
            <w:pStyle w:val="Contents4"/>
            <w:tabs>
              <w:tab w:val="clear" w:pos="8176"/>
              <w:tab w:val="right" w:pos="9026" w:leader="dot"/>
            </w:tabs>
            <w:rPr/>
          </w:pPr>
          <w:hyperlink w:anchor="__RefHeading___Toc2138864_2322387425">
            <w:r>
              <w:rPr>
                <w:webHidden/>
                <w:rStyle w:val="IndexLink"/>
                <w:rtl w:val="true"/>
              </w:rPr>
              <w:t>حکم الشکّ فی سبق أحد العقدین واقترانه</w:t>
            </w:r>
            <w:r>
              <w:rPr>
                <w:rStyle w:val="IndexLink"/>
                <w:rtl w:val="true"/>
              </w:rPr>
              <w:tab/>
            </w:r>
            <w:r>
              <w:rPr>
                <w:rStyle w:val="IndexLink"/>
              </w:rPr>
              <w:t>333</w:t>
            </w:r>
          </w:hyperlink>
        </w:p>
        <w:p>
          <w:pPr>
            <w:pStyle w:val="Contents4"/>
            <w:tabs>
              <w:tab w:val="clear" w:pos="8176"/>
              <w:tab w:val="right" w:pos="9026" w:leader="dot"/>
            </w:tabs>
            <w:rPr/>
          </w:pPr>
          <w:hyperlink w:anchor="__RefHeading___Toc2138866_2322387425">
            <w:r>
              <w:rPr>
                <w:webHidden/>
                <w:rStyle w:val="IndexLink"/>
                <w:rtl w:val="true"/>
              </w:rPr>
              <w:t>إذا ادّعتا عدم الإذن وادّعی هو الإذن</w:t>
            </w:r>
            <w:r>
              <w:rPr>
                <w:rStyle w:val="IndexLink"/>
                <w:rtl w:val="true"/>
              </w:rPr>
              <w:tab/>
            </w:r>
            <w:r>
              <w:rPr>
                <w:rStyle w:val="IndexLink"/>
              </w:rPr>
              <w:t>333</w:t>
            </w:r>
          </w:hyperlink>
        </w:p>
        <w:p>
          <w:pPr>
            <w:pStyle w:val="Contents4"/>
            <w:tabs>
              <w:tab w:val="clear" w:pos="8176"/>
              <w:tab w:val="right" w:pos="9026" w:leader="dot"/>
            </w:tabs>
            <w:rPr/>
          </w:pPr>
          <w:hyperlink w:anchor="__RefHeading___Toc2138868_2322387425">
            <w:r>
              <w:rPr>
                <w:webHidden/>
                <w:rStyle w:val="IndexLink"/>
                <w:rtl w:val="true"/>
              </w:rPr>
              <w:t>الشکّ فی حصول إذن العمّة أو الخالة</w:t>
            </w:r>
            <w:r>
              <w:rPr>
                <w:rStyle w:val="IndexLink"/>
                <w:rtl w:val="true"/>
              </w:rPr>
              <w:tab/>
            </w:r>
            <w:r>
              <w:rPr>
                <w:rStyle w:val="IndexLink"/>
              </w:rPr>
              <w:t>333</w:t>
            </w:r>
          </w:hyperlink>
        </w:p>
        <w:p>
          <w:pPr>
            <w:pStyle w:val="Contents4"/>
            <w:tabs>
              <w:tab w:val="clear" w:pos="8176"/>
              <w:tab w:val="right" w:pos="9026" w:leader="dot"/>
            </w:tabs>
            <w:rPr/>
          </w:pPr>
          <w:hyperlink w:anchor="__RefHeading___Toc2138870_2322387425">
            <w:r>
              <w:rPr>
                <w:webHidden/>
                <w:rStyle w:val="IndexLink"/>
                <w:rtl w:val="true"/>
              </w:rPr>
              <w:t>صحّة التزویج إذا حصلت البنتیّة بعده أو کان الجمع بینهما حال الکفر ثمّ أسلم</w:t>
            </w:r>
            <w:r>
              <w:rPr>
                <w:rStyle w:val="IndexLink"/>
                <w:rtl w:val="true"/>
              </w:rPr>
              <w:tab/>
            </w:r>
            <w:r>
              <w:rPr>
                <w:rStyle w:val="IndexLink"/>
              </w:rPr>
              <w:t>334</w:t>
            </w:r>
          </w:hyperlink>
        </w:p>
        <w:p>
          <w:pPr>
            <w:pStyle w:val="Contents4"/>
            <w:tabs>
              <w:tab w:val="clear" w:pos="8176"/>
              <w:tab w:val="right" w:pos="9026" w:leader="dot"/>
            </w:tabs>
            <w:rPr/>
          </w:pPr>
          <w:hyperlink w:anchor="__RefHeading___Toc2138872_2322387425">
            <w:r>
              <w:rPr>
                <w:webHidden/>
                <w:rStyle w:val="IndexLink"/>
                <w:rtl w:val="true"/>
              </w:rPr>
              <w:t>تزوّج بنت الأخ أو الاُخت لو طلّق عمّتها أو خالتها</w:t>
            </w:r>
            <w:r>
              <w:rPr>
                <w:rStyle w:val="IndexLink"/>
                <w:rtl w:val="true"/>
              </w:rPr>
              <w:tab/>
            </w:r>
            <w:r>
              <w:rPr>
                <w:rStyle w:val="IndexLink"/>
              </w:rPr>
              <w:t>334</w:t>
            </w:r>
          </w:hyperlink>
        </w:p>
        <w:p>
          <w:pPr>
            <w:pStyle w:val="Contents4"/>
            <w:tabs>
              <w:tab w:val="clear" w:pos="8176"/>
              <w:tab w:val="right" w:pos="9026" w:leader="dot"/>
            </w:tabs>
            <w:rPr/>
          </w:pPr>
          <w:hyperlink w:anchor="__RefHeading___Toc2138874_2322387425">
            <w:r>
              <w:rPr>
                <w:webHidden/>
                <w:rStyle w:val="IndexLink"/>
                <w:rtl w:val="true"/>
              </w:rPr>
              <w:t>حکم المملوکتین والمختلفتین</w:t>
            </w:r>
            <w:r>
              <w:rPr>
                <w:rStyle w:val="IndexLink"/>
                <w:rtl w:val="true"/>
              </w:rPr>
              <w:tab/>
            </w:r>
            <w:r>
              <w:rPr>
                <w:rStyle w:val="IndexLink"/>
              </w:rPr>
              <w:t>334</w:t>
            </w:r>
          </w:hyperlink>
        </w:p>
        <w:p>
          <w:pPr>
            <w:pStyle w:val="Contents4"/>
            <w:tabs>
              <w:tab w:val="clear" w:pos="8176"/>
              <w:tab w:val="right" w:pos="9026" w:leader="dot"/>
            </w:tabs>
            <w:rPr/>
          </w:pPr>
          <w:hyperlink w:anchor="__RefHeading___Toc2138876_2322387425">
            <w:r>
              <w:rPr>
                <w:webHidden/>
                <w:rStyle w:val="IndexLink"/>
                <w:rtl w:val="true"/>
              </w:rPr>
              <w:t>الزنا الطارئ علی التزویج</w:t>
            </w:r>
            <w:r>
              <w:rPr>
                <w:rStyle w:val="IndexLink"/>
                <w:rtl w:val="true"/>
              </w:rPr>
              <w:tab/>
            </w:r>
            <w:r>
              <w:rPr>
                <w:rStyle w:val="IndexLink"/>
              </w:rPr>
              <w:t>335</w:t>
            </w:r>
          </w:hyperlink>
        </w:p>
        <w:p>
          <w:pPr>
            <w:pStyle w:val="Contents4"/>
            <w:tabs>
              <w:tab w:val="clear" w:pos="8176"/>
              <w:tab w:val="right" w:pos="9026" w:leader="dot"/>
            </w:tabs>
            <w:rPr/>
          </w:pPr>
          <w:hyperlink w:anchor="__RefHeading___Toc2138878_2322387425">
            <w:r>
              <w:rPr>
                <w:webHidden/>
                <w:rStyle w:val="IndexLink"/>
                <w:rtl w:val="true"/>
              </w:rPr>
              <w:t>الزنا السابق علی التزویج</w:t>
            </w:r>
            <w:r>
              <w:rPr>
                <w:rStyle w:val="IndexLink"/>
                <w:rtl w:val="true"/>
              </w:rPr>
              <w:tab/>
            </w:r>
            <w:r>
              <w:rPr>
                <w:rStyle w:val="IndexLink"/>
              </w:rPr>
              <w:t>336</w:t>
            </w:r>
          </w:hyperlink>
        </w:p>
        <w:p>
          <w:pPr>
            <w:pStyle w:val="Contents4"/>
            <w:tabs>
              <w:tab w:val="clear" w:pos="8176"/>
              <w:tab w:val="right" w:pos="9026" w:leader="dot"/>
            </w:tabs>
            <w:rPr/>
          </w:pPr>
          <w:hyperlink w:anchor="__RefHeading___Toc2138880_2322387425">
            <w:r>
              <w:rPr>
                <w:webHidden/>
                <w:rStyle w:val="IndexLink"/>
                <w:rtl w:val="true"/>
              </w:rPr>
              <w:t>حکم الوطء بالشبهة</w:t>
            </w:r>
            <w:r>
              <w:rPr>
                <w:rStyle w:val="IndexLink"/>
                <w:rtl w:val="true"/>
              </w:rPr>
              <w:tab/>
            </w:r>
            <w:r>
              <w:rPr>
                <w:rStyle w:val="IndexLink"/>
              </w:rPr>
              <w:t>337</w:t>
            </w:r>
          </w:hyperlink>
        </w:p>
        <w:p>
          <w:pPr>
            <w:pStyle w:val="Contents4"/>
            <w:tabs>
              <w:tab w:val="clear" w:pos="8176"/>
              <w:tab w:val="right" w:pos="9026" w:leader="dot"/>
            </w:tabs>
            <w:rPr/>
          </w:pPr>
          <w:hyperlink w:anchor="__RefHeading___Toc2138882_2322387425">
            <w:r>
              <w:rPr>
                <w:webHidden/>
                <w:rStyle w:val="IndexLink"/>
                <w:rtl w:val="true"/>
              </w:rPr>
              <w:t>الزنا بمملوکة الأب والعکس</w:t>
            </w:r>
            <w:r>
              <w:rPr>
                <w:rStyle w:val="IndexLink"/>
                <w:rtl w:val="true"/>
              </w:rPr>
              <w:tab/>
            </w:r>
            <w:r>
              <w:rPr>
                <w:rStyle w:val="IndexLink"/>
              </w:rPr>
              <w:t>338</w:t>
            </w:r>
          </w:hyperlink>
        </w:p>
        <w:p>
          <w:pPr>
            <w:pStyle w:val="Contents4"/>
            <w:tabs>
              <w:tab w:val="clear" w:pos="8176"/>
              <w:tab w:val="right" w:pos="9026" w:leader="dot"/>
            </w:tabs>
            <w:rPr/>
          </w:pPr>
          <w:hyperlink w:anchor="__RefHeading___Toc2138884_2322387425">
            <w:r>
              <w:rPr>
                <w:webHidden/>
                <w:rStyle w:val="IndexLink"/>
                <w:rtl w:val="true"/>
              </w:rPr>
              <w:t>ترتّب حکم الزنا بالوطء فی القبل أو الدبر</w:t>
            </w:r>
            <w:r>
              <w:rPr>
                <w:rStyle w:val="IndexLink"/>
                <w:rtl w:val="true"/>
              </w:rPr>
              <w:tab/>
            </w:r>
            <w:r>
              <w:rPr>
                <w:rStyle w:val="IndexLink"/>
              </w:rPr>
              <w:t>338</w:t>
            </w:r>
          </w:hyperlink>
        </w:p>
        <w:p>
          <w:pPr>
            <w:pStyle w:val="Contents4"/>
            <w:tabs>
              <w:tab w:val="clear" w:pos="8176"/>
              <w:tab w:val="right" w:pos="9026" w:leader="dot"/>
            </w:tabs>
            <w:rPr/>
          </w:pPr>
          <w:hyperlink w:anchor="__RefHeading___Toc2138886_2322387425">
            <w:r>
              <w:rPr>
                <w:webHidden/>
                <w:rStyle w:val="IndexLink"/>
                <w:rtl w:val="true"/>
              </w:rPr>
              <w:t>بعض فروع الشکّ فی الزنا</w:t>
            </w:r>
            <w:r>
              <w:rPr>
                <w:rStyle w:val="IndexLink"/>
                <w:rtl w:val="true"/>
              </w:rPr>
              <w:tab/>
            </w:r>
            <w:r>
              <w:rPr>
                <w:rStyle w:val="IndexLink"/>
              </w:rPr>
              <w:t>338</w:t>
            </w:r>
          </w:hyperlink>
        </w:p>
        <w:p>
          <w:pPr>
            <w:pStyle w:val="Contents4"/>
            <w:tabs>
              <w:tab w:val="clear" w:pos="8176"/>
              <w:tab w:val="right" w:pos="9026" w:leader="dot"/>
            </w:tabs>
            <w:rPr/>
          </w:pPr>
          <w:hyperlink w:anchor="__RefHeading___Toc2138888_2322387425">
            <w:r>
              <w:rPr>
                <w:webHidden/>
                <w:rStyle w:val="IndexLink"/>
                <w:rtl w:val="true"/>
              </w:rPr>
              <w:t>حصول الزنا بالاختیاری والاضطراری بالبالغة وغیرها</w:t>
            </w:r>
            <w:r>
              <w:rPr>
                <w:rStyle w:val="IndexLink"/>
                <w:rtl w:val="true"/>
              </w:rPr>
              <w:tab/>
            </w:r>
            <w:r>
              <w:rPr>
                <w:rStyle w:val="IndexLink"/>
              </w:rPr>
              <w:t>339</w:t>
            </w:r>
          </w:hyperlink>
        </w:p>
        <w:p>
          <w:pPr>
            <w:pStyle w:val="Contents4"/>
            <w:tabs>
              <w:tab w:val="clear" w:pos="8176"/>
              <w:tab w:val="right" w:pos="9026" w:leader="dot"/>
            </w:tabs>
            <w:rPr/>
          </w:pPr>
          <w:hyperlink w:anchor="__RefHeading___Toc2138890_2322387425">
            <w:r>
              <w:rPr>
                <w:webHidden/>
                <w:rStyle w:val="IndexLink"/>
                <w:rtl w:val="true"/>
              </w:rPr>
              <w:t>حکم ما لو زنا لاحقاً ثمّ طلّق زوجته وأراد الرجوع لها</w:t>
            </w:r>
            <w:r>
              <w:rPr>
                <w:rStyle w:val="IndexLink"/>
                <w:rtl w:val="true"/>
              </w:rPr>
              <w:tab/>
            </w:r>
            <w:r>
              <w:rPr>
                <w:rStyle w:val="IndexLink"/>
              </w:rPr>
              <w:t>340</w:t>
            </w:r>
          </w:hyperlink>
        </w:p>
        <w:p>
          <w:pPr>
            <w:pStyle w:val="Contents4"/>
            <w:tabs>
              <w:tab w:val="clear" w:pos="8176"/>
              <w:tab w:val="right" w:pos="9026" w:leader="dot"/>
            </w:tabs>
            <w:rPr/>
          </w:pPr>
          <w:hyperlink w:anchor="__RefHeading___Toc2138892_2322387425">
            <w:r>
              <w:rPr>
                <w:webHidden/>
                <w:rStyle w:val="IndexLink"/>
                <w:rtl w:val="true"/>
              </w:rPr>
              <w:t>الزنا بعد التزویج بالفضولی</w:t>
            </w:r>
            <w:r>
              <w:rPr>
                <w:rStyle w:val="IndexLink"/>
                <w:rtl w:val="true"/>
              </w:rPr>
              <w:tab/>
            </w:r>
            <w:r>
              <w:rPr>
                <w:rStyle w:val="IndexLink"/>
              </w:rPr>
              <w:t>341</w:t>
            </w:r>
          </w:hyperlink>
        </w:p>
        <w:p>
          <w:pPr>
            <w:pStyle w:val="Contents4"/>
            <w:tabs>
              <w:tab w:val="clear" w:pos="8176"/>
              <w:tab w:val="right" w:pos="9026" w:leader="dot"/>
            </w:tabs>
            <w:rPr/>
          </w:pPr>
          <w:hyperlink w:anchor="__RefHeading___Toc2138894_2322387425">
            <w:r>
              <w:rPr>
                <w:webHidden/>
                <w:rStyle w:val="IndexLink"/>
                <w:rtl w:val="true"/>
              </w:rPr>
              <w:t>النظر واللمس بشهوة هل ینشر الحرمة؟</w:t>
            </w:r>
            <w:r>
              <w:rPr>
                <w:rStyle w:val="IndexLink"/>
                <w:rtl w:val="true"/>
              </w:rPr>
              <w:tab/>
            </w:r>
            <w:r>
              <w:rPr>
                <w:rStyle w:val="IndexLink"/>
              </w:rPr>
              <w:t>342</w:t>
            </w:r>
          </w:hyperlink>
        </w:p>
        <w:p>
          <w:pPr>
            <w:pStyle w:val="Contents4"/>
            <w:tabs>
              <w:tab w:val="clear" w:pos="8176"/>
              <w:tab w:val="right" w:pos="9026" w:leader="dot"/>
            </w:tabs>
            <w:rPr/>
          </w:pPr>
          <w:hyperlink w:anchor="__RefHeading___Toc2138896_2322387425">
            <w:r>
              <w:rPr>
                <w:webHidden/>
                <w:rStyle w:val="IndexLink"/>
                <w:rtl w:val="true"/>
              </w:rPr>
              <w:t>الجمع بین الاُختین فی النکاح وفی الملک</w:t>
            </w:r>
            <w:r>
              <w:rPr>
                <w:rStyle w:val="IndexLink"/>
                <w:rtl w:val="true"/>
              </w:rPr>
              <w:tab/>
            </w:r>
            <w:r>
              <w:rPr>
                <w:rStyle w:val="IndexLink"/>
              </w:rPr>
              <w:t>344</w:t>
            </w:r>
          </w:hyperlink>
        </w:p>
        <w:p>
          <w:pPr>
            <w:pStyle w:val="Contents4"/>
            <w:tabs>
              <w:tab w:val="clear" w:pos="8176"/>
              <w:tab w:val="right" w:pos="9026" w:leader="dot"/>
            </w:tabs>
            <w:rPr/>
          </w:pPr>
          <w:hyperlink w:anchor="__RefHeading___Toc2138898_2322387425">
            <w:r>
              <w:rPr>
                <w:webHidden/>
                <w:rStyle w:val="IndexLink"/>
                <w:rtl w:val="true"/>
              </w:rPr>
              <w:t>التزویج بإحدی الاُختین وملک الاُخری</w:t>
            </w:r>
            <w:r>
              <w:rPr>
                <w:rStyle w:val="IndexLink"/>
                <w:rtl w:val="true"/>
              </w:rPr>
              <w:tab/>
            </w:r>
            <w:r>
              <w:rPr>
                <w:rStyle w:val="IndexLink"/>
              </w:rPr>
              <w:t>347</w:t>
            </w:r>
          </w:hyperlink>
        </w:p>
        <w:p>
          <w:pPr>
            <w:pStyle w:val="Contents4"/>
            <w:tabs>
              <w:tab w:val="clear" w:pos="8176"/>
              <w:tab w:val="right" w:pos="9026" w:leader="dot"/>
            </w:tabs>
            <w:rPr/>
          </w:pPr>
          <w:hyperlink w:anchor="__RefHeading___Toc2138900_2322387425">
            <w:r>
              <w:rPr>
                <w:webHidden/>
                <w:rStyle w:val="IndexLink"/>
                <w:rtl w:val="true"/>
              </w:rPr>
              <w:t>وطء إحدی الاُختین بالملک والتزوّج بالاُخری</w:t>
            </w:r>
            <w:r>
              <w:rPr>
                <w:rStyle w:val="IndexLink"/>
                <w:rtl w:val="true"/>
              </w:rPr>
              <w:tab/>
            </w:r>
            <w:r>
              <w:rPr>
                <w:rStyle w:val="IndexLink"/>
              </w:rPr>
              <w:t>347</w:t>
            </w:r>
          </w:hyperlink>
        </w:p>
        <w:p>
          <w:pPr>
            <w:pStyle w:val="Contents4"/>
            <w:tabs>
              <w:tab w:val="clear" w:pos="8176"/>
              <w:tab w:val="right" w:pos="9026" w:leader="dot"/>
            </w:tabs>
            <w:rPr/>
          </w:pPr>
          <w:hyperlink w:anchor="__RefHeading___Toc2138902_2322387425">
            <w:r>
              <w:rPr>
                <w:webHidden/>
                <w:rStyle w:val="IndexLink"/>
                <w:rtl w:val="true"/>
              </w:rPr>
              <w:t>بطلان عقد الثانیة بعد التزوج بالاُولی</w:t>
            </w:r>
            <w:r>
              <w:rPr>
                <w:rStyle w:val="IndexLink"/>
                <w:rtl w:val="true"/>
              </w:rPr>
              <w:tab/>
            </w:r>
            <w:r>
              <w:rPr>
                <w:rStyle w:val="IndexLink"/>
              </w:rPr>
              <w:t>349</w:t>
            </w:r>
          </w:hyperlink>
        </w:p>
        <w:p>
          <w:pPr>
            <w:pStyle w:val="Contents4"/>
            <w:tabs>
              <w:tab w:val="clear" w:pos="8176"/>
              <w:tab w:val="right" w:pos="9026" w:leader="dot"/>
            </w:tabs>
            <w:rPr/>
          </w:pPr>
          <w:hyperlink w:anchor="__RefHeading___Toc2138904_2322387425">
            <w:r>
              <w:rPr>
                <w:webHidden/>
                <w:rStyle w:val="IndexLink"/>
                <w:rtl w:val="true"/>
              </w:rPr>
              <w:t>حکم ما لو تزوّج بالاُختین واشتبه السابق واللاحق</w:t>
            </w:r>
            <w:r>
              <w:rPr>
                <w:rStyle w:val="IndexLink"/>
                <w:rtl w:val="true"/>
              </w:rPr>
              <w:tab/>
            </w:r>
            <w:r>
              <w:rPr>
                <w:rStyle w:val="IndexLink"/>
              </w:rPr>
              <w:t>350</w:t>
            </w:r>
          </w:hyperlink>
        </w:p>
        <w:p>
          <w:pPr>
            <w:pStyle w:val="Contents4"/>
            <w:tabs>
              <w:tab w:val="clear" w:pos="8176"/>
              <w:tab w:val="right" w:pos="9026" w:leader="dot"/>
            </w:tabs>
            <w:rPr/>
          </w:pPr>
          <w:hyperlink w:anchor="__RefHeading___Toc2138906_2322387425">
            <w:r>
              <w:rPr>
                <w:webHidden/>
                <w:rStyle w:val="IndexLink"/>
                <w:rtl w:val="true"/>
              </w:rPr>
              <w:t>حکم اقتران عقد الاُختین</w:t>
            </w:r>
            <w:r>
              <w:rPr>
                <w:rStyle w:val="IndexLink"/>
                <w:rtl w:val="true"/>
              </w:rPr>
              <w:tab/>
            </w:r>
            <w:r>
              <w:rPr>
                <w:rStyle w:val="IndexLink"/>
              </w:rPr>
              <w:t>355</w:t>
            </w:r>
          </w:hyperlink>
        </w:p>
        <w:p>
          <w:pPr>
            <w:pStyle w:val="Contents4"/>
            <w:tabs>
              <w:tab w:val="clear" w:pos="8176"/>
              <w:tab w:val="right" w:pos="9026" w:leader="dot"/>
            </w:tabs>
            <w:rPr/>
          </w:pPr>
          <w:hyperlink w:anchor="__RefHeading___Toc2138908_2322387425">
            <w:r>
              <w:rPr>
                <w:webHidden/>
                <w:rStyle w:val="IndexLink"/>
                <w:rtl w:val="true"/>
              </w:rPr>
              <w:t>حکم وطء إحدی الاُختین المملوکتین</w:t>
            </w:r>
            <w:r>
              <w:rPr>
                <w:rStyle w:val="IndexLink"/>
                <w:rtl w:val="true"/>
              </w:rPr>
              <w:tab/>
            </w:r>
            <w:r>
              <w:rPr>
                <w:rStyle w:val="IndexLink"/>
              </w:rPr>
              <w:t>357</w:t>
            </w:r>
          </w:hyperlink>
        </w:p>
        <w:p>
          <w:pPr>
            <w:pStyle w:val="Contents4"/>
            <w:tabs>
              <w:tab w:val="clear" w:pos="8176"/>
              <w:tab w:val="right" w:pos="9026" w:leader="dot"/>
            </w:tabs>
            <w:rPr/>
          </w:pPr>
          <w:hyperlink w:anchor="__RefHeading___Toc2138910_2322387425">
            <w:r>
              <w:rPr>
                <w:webHidden/>
                <w:rStyle w:val="IndexLink"/>
                <w:rtl w:val="true"/>
              </w:rPr>
              <w:t>وطء الثانیة بعد وطء الاُولی</w:t>
            </w:r>
            <w:r>
              <w:rPr>
                <w:rStyle w:val="IndexLink"/>
                <w:rtl w:val="true"/>
              </w:rPr>
              <w:tab/>
            </w:r>
            <w:r>
              <w:rPr>
                <w:rStyle w:val="IndexLink"/>
              </w:rPr>
              <w:t>358</w:t>
            </w:r>
          </w:hyperlink>
        </w:p>
        <w:p>
          <w:pPr>
            <w:pStyle w:val="Contents4"/>
            <w:tabs>
              <w:tab w:val="clear" w:pos="8176"/>
              <w:tab w:val="right" w:pos="9026" w:leader="dot"/>
            </w:tabs>
            <w:rPr/>
          </w:pPr>
          <w:hyperlink w:anchor="__RefHeading___Toc2138912_2322387425">
            <w:r>
              <w:rPr>
                <w:webHidden/>
                <w:rStyle w:val="IndexLink"/>
                <w:rtl w:val="true"/>
              </w:rPr>
              <w:t>حکم الجمع بین الاُختین من الزنا</w:t>
            </w:r>
            <w:r>
              <w:rPr>
                <w:rStyle w:val="IndexLink"/>
                <w:rtl w:val="true"/>
              </w:rPr>
              <w:tab/>
            </w:r>
            <w:r>
              <w:rPr>
                <w:rStyle w:val="IndexLink"/>
              </w:rPr>
              <w:t>359</w:t>
            </w:r>
          </w:hyperlink>
        </w:p>
        <w:p>
          <w:pPr>
            <w:pStyle w:val="Contents4"/>
            <w:tabs>
              <w:tab w:val="clear" w:pos="8176"/>
              <w:tab w:val="right" w:pos="9026" w:leader="dot"/>
            </w:tabs>
            <w:rPr/>
          </w:pPr>
          <w:hyperlink w:anchor="__RefHeading___Toc2138914_2322387425">
            <w:r>
              <w:rPr>
                <w:webHidden/>
                <w:rStyle w:val="IndexLink"/>
                <w:rtl w:val="true"/>
              </w:rPr>
              <w:t>حکم التزوّج بإحدی الاُختین فی عدّة اُختها</w:t>
            </w:r>
            <w:r>
              <w:rPr>
                <w:rStyle w:val="IndexLink"/>
                <w:rtl w:val="true"/>
              </w:rPr>
              <w:tab/>
            </w:r>
            <w:r>
              <w:rPr>
                <w:rStyle w:val="IndexLink"/>
              </w:rPr>
              <w:t>359</w:t>
            </w:r>
          </w:hyperlink>
        </w:p>
        <w:p>
          <w:pPr>
            <w:pStyle w:val="Contents4"/>
            <w:tabs>
              <w:tab w:val="clear" w:pos="8176"/>
              <w:tab w:val="right" w:pos="9026" w:leader="dot"/>
            </w:tabs>
            <w:rPr/>
          </w:pPr>
          <w:hyperlink w:anchor="__RefHeading___Toc2138916_2322387425">
            <w:r>
              <w:rPr>
                <w:webHidden/>
                <w:rStyle w:val="IndexLink"/>
                <w:rtl w:val="true"/>
              </w:rPr>
              <w:t>حکم التزوّج بإحدی الاُختین مع الزنا بالاُخری أو وطئها شبهة</w:t>
            </w:r>
            <w:r>
              <w:rPr>
                <w:rStyle w:val="IndexLink"/>
                <w:rtl w:val="true"/>
              </w:rPr>
              <w:tab/>
            </w:r>
            <w:r>
              <w:rPr>
                <w:rStyle w:val="IndexLink"/>
              </w:rPr>
              <w:t>360</w:t>
            </w:r>
          </w:hyperlink>
        </w:p>
        <w:p>
          <w:pPr>
            <w:pStyle w:val="Contents4"/>
            <w:tabs>
              <w:tab w:val="clear" w:pos="8176"/>
              <w:tab w:val="right" w:pos="9026" w:leader="dot"/>
            </w:tabs>
            <w:rPr/>
          </w:pPr>
          <w:hyperlink w:anchor="__RefHeading___Toc2138918_2322387425">
            <w:r>
              <w:rPr>
                <w:webHidden/>
                <w:rStyle w:val="IndexLink"/>
                <w:rtl w:val="true"/>
              </w:rPr>
              <w:t>حکم الجمع بین فاطمیّتین</w:t>
            </w:r>
            <w:r>
              <w:rPr>
                <w:rStyle w:val="IndexLink"/>
                <w:rtl w:val="true"/>
              </w:rPr>
              <w:tab/>
            </w:r>
            <w:r>
              <w:rPr>
                <w:rStyle w:val="IndexLink"/>
              </w:rPr>
              <w:t>361</w:t>
            </w:r>
          </w:hyperlink>
        </w:p>
        <w:p>
          <w:pPr>
            <w:pStyle w:val="Contents4"/>
            <w:tabs>
              <w:tab w:val="clear" w:pos="8176"/>
              <w:tab w:val="right" w:pos="9026" w:leader="dot"/>
            </w:tabs>
            <w:rPr/>
          </w:pPr>
          <w:hyperlink w:anchor="__RefHeading___Toc2138920_2322387425">
            <w:r>
              <w:rPr>
                <w:webHidden/>
                <w:rStyle w:val="IndexLink"/>
                <w:rtl w:val="true"/>
              </w:rPr>
              <w:t>التزویج بالإماء</w:t>
            </w:r>
            <w:r>
              <w:rPr>
                <w:rStyle w:val="IndexLink"/>
                <w:rtl w:val="true"/>
              </w:rPr>
              <w:tab/>
            </w:r>
            <w:r>
              <w:rPr>
                <w:rStyle w:val="IndexLink"/>
              </w:rPr>
              <w:t>364</w:t>
            </w:r>
          </w:hyperlink>
        </w:p>
        <w:p>
          <w:pPr>
            <w:pStyle w:val="Contents4"/>
            <w:tabs>
              <w:tab w:val="clear" w:pos="8176"/>
              <w:tab w:val="right" w:pos="9026" w:leader="dot"/>
            </w:tabs>
            <w:rPr/>
          </w:pPr>
          <w:hyperlink w:anchor="__RefHeading___Toc2138922_2322387425">
            <w:r>
              <w:rPr>
                <w:webHidden/>
                <w:rStyle w:val="IndexLink"/>
                <w:rtl w:val="true"/>
              </w:rPr>
              <w:t>تزویج الأمة مع عدم الشرطین</w:t>
            </w:r>
            <w:r>
              <w:rPr>
                <w:rStyle w:val="IndexLink"/>
                <w:rtl w:val="true"/>
              </w:rPr>
              <w:tab/>
            </w:r>
            <w:r>
              <w:rPr>
                <w:rStyle w:val="IndexLink"/>
              </w:rPr>
              <w:t>366</w:t>
            </w:r>
          </w:hyperlink>
        </w:p>
        <w:p>
          <w:pPr>
            <w:pStyle w:val="Contents4"/>
            <w:tabs>
              <w:tab w:val="clear" w:pos="8176"/>
              <w:tab w:val="right" w:pos="9026" w:leader="dot"/>
            </w:tabs>
            <w:rPr/>
          </w:pPr>
          <w:hyperlink w:anchor="__RefHeading___Toc2138924_2322387425">
            <w:r>
              <w:rPr>
                <w:webHidden/>
                <w:rStyle w:val="IndexLink"/>
                <w:rtl w:val="true"/>
              </w:rPr>
              <w:t>تحقّق الشرطین وزوالهما بعد التزوج</w:t>
            </w:r>
            <w:r>
              <w:rPr>
                <w:rStyle w:val="IndexLink"/>
                <w:rtl w:val="true"/>
              </w:rPr>
              <w:tab/>
            </w:r>
            <w:r>
              <w:rPr>
                <w:rStyle w:val="IndexLink"/>
              </w:rPr>
              <w:t>366</w:t>
            </w:r>
          </w:hyperlink>
        </w:p>
        <w:p>
          <w:pPr>
            <w:pStyle w:val="Contents4"/>
            <w:tabs>
              <w:tab w:val="clear" w:pos="8176"/>
              <w:tab w:val="right" w:pos="9026" w:leader="dot"/>
            </w:tabs>
            <w:rPr/>
          </w:pPr>
          <w:hyperlink w:anchor="__RefHeading___Toc2138926_2322387425">
            <w:r>
              <w:rPr>
                <w:webHidden/>
                <w:rStyle w:val="IndexLink"/>
                <w:rtl w:val="true"/>
              </w:rPr>
              <w:t>الوطء بالتحلیل أو بملک الیمین</w:t>
            </w:r>
            <w:r>
              <w:rPr>
                <w:rStyle w:val="IndexLink"/>
                <w:rtl w:val="true"/>
              </w:rPr>
              <w:tab/>
            </w:r>
            <w:r>
              <w:rPr>
                <w:rStyle w:val="IndexLink"/>
              </w:rPr>
              <w:t>366</w:t>
            </w:r>
          </w:hyperlink>
        </w:p>
        <w:p>
          <w:pPr>
            <w:pStyle w:val="Contents4"/>
            <w:tabs>
              <w:tab w:val="clear" w:pos="8176"/>
              <w:tab w:val="right" w:pos="9026" w:leader="dot"/>
            </w:tabs>
            <w:rPr/>
          </w:pPr>
          <w:hyperlink w:anchor="__RefHeading___Toc2138928_2322387425">
            <w:r>
              <w:rPr>
                <w:webHidden/>
                <w:rStyle w:val="IndexLink"/>
                <w:rtl w:val="true"/>
              </w:rPr>
              <w:t>تزویج حرّة لا یقدر علی مقاربتها</w:t>
            </w:r>
            <w:r>
              <w:rPr>
                <w:rStyle w:val="IndexLink"/>
                <w:rtl w:val="true"/>
              </w:rPr>
              <w:tab/>
            </w:r>
            <w:r>
              <w:rPr>
                <w:rStyle w:val="IndexLink"/>
              </w:rPr>
              <w:t>367</w:t>
            </w:r>
          </w:hyperlink>
        </w:p>
        <w:p>
          <w:pPr>
            <w:pStyle w:val="Contents4"/>
            <w:tabs>
              <w:tab w:val="clear" w:pos="8176"/>
              <w:tab w:val="right" w:pos="9026" w:leader="dot"/>
            </w:tabs>
            <w:rPr/>
          </w:pPr>
          <w:hyperlink w:anchor="__RefHeading___Toc2138930_2322387425">
            <w:r>
              <w:rPr>
                <w:webHidden/>
                <w:rStyle w:val="IndexLink"/>
                <w:rtl w:val="true"/>
              </w:rPr>
              <w:t>من لم تکفه مع الشرطین أمة واحدة</w:t>
            </w:r>
            <w:r>
              <w:rPr>
                <w:rStyle w:val="IndexLink"/>
                <w:rtl w:val="true"/>
              </w:rPr>
              <w:tab/>
            </w:r>
            <w:r>
              <w:rPr>
                <w:rStyle w:val="IndexLink"/>
              </w:rPr>
              <w:t>367</w:t>
            </w:r>
          </w:hyperlink>
        </w:p>
        <w:p>
          <w:pPr>
            <w:pStyle w:val="Contents4"/>
            <w:tabs>
              <w:tab w:val="clear" w:pos="8176"/>
              <w:tab w:val="right" w:pos="9026" w:leader="dot"/>
            </w:tabs>
            <w:rPr/>
          </w:pPr>
          <w:hyperlink w:anchor="__RefHeading___Toc2138932_2322387425">
            <w:r>
              <w:rPr>
                <w:webHidden/>
                <w:rStyle w:val="IndexLink"/>
                <w:rtl w:val="true"/>
              </w:rPr>
              <w:t>طلب الحرّة مهراً بمقدار یعدّ ضرراً علیه</w:t>
            </w:r>
            <w:r>
              <w:rPr>
                <w:rStyle w:val="IndexLink"/>
                <w:rtl w:val="true"/>
              </w:rPr>
              <w:tab/>
            </w:r>
            <w:r>
              <w:rPr>
                <w:rStyle w:val="IndexLink"/>
              </w:rPr>
              <w:t>368</w:t>
            </w:r>
          </w:hyperlink>
        </w:p>
        <w:p>
          <w:pPr>
            <w:pStyle w:val="Contents3"/>
            <w:tabs>
              <w:tab w:val="clear" w:pos="8459"/>
              <w:tab w:val="right" w:pos="9026" w:leader="dot"/>
            </w:tabs>
            <w:rPr/>
          </w:pPr>
          <w:hyperlink w:anchor="__RefHeading___Toc2138934_2322387425">
            <w:r>
              <w:rPr>
                <w:webHidden/>
                <w:rStyle w:val="IndexLink"/>
                <w:rtl w:val="true"/>
              </w:rPr>
              <w:t xml:space="preserve">فصل </w:t>
            </w:r>
            <w:r>
              <w:rPr>
                <w:rStyle w:val="IndexLink"/>
                <w:rtl w:val="true"/>
              </w:rPr>
              <w:t>[</w:t>
            </w:r>
            <w:r>
              <w:rPr>
                <w:rStyle w:val="IndexLink"/>
                <w:rtl w:val="true"/>
              </w:rPr>
              <w:t>حکم نکاح الأمة علی الحرّة</w:t>
            </w:r>
            <w:r>
              <w:rPr>
                <w:rStyle w:val="IndexLink"/>
                <w:rtl w:val="true"/>
              </w:rPr>
              <w:t>]</w:t>
              <w:tab/>
            </w:r>
            <w:r>
              <w:rPr>
                <w:rStyle w:val="IndexLink"/>
              </w:rPr>
              <w:t>370</w:t>
            </w:r>
          </w:hyperlink>
        </w:p>
        <w:p>
          <w:pPr>
            <w:pStyle w:val="Contents4"/>
            <w:tabs>
              <w:tab w:val="clear" w:pos="8176"/>
              <w:tab w:val="right" w:pos="9026" w:leader="dot"/>
            </w:tabs>
            <w:rPr/>
          </w:pPr>
          <w:hyperlink w:anchor="__RefHeading___Toc2138936_2322387425">
            <w:r>
              <w:rPr>
                <w:webHidden/>
                <w:rStyle w:val="IndexLink"/>
                <w:rtl w:val="true"/>
              </w:rPr>
              <w:t>جواز نکاح الأمة علی الحرّة مع إذنها بالشرطین</w:t>
            </w:r>
            <w:r>
              <w:rPr>
                <w:rStyle w:val="IndexLink"/>
                <w:rtl w:val="true"/>
              </w:rPr>
              <w:tab/>
            </w:r>
            <w:r>
              <w:rPr>
                <w:rStyle w:val="IndexLink"/>
              </w:rPr>
              <w:t>370</w:t>
            </w:r>
          </w:hyperlink>
        </w:p>
        <w:p>
          <w:pPr>
            <w:pStyle w:val="Contents4"/>
            <w:tabs>
              <w:tab w:val="clear" w:pos="8176"/>
              <w:tab w:val="right" w:pos="9026" w:leader="dot"/>
            </w:tabs>
            <w:rPr/>
          </w:pPr>
          <w:hyperlink w:anchor="__RefHeading___Toc2138938_2322387425">
            <w:r>
              <w:rPr>
                <w:webHidden/>
                <w:rStyle w:val="IndexLink"/>
                <w:rtl w:val="true"/>
              </w:rPr>
              <w:t>نکاح الحرّة علی الأمة</w:t>
            </w:r>
            <w:r>
              <w:rPr>
                <w:rStyle w:val="IndexLink"/>
                <w:rtl w:val="true"/>
              </w:rPr>
              <w:tab/>
            </w:r>
            <w:r>
              <w:rPr>
                <w:rStyle w:val="IndexLink"/>
              </w:rPr>
              <w:t>371</w:t>
            </w:r>
          </w:hyperlink>
        </w:p>
        <w:p>
          <w:pPr>
            <w:pStyle w:val="Contents4"/>
            <w:tabs>
              <w:tab w:val="clear" w:pos="8176"/>
              <w:tab w:val="right" w:pos="9026" w:leader="dot"/>
            </w:tabs>
            <w:rPr/>
          </w:pPr>
          <w:hyperlink w:anchor="__RefHeading___Toc2138940_2322387425">
            <w:r>
              <w:rPr>
                <w:webHidden/>
                <w:rStyle w:val="IndexLink"/>
                <w:rtl w:val="true"/>
              </w:rPr>
              <w:t>نکاح الحرّة والأمة فی عقد واحد</w:t>
            </w:r>
            <w:r>
              <w:rPr>
                <w:rStyle w:val="IndexLink"/>
                <w:rtl w:val="true"/>
              </w:rPr>
              <w:tab/>
            </w:r>
            <w:r>
              <w:rPr>
                <w:rStyle w:val="IndexLink"/>
              </w:rPr>
              <w:t>372</w:t>
            </w:r>
          </w:hyperlink>
        </w:p>
        <w:p>
          <w:pPr>
            <w:pStyle w:val="Contents4"/>
            <w:tabs>
              <w:tab w:val="clear" w:pos="8176"/>
              <w:tab w:val="right" w:pos="9026" w:leader="dot"/>
            </w:tabs>
            <w:rPr/>
          </w:pPr>
          <w:hyperlink w:anchor="__RefHeading___Toc2138942_2322387425">
            <w:r>
              <w:rPr>
                <w:webHidden/>
                <w:rStyle w:val="IndexLink"/>
                <w:rtl w:val="true"/>
              </w:rPr>
              <w:t>نکاح المبعّضة علی المبعّضة أو الحرّة</w:t>
            </w:r>
            <w:r>
              <w:rPr>
                <w:rStyle w:val="IndexLink"/>
                <w:rtl w:val="true"/>
              </w:rPr>
              <w:tab/>
            </w:r>
            <w:r>
              <w:rPr>
                <w:rStyle w:val="IndexLink"/>
              </w:rPr>
              <w:t>372</w:t>
            </w:r>
          </w:hyperlink>
        </w:p>
        <w:p>
          <w:pPr>
            <w:pStyle w:val="Contents4"/>
            <w:tabs>
              <w:tab w:val="clear" w:pos="8176"/>
              <w:tab w:val="right" w:pos="9026" w:leader="dot"/>
            </w:tabs>
            <w:rPr/>
          </w:pPr>
          <w:hyperlink w:anchor="__RefHeading___Toc2138944_2322387425">
            <w:r>
              <w:rPr>
                <w:webHidden/>
                <w:rStyle w:val="IndexLink"/>
                <w:rtl w:val="true"/>
              </w:rPr>
              <w:t>حکم موت الحرّة أو طلاقها بعد عقد الأمة</w:t>
            </w:r>
            <w:r>
              <w:rPr>
                <w:rStyle w:val="IndexLink"/>
                <w:rtl w:val="true"/>
              </w:rPr>
              <w:tab/>
            </w:r>
            <w:r>
              <w:rPr>
                <w:rStyle w:val="IndexLink"/>
              </w:rPr>
              <w:t>373</w:t>
            </w:r>
          </w:hyperlink>
        </w:p>
        <w:p>
          <w:pPr>
            <w:pStyle w:val="Contents4"/>
            <w:tabs>
              <w:tab w:val="clear" w:pos="8176"/>
              <w:tab w:val="right" w:pos="9026" w:leader="dot"/>
            </w:tabs>
            <w:rPr/>
          </w:pPr>
          <w:hyperlink w:anchor="__RefHeading___Toc2138946_2322387425">
            <w:r>
              <w:rPr>
                <w:webHidden/>
                <w:rStyle w:val="IndexLink"/>
                <w:rtl w:val="true"/>
              </w:rPr>
              <w:t>حکم التزوّج بالأمة فی عدّة الحرّة</w:t>
            </w:r>
            <w:r>
              <w:rPr>
                <w:rStyle w:val="IndexLink"/>
                <w:rtl w:val="true"/>
              </w:rPr>
              <w:tab/>
            </w:r>
            <w:r>
              <w:rPr>
                <w:rStyle w:val="IndexLink"/>
              </w:rPr>
              <w:t>373</w:t>
            </w:r>
          </w:hyperlink>
        </w:p>
        <w:p>
          <w:pPr>
            <w:pStyle w:val="Contents4"/>
            <w:tabs>
              <w:tab w:val="clear" w:pos="8176"/>
              <w:tab w:val="right" w:pos="9026" w:leader="dot"/>
            </w:tabs>
            <w:rPr/>
          </w:pPr>
          <w:hyperlink w:anchor="__RefHeading___Toc2138948_2322387425">
            <w:r>
              <w:rPr>
                <w:webHidden/>
                <w:rStyle w:val="IndexLink"/>
                <w:rtl w:val="true"/>
              </w:rPr>
              <w:t>نکاح الأمة بعد التزوّج الفضولی بحرّة</w:t>
            </w:r>
            <w:r>
              <w:rPr>
                <w:rStyle w:val="IndexLink"/>
                <w:rtl w:val="true"/>
              </w:rPr>
              <w:tab/>
            </w:r>
            <w:r>
              <w:rPr>
                <w:rStyle w:val="IndexLink"/>
              </w:rPr>
              <w:t>374</w:t>
            </w:r>
          </w:hyperlink>
        </w:p>
        <w:p>
          <w:pPr>
            <w:pStyle w:val="Contents4"/>
            <w:tabs>
              <w:tab w:val="clear" w:pos="8176"/>
              <w:tab w:val="right" w:pos="9026" w:leader="dot"/>
            </w:tabs>
            <w:rPr/>
          </w:pPr>
          <w:hyperlink w:anchor="__RefHeading___Toc2138950_2322387425">
            <w:r>
              <w:rPr>
                <w:webHidden/>
                <w:rStyle w:val="IndexLink"/>
                <w:rtl w:val="true"/>
              </w:rPr>
              <w:t>الشکّ فی السابق من عقد الحرّة والأمة</w:t>
            </w:r>
            <w:r>
              <w:rPr>
                <w:rStyle w:val="IndexLink"/>
                <w:rtl w:val="true"/>
              </w:rPr>
              <w:tab/>
            </w:r>
            <w:r>
              <w:rPr>
                <w:rStyle w:val="IndexLink"/>
              </w:rPr>
              <w:t>375</w:t>
            </w:r>
          </w:hyperlink>
        </w:p>
        <w:p>
          <w:pPr>
            <w:pStyle w:val="Contents4"/>
            <w:tabs>
              <w:tab w:val="clear" w:pos="8176"/>
              <w:tab w:val="right" w:pos="9026" w:leader="dot"/>
            </w:tabs>
            <w:rPr/>
          </w:pPr>
          <w:hyperlink w:anchor="__RefHeading___Toc2138952_2322387425">
            <w:r>
              <w:rPr>
                <w:webHidden/>
                <w:rStyle w:val="IndexLink"/>
                <w:rtl w:val="true"/>
              </w:rPr>
              <w:t>الاشتراط فی عقد الحرّة إذنها فی نکاح الأمة</w:t>
            </w:r>
            <w:r>
              <w:rPr>
                <w:rStyle w:val="IndexLink"/>
                <w:rtl w:val="true"/>
              </w:rPr>
              <w:tab/>
            </w:r>
            <w:r>
              <w:rPr>
                <w:rStyle w:val="IndexLink"/>
              </w:rPr>
              <w:t>376</w:t>
            </w:r>
          </w:hyperlink>
        </w:p>
        <w:p>
          <w:pPr>
            <w:pStyle w:val="Contents3"/>
            <w:tabs>
              <w:tab w:val="clear" w:pos="8459"/>
              <w:tab w:val="right" w:pos="9026" w:leader="dot"/>
            </w:tabs>
            <w:rPr/>
          </w:pPr>
          <w:hyperlink w:anchor="__RefHeading___Toc2138954_2322387425">
            <w:r>
              <w:rPr>
                <w:webHidden/>
                <w:rStyle w:val="IndexLink"/>
                <w:rtl w:val="true"/>
              </w:rPr>
              <w:t>فصل</w:t>
            </w:r>
            <w:r>
              <w:rPr>
                <w:rStyle w:val="IndexLink"/>
                <w:rtl w:val="true"/>
              </w:rPr>
              <w:t>[</w:t>
            </w:r>
            <w:r>
              <w:rPr>
                <w:rStyle w:val="IndexLink"/>
                <w:rtl w:val="true"/>
              </w:rPr>
              <w:t>فی نکاح العبید والإماء</w:t>
            </w:r>
            <w:r>
              <w:rPr>
                <w:rStyle w:val="IndexLink"/>
                <w:rtl w:val="true"/>
              </w:rPr>
              <w:t>]</w:t>
              <w:tab/>
            </w:r>
            <w:r>
              <w:rPr>
                <w:rStyle w:val="IndexLink"/>
              </w:rPr>
              <w:t>378</w:t>
            </w:r>
          </w:hyperlink>
        </w:p>
        <w:p>
          <w:pPr>
            <w:pStyle w:val="Contents4"/>
            <w:tabs>
              <w:tab w:val="clear" w:pos="8176"/>
              <w:tab w:val="right" w:pos="9026" w:leader="dot"/>
            </w:tabs>
            <w:rPr/>
          </w:pPr>
          <w:hyperlink w:anchor="__RefHeading___Toc2138956_2322387425">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2138958_2322387425">
            <w:r>
              <w:rPr>
                <w:webHidden/>
                <w:rStyle w:val="IndexLink"/>
                <w:rtl w:val="true"/>
              </w:rPr>
              <w:t>أمر تزویج المملوک عبداً وأمةً لسیّده</w:t>
            </w:r>
            <w:r>
              <w:rPr>
                <w:rStyle w:val="IndexLink"/>
                <w:rtl w:val="true"/>
              </w:rPr>
              <w:tab/>
            </w:r>
            <w:r>
              <w:rPr>
                <w:rStyle w:val="IndexLink"/>
              </w:rPr>
              <w:t>378</w:t>
            </w:r>
          </w:hyperlink>
        </w:p>
        <w:p>
          <w:pPr>
            <w:pStyle w:val="Contents4"/>
            <w:tabs>
              <w:tab w:val="clear" w:pos="8176"/>
              <w:tab w:val="right" w:pos="9026" w:leader="dot"/>
            </w:tabs>
            <w:rPr/>
          </w:pPr>
          <w:hyperlink w:anchor="__RefHeading___Toc2138960_2322387425">
            <w:r>
              <w:rPr>
                <w:webHidden/>
                <w:rStyle w:val="IndexLink"/>
                <w:rtl w:val="true"/>
              </w:rPr>
              <w:t>صحّة زواج المملوک وقف علی إجازة المولی وکونها کاشفة</w:t>
            </w:r>
            <w:r>
              <w:rPr>
                <w:rStyle w:val="IndexLink"/>
                <w:rtl w:val="true"/>
              </w:rPr>
              <w:tab/>
            </w:r>
            <w:r>
              <w:rPr>
                <w:rStyle w:val="IndexLink"/>
              </w:rPr>
              <w:t>380</w:t>
            </w:r>
          </w:hyperlink>
        </w:p>
        <w:p>
          <w:pPr>
            <w:pStyle w:val="Contents4"/>
            <w:tabs>
              <w:tab w:val="clear" w:pos="8176"/>
              <w:tab w:val="right" w:pos="9026" w:leader="dot"/>
            </w:tabs>
            <w:rPr/>
          </w:pPr>
          <w:hyperlink w:anchor="__RefHeading___Toc2138962_2322387425">
            <w:r>
              <w:rPr>
                <w:webHidden/>
                <w:rStyle w:val="IndexLink"/>
                <w:rtl w:val="true"/>
              </w:rPr>
              <w:t>حکم المهر فی تزویج المملوک</w:t>
            </w:r>
            <w:r>
              <w:rPr>
                <w:rStyle w:val="IndexLink"/>
                <w:rtl w:val="true"/>
              </w:rPr>
              <w:tab/>
            </w:r>
            <w:r>
              <w:rPr>
                <w:rStyle w:val="IndexLink"/>
              </w:rPr>
              <w:t>381</w:t>
            </w:r>
          </w:hyperlink>
        </w:p>
        <w:p>
          <w:pPr>
            <w:pStyle w:val="Contents4"/>
            <w:tabs>
              <w:tab w:val="clear" w:pos="8176"/>
              <w:tab w:val="right" w:pos="9026" w:leader="dot"/>
            </w:tabs>
            <w:rPr/>
          </w:pPr>
          <w:hyperlink w:anchor="__RefHeading___Toc2138964_2322387425">
            <w:r>
              <w:rPr>
                <w:webHidden/>
                <w:rStyle w:val="IndexLink"/>
                <w:rtl w:val="true"/>
              </w:rPr>
              <w:t>مهر الأمة المزوّجة للمولی ونفقتها</w:t>
            </w:r>
            <w:r>
              <w:rPr>
                <w:rStyle w:val="IndexLink"/>
                <w:rtl w:val="true"/>
              </w:rPr>
              <w:tab/>
            </w:r>
            <w:r>
              <w:rPr>
                <w:rStyle w:val="IndexLink"/>
              </w:rPr>
              <w:t>386</w:t>
            </w:r>
          </w:hyperlink>
        </w:p>
        <w:p>
          <w:pPr>
            <w:pStyle w:val="Contents4"/>
            <w:tabs>
              <w:tab w:val="clear" w:pos="8176"/>
              <w:tab w:val="right" w:pos="9026" w:leader="dot"/>
            </w:tabs>
            <w:rPr/>
          </w:pPr>
          <w:hyperlink w:anchor="__RefHeading___Toc2138966_2322387425">
            <w:r>
              <w:rPr>
                <w:webHidden/>
                <w:rStyle w:val="IndexLink"/>
                <w:rtl w:val="true"/>
              </w:rPr>
              <w:t>جعل المهر للأمة المأذونة فی التزویج</w:t>
            </w:r>
            <w:r>
              <w:rPr>
                <w:rStyle w:val="IndexLink"/>
                <w:rtl w:val="true"/>
              </w:rPr>
              <w:tab/>
            </w:r>
            <w:r>
              <w:rPr>
                <w:rStyle w:val="IndexLink"/>
              </w:rPr>
              <w:t>391</w:t>
            </w:r>
          </w:hyperlink>
        </w:p>
        <w:p>
          <w:pPr>
            <w:pStyle w:val="Contents4"/>
            <w:tabs>
              <w:tab w:val="clear" w:pos="8176"/>
              <w:tab w:val="right" w:pos="9026" w:leader="dot"/>
            </w:tabs>
            <w:rPr/>
          </w:pPr>
          <w:hyperlink w:anchor="__RefHeading___Toc2138968_2322387425">
            <w:r>
              <w:rPr>
                <w:webHidden/>
                <w:rStyle w:val="IndexLink"/>
                <w:rtl w:val="true"/>
              </w:rPr>
              <w:t>نکاح المملوک عبداً أو أمةً المشترک والمبعّض</w:t>
            </w:r>
            <w:r>
              <w:rPr>
                <w:rStyle w:val="IndexLink"/>
                <w:rtl w:val="true"/>
              </w:rPr>
              <w:tab/>
            </w:r>
            <w:r>
              <w:rPr>
                <w:rStyle w:val="IndexLink"/>
              </w:rPr>
              <w:t>392</w:t>
            </w:r>
          </w:hyperlink>
        </w:p>
        <w:p>
          <w:pPr>
            <w:pStyle w:val="Contents4"/>
            <w:tabs>
              <w:tab w:val="clear" w:pos="8176"/>
              <w:tab w:val="right" w:pos="9026" w:leader="dot"/>
            </w:tabs>
            <w:rPr/>
          </w:pPr>
          <w:hyperlink w:anchor="__RefHeading___Toc2138970_2322387425">
            <w:r>
              <w:rPr>
                <w:webHidden/>
                <w:rStyle w:val="IndexLink"/>
                <w:rtl w:val="true"/>
              </w:rPr>
              <w:t>حکم النکاح والمهر فی فرض شراء الحرّة زوجها المملوک</w:t>
            </w:r>
            <w:r>
              <w:rPr>
                <w:rStyle w:val="IndexLink"/>
                <w:rtl w:val="true"/>
              </w:rPr>
              <w:tab/>
            </w:r>
            <w:r>
              <w:rPr>
                <w:rStyle w:val="IndexLink"/>
              </w:rPr>
              <w:t>392</w:t>
            </w:r>
          </w:hyperlink>
        </w:p>
        <w:p>
          <w:pPr>
            <w:pStyle w:val="Contents4"/>
            <w:tabs>
              <w:tab w:val="clear" w:pos="8176"/>
              <w:tab w:val="right" w:pos="9026" w:leader="dot"/>
            </w:tabs>
            <w:rPr/>
          </w:pPr>
          <w:hyperlink w:anchor="__RefHeading___Toc2138972_2322387425">
            <w:r>
              <w:rPr>
                <w:webHidden/>
                <w:rStyle w:val="IndexLink"/>
                <w:rtl w:val="true"/>
              </w:rPr>
              <w:t>الولد الحاصل من المملوکین رق وملحق بالحرّ منهما ما لم یکن عن زنا ونحو ذلک</w:t>
            </w:r>
            <w:r>
              <w:rPr>
                <w:rStyle w:val="IndexLink"/>
                <w:rtl w:val="true"/>
              </w:rPr>
              <w:tab/>
            </w:r>
            <w:r>
              <w:rPr>
                <w:rStyle w:val="IndexLink"/>
              </w:rPr>
              <w:t>397</w:t>
            </w:r>
          </w:hyperlink>
        </w:p>
        <w:p>
          <w:pPr>
            <w:pStyle w:val="Contents4"/>
            <w:tabs>
              <w:tab w:val="clear" w:pos="8176"/>
              <w:tab w:val="right" w:pos="9026" w:leader="dot"/>
            </w:tabs>
            <w:rPr/>
          </w:pPr>
          <w:hyperlink w:anchor="__RefHeading___Toc2138974_2322387425">
            <w:r>
              <w:rPr>
                <w:webHidden/>
                <w:rStyle w:val="IndexLink"/>
                <w:rtl w:val="true"/>
              </w:rPr>
              <w:t>ملکیّة المولود من مملوکین</w:t>
            </w:r>
            <w:r>
              <w:rPr>
                <w:rStyle w:val="IndexLink"/>
                <w:rtl w:val="true"/>
              </w:rPr>
              <w:tab/>
            </w:r>
            <w:r>
              <w:rPr>
                <w:rStyle w:val="IndexLink"/>
              </w:rPr>
              <w:t>398</w:t>
            </w:r>
          </w:hyperlink>
        </w:p>
        <w:p>
          <w:pPr>
            <w:pStyle w:val="Contents4"/>
            <w:tabs>
              <w:tab w:val="clear" w:pos="8176"/>
              <w:tab w:val="right" w:pos="9026" w:leader="dot"/>
            </w:tabs>
            <w:rPr/>
          </w:pPr>
          <w:hyperlink w:anchor="__RefHeading___Toc2138976_2322387425">
            <w:r>
              <w:rPr>
                <w:webHidden/>
                <w:rStyle w:val="IndexLink"/>
                <w:rtl w:val="true"/>
              </w:rPr>
              <w:t>منع اشتراط رقّیّة الولد من الحرّ</w:t>
            </w:r>
            <w:r>
              <w:rPr>
                <w:rStyle w:val="IndexLink"/>
                <w:rtl w:val="true"/>
              </w:rPr>
              <w:tab/>
            </w:r>
            <w:r>
              <w:rPr>
                <w:rStyle w:val="IndexLink"/>
              </w:rPr>
              <w:t>400</w:t>
            </w:r>
          </w:hyperlink>
        </w:p>
        <w:p>
          <w:pPr>
            <w:pStyle w:val="Contents4"/>
            <w:tabs>
              <w:tab w:val="clear" w:pos="8176"/>
              <w:tab w:val="right" w:pos="9026" w:leader="dot"/>
            </w:tabs>
            <w:rPr/>
          </w:pPr>
          <w:hyperlink w:anchor="__RefHeading___Toc2138978_2322387425">
            <w:r>
              <w:rPr>
                <w:webHidden/>
                <w:rStyle w:val="IndexLink"/>
                <w:rtl w:val="true"/>
              </w:rPr>
              <w:t>تزوّج الحرّ مملوکة غیره وحکم الولد والمهر</w:t>
            </w:r>
            <w:r>
              <w:rPr>
                <w:rStyle w:val="IndexLink"/>
                <w:rtl w:val="true"/>
              </w:rPr>
              <w:tab/>
            </w:r>
            <w:r>
              <w:rPr>
                <w:rStyle w:val="IndexLink"/>
              </w:rPr>
              <w:t>402</w:t>
            </w:r>
          </w:hyperlink>
        </w:p>
        <w:p>
          <w:pPr>
            <w:pStyle w:val="Contents4"/>
            <w:tabs>
              <w:tab w:val="clear" w:pos="8176"/>
              <w:tab w:val="right" w:pos="9026" w:leader="dot"/>
            </w:tabs>
            <w:rPr/>
          </w:pPr>
          <w:hyperlink w:anchor="__RefHeading___Toc2138980_2322387425">
            <w:r>
              <w:rPr>
                <w:webHidden/>
                <w:rStyle w:val="IndexLink"/>
                <w:rtl w:val="true"/>
              </w:rPr>
              <w:t>هل للوارث إجازة العقد الواقع علی أمةٍ مُورِّثة؟</w:t>
            </w:r>
            <w:r>
              <w:rPr>
                <w:rStyle w:val="IndexLink"/>
                <w:rtl w:val="true"/>
              </w:rPr>
              <w:tab/>
            </w:r>
            <w:r>
              <w:rPr>
                <w:rStyle w:val="IndexLink"/>
              </w:rPr>
              <w:t>407</w:t>
            </w:r>
          </w:hyperlink>
        </w:p>
        <w:p>
          <w:pPr>
            <w:pStyle w:val="Contents4"/>
            <w:tabs>
              <w:tab w:val="clear" w:pos="8176"/>
              <w:tab w:val="right" w:pos="9026" w:leader="dot"/>
            </w:tabs>
            <w:rPr/>
          </w:pPr>
          <w:hyperlink w:anchor="__RefHeading___Toc2138982_2322387425">
            <w:r>
              <w:rPr>
                <w:webHidden/>
                <w:rStyle w:val="IndexLink"/>
                <w:rtl w:val="true"/>
              </w:rPr>
              <w:t>حکم الأمة المدَلّسة علی الحرّ من جهة النکاح والمهر والولد</w:t>
            </w:r>
            <w:r>
              <w:rPr>
                <w:rStyle w:val="IndexLink"/>
                <w:rtl w:val="true"/>
              </w:rPr>
              <w:tab/>
            </w:r>
            <w:r>
              <w:rPr>
                <w:rStyle w:val="IndexLink"/>
              </w:rPr>
              <w:t>410</w:t>
            </w:r>
          </w:hyperlink>
        </w:p>
        <w:p>
          <w:pPr>
            <w:pStyle w:val="Contents4"/>
            <w:tabs>
              <w:tab w:val="clear" w:pos="8176"/>
              <w:tab w:val="right" w:pos="9026" w:leader="dot"/>
            </w:tabs>
            <w:rPr/>
          </w:pPr>
          <w:hyperlink w:anchor="__RefHeading___Toc2138984_2322387425">
            <w:r>
              <w:rPr>
                <w:webHidden/>
                <w:rStyle w:val="IndexLink"/>
                <w:rtl w:val="true"/>
              </w:rPr>
              <w:t>زواج العبد بحرّة من دون إذن مولاه وإجازته وحکم الولد</w:t>
            </w:r>
            <w:r>
              <w:rPr>
                <w:rStyle w:val="IndexLink"/>
                <w:rtl w:val="true"/>
              </w:rPr>
              <w:tab/>
            </w:r>
            <w:r>
              <w:rPr>
                <w:rStyle w:val="IndexLink"/>
              </w:rPr>
              <w:t>415</w:t>
            </w:r>
          </w:hyperlink>
        </w:p>
        <w:p>
          <w:pPr>
            <w:pStyle w:val="Contents4"/>
            <w:tabs>
              <w:tab w:val="clear" w:pos="8176"/>
              <w:tab w:val="right" w:pos="9026" w:leader="dot"/>
            </w:tabs>
            <w:rPr/>
          </w:pPr>
          <w:hyperlink w:anchor="__RefHeading___Toc2138986_2322387425">
            <w:r>
              <w:rPr>
                <w:webHidden/>
                <w:rStyle w:val="IndexLink"/>
                <w:rtl w:val="true"/>
              </w:rPr>
              <w:t>زنا العبد بحرّة من غیر عقد</w:t>
            </w:r>
            <w:r>
              <w:rPr>
                <w:rStyle w:val="IndexLink"/>
                <w:rtl w:val="true"/>
              </w:rPr>
              <w:tab/>
            </w:r>
            <w:r>
              <w:rPr>
                <w:rStyle w:val="IndexLink"/>
              </w:rPr>
              <w:t>417</w:t>
            </w:r>
          </w:hyperlink>
        </w:p>
        <w:p>
          <w:pPr>
            <w:pStyle w:val="Contents4"/>
            <w:tabs>
              <w:tab w:val="clear" w:pos="8176"/>
              <w:tab w:val="right" w:pos="9026" w:leader="dot"/>
            </w:tabs>
            <w:rPr/>
          </w:pPr>
          <w:hyperlink w:anchor="__RefHeading___Toc2138988_2322387425">
            <w:r>
              <w:rPr>
                <w:webHidden/>
                <w:rStyle w:val="IndexLink"/>
                <w:rtl w:val="true"/>
              </w:rPr>
              <w:t>زنا الحرّ بأمة وکذا العبد بأمة الغیر</w:t>
            </w:r>
            <w:r>
              <w:rPr>
                <w:rStyle w:val="IndexLink"/>
                <w:rtl w:val="true"/>
              </w:rPr>
              <w:tab/>
            </w:r>
            <w:r>
              <w:rPr>
                <w:rStyle w:val="IndexLink"/>
              </w:rPr>
              <w:t>419</w:t>
            </w:r>
          </w:hyperlink>
        </w:p>
        <w:p>
          <w:pPr>
            <w:pStyle w:val="Contents4"/>
            <w:tabs>
              <w:tab w:val="clear" w:pos="8176"/>
              <w:tab w:val="right" w:pos="9026" w:leader="dot"/>
            </w:tabs>
            <w:rPr/>
          </w:pPr>
          <w:hyperlink w:anchor="__RefHeading___Toc2138990_2322387425">
            <w:r>
              <w:rPr>
                <w:webHidden/>
                <w:rStyle w:val="IndexLink"/>
                <w:rtl w:val="true"/>
              </w:rPr>
              <w:t>تحلیل المولی أمته لعبده وتزویجها منه وفروع ذلک</w:t>
            </w:r>
            <w:r>
              <w:rPr>
                <w:rStyle w:val="IndexLink"/>
                <w:rtl w:val="true"/>
              </w:rPr>
              <w:tab/>
            </w:r>
            <w:r>
              <w:rPr>
                <w:rStyle w:val="IndexLink"/>
              </w:rPr>
              <w:t>419</w:t>
            </w:r>
          </w:hyperlink>
        </w:p>
        <w:p>
          <w:pPr>
            <w:pStyle w:val="Contents4"/>
            <w:tabs>
              <w:tab w:val="clear" w:pos="8176"/>
              <w:tab w:val="right" w:pos="9026" w:leader="dot"/>
            </w:tabs>
            <w:rPr/>
          </w:pPr>
          <w:hyperlink w:anchor="__RefHeading___Toc2138992_2322387425">
            <w:r>
              <w:rPr>
                <w:webHidden/>
                <w:rStyle w:val="IndexLink"/>
                <w:rtl w:val="true"/>
              </w:rPr>
              <w:t>إرادة المولی التفریق بین عبده وأمته</w:t>
            </w:r>
            <w:r>
              <w:rPr>
                <w:rStyle w:val="IndexLink"/>
                <w:rtl w:val="true"/>
              </w:rPr>
              <w:tab/>
            </w:r>
            <w:r>
              <w:rPr>
                <w:rStyle w:val="IndexLink"/>
              </w:rPr>
              <w:t>421</w:t>
            </w:r>
          </w:hyperlink>
        </w:p>
        <w:p>
          <w:pPr>
            <w:pStyle w:val="Contents4"/>
            <w:tabs>
              <w:tab w:val="clear" w:pos="8176"/>
              <w:tab w:val="right" w:pos="9026" w:leader="dot"/>
            </w:tabs>
            <w:rPr/>
          </w:pPr>
          <w:hyperlink w:anchor="__RefHeading___Toc2138994_2322387425">
            <w:r>
              <w:rPr>
                <w:webHidden/>
                <w:rStyle w:val="IndexLink"/>
                <w:rtl w:val="true"/>
              </w:rPr>
              <w:t>إعطاء المولی شیئاً لأمته لو زوّجها من عبده</w:t>
            </w:r>
            <w:r>
              <w:rPr>
                <w:rStyle w:val="IndexLink"/>
                <w:rtl w:val="true"/>
              </w:rPr>
              <w:tab/>
            </w:r>
            <w:r>
              <w:rPr>
                <w:rStyle w:val="IndexLink"/>
              </w:rPr>
              <w:t>421</w:t>
            </w:r>
          </w:hyperlink>
        </w:p>
        <w:p>
          <w:pPr>
            <w:pStyle w:val="Contents4"/>
            <w:tabs>
              <w:tab w:val="clear" w:pos="8176"/>
              <w:tab w:val="right" w:pos="9026" w:leader="dot"/>
            </w:tabs>
            <w:rPr/>
          </w:pPr>
          <w:hyperlink w:anchor="__RefHeading___Toc2138996_2322387425">
            <w:r>
              <w:rPr>
                <w:webHidden/>
                <w:rStyle w:val="IndexLink"/>
                <w:rtl w:val="true"/>
              </w:rPr>
              <w:t>انتقال الأمر بالمفارقة لورثة المولی</w:t>
            </w:r>
            <w:r>
              <w:rPr>
                <w:rStyle w:val="IndexLink"/>
                <w:rtl w:val="true"/>
              </w:rPr>
              <w:tab/>
            </w:r>
            <w:r>
              <w:rPr>
                <w:rStyle w:val="IndexLink"/>
              </w:rPr>
              <w:t>422</w:t>
            </w:r>
          </w:hyperlink>
        </w:p>
        <w:p>
          <w:pPr>
            <w:pStyle w:val="Contents4"/>
            <w:tabs>
              <w:tab w:val="clear" w:pos="8176"/>
              <w:tab w:val="right" w:pos="9026" w:leader="dot"/>
            </w:tabs>
            <w:rPr/>
          </w:pPr>
          <w:hyperlink w:anchor="__RefHeading___Toc2138998_2322387425">
            <w:r>
              <w:rPr>
                <w:webHidden/>
                <w:rStyle w:val="IndexLink"/>
                <w:rtl w:val="true"/>
              </w:rPr>
              <w:t>لو زوّج الأمة غیر مولاها من حرّ</w:t>
            </w:r>
            <w:r>
              <w:rPr>
                <w:rStyle w:val="IndexLink"/>
                <w:rtl w:val="true"/>
              </w:rPr>
              <w:tab/>
            </w:r>
            <w:r>
              <w:rPr>
                <w:rStyle w:val="IndexLink"/>
              </w:rPr>
              <w:t>422</w:t>
            </w:r>
          </w:hyperlink>
        </w:p>
        <w:p>
          <w:pPr>
            <w:pStyle w:val="Contents4"/>
            <w:tabs>
              <w:tab w:val="clear" w:pos="8176"/>
              <w:tab w:val="right" w:pos="9026" w:leader="dot"/>
            </w:tabs>
            <w:rPr/>
          </w:pPr>
          <w:hyperlink w:anchor="__RefHeading___Toc2139000_2322387425">
            <w:r>
              <w:rPr>
                <w:webHidden/>
                <w:rStyle w:val="IndexLink"/>
                <w:rtl w:val="true"/>
              </w:rPr>
              <w:t>من تزوّج بأمة بین شریکین ثمّ اشتری بعضها</w:t>
            </w:r>
            <w:r>
              <w:rPr>
                <w:rStyle w:val="IndexLink"/>
                <w:rtl w:val="true"/>
              </w:rPr>
              <w:tab/>
            </w:r>
            <w:r>
              <w:rPr>
                <w:rStyle w:val="IndexLink"/>
              </w:rPr>
              <w:t>423</w:t>
            </w:r>
          </w:hyperlink>
        </w:p>
        <w:p>
          <w:pPr>
            <w:pStyle w:val="Contents3"/>
            <w:tabs>
              <w:tab w:val="clear" w:pos="8459"/>
              <w:tab w:val="right" w:pos="9026" w:leader="dot"/>
            </w:tabs>
            <w:rPr/>
          </w:pPr>
          <w:hyperlink w:anchor="__RefHeading___Toc2139002_2322387425">
            <w:r>
              <w:rPr>
                <w:webHidden/>
                <w:rStyle w:val="IndexLink"/>
                <w:rtl w:val="true"/>
              </w:rPr>
              <w:t xml:space="preserve">فصل </w:t>
            </w:r>
            <w:r>
              <w:rPr>
                <w:rStyle w:val="IndexLink"/>
                <w:rtl w:val="true"/>
              </w:rPr>
              <w:t>[</w:t>
            </w:r>
            <w:r>
              <w:rPr>
                <w:rStyle w:val="IndexLink"/>
                <w:rtl w:val="true"/>
              </w:rPr>
              <w:t>فی الطوارئ</w:t>
            </w:r>
            <w:r>
              <w:rPr>
                <w:rStyle w:val="IndexLink"/>
                <w:rtl w:val="true"/>
              </w:rPr>
              <w:t>]</w:t>
              <w:tab/>
            </w:r>
            <w:r>
              <w:rPr>
                <w:rStyle w:val="IndexLink"/>
              </w:rPr>
              <w:t>425</w:t>
            </w:r>
          </w:hyperlink>
        </w:p>
        <w:p>
          <w:pPr>
            <w:pStyle w:val="Contents4"/>
            <w:tabs>
              <w:tab w:val="clear" w:pos="8176"/>
              <w:tab w:val="right" w:pos="9026" w:leader="dot"/>
            </w:tabs>
            <w:rPr/>
          </w:pPr>
          <w:hyperlink w:anchor="__RefHeading___Toc2139004_2322387425">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2139006_2322387425">
            <w:r>
              <w:rPr>
                <w:webHidden/>
                <w:rStyle w:val="IndexLink"/>
                <w:rtl w:val="true"/>
              </w:rPr>
              <w:t>عتق الأمة المزوّجة وثبوت الخیار لها</w:t>
            </w:r>
            <w:r>
              <w:rPr>
                <w:rStyle w:val="IndexLink"/>
                <w:rtl w:val="true"/>
              </w:rPr>
              <w:tab/>
            </w:r>
            <w:r>
              <w:rPr>
                <w:rStyle w:val="IndexLink"/>
              </w:rPr>
              <w:t>425</w:t>
            </w:r>
          </w:hyperlink>
        </w:p>
        <w:p>
          <w:pPr>
            <w:pStyle w:val="Contents4"/>
            <w:tabs>
              <w:tab w:val="clear" w:pos="8176"/>
              <w:tab w:val="right" w:pos="9026" w:leader="dot"/>
            </w:tabs>
            <w:rPr/>
          </w:pPr>
          <w:hyperlink w:anchor="__RefHeading___Toc2139008_2322387425">
            <w:r>
              <w:rPr>
                <w:webHidden/>
                <w:rStyle w:val="IndexLink"/>
                <w:rtl w:val="true"/>
              </w:rPr>
              <w:t>حکم المهر لو کان العتق بعد الدخول وقبله</w:t>
            </w:r>
            <w:r>
              <w:rPr>
                <w:rStyle w:val="IndexLink"/>
                <w:rtl w:val="true"/>
              </w:rPr>
              <w:tab/>
            </w:r>
            <w:r>
              <w:rPr>
                <w:rStyle w:val="IndexLink"/>
              </w:rPr>
              <w:t>425</w:t>
            </w:r>
          </w:hyperlink>
        </w:p>
        <w:p>
          <w:pPr>
            <w:pStyle w:val="Contents4"/>
            <w:tabs>
              <w:tab w:val="clear" w:pos="8176"/>
              <w:tab w:val="right" w:pos="9026" w:leader="dot"/>
            </w:tabs>
            <w:rPr/>
          </w:pPr>
          <w:hyperlink w:anchor="__RefHeading___Toc2139010_2322387425">
            <w:r>
              <w:rPr>
                <w:webHidden/>
                <w:rStyle w:val="IndexLink"/>
                <w:rtl w:val="true"/>
              </w:rPr>
              <w:t>حکم المهر لو کان العتق قبل الدخول والفسخ بعده</w:t>
            </w:r>
            <w:r>
              <w:rPr>
                <w:rStyle w:val="IndexLink"/>
                <w:rtl w:val="true"/>
              </w:rPr>
              <w:tab/>
            </w:r>
            <w:r>
              <w:rPr>
                <w:rStyle w:val="IndexLink"/>
              </w:rPr>
              <w:t>427</w:t>
            </w:r>
          </w:hyperlink>
        </w:p>
        <w:p>
          <w:pPr>
            <w:pStyle w:val="Contents4"/>
            <w:tabs>
              <w:tab w:val="clear" w:pos="8176"/>
              <w:tab w:val="right" w:pos="9026" w:leader="dot"/>
            </w:tabs>
            <w:rPr/>
          </w:pPr>
          <w:hyperlink w:anchor="__RefHeading___Toc2139012_2322387425">
            <w:r>
              <w:rPr>
                <w:webHidden/>
                <w:rStyle w:val="IndexLink"/>
                <w:rtl w:val="true"/>
              </w:rPr>
              <w:t>نکاح الأمة بتفویض المهر أو البضع</w:t>
            </w:r>
            <w:r>
              <w:rPr>
                <w:rStyle w:val="IndexLink"/>
                <w:rtl w:val="true"/>
              </w:rPr>
              <w:tab/>
            </w:r>
            <w:r>
              <w:rPr>
                <w:rStyle w:val="IndexLink"/>
              </w:rPr>
              <w:t>428</w:t>
            </w:r>
          </w:hyperlink>
        </w:p>
        <w:p>
          <w:pPr>
            <w:pStyle w:val="Contents4"/>
            <w:tabs>
              <w:tab w:val="clear" w:pos="8176"/>
              <w:tab w:val="right" w:pos="9026" w:leader="dot"/>
            </w:tabs>
            <w:rPr/>
          </w:pPr>
          <w:hyperlink w:anchor="__RefHeading___Toc2139014_2322387425">
            <w:r>
              <w:rPr>
                <w:webHidden/>
                <w:rStyle w:val="IndexLink"/>
                <w:rtl w:val="true"/>
              </w:rPr>
              <w:t>الحکم لو کان العتق فی العدّة الرجعیّة أو البائنة</w:t>
            </w:r>
            <w:r>
              <w:rPr>
                <w:rStyle w:val="IndexLink"/>
                <w:rtl w:val="true"/>
              </w:rPr>
              <w:tab/>
            </w:r>
            <w:r>
              <w:rPr>
                <w:rStyle w:val="IndexLink"/>
              </w:rPr>
              <w:t>429</w:t>
            </w:r>
          </w:hyperlink>
        </w:p>
        <w:p>
          <w:pPr>
            <w:pStyle w:val="Contents4"/>
            <w:tabs>
              <w:tab w:val="clear" w:pos="8176"/>
              <w:tab w:val="right" w:pos="9026" w:leader="dot"/>
            </w:tabs>
            <w:rPr/>
          </w:pPr>
          <w:hyperlink w:anchor="__RefHeading___Toc2139016_2322387425">
            <w:r>
              <w:rPr>
                <w:webHidden/>
                <w:rStyle w:val="IndexLink"/>
                <w:rtl w:val="true"/>
              </w:rPr>
              <w:t>عدم افتقار الفسخ لإذن الحاکم</w:t>
            </w:r>
            <w:r>
              <w:rPr>
                <w:rStyle w:val="IndexLink"/>
                <w:rtl w:val="true"/>
              </w:rPr>
              <w:tab/>
            </w:r>
            <w:r>
              <w:rPr>
                <w:rStyle w:val="IndexLink"/>
              </w:rPr>
              <w:t>430</w:t>
            </w:r>
          </w:hyperlink>
        </w:p>
        <w:p>
          <w:pPr>
            <w:pStyle w:val="Contents4"/>
            <w:tabs>
              <w:tab w:val="clear" w:pos="8176"/>
              <w:tab w:val="right" w:pos="9026" w:leader="dot"/>
            </w:tabs>
            <w:rPr/>
          </w:pPr>
          <w:hyperlink w:anchor="__RefHeading___Toc2139018_2322387425">
            <w:r>
              <w:rPr>
                <w:webHidden/>
                <w:rStyle w:val="IndexLink"/>
                <w:rtl w:val="true"/>
              </w:rPr>
              <w:t>فوریّة الخیار بعد العتق للأمة المزوّجة</w:t>
            </w:r>
            <w:r>
              <w:rPr>
                <w:rStyle w:val="IndexLink"/>
                <w:rtl w:val="true"/>
              </w:rPr>
              <w:tab/>
            </w:r>
            <w:r>
              <w:rPr>
                <w:rStyle w:val="IndexLink"/>
              </w:rPr>
              <w:t>430</w:t>
            </w:r>
          </w:hyperlink>
        </w:p>
        <w:p>
          <w:pPr>
            <w:pStyle w:val="Contents4"/>
            <w:tabs>
              <w:tab w:val="clear" w:pos="8176"/>
              <w:tab w:val="right" w:pos="9026" w:leader="dot"/>
            </w:tabs>
            <w:rPr/>
          </w:pPr>
          <w:hyperlink w:anchor="__RefHeading___Toc2139020_2322387425">
            <w:r>
              <w:rPr>
                <w:webHidden/>
                <w:rStyle w:val="IndexLink"/>
                <w:rtl w:val="true"/>
              </w:rPr>
              <w:t>الخیار فیمن لا یصحّ منها الاختیار</w:t>
            </w:r>
            <w:r>
              <w:rPr>
                <w:rStyle w:val="IndexLink"/>
                <w:rtl w:val="true"/>
              </w:rPr>
              <w:tab/>
            </w:r>
            <w:r>
              <w:rPr>
                <w:rStyle w:val="IndexLink"/>
              </w:rPr>
              <w:t>431</w:t>
            </w:r>
          </w:hyperlink>
        </w:p>
        <w:p>
          <w:pPr>
            <w:pStyle w:val="Contents4"/>
            <w:tabs>
              <w:tab w:val="clear" w:pos="8176"/>
              <w:tab w:val="right" w:pos="9026" w:leader="dot"/>
            </w:tabs>
            <w:rPr/>
          </w:pPr>
          <w:hyperlink w:anchor="__RefHeading___Toc2139022_2322387425">
            <w:r>
              <w:rPr>
                <w:webHidden/>
                <w:rStyle w:val="IndexLink"/>
                <w:rtl w:val="true"/>
              </w:rPr>
              <w:t>إعلام المعتقة بالحال</w:t>
            </w:r>
            <w:r>
              <w:rPr>
                <w:rStyle w:val="IndexLink"/>
                <w:rtl w:val="true"/>
              </w:rPr>
              <w:tab/>
            </w:r>
            <w:r>
              <w:rPr>
                <w:rStyle w:val="IndexLink"/>
              </w:rPr>
              <w:t>431</w:t>
            </w:r>
          </w:hyperlink>
        </w:p>
        <w:p>
          <w:pPr>
            <w:pStyle w:val="Contents4"/>
            <w:tabs>
              <w:tab w:val="clear" w:pos="8176"/>
              <w:tab w:val="right" w:pos="9026" w:leader="dot"/>
            </w:tabs>
            <w:rPr/>
          </w:pPr>
          <w:hyperlink w:anchor="__RefHeading___Toc2139024_2322387425">
            <w:r>
              <w:rPr>
                <w:webHidden/>
                <w:rStyle w:val="IndexLink"/>
                <w:rtl w:val="true"/>
              </w:rPr>
              <w:t>ثبوت الخیار ولو کان التزویج برضاها</w:t>
            </w:r>
            <w:r>
              <w:rPr>
                <w:rStyle w:val="IndexLink"/>
                <w:rtl w:val="true"/>
              </w:rPr>
              <w:tab/>
            </w:r>
            <w:r>
              <w:rPr>
                <w:rStyle w:val="IndexLink"/>
              </w:rPr>
              <w:t>431</w:t>
            </w:r>
          </w:hyperlink>
        </w:p>
        <w:p>
          <w:pPr>
            <w:pStyle w:val="Contents4"/>
            <w:tabs>
              <w:tab w:val="clear" w:pos="8176"/>
              <w:tab w:val="right" w:pos="9026" w:leader="dot"/>
            </w:tabs>
            <w:rPr/>
          </w:pPr>
          <w:hyperlink w:anchor="__RefHeading___Toc2139026_2322387425">
            <w:r>
              <w:rPr>
                <w:webHidden/>
                <w:rStyle w:val="IndexLink"/>
                <w:rtl w:val="true"/>
              </w:rPr>
              <w:t>اشتراط المولی فی العتق عدم الخیار فی الفسخ</w:t>
            </w:r>
            <w:r>
              <w:rPr>
                <w:rStyle w:val="IndexLink"/>
                <w:rtl w:val="true"/>
              </w:rPr>
              <w:tab/>
            </w:r>
            <w:r>
              <w:rPr>
                <w:rStyle w:val="IndexLink"/>
              </w:rPr>
              <w:t>432</w:t>
            </w:r>
          </w:hyperlink>
        </w:p>
        <w:p>
          <w:pPr>
            <w:pStyle w:val="Contents4"/>
            <w:tabs>
              <w:tab w:val="clear" w:pos="8176"/>
              <w:tab w:val="right" w:pos="9026" w:leader="dot"/>
            </w:tabs>
            <w:rPr/>
          </w:pPr>
          <w:hyperlink w:anchor="__RefHeading___Toc2139028_2322387425">
            <w:r>
              <w:rPr>
                <w:webHidden/>
                <w:rStyle w:val="IndexLink"/>
                <w:rtl w:val="true"/>
              </w:rPr>
              <w:t>عدم الخیار للعبد المعتق</w:t>
            </w:r>
            <w:r>
              <w:rPr>
                <w:rStyle w:val="IndexLink"/>
                <w:rtl w:val="true"/>
              </w:rPr>
              <w:tab/>
            </w:r>
            <w:r>
              <w:rPr>
                <w:rStyle w:val="IndexLink"/>
              </w:rPr>
              <w:t>433</w:t>
            </w:r>
          </w:hyperlink>
        </w:p>
        <w:p>
          <w:pPr>
            <w:pStyle w:val="Contents4"/>
            <w:tabs>
              <w:tab w:val="clear" w:pos="8176"/>
              <w:tab w:val="right" w:pos="9026" w:leader="dot"/>
            </w:tabs>
            <w:rPr/>
          </w:pPr>
          <w:hyperlink w:anchor="__RefHeading___Toc2139030_2322387425">
            <w:r>
              <w:rPr>
                <w:webHidden/>
                <w:rStyle w:val="IndexLink"/>
                <w:rtl w:val="true"/>
              </w:rPr>
              <w:t>الحکم لو کان للعبد حرّة وأمتان واُعتقت إحداهما</w:t>
            </w:r>
            <w:r>
              <w:rPr>
                <w:rStyle w:val="IndexLink"/>
                <w:rtl w:val="true"/>
              </w:rPr>
              <w:tab/>
            </w:r>
            <w:r>
              <w:rPr>
                <w:rStyle w:val="IndexLink"/>
              </w:rPr>
              <w:t>433</w:t>
            </w:r>
          </w:hyperlink>
        </w:p>
        <w:p>
          <w:pPr>
            <w:pStyle w:val="Contents3"/>
            <w:tabs>
              <w:tab w:val="clear" w:pos="8459"/>
              <w:tab w:val="right" w:pos="9026" w:leader="dot"/>
            </w:tabs>
            <w:rPr/>
          </w:pPr>
          <w:hyperlink w:anchor="__RefHeading___Toc2139032_2322387425">
            <w:r>
              <w:rPr>
                <w:webHidden/>
                <w:rStyle w:val="IndexLink"/>
                <w:rtl w:val="true"/>
              </w:rPr>
              <w:t xml:space="preserve">فصل </w:t>
            </w:r>
            <w:r>
              <w:rPr>
                <w:rStyle w:val="IndexLink"/>
                <w:rtl w:val="true"/>
              </w:rPr>
              <w:t>[</w:t>
            </w:r>
            <w:r>
              <w:rPr>
                <w:rStyle w:val="IndexLink"/>
                <w:rtl w:val="true"/>
              </w:rPr>
              <w:t>فی العقد وأحکامه</w:t>
            </w:r>
            <w:r>
              <w:rPr>
                <w:rStyle w:val="IndexLink"/>
                <w:rtl w:val="true"/>
              </w:rPr>
              <w:t>]</w:t>
              <w:tab/>
            </w:r>
            <w:r>
              <w:rPr>
                <w:rStyle w:val="IndexLink"/>
              </w:rPr>
              <w:t>436</w:t>
            </w:r>
          </w:hyperlink>
        </w:p>
        <w:p>
          <w:pPr>
            <w:pStyle w:val="Contents4"/>
            <w:tabs>
              <w:tab w:val="clear" w:pos="8176"/>
              <w:tab w:val="right" w:pos="9026" w:leader="dot"/>
            </w:tabs>
            <w:rPr/>
          </w:pPr>
          <w:hyperlink w:anchor="__RefHeading___Toc2139034_2322387425">
            <w:r>
              <w:rPr>
                <w:webHidden/>
                <w:rStyle w:val="IndexLink"/>
                <w:rtl w:val="true"/>
              </w:rPr>
              <w:t>الصیغة وشرائطها فی النکاح</w:t>
            </w:r>
            <w:r>
              <w:rPr>
                <w:rStyle w:val="IndexLink"/>
                <w:rtl w:val="true"/>
              </w:rPr>
              <w:tab/>
            </w:r>
            <w:r>
              <w:rPr>
                <w:rStyle w:val="IndexLink"/>
              </w:rPr>
              <w:t>436</w:t>
            </w:r>
          </w:hyperlink>
        </w:p>
        <w:p>
          <w:pPr>
            <w:pStyle w:val="Contents4"/>
            <w:tabs>
              <w:tab w:val="clear" w:pos="8176"/>
              <w:tab w:val="right" w:pos="9026" w:leader="dot"/>
            </w:tabs>
            <w:rPr/>
          </w:pPr>
          <w:hyperlink w:anchor="__RefHeading___Toc2139036_2322387425">
            <w:r>
              <w:rPr>
                <w:webHidden/>
                <w:rStyle w:val="IndexLink"/>
                <w:rtl w:val="true"/>
              </w:rPr>
              <w:t>التعاقد بالإشارة وبالکتابة</w:t>
            </w:r>
            <w:r>
              <w:rPr>
                <w:rStyle w:val="IndexLink"/>
                <w:rtl w:val="true"/>
              </w:rPr>
              <w:tab/>
            </w:r>
            <w:r>
              <w:rPr>
                <w:rStyle w:val="IndexLink"/>
              </w:rPr>
              <w:t>442</w:t>
            </w:r>
          </w:hyperlink>
        </w:p>
        <w:p>
          <w:pPr>
            <w:pStyle w:val="Contents4"/>
            <w:tabs>
              <w:tab w:val="clear" w:pos="8176"/>
              <w:tab w:val="right" w:pos="9026" w:leader="dot"/>
            </w:tabs>
            <w:rPr/>
          </w:pPr>
          <w:hyperlink w:anchor="__RefHeading___Toc2139038_2322387425">
            <w:r>
              <w:rPr>
                <w:webHidden/>
                <w:rStyle w:val="IndexLink"/>
                <w:rtl w:val="true"/>
              </w:rPr>
              <w:t>التطابق بین الإیجاب والقبول فی ألفاظ المتعلّقات</w:t>
            </w:r>
            <w:r>
              <w:rPr>
                <w:rStyle w:val="IndexLink"/>
                <w:rtl w:val="true"/>
              </w:rPr>
              <w:tab/>
            </w:r>
            <w:r>
              <w:rPr>
                <w:rStyle w:val="IndexLink"/>
              </w:rPr>
              <w:t>443</w:t>
            </w:r>
          </w:hyperlink>
        </w:p>
        <w:p>
          <w:pPr>
            <w:pStyle w:val="Contents4"/>
            <w:tabs>
              <w:tab w:val="clear" w:pos="8176"/>
              <w:tab w:val="right" w:pos="9026" w:leader="dot"/>
            </w:tabs>
            <w:rPr/>
          </w:pPr>
          <w:hyperlink w:anchor="__RefHeading___Toc2139040_2322387425">
            <w:r>
              <w:rPr>
                <w:webHidden/>
                <w:rStyle w:val="IndexLink"/>
                <w:rtl w:val="true"/>
              </w:rPr>
              <w:t xml:space="preserve">الاکتفاء بلفظ </w:t>
            </w:r>
            <w:r>
              <w:rPr>
                <w:rStyle w:val="IndexLink"/>
                <w:rtl w:val="true"/>
              </w:rPr>
              <w:t>«</w:t>
            </w:r>
            <w:r>
              <w:rPr>
                <w:rStyle w:val="IndexLink"/>
                <w:rtl w:val="true"/>
              </w:rPr>
              <w:t>نعم</w:t>
            </w:r>
            <w:r>
              <w:rPr>
                <w:rStyle w:val="IndexLink"/>
                <w:rtl w:val="true"/>
              </w:rPr>
              <w:t xml:space="preserve">» </w:t>
            </w:r>
            <w:r>
              <w:rPr>
                <w:rStyle w:val="IndexLink"/>
                <w:rtl w:val="true"/>
              </w:rPr>
              <w:t>بعد الاستفهام</w:t>
            </w:r>
            <w:r>
              <w:rPr>
                <w:rStyle w:val="IndexLink"/>
                <w:rtl w:val="true"/>
              </w:rPr>
              <w:tab/>
            </w:r>
            <w:r>
              <w:rPr>
                <w:rStyle w:val="IndexLink"/>
              </w:rPr>
              <w:t>444</w:t>
            </w:r>
          </w:hyperlink>
        </w:p>
        <w:p>
          <w:pPr>
            <w:pStyle w:val="Contents4"/>
            <w:tabs>
              <w:tab w:val="clear" w:pos="8176"/>
              <w:tab w:val="right" w:pos="9026" w:leader="dot"/>
            </w:tabs>
            <w:rPr/>
          </w:pPr>
          <w:hyperlink w:anchor="__RefHeading___Toc2139042_2322387425">
            <w:r>
              <w:rPr>
                <w:webHidden/>
                <w:rStyle w:val="IndexLink"/>
                <w:rtl w:val="true"/>
              </w:rPr>
              <w:t>اللحن فی الصیغة</w:t>
            </w:r>
            <w:r>
              <w:rPr>
                <w:rStyle w:val="IndexLink"/>
                <w:rtl w:val="true"/>
              </w:rPr>
              <w:tab/>
            </w:r>
            <w:r>
              <w:rPr>
                <w:rStyle w:val="IndexLink"/>
              </w:rPr>
              <w:t>444</w:t>
            </w:r>
          </w:hyperlink>
        </w:p>
        <w:p>
          <w:pPr>
            <w:pStyle w:val="Contents4"/>
            <w:tabs>
              <w:tab w:val="clear" w:pos="8176"/>
              <w:tab w:val="right" w:pos="9026" w:leader="dot"/>
            </w:tabs>
            <w:rPr/>
          </w:pPr>
          <w:hyperlink w:anchor="__RefHeading___Toc2139044_2322387425">
            <w:r>
              <w:rPr>
                <w:webHidden/>
                <w:rStyle w:val="IndexLink"/>
                <w:rtl w:val="true"/>
              </w:rPr>
              <w:t>قصد الانشاء فی إجراء الصیغة</w:t>
            </w:r>
            <w:r>
              <w:rPr>
                <w:rStyle w:val="IndexLink"/>
                <w:rtl w:val="true"/>
              </w:rPr>
              <w:tab/>
            </w:r>
            <w:r>
              <w:rPr>
                <w:rStyle w:val="IndexLink"/>
              </w:rPr>
              <w:t>445</w:t>
            </w:r>
          </w:hyperlink>
        </w:p>
        <w:p>
          <w:pPr>
            <w:pStyle w:val="Contents4"/>
            <w:tabs>
              <w:tab w:val="clear" w:pos="8176"/>
              <w:tab w:val="right" w:pos="9026" w:leader="dot"/>
            </w:tabs>
            <w:rPr/>
          </w:pPr>
          <w:hyperlink w:anchor="__RefHeading___Toc2139046_2322387425">
            <w:r>
              <w:rPr>
                <w:webHidden/>
                <w:rStyle w:val="IndexLink"/>
                <w:rtl w:val="true"/>
              </w:rPr>
              <w:t>معرفة معنی الصیغة تفصیلاً</w:t>
            </w:r>
            <w:r>
              <w:rPr>
                <w:rStyle w:val="IndexLink"/>
                <w:rtl w:val="true"/>
              </w:rPr>
              <w:tab/>
            </w:r>
            <w:r>
              <w:rPr>
                <w:rStyle w:val="IndexLink"/>
              </w:rPr>
              <w:t>445</w:t>
            </w:r>
          </w:hyperlink>
        </w:p>
        <w:p>
          <w:pPr>
            <w:pStyle w:val="Contents4"/>
            <w:tabs>
              <w:tab w:val="clear" w:pos="8176"/>
              <w:tab w:val="right" w:pos="9026" w:leader="dot"/>
            </w:tabs>
            <w:rPr/>
          </w:pPr>
          <w:hyperlink w:anchor="__RefHeading___Toc2139048_2322387425">
            <w:r>
              <w:rPr>
                <w:webHidden/>
                <w:rStyle w:val="IndexLink"/>
                <w:rtl w:val="true"/>
              </w:rPr>
              <w:t>الموالاة بین الإیجاب والقبول</w:t>
            </w:r>
            <w:r>
              <w:rPr>
                <w:rStyle w:val="IndexLink"/>
                <w:rtl w:val="true"/>
              </w:rPr>
              <w:tab/>
            </w:r>
            <w:r>
              <w:rPr>
                <w:rStyle w:val="IndexLink"/>
              </w:rPr>
              <w:t>446</w:t>
            </w:r>
          </w:hyperlink>
        </w:p>
        <w:p>
          <w:pPr>
            <w:pStyle w:val="Contents4"/>
            <w:tabs>
              <w:tab w:val="clear" w:pos="8176"/>
              <w:tab w:val="right" w:pos="9026" w:leader="dot"/>
            </w:tabs>
            <w:rPr/>
          </w:pPr>
          <w:hyperlink w:anchor="__RefHeading___Toc2139050_2322387425">
            <w:r>
              <w:rPr>
                <w:webHidden/>
                <w:rStyle w:val="IndexLink"/>
                <w:rtl w:val="true"/>
              </w:rPr>
              <w:t>اتّحاد مجلس الإیجاب والقبول</w:t>
            </w:r>
            <w:r>
              <w:rPr>
                <w:rStyle w:val="IndexLink"/>
                <w:rtl w:val="true"/>
              </w:rPr>
              <w:tab/>
            </w:r>
            <w:r>
              <w:rPr>
                <w:rStyle w:val="IndexLink"/>
              </w:rPr>
              <w:t>446</w:t>
            </w:r>
          </w:hyperlink>
        </w:p>
        <w:p>
          <w:pPr>
            <w:pStyle w:val="Contents4"/>
            <w:tabs>
              <w:tab w:val="clear" w:pos="8176"/>
              <w:tab w:val="right" w:pos="9026" w:leader="dot"/>
            </w:tabs>
            <w:rPr/>
          </w:pPr>
          <w:hyperlink w:anchor="__RefHeading___Toc2139052_2322387425">
            <w:r>
              <w:rPr>
                <w:webHidden/>
                <w:rStyle w:val="IndexLink"/>
                <w:rtl w:val="true"/>
              </w:rPr>
              <w:t>التنجیز فی العقد</w:t>
            </w:r>
            <w:r>
              <w:rPr>
                <w:rStyle w:val="IndexLink"/>
                <w:rtl w:val="true"/>
              </w:rPr>
              <w:tab/>
            </w:r>
            <w:r>
              <w:rPr>
                <w:rStyle w:val="IndexLink"/>
              </w:rPr>
              <w:t>447</w:t>
            </w:r>
          </w:hyperlink>
        </w:p>
        <w:p>
          <w:pPr>
            <w:pStyle w:val="Contents4"/>
            <w:tabs>
              <w:tab w:val="clear" w:pos="8176"/>
              <w:tab w:val="right" w:pos="9026" w:leader="dot"/>
            </w:tabs>
            <w:rPr/>
          </w:pPr>
          <w:hyperlink w:anchor="__RefHeading___Toc2139054_2322387425">
            <w:r>
              <w:rPr>
                <w:webHidden/>
                <w:rStyle w:val="IndexLink"/>
                <w:rtl w:val="true"/>
              </w:rPr>
              <w:t>وقوع العقد علی وجه یخالف الاحتیاط</w:t>
            </w:r>
            <w:r>
              <w:rPr>
                <w:rStyle w:val="IndexLink"/>
                <w:rtl w:val="true"/>
              </w:rPr>
              <w:tab/>
            </w:r>
            <w:r>
              <w:rPr>
                <w:rStyle w:val="IndexLink"/>
              </w:rPr>
              <w:t>448</w:t>
            </w:r>
          </w:hyperlink>
        </w:p>
        <w:p>
          <w:pPr>
            <w:pStyle w:val="Contents4"/>
            <w:tabs>
              <w:tab w:val="clear" w:pos="8176"/>
              <w:tab w:val="right" w:pos="9026" w:leader="dot"/>
            </w:tabs>
            <w:rPr/>
          </w:pPr>
          <w:hyperlink w:anchor="__RefHeading___Toc2139056_2322387425">
            <w:r>
              <w:rPr>
                <w:webHidden/>
                <w:rStyle w:val="IndexLink"/>
                <w:rtl w:val="true"/>
              </w:rPr>
              <w:t>شرط کمال العاقد</w:t>
            </w:r>
            <w:r>
              <w:rPr>
                <w:rStyle w:val="IndexLink"/>
                <w:rtl w:val="true"/>
              </w:rPr>
              <w:tab/>
            </w:r>
            <w:r>
              <w:rPr>
                <w:rStyle w:val="IndexLink"/>
              </w:rPr>
              <w:t>450</w:t>
            </w:r>
          </w:hyperlink>
        </w:p>
        <w:p>
          <w:pPr>
            <w:pStyle w:val="Contents4"/>
            <w:tabs>
              <w:tab w:val="clear" w:pos="8176"/>
              <w:tab w:val="right" w:pos="9026" w:leader="dot"/>
            </w:tabs>
            <w:rPr/>
          </w:pPr>
          <w:hyperlink w:anchor="__RefHeading___Toc2139058_2322387425">
            <w:r>
              <w:rPr>
                <w:webHidden/>
                <w:rStyle w:val="IndexLink"/>
                <w:rtl w:val="true"/>
              </w:rPr>
              <w:t>وکالة السفیه عن الغیر فی العقد</w:t>
            </w:r>
            <w:r>
              <w:rPr>
                <w:rStyle w:val="IndexLink"/>
                <w:rtl w:val="true"/>
              </w:rPr>
              <w:tab/>
            </w:r>
            <w:r>
              <w:rPr>
                <w:rStyle w:val="IndexLink"/>
              </w:rPr>
              <w:t>453</w:t>
            </w:r>
          </w:hyperlink>
        </w:p>
        <w:p>
          <w:pPr>
            <w:pStyle w:val="Contents4"/>
            <w:tabs>
              <w:tab w:val="clear" w:pos="8176"/>
              <w:tab w:val="right" w:pos="9026" w:leader="dot"/>
            </w:tabs>
            <w:rPr/>
          </w:pPr>
          <w:hyperlink w:anchor="__RefHeading___Toc2139060_2322387425">
            <w:r>
              <w:rPr>
                <w:webHidden/>
                <w:rStyle w:val="IndexLink"/>
                <w:rtl w:val="true"/>
              </w:rPr>
              <w:t>شرط الذکورة فی العاقد</w:t>
            </w:r>
            <w:r>
              <w:rPr>
                <w:rStyle w:val="IndexLink"/>
                <w:rtl w:val="true"/>
              </w:rPr>
              <w:tab/>
            </w:r>
            <w:r>
              <w:rPr>
                <w:rStyle w:val="IndexLink"/>
              </w:rPr>
              <w:t>454</w:t>
            </w:r>
          </w:hyperlink>
        </w:p>
        <w:p>
          <w:pPr>
            <w:pStyle w:val="Contents4"/>
            <w:tabs>
              <w:tab w:val="clear" w:pos="8176"/>
              <w:tab w:val="right" w:pos="9026" w:leader="dot"/>
            </w:tabs>
            <w:rPr/>
          </w:pPr>
          <w:hyperlink w:anchor="__RefHeading___Toc2139062_2322387425">
            <w:r>
              <w:rPr>
                <w:webHidden/>
                <w:rStyle w:val="IndexLink"/>
                <w:rtl w:val="true"/>
              </w:rPr>
              <w:t>شرط بقاء أهلیّة المتعاقدین إلی تمام العقد</w:t>
            </w:r>
            <w:r>
              <w:rPr>
                <w:rStyle w:val="IndexLink"/>
                <w:rtl w:val="true"/>
              </w:rPr>
              <w:tab/>
            </w:r>
            <w:r>
              <w:rPr>
                <w:rStyle w:val="IndexLink"/>
              </w:rPr>
              <w:t>454</w:t>
            </w:r>
          </w:hyperlink>
        </w:p>
        <w:p>
          <w:pPr>
            <w:pStyle w:val="Contents4"/>
            <w:tabs>
              <w:tab w:val="clear" w:pos="8176"/>
              <w:tab w:val="right" w:pos="9026" w:leader="dot"/>
            </w:tabs>
            <w:rPr/>
          </w:pPr>
          <w:hyperlink w:anchor="__RefHeading___Toc2139064_2322387425">
            <w:r>
              <w:rPr>
                <w:webHidden/>
                <w:rStyle w:val="IndexLink"/>
                <w:rtl w:val="true"/>
              </w:rPr>
              <w:t>شرط تعیین الزوج والزوجة</w:t>
            </w:r>
            <w:r>
              <w:rPr>
                <w:rStyle w:val="IndexLink"/>
                <w:rtl w:val="true"/>
              </w:rPr>
              <w:tab/>
            </w:r>
            <w:r>
              <w:rPr>
                <w:rStyle w:val="IndexLink"/>
              </w:rPr>
              <w:t>454</w:t>
            </w:r>
          </w:hyperlink>
        </w:p>
        <w:p>
          <w:pPr>
            <w:pStyle w:val="Contents4"/>
            <w:tabs>
              <w:tab w:val="clear" w:pos="8176"/>
              <w:tab w:val="right" w:pos="9026" w:leader="dot"/>
            </w:tabs>
            <w:rPr/>
          </w:pPr>
          <w:hyperlink w:anchor="__RefHeading___Toc2139066_2322387425">
            <w:r>
              <w:rPr>
                <w:webHidden/>
                <w:rStyle w:val="IndexLink"/>
                <w:rtl w:val="true"/>
              </w:rPr>
              <w:t>اختلاف الاسم والوصف أو أحدهما مع الإشارة</w:t>
            </w:r>
            <w:r>
              <w:rPr>
                <w:rStyle w:val="IndexLink"/>
                <w:rtl w:val="true"/>
              </w:rPr>
              <w:tab/>
            </w:r>
            <w:r>
              <w:rPr>
                <w:rStyle w:val="IndexLink"/>
              </w:rPr>
              <w:t>458</w:t>
            </w:r>
          </w:hyperlink>
        </w:p>
        <w:p>
          <w:pPr>
            <w:pStyle w:val="Contents4"/>
            <w:tabs>
              <w:tab w:val="clear" w:pos="8176"/>
              <w:tab w:val="right" w:pos="9026" w:leader="dot"/>
            </w:tabs>
            <w:rPr/>
          </w:pPr>
          <w:hyperlink w:anchor="__RefHeading___Toc2139068_2322387425">
            <w:r>
              <w:rPr>
                <w:webHidden/>
                <w:rStyle w:val="IndexLink"/>
                <w:rtl w:val="true"/>
              </w:rPr>
              <w:t>تنازع الزوجین فی التعیین وعدمه</w:t>
            </w:r>
            <w:r>
              <w:rPr>
                <w:rStyle w:val="IndexLink"/>
                <w:rtl w:val="true"/>
              </w:rPr>
              <w:tab/>
            </w:r>
            <w:r>
              <w:rPr>
                <w:rStyle w:val="IndexLink"/>
              </w:rPr>
              <w:t>459</w:t>
            </w:r>
          </w:hyperlink>
        </w:p>
        <w:p>
          <w:pPr>
            <w:pStyle w:val="Contents4"/>
            <w:tabs>
              <w:tab w:val="clear" w:pos="8176"/>
              <w:tab w:val="right" w:pos="9026" w:leader="dot"/>
            </w:tabs>
            <w:rPr/>
          </w:pPr>
          <w:hyperlink w:anchor="__RefHeading___Toc2139070_2322387425">
            <w:r>
              <w:rPr>
                <w:webHidden/>
                <w:rStyle w:val="IndexLink"/>
                <w:rtl w:val="true"/>
              </w:rPr>
              <w:t>الاتّفاق علی التعیین والاختلاف فی المعیّن</w:t>
            </w:r>
            <w:r>
              <w:rPr>
                <w:rStyle w:val="IndexLink"/>
                <w:rtl w:val="true"/>
              </w:rPr>
              <w:tab/>
            </w:r>
            <w:r>
              <w:rPr>
                <w:rStyle w:val="IndexLink"/>
              </w:rPr>
              <w:t>462</w:t>
            </w:r>
          </w:hyperlink>
        </w:p>
        <w:p>
          <w:pPr>
            <w:pStyle w:val="Contents4"/>
            <w:tabs>
              <w:tab w:val="clear" w:pos="8176"/>
              <w:tab w:val="right" w:pos="9026" w:leader="dot"/>
            </w:tabs>
            <w:rPr/>
          </w:pPr>
          <w:hyperlink w:anchor="__RefHeading___Toc2139072_2322387425">
            <w:r>
              <w:rPr>
                <w:webHidden/>
                <w:rStyle w:val="IndexLink"/>
                <w:rtl w:val="true"/>
              </w:rPr>
              <w:t>نکاح الحمل وإنکاحه</w:t>
            </w:r>
            <w:r>
              <w:rPr>
                <w:rStyle w:val="IndexLink"/>
                <w:rtl w:val="true"/>
              </w:rPr>
              <w:tab/>
            </w:r>
            <w:r>
              <w:rPr>
                <w:rStyle w:val="IndexLink"/>
              </w:rPr>
              <w:t>465</w:t>
            </w:r>
          </w:hyperlink>
        </w:p>
        <w:p>
          <w:pPr>
            <w:pStyle w:val="Contents4"/>
            <w:tabs>
              <w:tab w:val="clear" w:pos="8176"/>
              <w:tab w:val="right" w:pos="9026" w:leader="dot"/>
            </w:tabs>
            <w:rPr/>
          </w:pPr>
          <w:hyperlink w:anchor="__RefHeading___Toc2139074_2322387425">
            <w:r>
              <w:rPr>
                <w:webHidden/>
                <w:rStyle w:val="IndexLink"/>
                <w:rtl w:val="true"/>
              </w:rPr>
              <w:t>اشتراط علم کلّ من الزوجین بأوصاف الآخر</w:t>
            </w:r>
            <w:r>
              <w:rPr>
                <w:rStyle w:val="IndexLink"/>
                <w:rtl w:val="true"/>
              </w:rPr>
              <w:tab/>
            </w:r>
            <w:r>
              <w:rPr>
                <w:rStyle w:val="IndexLink"/>
              </w:rPr>
              <w:t>466</w:t>
            </w:r>
          </w:hyperlink>
        </w:p>
        <w:p>
          <w:pPr>
            <w:pStyle w:val="Contents3"/>
            <w:tabs>
              <w:tab w:val="clear" w:pos="8459"/>
              <w:tab w:val="right" w:pos="9026" w:leader="dot"/>
            </w:tabs>
            <w:rPr/>
          </w:pPr>
          <w:hyperlink w:anchor="__RefHeading___Toc2139076_2322387425">
            <w:r>
              <w:rPr>
                <w:webHidden/>
                <w:rStyle w:val="IndexLink"/>
                <w:rtl w:val="true"/>
              </w:rPr>
              <w:t xml:space="preserve">فصل </w:t>
            </w:r>
            <w:r>
              <w:rPr>
                <w:rStyle w:val="IndexLink"/>
                <w:rtl w:val="true"/>
              </w:rPr>
              <w:t>[</w:t>
            </w:r>
            <w:r>
              <w:rPr>
                <w:rStyle w:val="IndexLink"/>
                <w:rtl w:val="true"/>
              </w:rPr>
              <w:t>فی مسائل متفرّقة</w:t>
            </w:r>
            <w:r>
              <w:rPr>
                <w:rStyle w:val="IndexLink"/>
                <w:rtl w:val="true"/>
              </w:rPr>
              <w:t>]</w:t>
              <w:tab/>
            </w:r>
            <w:r>
              <w:rPr>
                <w:rStyle w:val="IndexLink"/>
              </w:rPr>
              <w:t>467</w:t>
            </w:r>
          </w:hyperlink>
        </w:p>
        <w:p>
          <w:pPr>
            <w:pStyle w:val="Contents4"/>
            <w:tabs>
              <w:tab w:val="clear" w:pos="8176"/>
              <w:tab w:val="right" w:pos="9026" w:leader="dot"/>
            </w:tabs>
            <w:rPr/>
          </w:pPr>
          <w:hyperlink w:anchor="__RefHeading___Toc2139078_2322387425">
            <w:r>
              <w:rPr>
                <w:webHidden/>
                <w:rStyle w:val="IndexLink"/>
                <w:rtl w:val="true"/>
              </w:rPr>
              <w:t>اشتراط الخیار فی نفس العقد وفی المهر</w:t>
            </w:r>
            <w:r>
              <w:rPr>
                <w:rStyle w:val="IndexLink"/>
                <w:rtl w:val="true"/>
              </w:rPr>
              <w:tab/>
            </w:r>
            <w:r>
              <w:rPr>
                <w:rStyle w:val="IndexLink"/>
              </w:rPr>
              <w:t>467</w:t>
            </w:r>
          </w:hyperlink>
        </w:p>
        <w:p>
          <w:pPr>
            <w:pStyle w:val="Contents4"/>
            <w:tabs>
              <w:tab w:val="clear" w:pos="8176"/>
              <w:tab w:val="right" w:pos="9026" w:leader="dot"/>
            </w:tabs>
            <w:rPr/>
          </w:pPr>
          <w:hyperlink w:anchor="__RefHeading___Toc2139080_2322387425">
            <w:r>
              <w:rPr>
                <w:webHidden/>
                <w:rStyle w:val="IndexLink"/>
                <w:rtl w:val="true"/>
              </w:rPr>
              <w:t>تصادق الرجل والمرأة علی الزوجیّة ونکرانها من أحدهما</w:t>
            </w:r>
            <w:r>
              <w:rPr>
                <w:rStyle w:val="IndexLink"/>
                <w:rtl w:val="true"/>
              </w:rPr>
              <w:tab/>
            </w:r>
            <w:r>
              <w:rPr>
                <w:rStyle w:val="IndexLink"/>
              </w:rPr>
              <w:t>470</w:t>
            </w:r>
          </w:hyperlink>
        </w:p>
        <w:p>
          <w:pPr>
            <w:pStyle w:val="Contents4"/>
            <w:tabs>
              <w:tab w:val="clear" w:pos="8176"/>
              <w:tab w:val="right" w:pos="9026" w:leader="dot"/>
            </w:tabs>
            <w:rPr/>
          </w:pPr>
          <w:hyperlink w:anchor="__RefHeading___Toc2139082_2322387425">
            <w:r>
              <w:rPr>
                <w:webHidden/>
                <w:rStyle w:val="IndexLink"/>
                <w:rtl w:val="true"/>
              </w:rPr>
              <w:t>الإقرار بعد الإنکار ورجوع المدّعی عن دعواه</w:t>
            </w:r>
            <w:r>
              <w:rPr>
                <w:rStyle w:val="IndexLink"/>
                <w:rtl w:val="true"/>
              </w:rPr>
              <w:tab/>
            </w:r>
            <w:r>
              <w:rPr>
                <w:rStyle w:val="IndexLink"/>
              </w:rPr>
              <w:t>473</w:t>
            </w:r>
          </w:hyperlink>
        </w:p>
        <w:p>
          <w:pPr>
            <w:pStyle w:val="Contents4"/>
            <w:tabs>
              <w:tab w:val="clear" w:pos="8176"/>
              <w:tab w:val="right" w:pos="9026" w:leader="dot"/>
            </w:tabs>
            <w:rPr/>
          </w:pPr>
          <w:hyperlink w:anchor="__RefHeading___Toc2139084_2322387425">
            <w:r>
              <w:rPr>
                <w:webHidden/>
                <w:rStyle w:val="IndexLink"/>
                <w:rtl w:val="true"/>
              </w:rPr>
              <w:t>من تزوّج امرأة ادّعی غیره سبق زوجیّتها</w:t>
            </w:r>
            <w:r>
              <w:rPr>
                <w:rStyle w:val="IndexLink"/>
                <w:rtl w:val="true"/>
              </w:rPr>
              <w:tab/>
            </w:r>
            <w:r>
              <w:rPr>
                <w:rStyle w:val="IndexLink"/>
              </w:rPr>
              <w:t>476</w:t>
            </w:r>
          </w:hyperlink>
        </w:p>
        <w:p>
          <w:pPr>
            <w:pStyle w:val="Contents4"/>
            <w:tabs>
              <w:tab w:val="clear" w:pos="8176"/>
              <w:tab w:val="right" w:pos="9026" w:leader="dot"/>
            </w:tabs>
            <w:rPr/>
          </w:pPr>
          <w:hyperlink w:anchor="__RefHeading___Toc2139086_2322387425">
            <w:r>
              <w:rPr>
                <w:webHidden/>
                <w:rStyle w:val="IndexLink"/>
                <w:rtl w:val="true"/>
              </w:rPr>
              <w:t>تزوّج من ادّعی زوجیّتها رجل مع إنکارها</w:t>
            </w:r>
            <w:r>
              <w:rPr>
                <w:rStyle w:val="IndexLink"/>
                <w:rtl w:val="true"/>
              </w:rPr>
              <w:tab/>
            </w:r>
            <w:r>
              <w:rPr>
                <w:rStyle w:val="IndexLink"/>
              </w:rPr>
              <w:t>480</w:t>
            </w:r>
          </w:hyperlink>
        </w:p>
        <w:p>
          <w:pPr>
            <w:pStyle w:val="Contents4"/>
            <w:tabs>
              <w:tab w:val="clear" w:pos="8176"/>
              <w:tab w:val="right" w:pos="9026" w:leader="dot"/>
            </w:tabs>
            <w:rPr/>
          </w:pPr>
          <w:hyperlink w:anchor="__RefHeading___Toc2139088_2322387425">
            <w:r>
              <w:rPr>
                <w:webHidden/>
                <w:rStyle w:val="IndexLink"/>
                <w:rtl w:val="true"/>
              </w:rPr>
              <w:t>من أنکرت دعوی زوجیّتها من رجل وادّعت زوجیّته من اُختها أو اُمّها أو بنتها</w:t>
            </w:r>
            <w:r>
              <w:rPr>
                <w:rStyle w:val="IndexLink"/>
                <w:rtl w:val="true"/>
              </w:rPr>
              <w:tab/>
            </w:r>
            <w:r>
              <w:rPr>
                <w:rStyle w:val="IndexLink"/>
              </w:rPr>
              <w:t>483</w:t>
            </w:r>
          </w:hyperlink>
        </w:p>
        <w:p>
          <w:pPr>
            <w:pStyle w:val="Contents4"/>
            <w:tabs>
              <w:tab w:val="clear" w:pos="8176"/>
              <w:tab w:val="right" w:pos="9026" w:leader="dot"/>
            </w:tabs>
            <w:rPr/>
          </w:pPr>
          <w:hyperlink w:anchor="__RefHeading___Toc2139090_2322387425">
            <w:r>
              <w:rPr>
                <w:webHidden/>
                <w:rStyle w:val="IndexLink"/>
                <w:rtl w:val="true"/>
              </w:rPr>
              <w:t>زوجیّة العبد من مملوکة اشتراها لاحقاً له أو للمولی أو مطلقاً</w:t>
            </w:r>
            <w:r>
              <w:rPr>
                <w:rStyle w:val="IndexLink"/>
                <w:rtl w:val="true"/>
              </w:rPr>
              <w:tab/>
            </w:r>
            <w:r>
              <w:rPr>
                <w:rStyle w:val="IndexLink"/>
              </w:rPr>
              <w:t>490</w:t>
            </w:r>
          </w:hyperlink>
        </w:p>
        <w:p>
          <w:pPr>
            <w:pStyle w:val="Contents4"/>
            <w:tabs>
              <w:tab w:val="clear" w:pos="8176"/>
              <w:tab w:val="right" w:pos="9026" w:leader="dot"/>
            </w:tabs>
            <w:rPr/>
          </w:pPr>
          <w:hyperlink w:anchor="__RefHeading___Toc2139092_2322387425">
            <w:r>
              <w:rPr>
                <w:webHidden/>
                <w:rStyle w:val="IndexLink"/>
                <w:rtl w:val="true"/>
              </w:rPr>
              <w:t>تصدیق دعوی عدم الزوجیّة من غیر فحص</w:t>
            </w:r>
            <w:r>
              <w:rPr>
                <w:rStyle w:val="IndexLink"/>
                <w:rtl w:val="true"/>
              </w:rPr>
              <w:tab/>
            </w:r>
            <w:r>
              <w:rPr>
                <w:rStyle w:val="IndexLink"/>
              </w:rPr>
              <w:t>491</w:t>
            </w:r>
          </w:hyperlink>
        </w:p>
        <w:p>
          <w:pPr>
            <w:pStyle w:val="Contents4"/>
            <w:tabs>
              <w:tab w:val="clear" w:pos="8176"/>
              <w:tab w:val="right" w:pos="9026" w:leader="dot"/>
            </w:tabs>
            <w:rPr/>
          </w:pPr>
          <w:hyperlink w:anchor="__RefHeading___Toc2139094_2322387425">
            <w:r>
              <w:rPr>
                <w:webHidden/>
                <w:rStyle w:val="IndexLink"/>
                <w:rtl w:val="true"/>
              </w:rPr>
              <w:t>ادّعاء المرأة الزوجیّة بعد التزوّج بها</w:t>
            </w:r>
            <w:r>
              <w:rPr>
                <w:rStyle w:val="IndexLink"/>
                <w:rtl w:val="true"/>
              </w:rPr>
              <w:tab/>
            </w:r>
            <w:r>
              <w:rPr>
                <w:rStyle w:val="IndexLink"/>
              </w:rPr>
              <w:t>493</w:t>
            </w:r>
          </w:hyperlink>
        </w:p>
        <w:p>
          <w:pPr>
            <w:pStyle w:val="Contents4"/>
            <w:tabs>
              <w:tab w:val="clear" w:pos="8176"/>
              <w:tab w:val="right" w:pos="9026" w:leader="dot"/>
            </w:tabs>
            <w:rPr/>
          </w:pPr>
          <w:hyperlink w:anchor="__RefHeading___Toc2139096_2322387425">
            <w:r>
              <w:rPr>
                <w:webHidden/>
                <w:rStyle w:val="IndexLink"/>
                <w:rtl w:val="true"/>
              </w:rPr>
              <w:t>لزوم العلم بایقاع الوکیل للعقد فی زمان معین قبل المقاربة منهما</w:t>
            </w:r>
            <w:r>
              <w:rPr>
                <w:rStyle w:val="IndexLink"/>
                <w:rtl w:val="true"/>
              </w:rPr>
              <w:tab/>
            </w:r>
            <w:r>
              <w:rPr>
                <w:rStyle w:val="IndexLink"/>
              </w:rPr>
              <w:t>493</w:t>
            </w:r>
          </w:hyperlink>
        </w:p>
        <w:p>
          <w:pPr>
            <w:pStyle w:val="Contents3"/>
            <w:tabs>
              <w:tab w:val="clear" w:pos="8459"/>
              <w:tab w:val="right" w:pos="9026" w:leader="dot"/>
            </w:tabs>
            <w:rPr/>
          </w:pPr>
          <w:hyperlink w:anchor="__RefHeading___Toc2139098_2322387425">
            <w:r>
              <w:rPr>
                <w:webHidden/>
                <w:rStyle w:val="IndexLink"/>
                <w:rtl w:val="true"/>
              </w:rPr>
              <w:t xml:space="preserve">فصل </w:t>
            </w:r>
            <w:r>
              <w:rPr>
                <w:rStyle w:val="IndexLink"/>
                <w:rtl w:val="true"/>
              </w:rPr>
              <w:t>[</w:t>
            </w:r>
            <w:r>
              <w:rPr>
                <w:rStyle w:val="IndexLink"/>
                <w:rtl w:val="true"/>
              </w:rPr>
              <w:t>فی أولیاء العقد</w:t>
            </w:r>
            <w:r>
              <w:rPr>
                <w:rStyle w:val="IndexLink"/>
                <w:rtl w:val="true"/>
              </w:rPr>
              <w:t>]</w:t>
              <w:tab/>
            </w:r>
            <w:r>
              <w:rPr>
                <w:rStyle w:val="IndexLink"/>
              </w:rPr>
              <w:t>495</w:t>
            </w:r>
          </w:hyperlink>
        </w:p>
        <w:p>
          <w:pPr>
            <w:pStyle w:val="Contents4"/>
            <w:tabs>
              <w:tab w:val="clear" w:pos="8176"/>
              <w:tab w:val="right" w:pos="9026" w:leader="dot"/>
            </w:tabs>
            <w:rPr/>
          </w:pPr>
          <w:hyperlink w:anchor="__RefHeading___Toc2139100_2322387425">
            <w:r>
              <w:rPr>
                <w:webHidden/>
                <w:rStyle w:val="IndexLink"/>
                <w:rtl w:val="true"/>
              </w:rPr>
              <w:t>ولایة الأب والجدّ الأب</w:t>
            </w:r>
            <w:r>
              <w:rPr>
                <w:rStyle w:val="IndexLink"/>
                <w:rtl w:val="true"/>
              </w:rPr>
              <w:tab/>
            </w:r>
            <w:r>
              <w:rPr>
                <w:rStyle w:val="IndexLink"/>
              </w:rPr>
              <w:t>495</w:t>
            </w:r>
          </w:hyperlink>
        </w:p>
        <w:p>
          <w:pPr>
            <w:pStyle w:val="Contents4"/>
            <w:tabs>
              <w:tab w:val="clear" w:pos="8176"/>
              <w:tab w:val="right" w:pos="9026" w:leader="dot"/>
            </w:tabs>
            <w:rPr/>
          </w:pPr>
          <w:hyperlink w:anchor="__RefHeading___Toc2139102_2322387425">
            <w:r>
              <w:rPr>
                <w:webHidden/>
                <w:rStyle w:val="IndexLink"/>
                <w:rtl w:val="true"/>
              </w:rPr>
              <w:t>عدم ولایة الاُمّ ولا الجد من قبلها ولا الأخ والعم والخال وأولادهم</w:t>
            </w:r>
            <w:r>
              <w:rPr>
                <w:rStyle w:val="IndexLink"/>
                <w:rtl w:val="true"/>
              </w:rPr>
              <w:tab/>
            </w:r>
            <w:r>
              <w:rPr>
                <w:rStyle w:val="IndexLink"/>
              </w:rPr>
              <w:t>495</w:t>
            </w:r>
          </w:hyperlink>
        </w:p>
        <w:p>
          <w:pPr>
            <w:pStyle w:val="Contents4"/>
            <w:tabs>
              <w:tab w:val="clear" w:pos="8176"/>
              <w:tab w:val="right" w:pos="9026" w:leader="dot"/>
            </w:tabs>
            <w:rPr/>
          </w:pPr>
          <w:hyperlink w:anchor="__RefHeading___Toc2139104_2322387425">
            <w:r>
              <w:rPr>
                <w:webHidden/>
                <w:rStyle w:val="IndexLink"/>
                <w:rtl w:val="true"/>
              </w:rPr>
              <w:t>ولایة الأب والجدّ علی الصغیرین والمجنون</w:t>
            </w:r>
            <w:r>
              <w:rPr>
                <w:rStyle w:val="IndexLink"/>
                <w:rtl w:val="true"/>
              </w:rPr>
              <w:tab/>
            </w:r>
            <w:r>
              <w:rPr>
                <w:rStyle w:val="IndexLink"/>
              </w:rPr>
              <w:t>495</w:t>
            </w:r>
          </w:hyperlink>
        </w:p>
        <w:p>
          <w:pPr>
            <w:pStyle w:val="Contents4"/>
            <w:tabs>
              <w:tab w:val="clear" w:pos="8176"/>
              <w:tab w:val="right" w:pos="9026" w:leader="dot"/>
            </w:tabs>
            <w:rPr/>
          </w:pPr>
          <w:hyperlink w:anchor="__RefHeading___Toc2139106_2322387425">
            <w:r>
              <w:rPr>
                <w:webHidden/>
                <w:rStyle w:val="IndexLink"/>
                <w:rtl w:val="true"/>
              </w:rPr>
              <w:t>الولایة علی البالغ والبالغة الرشیدین</w:t>
            </w:r>
            <w:r>
              <w:rPr>
                <w:rStyle w:val="IndexLink"/>
                <w:rtl w:val="true"/>
              </w:rPr>
              <w:tab/>
            </w:r>
            <w:r>
              <w:rPr>
                <w:rStyle w:val="IndexLink"/>
              </w:rPr>
              <w:t>496</w:t>
            </w:r>
          </w:hyperlink>
        </w:p>
        <w:p>
          <w:pPr>
            <w:pStyle w:val="Contents4"/>
            <w:tabs>
              <w:tab w:val="clear" w:pos="8176"/>
              <w:tab w:val="right" w:pos="9026" w:leader="dot"/>
            </w:tabs>
            <w:rPr/>
          </w:pPr>
          <w:hyperlink w:anchor="__RefHeading___Toc2139108_2322387425">
            <w:r>
              <w:rPr>
                <w:webHidden/>
                <w:rStyle w:val="IndexLink"/>
                <w:rtl w:val="true"/>
              </w:rPr>
              <w:t>لزوم إذن البکر والأب ما لم تسقط ولایته</w:t>
            </w:r>
            <w:r>
              <w:rPr>
                <w:rStyle w:val="IndexLink"/>
                <w:rtl w:val="true"/>
              </w:rPr>
              <w:tab/>
            </w:r>
            <w:r>
              <w:rPr>
                <w:rStyle w:val="IndexLink"/>
              </w:rPr>
              <w:t>499</w:t>
            </w:r>
          </w:hyperlink>
        </w:p>
        <w:p>
          <w:pPr>
            <w:pStyle w:val="Contents4"/>
            <w:tabs>
              <w:tab w:val="clear" w:pos="8176"/>
              <w:tab w:val="right" w:pos="9026" w:leader="dot"/>
            </w:tabs>
            <w:rPr/>
          </w:pPr>
          <w:hyperlink w:anchor="__RefHeading___Toc2139110_2322387425">
            <w:r>
              <w:rPr>
                <w:webHidden/>
                <w:rStyle w:val="IndexLink"/>
                <w:rtl w:val="true"/>
              </w:rPr>
              <w:t>محتملات ذهاب البکارة</w:t>
            </w:r>
            <w:r>
              <w:rPr>
                <w:rStyle w:val="IndexLink"/>
                <w:rtl w:val="true"/>
              </w:rPr>
              <w:tab/>
            </w:r>
            <w:r>
              <w:rPr>
                <w:rStyle w:val="IndexLink"/>
              </w:rPr>
              <w:t>500</w:t>
            </w:r>
          </w:hyperlink>
        </w:p>
        <w:p>
          <w:pPr>
            <w:pStyle w:val="Contents4"/>
            <w:tabs>
              <w:tab w:val="clear" w:pos="8176"/>
              <w:tab w:val="right" w:pos="9026" w:leader="dot"/>
            </w:tabs>
            <w:rPr/>
          </w:pPr>
          <w:hyperlink w:anchor="__RefHeading___Toc2139112_2322387425">
            <w:r>
              <w:rPr>
                <w:webHidden/>
                <w:rStyle w:val="IndexLink"/>
                <w:rtl w:val="true"/>
              </w:rPr>
              <w:t>ثبوت ولایة الجدّ فی حیاة الأب وموته</w:t>
            </w:r>
            <w:r>
              <w:rPr>
                <w:rStyle w:val="IndexLink"/>
                <w:rtl w:val="true"/>
              </w:rPr>
              <w:tab/>
            </w:r>
            <w:r>
              <w:rPr>
                <w:rStyle w:val="IndexLink"/>
              </w:rPr>
              <w:t>503</w:t>
            </w:r>
          </w:hyperlink>
        </w:p>
        <w:p>
          <w:pPr>
            <w:pStyle w:val="Contents4"/>
            <w:tabs>
              <w:tab w:val="clear" w:pos="8176"/>
              <w:tab w:val="right" w:pos="9026" w:leader="dot"/>
            </w:tabs>
            <w:rPr/>
          </w:pPr>
          <w:hyperlink w:anchor="__RefHeading___Toc2139114_2322387425">
            <w:r>
              <w:rPr>
                <w:webHidden/>
                <w:rStyle w:val="IndexLink"/>
                <w:rtl w:val="true"/>
              </w:rPr>
              <w:t>نفوذ تزویج الولی الصغیرة بعد بلوغها ورشدها وکذا الصغیر</w:t>
            </w:r>
            <w:r>
              <w:rPr>
                <w:rStyle w:val="IndexLink"/>
                <w:rtl w:val="true"/>
              </w:rPr>
              <w:tab/>
            </w:r>
            <w:r>
              <w:rPr>
                <w:rStyle w:val="IndexLink"/>
              </w:rPr>
              <w:t>503</w:t>
            </w:r>
          </w:hyperlink>
        </w:p>
        <w:p>
          <w:pPr>
            <w:pStyle w:val="Contents4"/>
            <w:tabs>
              <w:tab w:val="clear" w:pos="8176"/>
              <w:tab w:val="right" w:pos="9026" w:leader="dot"/>
            </w:tabs>
            <w:rPr/>
          </w:pPr>
          <w:hyperlink w:anchor="__RefHeading___Toc2139116_2322387425">
            <w:r>
              <w:rPr>
                <w:webHidden/>
                <w:rStyle w:val="IndexLink"/>
                <w:rtl w:val="true"/>
              </w:rPr>
              <w:t>ما یشترط فی صحّة تزویج الأب</w:t>
            </w:r>
            <w:r>
              <w:rPr>
                <w:rStyle w:val="IndexLink"/>
                <w:rtl w:val="true"/>
              </w:rPr>
              <w:tab/>
            </w:r>
            <w:r>
              <w:rPr>
                <w:rStyle w:val="IndexLink"/>
              </w:rPr>
              <w:t>504</w:t>
            </w:r>
          </w:hyperlink>
        </w:p>
        <w:p>
          <w:pPr>
            <w:pStyle w:val="Contents4"/>
            <w:tabs>
              <w:tab w:val="clear" w:pos="8176"/>
              <w:tab w:val="right" w:pos="9026" w:leader="dot"/>
            </w:tabs>
            <w:rPr/>
          </w:pPr>
          <w:hyperlink w:anchor="__RefHeading___Toc2139118_2322387425">
            <w:r>
              <w:rPr>
                <w:webHidden/>
                <w:rStyle w:val="IndexLink"/>
                <w:rtl w:val="true"/>
              </w:rPr>
              <w:t>تزویج الولیّ البنت بدون مهر المثل أو الصغیر بأزید منه</w:t>
            </w:r>
            <w:r>
              <w:rPr>
                <w:rStyle w:val="IndexLink"/>
                <w:rtl w:val="true"/>
              </w:rPr>
              <w:tab/>
            </w:r>
            <w:r>
              <w:rPr>
                <w:rStyle w:val="IndexLink"/>
              </w:rPr>
              <w:t>506</w:t>
            </w:r>
          </w:hyperlink>
        </w:p>
        <w:p>
          <w:pPr>
            <w:pStyle w:val="Contents4"/>
            <w:tabs>
              <w:tab w:val="clear" w:pos="8176"/>
              <w:tab w:val="right" w:pos="9026" w:leader="dot"/>
            </w:tabs>
            <w:rPr/>
          </w:pPr>
          <w:hyperlink w:anchor="__RefHeading___Toc2139120_2322387425">
            <w:r>
              <w:rPr>
                <w:webHidden/>
                <w:rStyle w:val="IndexLink"/>
                <w:rtl w:val="true"/>
              </w:rPr>
              <w:t>لزوم إذن الولی فی نکاح السفیه</w:t>
            </w:r>
            <w:r>
              <w:rPr>
                <w:rStyle w:val="IndexLink"/>
                <w:rtl w:val="true"/>
              </w:rPr>
              <w:tab/>
            </w:r>
            <w:r>
              <w:rPr>
                <w:rStyle w:val="IndexLink"/>
              </w:rPr>
              <w:t>508</w:t>
            </w:r>
          </w:hyperlink>
        </w:p>
        <w:p>
          <w:pPr>
            <w:pStyle w:val="Contents4"/>
            <w:tabs>
              <w:tab w:val="clear" w:pos="8176"/>
              <w:tab w:val="right" w:pos="9026" w:leader="dot"/>
            </w:tabs>
            <w:rPr/>
          </w:pPr>
          <w:hyperlink w:anchor="__RefHeading___Toc2139122_2322387425">
            <w:r>
              <w:rPr>
                <w:webHidden/>
                <w:rStyle w:val="IndexLink"/>
                <w:rtl w:val="true"/>
              </w:rPr>
              <w:t>الرشد فی شؤون المال وعدمه فی شؤون النکاح</w:t>
            </w:r>
            <w:r>
              <w:rPr>
                <w:rStyle w:val="IndexLink"/>
                <w:rtl w:val="true"/>
              </w:rPr>
              <w:tab/>
            </w:r>
            <w:r>
              <w:rPr>
                <w:rStyle w:val="IndexLink"/>
              </w:rPr>
              <w:t>509</w:t>
            </w:r>
          </w:hyperlink>
        </w:p>
        <w:p>
          <w:pPr>
            <w:pStyle w:val="Contents4"/>
            <w:tabs>
              <w:tab w:val="clear" w:pos="8176"/>
              <w:tab w:val="right" w:pos="9026" w:leader="dot"/>
            </w:tabs>
            <w:rPr/>
          </w:pPr>
          <w:hyperlink w:anchor="__RefHeading___Toc2139124_2322387425">
            <w:r>
              <w:rPr>
                <w:webHidden/>
                <w:rStyle w:val="IndexLink"/>
                <w:rtl w:val="true"/>
              </w:rPr>
              <w:t>استقلال الأب والجد فی الولایة وما یتفرّع علیه</w:t>
            </w:r>
            <w:r>
              <w:rPr>
                <w:rStyle w:val="IndexLink"/>
                <w:rtl w:val="true"/>
              </w:rPr>
              <w:tab/>
            </w:r>
            <w:r>
              <w:rPr>
                <w:rStyle w:val="IndexLink"/>
              </w:rPr>
              <w:t>509</w:t>
            </w:r>
          </w:hyperlink>
        </w:p>
        <w:p>
          <w:pPr>
            <w:pStyle w:val="Contents4"/>
            <w:tabs>
              <w:tab w:val="clear" w:pos="8176"/>
              <w:tab w:val="right" w:pos="9026" w:leader="dot"/>
            </w:tabs>
            <w:rPr/>
          </w:pPr>
          <w:hyperlink w:anchor="__RefHeading___Toc2139126_2322387425">
            <w:r>
              <w:rPr>
                <w:webHidden/>
                <w:rStyle w:val="IndexLink"/>
                <w:rtl w:val="true"/>
              </w:rPr>
              <w:t>تزویج الولی للمولّی علیه من ذی العیب</w:t>
            </w:r>
            <w:r>
              <w:rPr>
                <w:rStyle w:val="IndexLink"/>
                <w:rtl w:val="true"/>
              </w:rPr>
              <w:tab/>
            </w:r>
            <w:r>
              <w:rPr>
                <w:rStyle w:val="IndexLink"/>
              </w:rPr>
              <w:t>513</w:t>
            </w:r>
          </w:hyperlink>
        </w:p>
        <w:p>
          <w:pPr>
            <w:pStyle w:val="Contents4"/>
            <w:tabs>
              <w:tab w:val="clear" w:pos="8176"/>
              <w:tab w:val="right" w:pos="9026" w:leader="dot"/>
            </w:tabs>
            <w:rPr/>
          </w:pPr>
          <w:hyperlink w:anchor="__RefHeading___Toc2139128_2322387425">
            <w:r>
              <w:rPr>
                <w:webHidden/>
                <w:rStyle w:val="IndexLink"/>
                <w:rtl w:val="true"/>
              </w:rPr>
              <w:t>ثبوت الخیار مع الجهل بالعیب المجوّز للفسخ</w:t>
            </w:r>
            <w:r>
              <w:rPr>
                <w:rStyle w:val="IndexLink"/>
                <w:rtl w:val="true"/>
              </w:rPr>
              <w:tab/>
            </w:r>
            <w:r>
              <w:rPr>
                <w:rStyle w:val="IndexLink"/>
              </w:rPr>
              <w:t>515</w:t>
            </w:r>
          </w:hyperlink>
        </w:p>
        <w:p>
          <w:pPr>
            <w:pStyle w:val="Contents4"/>
            <w:tabs>
              <w:tab w:val="clear" w:pos="8176"/>
              <w:tab w:val="right" w:pos="9026" w:leader="dot"/>
            </w:tabs>
            <w:rPr/>
          </w:pPr>
          <w:hyperlink w:anchor="__RefHeading___Toc2139130_2322387425">
            <w:r>
              <w:rPr>
                <w:webHidden/>
                <w:rStyle w:val="IndexLink"/>
                <w:rtl w:val="true"/>
              </w:rPr>
              <w:t>تزویج مملوک المملوک</w:t>
            </w:r>
            <w:r>
              <w:rPr>
                <w:rStyle w:val="IndexLink"/>
                <w:rtl w:val="true"/>
              </w:rPr>
              <w:tab/>
            </w:r>
            <w:r>
              <w:rPr>
                <w:rStyle w:val="IndexLink"/>
              </w:rPr>
              <w:t>517</w:t>
            </w:r>
          </w:hyperlink>
        </w:p>
        <w:p>
          <w:pPr>
            <w:pStyle w:val="Contents4"/>
            <w:tabs>
              <w:tab w:val="clear" w:pos="8176"/>
              <w:tab w:val="right" w:pos="9026" w:leader="dot"/>
            </w:tabs>
            <w:rPr/>
          </w:pPr>
          <w:hyperlink w:anchor="__RefHeading___Toc2139132_2322387425">
            <w:r>
              <w:rPr>
                <w:webHidden/>
                <w:rStyle w:val="IndexLink"/>
                <w:rtl w:val="true"/>
              </w:rPr>
              <w:t>الولایة للوصیّ فی تزویج المجنون والصغیر</w:t>
            </w:r>
            <w:r>
              <w:rPr>
                <w:rStyle w:val="IndexLink"/>
                <w:rtl w:val="true"/>
              </w:rPr>
              <w:tab/>
            </w:r>
            <w:r>
              <w:rPr>
                <w:rStyle w:val="IndexLink"/>
              </w:rPr>
              <w:t>517</w:t>
            </w:r>
          </w:hyperlink>
        </w:p>
        <w:p>
          <w:pPr>
            <w:pStyle w:val="Contents4"/>
            <w:tabs>
              <w:tab w:val="clear" w:pos="8176"/>
              <w:tab w:val="right" w:pos="9026" w:leader="dot"/>
            </w:tabs>
            <w:rPr/>
          </w:pPr>
          <w:hyperlink w:anchor="__RefHeading___Toc2139134_2322387425">
            <w:r>
              <w:rPr>
                <w:webHidden/>
                <w:rStyle w:val="IndexLink"/>
                <w:rtl w:val="true"/>
              </w:rPr>
              <w:t>ولایة الحاکم الشرعی</w:t>
            </w:r>
            <w:r>
              <w:rPr>
                <w:rStyle w:val="IndexLink"/>
                <w:rtl w:val="true"/>
              </w:rPr>
              <w:tab/>
            </w:r>
            <w:r>
              <w:rPr>
                <w:rStyle w:val="IndexLink"/>
              </w:rPr>
              <w:t>520</w:t>
            </w:r>
          </w:hyperlink>
        </w:p>
        <w:p>
          <w:pPr>
            <w:pStyle w:val="Contents4"/>
            <w:tabs>
              <w:tab w:val="clear" w:pos="8176"/>
              <w:tab w:val="right" w:pos="9026" w:leader="dot"/>
            </w:tabs>
            <w:rPr/>
          </w:pPr>
          <w:hyperlink w:anchor="__RefHeading___Toc2139136_2322387425">
            <w:r>
              <w:rPr>
                <w:webHidden/>
                <w:rStyle w:val="IndexLink"/>
                <w:rtl w:val="true"/>
              </w:rPr>
              <w:t>الاستئذان من الأب والجد والأخ</w:t>
            </w:r>
            <w:r>
              <w:rPr>
                <w:rStyle w:val="IndexLink"/>
                <w:rtl w:val="true"/>
              </w:rPr>
              <w:tab/>
            </w:r>
            <w:r>
              <w:rPr>
                <w:rStyle w:val="IndexLink"/>
              </w:rPr>
              <w:t>520</w:t>
            </w:r>
          </w:hyperlink>
        </w:p>
        <w:p>
          <w:pPr>
            <w:pStyle w:val="Contents4"/>
            <w:tabs>
              <w:tab w:val="clear" w:pos="8176"/>
              <w:tab w:val="right" w:pos="9026" w:leader="dot"/>
            </w:tabs>
            <w:rPr/>
          </w:pPr>
          <w:hyperlink w:anchor="__RefHeading___Toc2139138_2322387425">
            <w:r>
              <w:rPr>
                <w:webHidden/>
                <w:rStyle w:val="IndexLink"/>
                <w:rtl w:val="true"/>
              </w:rPr>
              <w:t>کفایة سکوت البکر فی إحراز إذنها</w:t>
            </w:r>
            <w:r>
              <w:rPr>
                <w:rStyle w:val="IndexLink"/>
                <w:rtl w:val="true"/>
              </w:rPr>
              <w:tab/>
            </w:r>
            <w:r>
              <w:rPr>
                <w:rStyle w:val="IndexLink"/>
              </w:rPr>
              <w:t>520</w:t>
            </w:r>
          </w:hyperlink>
        </w:p>
        <w:p>
          <w:pPr>
            <w:pStyle w:val="Contents4"/>
            <w:tabs>
              <w:tab w:val="clear" w:pos="8176"/>
              <w:tab w:val="right" w:pos="9026" w:leader="dot"/>
            </w:tabs>
            <w:rPr/>
          </w:pPr>
          <w:hyperlink w:anchor="__RefHeading___Toc2139140_2322387425">
            <w:r>
              <w:rPr>
                <w:webHidden/>
                <w:rStyle w:val="IndexLink"/>
                <w:rtl w:val="true"/>
              </w:rPr>
              <w:t>عامّة شرائط الأولیاء</w:t>
            </w:r>
            <w:r>
              <w:rPr>
                <w:rStyle w:val="IndexLink"/>
                <w:rtl w:val="true"/>
              </w:rPr>
              <w:tab/>
            </w:r>
            <w:r>
              <w:rPr>
                <w:rStyle w:val="IndexLink"/>
              </w:rPr>
              <w:t>521</w:t>
            </w:r>
          </w:hyperlink>
        </w:p>
        <w:p>
          <w:pPr>
            <w:pStyle w:val="Contents4"/>
            <w:tabs>
              <w:tab w:val="clear" w:pos="8176"/>
              <w:tab w:val="right" w:pos="9026" w:leader="dot"/>
            </w:tabs>
            <w:rPr/>
          </w:pPr>
          <w:hyperlink w:anchor="__RefHeading___Toc2139142_2322387425">
            <w:r>
              <w:rPr>
                <w:webHidden/>
                <w:rStyle w:val="IndexLink"/>
                <w:rtl w:val="true"/>
              </w:rPr>
              <w:t>تعدّی الوکیل عمّا عیّنه الموکّل</w:t>
            </w:r>
            <w:r>
              <w:rPr>
                <w:rStyle w:val="IndexLink"/>
                <w:rtl w:val="true"/>
              </w:rPr>
              <w:tab/>
            </w:r>
            <w:r>
              <w:rPr>
                <w:rStyle w:val="IndexLink"/>
              </w:rPr>
              <w:t>523</w:t>
            </w:r>
          </w:hyperlink>
        </w:p>
        <w:p>
          <w:pPr>
            <w:pStyle w:val="Contents4"/>
            <w:tabs>
              <w:tab w:val="clear" w:pos="8176"/>
              <w:tab w:val="right" w:pos="9026" w:leader="dot"/>
            </w:tabs>
            <w:rPr/>
          </w:pPr>
          <w:hyperlink w:anchor="__RefHeading___Toc2139144_2322387425">
            <w:r>
              <w:rPr>
                <w:webHidden/>
                <w:rStyle w:val="IndexLink"/>
                <w:rtl w:val="true"/>
              </w:rPr>
              <w:t>تزویج وکیل المرأة من نفسه</w:t>
            </w:r>
            <w:r>
              <w:rPr>
                <w:rStyle w:val="IndexLink"/>
                <w:rtl w:val="true"/>
              </w:rPr>
              <w:tab/>
            </w:r>
            <w:r>
              <w:rPr>
                <w:rStyle w:val="IndexLink"/>
              </w:rPr>
              <w:t>523</w:t>
            </w:r>
          </w:hyperlink>
        </w:p>
        <w:p>
          <w:pPr>
            <w:pStyle w:val="Contents4"/>
            <w:tabs>
              <w:tab w:val="clear" w:pos="8176"/>
              <w:tab w:val="right" w:pos="9026" w:leader="dot"/>
            </w:tabs>
            <w:rPr/>
          </w:pPr>
          <w:hyperlink w:anchor="__RefHeading___Toc2139146_2322387425">
            <w:r>
              <w:rPr>
                <w:webHidden/>
                <w:rStyle w:val="IndexLink"/>
                <w:rtl w:val="true"/>
              </w:rPr>
              <w:t>النکاح الفضولی حکماً ومعنیً ولزوم الإجازة وفروع فی المقام</w:t>
            </w:r>
            <w:r>
              <w:rPr>
                <w:rStyle w:val="IndexLink"/>
                <w:rtl w:val="true"/>
              </w:rPr>
              <w:tab/>
            </w:r>
            <w:r>
              <w:rPr>
                <w:rStyle w:val="IndexLink"/>
              </w:rPr>
              <w:t>524</w:t>
            </w:r>
          </w:hyperlink>
        </w:p>
        <w:p>
          <w:pPr>
            <w:pStyle w:val="Contents2"/>
            <w:tabs>
              <w:tab w:val="clear" w:pos="8743"/>
              <w:tab w:val="right" w:pos="9026" w:leader="dot"/>
            </w:tabs>
            <w:rPr/>
          </w:pPr>
          <w:hyperlink w:anchor="__RefHeading___Toc2139148_2322387425">
            <w:r>
              <w:rPr>
                <w:webHidden/>
                <w:rStyle w:val="IndexLink"/>
                <w:rtl w:val="true"/>
              </w:rPr>
              <w:t>کتاب الوصیّة</w:t>
            </w:r>
            <w:r>
              <w:rPr>
                <w:rStyle w:val="IndexLink"/>
                <w:rtl w:val="true"/>
              </w:rPr>
              <w:tab/>
            </w:r>
            <w:r>
              <w:rPr>
                <w:rStyle w:val="IndexLink"/>
              </w:rPr>
              <w:t>557</w:t>
            </w:r>
          </w:hyperlink>
        </w:p>
        <w:p>
          <w:pPr>
            <w:pStyle w:val="Contents3"/>
            <w:tabs>
              <w:tab w:val="clear" w:pos="8459"/>
              <w:tab w:val="right" w:pos="9026" w:leader="dot"/>
            </w:tabs>
            <w:rPr/>
          </w:pPr>
          <w:hyperlink w:anchor="__RefHeading___Toc2139150_2322387425">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2139152_2322387425">
            <w:r>
              <w:rPr>
                <w:webHidden/>
                <w:rStyle w:val="IndexLink"/>
                <w:rtl w:val="true"/>
              </w:rPr>
              <w:t>معنی الوصیّة وتقسیماتها</w:t>
            </w:r>
            <w:r>
              <w:rPr>
                <w:rStyle w:val="IndexLink"/>
                <w:rtl w:val="true"/>
              </w:rPr>
              <w:tab/>
            </w:r>
            <w:r>
              <w:rPr>
                <w:rStyle w:val="IndexLink"/>
              </w:rPr>
              <w:t>558</w:t>
            </w:r>
          </w:hyperlink>
        </w:p>
        <w:p>
          <w:pPr>
            <w:pStyle w:val="Contents3"/>
            <w:tabs>
              <w:tab w:val="clear" w:pos="8459"/>
              <w:tab w:val="right" w:pos="9026" w:leader="dot"/>
            </w:tabs>
            <w:rPr/>
          </w:pPr>
          <w:hyperlink w:anchor="__RefHeading___Toc2139154_2322387425">
            <w:r>
              <w:rPr>
                <w:webHidden/>
                <w:rStyle w:val="IndexLink"/>
                <w:rtl w:val="true"/>
              </w:rPr>
              <w:t>نفوذ الوصیّة العهدیّة والتوقّف فی الوصیّة التملیکیّة علی القبول</w:t>
            </w:r>
            <w:r>
              <w:rPr>
                <w:rStyle w:val="IndexLink"/>
                <w:rtl w:val="true"/>
              </w:rPr>
              <w:tab/>
            </w:r>
            <w:r>
              <w:rPr>
                <w:rStyle w:val="IndexLink"/>
              </w:rPr>
              <w:t>560</w:t>
            </w:r>
          </w:hyperlink>
        </w:p>
        <w:p>
          <w:pPr>
            <w:pStyle w:val="Contents3"/>
            <w:tabs>
              <w:tab w:val="clear" w:pos="8459"/>
              <w:tab w:val="right" w:pos="9026" w:leader="dot"/>
            </w:tabs>
            <w:rPr/>
          </w:pPr>
          <w:hyperlink w:anchor="__RefHeading___Toc2139156_2322387425">
            <w:r>
              <w:rPr>
                <w:webHidden/>
                <w:rStyle w:val="IndexLink"/>
                <w:rtl w:val="true"/>
              </w:rPr>
              <w:t>إیقاع القبول بعد وفاة الموصی</w:t>
            </w:r>
            <w:r>
              <w:rPr>
                <w:rStyle w:val="IndexLink"/>
                <w:rtl w:val="true"/>
              </w:rPr>
              <w:tab/>
            </w:r>
            <w:r>
              <w:rPr>
                <w:rStyle w:val="IndexLink"/>
              </w:rPr>
              <w:t>567</w:t>
            </w:r>
          </w:hyperlink>
        </w:p>
        <w:p>
          <w:pPr>
            <w:pStyle w:val="Contents3"/>
            <w:tabs>
              <w:tab w:val="clear" w:pos="8459"/>
              <w:tab w:val="right" w:pos="9026" w:leader="dot"/>
            </w:tabs>
            <w:rPr/>
          </w:pPr>
          <w:hyperlink w:anchor="__RefHeading___Toc2139158_2322387425">
            <w:r>
              <w:rPr>
                <w:webHidden/>
                <w:rStyle w:val="IndexLink"/>
                <w:rtl w:val="true"/>
              </w:rPr>
              <w:t>ما یجب عند ظهور أمارات الموت</w:t>
            </w:r>
            <w:r>
              <w:rPr>
                <w:rStyle w:val="IndexLink"/>
                <w:rtl w:val="true"/>
              </w:rPr>
              <w:tab/>
            </w:r>
            <w:r>
              <w:rPr>
                <w:rStyle w:val="IndexLink"/>
              </w:rPr>
              <w:t>568</w:t>
            </w:r>
          </w:hyperlink>
        </w:p>
        <w:p>
          <w:pPr>
            <w:pStyle w:val="Contents3"/>
            <w:tabs>
              <w:tab w:val="clear" w:pos="8459"/>
              <w:tab w:val="right" w:pos="9026" w:leader="dot"/>
            </w:tabs>
            <w:rPr/>
          </w:pPr>
          <w:hyperlink w:anchor="__RefHeading___Toc2139160_2322387425">
            <w:r>
              <w:rPr>
                <w:webHidden/>
                <w:rStyle w:val="IndexLink"/>
                <w:rtl w:val="true"/>
              </w:rPr>
              <w:t>حکم ردّ الموصی له الوصیّة</w:t>
            </w:r>
            <w:r>
              <w:rPr>
                <w:rStyle w:val="IndexLink"/>
                <w:rtl w:val="true"/>
              </w:rPr>
              <w:tab/>
            </w:r>
            <w:r>
              <w:rPr>
                <w:rStyle w:val="IndexLink"/>
              </w:rPr>
              <w:t>570</w:t>
            </w:r>
          </w:hyperlink>
        </w:p>
        <w:p>
          <w:pPr>
            <w:pStyle w:val="Contents3"/>
            <w:tabs>
              <w:tab w:val="clear" w:pos="8459"/>
              <w:tab w:val="right" w:pos="9026" w:leader="dot"/>
            </w:tabs>
            <w:rPr/>
          </w:pPr>
          <w:hyperlink w:anchor="__RefHeading___Toc2139162_2322387425">
            <w:r>
              <w:rPr>
                <w:webHidden/>
                <w:rStyle w:val="IndexLink"/>
                <w:rtl w:val="true"/>
              </w:rPr>
              <w:t>قبول أحد شیئین أو بعض شیء من قبل الموصی له</w:t>
            </w:r>
            <w:r>
              <w:rPr>
                <w:rStyle w:val="IndexLink"/>
                <w:rtl w:val="true"/>
              </w:rPr>
              <w:tab/>
            </w:r>
            <w:r>
              <w:rPr>
                <w:rStyle w:val="IndexLink"/>
              </w:rPr>
              <w:t>577</w:t>
            </w:r>
          </w:hyperlink>
        </w:p>
        <w:p>
          <w:pPr>
            <w:pStyle w:val="Contents3"/>
            <w:tabs>
              <w:tab w:val="clear" w:pos="8459"/>
              <w:tab w:val="right" w:pos="9026" w:leader="dot"/>
            </w:tabs>
            <w:rPr/>
          </w:pPr>
          <w:hyperlink w:anchor="__RefHeading___Toc2139164_2322387425">
            <w:r>
              <w:rPr>
                <w:webHidden/>
                <w:rStyle w:val="IndexLink"/>
                <w:rtl w:val="true"/>
              </w:rPr>
              <w:t>تصرّف الورثة فی العین الموصی بها</w:t>
            </w:r>
            <w:r>
              <w:rPr>
                <w:rStyle w:val="IndexLink"/>
                <w:rtl w:val="true"/>
              </w:rPr>
              <w:tab/>
            </w:r>
            <w:r>
              <w:rPr>
                <w:rStyle w:val="IndexLink"/>
              </w:rPr>
              <w:t>580</w:t>
            </w:r>
          </w:hyperlink>
        </w:p>
        <w:p>
          <w:pPr>
            <w:pStyle w:val="Contents3"/>
            <w:tabs>
              <w:tab w:val="clear" w:pos="8459"/>
              <w:tab w:val="right" w:pos="9026" w:leader="dot"/>
            </w:tabs>
            <w:rPr/>
          </w:pPr>
          <w:hyperlink w:anchor="__RefHeading___Toc2139166_2322387425">
            <w:r>
              <w:rPr>
                <w:webHidden/>
                <w:rStyle w:val="IndexLink"/>
                <w:rtl w:val="true"/>
              </w:rPr>
              <w:t>موت الموصی له قبل القبول أو الردّ وقیام الوارث مقامه</w:t>
            </w:r>
            <w:r>
              <w:rPr>
                <w:rStyle w:val="IndexLink"/>
                <w:rtl w:val="true"/>
              </w:rPr>
              <w:tab/>
            </w:r>
            <w:r>
              <w:rPr>
                <w:rStyle w:val="IndexLink"/>
              </w:rPr>
              <w:t>581</w:t>
            </w:r>
          </w:hyperlink>
        </w:p>
        <w:p>
          <w:pPr>
            <w:pStyle w:val="Contents3"/>
            <w:tabs>
              <w:tab w:val="clear" w:pos="8459"/>
              <w:tab w:val="right" w:pos="9026" w:leader="dot"/>
            </w:tabs>
            <w:rPr/>
          </w:pPr>
          <w:hyperlink w:anchor="__RefHeading___Toc2139168_2322387425">
            <w:r>
              <w:rPr>
                <w:webHidden/>
                <w:rStyle w:val="IndexLink"/>
                <w:rtl w:val="true"/>
              </w:rPr>
              <w:t>فروع فی مسألة موت الموصی له</w:t>
            </w:r>
            <w:r>
              <w:rPr>
                <w:rStyle w:val="IndexLink"/>
                <w:rtl w:val="true"/>
              </w:rPr>
              <w:tab/>
            </w:r>
            <w:r>
              <w:rPr>
                <w:rStyle w:val="IndexLink"/>
              </w:rPr>
              <w:t>585</w:t>
            </w:r>
          </w:hyperlink>
        </w:p>
        <w:p>
          <w:pPr>
            <w:pStyle w:val="Contents4"/>
            <w:tabs>
              <w:tab w:val="clear" w:pos="8176"/>
              <w:tab w:val="right" w:pos="9026" w:leader="dot"/>
            </w:tabs>
            <w:rPr/>
          </w:pPr>
          <w:hyperlink w:anchor="__RefHeading___Toc2139170_2322387425">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2139172_2322387425">
            <w:r>
              <w:rPr>
                <w:webHidden/>
                <w:rStyle w:val="IndexLink"/>
                <w:rtl w:val="true"/>
              </w:rPr>
              <w:t>الأوّل</w:t>
            </w:r>
            <w:r>
              <w:rPr>
                <w:rStyle w:val="IndexLink"/>
                <w:rtl w:val="true"/>
              </w:rPr>
              <w:t xml:space="preserve">: </w:t>
            </w:r>
            <w:r>
              <w:rPr>
                <w:rStyle w:val="IndexLink"/>
                <w:rtl w:val="true"/>
              </w:rPr>
              <w:t>هل الحکم یشمل ورثة الوارث؟</w:t>
            </w:r>
            <w:r>
              <w:rPr>
                <w:rStyle w:val="IndexLink"/>
                <w:rtl w:val="true"/>
              </w:rPr>
              <w:tab/>
            </w:r>
            <w:r>
              <w:rPr>
                <w:rStyle w:val="IndexLink"/>
              </w:rPr>
              <w:t>585</w:t>
            </w:r>
          </w:hyperlink>
        </w:p>
        <w:p>
          <w:pPr>
            <w:pStyle w:val="Contents4"/>
            <w:tabs>
              <w:tab w:val="clear" w:pos="8176"/>
              <w:tab w:val="right" w:pos="9026" w:leader="dot"/>
            </w:tabs>
            <w:rPr/>
          </w:pPr>
          <w:hyperlink w:anchor="__RefHeading___Toc2139174_2322387425">
            <w:r>
              <w:rPr>
                <w:webHidden/>
                <w:rStyle w:val="IndexLink"/>
                <w:rtl w:val="true"/>
              </w:rPr>
              <w:t>الثانی</w:t>
            </w:r>
            <w:r>
              <w:rPr>
                <w:rStyle w:val="IndexLink"/>
                <w:rtl w:val="true"/>
              </w:rPr>
              <w:t xml:space="preserve">: </w:t>
            </w:r>
            <w:r>
              <w:rPr>
                <w:rStyle w:val="IndexLink"/>
                <w:rtl w:val="true"/>
              </w:rPr>
              <w:t>قبول بعض الورثة وردّ بعضهم</w:t>
            </w:r>
            <w:r>
              <w:rPr>
                <w:rStyle w:val="IndexLink"/>
                <w:rtl w:val="true"/>
              </w:rPr>
              <w:tab/>
            </w:r>
            <w:r>
              <w:rPr>
                <w:rStyle w:val="IndexLink"/>
              </w:rPr>
              <w:t>586</w:t>
            </w:r>
          </w:hyperlink>
        </w:p>
        <w:p>
          <w:pPr>
            <w:pStyle w:val="Contents4"/>
            <w:tabs>
              <w:tab w:val="clear" w:pos="8176"/>
              <w:tab w:val="right" w:pos="9026" w:leader="dot"/>
            </w:tabs>
            <w:rPr/>
          </w:pPr>
          <w:hyperlink w:anchor="__RefHeading___Toc2139176_2322387425">
            <w:r>
              <w:rPr>
                <w:webHidden/>
                <w:rStyle w:val="IndexLink"/>
                <w:rtl w:val="true"/>
              </w:rPr>
              <w:t>الثالث</w:t>
            </w:r>
            <w:r>
              <w:rPr>
                <w:rStyle w:val="IndexLink"/>
                <w:rtl w:val="true"/>
              </w:rPr>
              <w:t xml:space="preserve">: </w:t>
            </w:r>
            <w:r>
              <w:rPr>
                <w:rStyle w:val="IndexLink"/>
                <w:rtl w:val="true"/>
              </w:rPr>
              <w:t>الوجه فی انتقال الموصی به إلی وارث الموصی له</w:t>
            </w:r>
            <w:r>
              <w:rPr>
                <w:rStyle w:val="IndexLink"/>
                <w:rtl w:val="true"/>
              </w:rPr>
              <w:tab/>
            </w:r>
            <w:r>
              <w:rPr>
                <w:rStyle w:val="IndexLink"/>
              </w:rPr>
              <w:t>587</w:t>
            </w:r>
          </w:hyperlink>
        </w:p>
        <w:p>
          <w:pPr>
            <w:pStyle w:val="Contents4"/>
            <w:tabs>
              <w:tab w:val="clear" w:pos="8176"/>
              <w:tab w:val="right" w:pos="9026" w:leader="dot"/>
            </w:tabs>
            <w:rPr/>
          </w:pPr>
          <w:hyperlink w:anchor="__RefHeading___Toc2139178_2322387425">
            <w:r>
              <w:rPr>
                <w:webHidden/>
                <w:rStyle w:val="IndexLink"/>
                <w:rtl w:val="true"/>
              </w:rPr>
              <w:t>الرابع</w:t>
            </w:r>
            <w:r>
              <w:rPr>
                <w:rStyle w:val="IndexLink"/>
                <w:rtl w:val="true"/>
              </w:rPr>
              <w:t xml:space="preserve">: </w:t>
            </w:r>
            <w:r>
              <w:rPr>
                <w:rStyle w:val="IndexLink"/>
                <w:rtl w:val="true"/>
              </w:rPr>
              <w:t>المدار فی الوارث</w:t>
            </w:r>
            <w:r>
              <w:rPr>
                <w:rStyle w:val="IndexLink"/>
                <w:rtl w:val="true"/>
              </w:rPr>
              <w:tab/>
            </w:r>
            <w:r>
              <w:rPr>
                <w:rStyle w:val="IndexLink"/>
              </w:rPr>
              <w:t>591</w:t>
            </w:r>
          </w:hyperlink>
        </w:p>
        <w:p>
          <w:pPr>
            <w:pStyle w:val="Contents4"/>
            <w:tabs>
              <w:tab w:val="clear" w:pos="8176"/>
              <w:tab w:val="right" w:pos="9026" w:leader="dot"/>
            </w:tabs>
            <w:rPr/>
          </w:pPr>
          <w:hyperlink w:anchor="__RefHeading___Toc2139180_2322387425">
            <w:r>
              <w:rPr>
                <w:webHidden/>
                <w:rStyle w:val="IndexLink"/>
                <w:rtl w:val="true"/>
              </w:rPr>
              <w:t>الخامس</w:t>
            </w:r>
            <w:r>
              <w:rPr>
                <w:rStyle w:val="IndexLink"/>
                <w:rtl w:val="true"/>
              </w:rPr>
              <w:t xml:space="preserve">: </w:t>
            </w:r>
            <w:r>
              <w:rPr>
                <w:rStyle w:val="IndexLink"/>
                <w:rtl w:val="true"/>
              </w:rPr>
              <w:t>هل ترث الزوجة الأرض الموصی بها لزوجها لو مات قبل القبول؟</w:t>
            </w:r>
            <w:r>
              <w:rPr>
                <w:rStyle w:val="IndexLink"/>
                <w:rtl w:val="true"/>
              </w:rPr>
              <w:tab/>
            </w:r>
            <w:r>
              <w:rPr>
                <w:rStyle w:val="IndexLink"/>
              </w:rPr>
              <w:t>592</w:t>
            </w:r>
          </w:hyperlink>
        </w:p>
        <w:p>
          <w:pPr>
            <w:pStyle w:val="Contents4"/>
            <w:tabs>
              <w:tab w:val="clear" w:pos="8176"/>
              <w:tab w:val="right" w:pos="9026" w:leader="dot"/>
            </w:tabs>
            <w:rPr/>
          </w:pPr>
          <w:hyperlink w:anchor="__RefHeading___Toc2139182_2322387425">
            <w:r>
              <w:rPr>
                <w:webHidden/>
                <w:rStyle w:val="IndexLink"/>
                <w:rtl w:val="true"/>
              </w:rPr>
              <w:t>السادس</w:t>
            </w:r>
            <w:r>
              <w:rPr>
                <w:rStyle w:val="IndexLink"/>
                <w:rtl w:val="true"/>
              </w:rPr>
              <w:t xml:space="preserve">: </w:t>
            </w:r>
            <w:r>
              <w:rPr>
                <w:rStyle w:val="IndexLink"/>
                <w:rtl w:val="true"/>
              </w:rPr>
              <w:t>کون الموصی به ممّن ینعتق علی الموصی له</w:t>
            </w:r>
            <w:r>
              <w:rPr>
                <w:rStyle w:val="IndexLink"/>
                <w:rtl w:val="true"/>
              </w:rPr>
              <w:tab/>
            </w:r>
            <w:r>
              <w:rPr>
                <w:rStyle w:val="IndexLink"/>
              </w:rPr>
              <w:t>596</w:t>
            </w:r>
          </w:hyperlink>
        </w:p>
        <w:p>
          <w:pPr>
            <w:pStyle w:val="Contents4"/>
            <w:tabs>
              <w:tab w:val="clear" w:pos="8176"/>
              <w:tab w:val="right" w:pos="9026" w:leader="dot"/>
            </w:tabs>
            <w:rPr/>
          </w:pPr>
          <w:hyperlink w:anchor="__RefHeading___Toc2139184_2322387425">
            <w:r>
              <w:rPr>
                <w:webHidden/>
                <w:rStyle w:val="IndexLink"/>
                <w:rtl w:val="true"/>
              </w:rPr>
              <w:t>السابع</w:t>
            </w:r>
            <w:r>
              <w:rPr>
                <w:rStyle w:val="IndexLink"/>
                <w:rtl w:val="true"/>
              </w:rPr>
              <w:t xml:space="preserve">: </w:t>
            </w:r>
            <w:r>
              <w:rPr>
                <w:rStyle w:val="IndexLink"/>
                <w:rtl w:val="true"/>
              </w:rPr>
              <w:t>حکم قیام الوارث مقام الموصی له فی الوصیّة العهدیّة</w:t>
            </w:r>
            <w:r>
              <w:rPr>
                <w:rStyle w:val="IndexLink"/>
                <w:rtl w:val="true"/>
              </w:rPr>
              <w:tab/>
            </w:r>
            <w:r>
              <w:rPr>
                <w:rStyle w:val="IndexLink"/>
              </w:rPr>
              <w:t>598</w:t>
            </w:r>
          </w:hyperlink>
        </w:p>
        <w:p>
          <w:pPr>
            <w:pStyle w:val="Contents4"/>
            <w:tabs>
              <w:tab w:val="clear" w:pos="8176"/>
              <w:tab w:val="right" w:pos="9026" w:leader="dot"/>
            </w:tabs>
            <w:rPr/>
          </w:pPr>
          <w:hyperlink w:anchor="__RefHeading___Toc2139186_2322387425">
            <w:r>
              <w:rPr>
                <w:webHidden/>
                <w:rStyle w:val="IndexLink"/>
                <w:rtl w:val="true"/>
              </w:rPr>
              <w:t>عدم اشتراط القبول فی الوصیّة العهدیّة وما إذا کان للنوع أو للجهة</w:t>
            </w:r>
            <w:r>
              <w:rPr>
                <w:rStyle w:val="IndexLink"/>
                <w:rtl w:val="true"/>
              </w:rPr>
              <w:tab/>
            </w:r>
            <w:r>
              <w:rPr>
                <w:rStyle w:val="IndexLink"/>
              </w:rPr>
              <w:t>599</w:t>
            </w:r>
          </w:hyperlink>
        </w:p>
        <w:p>
          <w:pPr>
            <w:pStyle w:val="Contents4"/>
            <w:tabs>
              <w:tab w:val="clear" w:pos="8176"/>
              <w:tab w:val="right" w:pos="9026" w:leader="dot"/>
            </w:tabs>
            <w:rPr/>
          </w:pPr>
          <w:hyperlink w:anchor="__RefHeading___Toc2139188_2322387425">
            <w:r>
              <w:rPr>
                <w:webHidden/>
                <w:rStyle w:val="IndexLink"/>
                <w:rtl w:val="true"/>
              </w:rPr>
              <w:t>تحقّق الوصیّة بکلّ ما دلّ علیها من لفظٍ أو فعل</w:t>
            </w:r>
            <w:r>
              <w:rPr>
                <w:rStyle w:val="IndexLink"/>
                <w:rtl w:val="true"/>
              </w:rPr>
              <w:tab/>
            </w:r>
            <w:r>
              <w:rPr>
                <w:rStyle w:val="IndexLink"/>
              </w:rPr>
              <w:t>601</w:t>
            </w:r>
          </w:hyperlink>
        </w:p>
        <w:p>
          <w:pPr>
            <w:pStyle w:val="Contents4"/>
            <w:tabs>
              <w:tab w:val="clear" w:pos="8176"/>
              <w:tab w:val="right" w:pos="9026" w:leader="dot"/>
            </w:tabs>
            <w:rPr/>
          </w:pPr>
          <w:hyperlink w:anchor="__RefHeading___Toc2139190_2322387425">
            <w:r>
              <w:rPr>
                <w:webHidden/>
                <w:rStyle w:val="IndexLink"/>
                <w:rtl w:val="true"/>
              </w:rPr>
              <w:t>شرائط الموصی</w:t>
            </w:r>
            <w:r>
              <w:rPr>
                <w:rStyle w:val="IndexLink"/>
                <w:rtl w:val="true"/>
              </w:rPr>
              <w:tab/>
            </w:r>
            <w:r>
              <w:rPr>
                <w:rStyle w:val="IndexLink"/>
              </w:rPr>
              <w:t>603</w:t>
            </w:r>
          </w:hyperlink>
        </w:p>
        <w:p>
          <w:pPr>
            <w:pStyle w:val="Contents5"/>
            <w:tabs>
              <w:tab w:val="clear" w:pos="7892"/>
              <w:tab w:val="right" w:pos="9026" w:leader="dot"/>
            </w:tabs>
            <w:rPr/>
          </w:pPr>
          <w:hyperlink w:anchor="__RefHeading___Toc2139192_2322387425">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2139194_2322387425">
            <w:r>
              <w:rPr>
                <w:webHidden/>
                <w:rStyle w:val="IndexLink"/>
                <w:rtl w:val="true"/>
              </w:rPr>
              <w:t>الأوّل</w:t>
            </w:r>
            <w:r>
              <w:rPr>
                <w:rStyle w:val="IndexLink"/>
                <w:rtl w:val="true"/>
              </w:rPr>
              <w:t xml:space="preserve">: </w:t>
            </w:r>
            <w:r>
              <w:rPr>
                <w:rStyle w:val="IndexLink"/>
                <w:rtl w:val="true"/>
              </w:rPr>
              <w:t>البلوغ، بیان نفوذ وصیّة البالغ عشراً</w:t>
            </w:r>
            <w:r>
              <w:rPr>
                <w:rStyle w:val="IndexLink"/>
                <w:rtl w:val="true"/>
              </w:rPr>
              <w:tab/>
            </w:r>
            <w:r>
              <w:rPr>
                <w:rStyle w:val="IndexLink"/>
              </w:rPr>
              <w:t>603</w:t>
            </w:r>
          </w:hyperlink>
        </w:p>
        <w:p>
          <w:pPr>
            <w:pStyle w:val="Contents5"/>
            <w:tabs>
              <w:tab w:val="clear" w:pos="7892"/>
              <w:tab w:val="right" w:pos="9026" w:leader="dot"/>
            </w:tabs>
            <w:rPr/>
          </w:pPr>
          <w:hyperlink w:anchor="__RefHeading___Toc2139196_2322387425">
            <w:r>
              <w:rPr>
                <w:webHidden/>
                <w:rStyle w:val="IndexLink"/>
                <w:rtl w:val="true"/>
              </w:rPr>
              <w:t>الثانی</w:t>
            </w:r>
            <w:r>
              <w:rPr>
                <w:rStyle w:val="IndexLink"/>
                <w:rtl w:val="true"/>
              </w:rPr>
              <w:t xml:space="preserve">: </w:t>
            </w:r>
            <w:r>
              <w:rPr>
                <w:rStyle w:val="IndexLink"/>
                <w:rtl w:val="true"/>
              </w:rPr>
              <w:t>العقل</w:t>
            </w:r>
            <w:r>
              <w:rPr>
                <w:rStyle w:val="IndexLink"/>
                <w:rtl w:val="true"/>
              </w:rPr>
              <w:tab/>
            </w:r>
            <w:r>
              <w:rPr>
                <w:rStyle w:val="IndexLink"/>
              </w:rPr>
              <w:t>604</w:t>
            </w:r>
          </w:hyperlink>
        </w:p>
        <w:p>
          <w:pPr>
            <w:pStyle w:val="Contents5"/>
            <w:tabs>
              <w:tab w:val="clear" w:pos="7892"/>
              <w:tab w:val="right" w:pos="9026" w:leader="dot"/>
            </w:tabs>
            <w:rPr/>
          </w:pPr>
          <w:hyperlink w:anchor="__RefHeading___Toc2139198_2322387425">
            <w:r>
              <w:rPr>
                <w:webHidden/>
                <w:rStyle w:val="IndexLink"/>
                <w:rtl w:val="true"/>
              </w:rPr>
              <w:t>الثالث</w:t>
            </w:r>
            <w:r>
              <w:rPr>
                <w:rStyle w:val="IndexLink"/>
                <w:rtl w:val="true"/>
              </w:rPr>
              <w:t xml:space="preserve">: </w:t>
            </w:r>
            <w:r>
              <w:rPr>
                <w:rStyle w:val="IndexLink"/>
                <w:rtl w:val="true"/>
              </w:rPr>
              <w:t>الاختیار</w:t>
            </w:r>
            <w:r>
              <w:rPr>
                <w:rStyle w:val="IndexLink"/>
                <w:rtl w:val="true"/>
              </w:rPr>
              <w:tab/>
            </w:r>
            <w:r>
              <w:rPr>
                <w:rStyle w:val="IndexLink"/>
              </w:rPr>
              <w:t>604</w:t>
            </w:r>
          </w:hyperlink>
        </w:p>
        <w:p>
          <w:pPr>
            <w:pStyle w:val="Contents5"/>
            <w:tabs>
              <w:tab w:val="clear" w:pos="7892"/>
              <w:tab w:val="right" w:pos="9026" w:leader="dot"/>
            </w:tabs>
            <w:rPr/>
          </w:pPr>
          <w:hyperlink w:anchor="__RefHeading___Toc2139200_2322387425">
            <w:r>
              <w:rPr>
                <w:webHidden/>
                <w:rStyle w:val="IndexLink"/>
                <w:rtl w:val="true"/>
              </w:rPr>
              <w:t>الرابع</w:t>
            </w:r>
            <w:r>
              <w:rPr>
                <w:rStyle w:val="IndexLink"/>
                <w:rtl w:val="true"/>
              </w:rPr>
              <w:t xml:space="preserve">: </w:t>
            </w:r>
            <w:r>
              <w:rPr>
                <w:rStyle w:val="IndexLink"/>
                <w:rtl w:val="true"/>
              </w:rPr>
              <w:t>الرشد، بیان وصیّة السفیه المفلّس</w:t>
            </w:r>
            <w:r>
              <w:rPr>
                <w:rStyle w:val="IndexLink"/>
                <w:rtl w:val="true"/>
              </w:rPr>
              <w:tab/>
            </w:r>
            <w:r>
              <w:rPr>
                <w:rStyle w:val="IndexLink"/>
              </w:rPr>
              <w:t>604</w:t>
            </w:r>
          </w:hyperlink>
        </w:p>
        <w:p>
          <w:pPr>
            <w:pStyle w:val="Contents5"/>
            <w:tabs>
              <w:tab w:val="clear" w:pos="7892"/>
              <w:tab w:val="right" w:pos="9026" w:leader="dot"/>
            </w:tabs>
            <w:rPr/>
          </w:pPr>
          <w:hyperlink w:anchor="__RefHeading___Toc2139202_2322387425">
            <w:r>
              <w:rPr>
                <w:webHidden/>
                <w:rStyle w:val="IndexLink"/>
                <w:rtl w:val="true"/>
              </w:rPr>
              <w:t>الخامس</w:t>
            </w:r>
            <w:r>
              <w:rPr>
                <w:rStyle w:val="IndexLink"/>
                <w:rtl w:val="true"/>
              </w:rPr>
              <w:t xml:space="preserve">: </w:t>
            </w:r>
            <w:r>
              <w:rPr>
                <w:rStyle w:val="IndexLink"/>
                <w:rtl w:val="true"/>
              </w:rPr>
              <w:t>الحرّیّة، بیان وصیّة العبد لو انعتق</w:t>
            </w:r>
            <w:r>
              <w:rPr>
                <w:rStyle w:val="IndexLink"/>
                <w:rtl w:val="true"/>
              </w:rPr>
              <w:tab/>
            </w:r>
            <w:r>
              <w:rPr>
                <w:rStyle w:val="IndexLink"/>
              </w:rPr>
              <w:t>605</w:t>
            </w:r>
          </w:hyperlink>
        </w:p>
        <w:p>
          <w:pPr>
            <w:pStyle w:val="Contents5"/>
            <w:tabs>
              <w:tab w:val="clear" w:pos="7892"/>
              <w:tab w:val="right" w:pos="9026" w:leader="dot"/>
            </w:tabs>
            <w:rPr/>
          </w:pPr>
          <w:hyperlink w:anchor="__RefHeading___Toc2139204_2322387425">
            <w:r>
              <w:rPr>
                <w:webHidden/>
                <w:rStyle w:val="IndexLink"/>
                <w:rtl w:val="true"/>
              </w:rPr>
              <w:t>السادس</w:t>
            </w:r>
            <w:r>
              <w:rPr>
                <w:rStyle w:val="IndexLink"/>
                <w:rtl w:val="true"/>
              </w:rPr>
              <w:t xml:space="preserve">: </w:t>
            </w:r>
            <w:r>
              <w:rPr>
                <w:rStyle w:val="IndexLink"/>
                <w:rtl w:val="true"/>
              </w:rPr>
              <w:t>أن لا یکون قاتل نفسه، وفیه أحکام</w:t>
            </w:r>
            <w:r>
              <w:rPr>
                <w:rStyle w:val="IndexLink"/>
                <w:rtl w:val="true"/>
              </w:rPr>
              <w:tab/>
            </w:r>
            <w:r>
              <w:rPr>
                <w:rStyle w:val="IndexLink"/>
              </w:rPr>
              <w:t>608</w:t>
            </w:r>
          </w:hyperlink>
        </w:p>
        <w:p>
          <w:pPr>
            <w:pStyle w:val="Contents4"/>
            <w:tabs>
              <w:tab w:val="clear" w:pos="8176"/>
              <w:tab w:val="right" w:pos="9026" w:leader="dot"/>
            </w:tabs>
            <w:rPr/>
          </w:pPr>
          <w:hyperlink w:anchor="__RefHeading___Toc2139206_2322387425">
            <w:r>
              <w:rPr>
                <w:webHidden/>
                <w:rStyle w:val="IndexLink"/>
                <w:rtl w:val="true"/>
              </w:rPr>
              <w:t>وصیّة الأب أو الجدّ مع فقد الآخر بالولایة علی الأطفال</w:t>
            </w:r>
            <w:r>
              <w:rPr>
                <w:rStyle w:val="IndexLink"/>
                <w:rtl w:val="true"/>
              </w:rPr>
              <w:tab/>
            </w:r>
            <w:r>
              <w:rPr>
                <w:rStyle w:val="IndexLink"/>
              </w:rPr>
              <w:t>609</w:t>
            </w:r>
          </w:hyperlink>
        </w:p>
        <w:p>
          <w:pPr>
            <w:pStyle w:val="Contents3"/>
            <w:tabs>
              <w:tab w:val="clear" w:pos="8459"/>
              <w:tab w:val="right" w:pos="9026" w:leader="dot"/>
            </w:tabs>
            <w:rPr/>
          </w:pPr>
          <w:hyperlink w:anchor="__RefHeading___Toc2139208_2322387425">
            <w:r>
              <w:rPr>
                <w:webHidden/>
                <w:rStyle w:val="IndexLink"/>
                <w:rtl w:val="true"/>
              </w:rPr>
              <w:t xml:space="preserve">فصل </w:t>
            </w:r>
            <w:r>
              <w:rPr>
                <w:rStyle w:val="IndexLink"/>
                <w:rtl w:val="true"/>
              </w:rPr>
              <w:t>[</w:t>
            </w:r>
            <w:r>
              <w:rPr>
                <w:rStyle w:val="IndexLink"/>
                <w:rtl w:val="true"/>
              </w:rPr>
              <w:t>فی الموصی به</w:t>
            </w:r>
            <w:r>
              <w:rPr>
                <w:rStyle w:val="IndexLink"/>
                <w:rtl w:val="true"/>
              </w:rPr>
              <w:t>]</w:t>
              <w:tab/>
            </w:r>
            <w:r>
              <w:rPr>
                <w:rStyle w:val="IndexLink"/>
              </w:rPr>
              <w:t>613</w:t>
            </w:r>
          </w:hyperlink>
        </w:p>
        <w:p>
          <w:pPr>
            <w:pStyle w:val="Contents4"/>
            <w:tabs>
              <w:tab w:val="clear" w:pos="8176"/>
              <w:tab w:val="right" w:pos="9026" w:leader="dot"/>
            </w:tabs>
            <w:rPr/>
          </w:pPr>
          <w:hyperlink w:anchor="__RefHeading___Toc2139210_2322387425">
            <w:r>
              <w:rPr>
                <w:webHidden/>
                <w:rStyle w:val="IndexLink"/>
                <w:rtl w:val="true"/>
              </w:rPr>
              <w:t>ما تصحّ الوصیّة به من الاُمور وما لا تصحّ</w:t>
            </w:r>
            <w:r>
              <w:rPr>
                <w:rStyle w:val="IndexLink"/>
                <w:rtl w:val="true"/>
              </w:rPr>
              <w:tab/>
            </w:r>
            <w:r>
              <w:rPr>
                <w:rStyle w:val="IndexLink"/>
              </w:rPr>
              <w:t>613</w:t>
            </w:r>
          </w:hyperlink>
        </w:p>
        <w:p>
          <w:pPr>
            <w:pStyle w:val="Contents4"/>
            <w:tabs>
              <w:tab w:val="clear" w:pos="8176"/>
              <w:tab w:val="right" w:pos="9026" w:leader="dot"/>
            </w:tabs>
            <w:rPr/>
          </w:pPr>
          <w:hyperlink w:anchor="__RefHeading___Toc2139212_2322387425">
            <w:r>
              <w:rPr>
                <w:webHidden/>
                <w:rStyle w:val="IndexLink"/>
                <w:rtl w:val="true"/>
              </w:rPr>
              <w:t>بطلان الوصیّة فی الزائد عن الثلث إلّا مع إجازة الورثة</w:t>
            </w:r>
            <w:r>
              <w:rPr>
                <w:rStyle w:val="IndexLink"/>
                <w:rtl w:val="true"/>
              </w:rPr>
              <w:tab/>
            </w:r>
            <w:r>
              <w:rPr>
                <w:rStyle w:val="IndexLink"/>
              </w:rPr>
              <w:t>616</w:t>
            </w:r>
          </w:hyperlink>
        </w:p>
        <w:p>
          <w:pPr>
            <w:pStyle w:val="Contents4"/>
            <w:tabs>
              <w:tab w:val="clear" w:pos="8176"/>
              <w:tab w:val="right" w:pos="9026" w:leader="dot"/>
            </w:tabs>
            <w:rPr/>
          </w:pPr>
          <w:hyperlink w:anchor="__RefHeading___Toc2139214_2322387425">
            <w:r>
              <w:rPr>
                <w:webHidden/>
                <w:rStyle w:val="IndexLink"/>
                <w:rtl w:val="true"/>
              </w:rPr>
              <w:t>وصیّة من لم یقصد الثلث ومن قصد کونها من الأصل أو ثلثی الورثة</w:t>
            </w:r>
            <w:r>
              <w:rPr>
                <w:rStyle w:val="IndexLink"/>
                <w:rtl w:val="true"/>
              </w:rPr>
              <w:tab/>
            </w:r>
            <w:r>
              <w:rPr>
                <w:rStyle w:val="IndexLink"/>
              </w:rPr>
              <w:t>617</w:t>
            </w:r>
          </w:hyperlink>
        </w:p>
        <w:p>
          <w:pPr>
            <w:pStyle w:val="Contents4"/>
            <w:tabs>
              <w:tab w:val="clear" w:pos="8176"/>
              <w:tab w:val="right" w:pos="9026" w:leader="dot"/>
            </w:tabs>
            <w:rPr/>
          </w:pPr>
          <w:hyperlink w:anchor="__RefHeading___Toc2139216_2322387425">
            <w:r>
              <w:rPr>
                <w:webHidden/>
                <w:rStyle w:val="IndexLink"/>
                <w:rtl w:val="true"/>
              </w:rPr>
              <w:t>الوصیّة بالأزید أو بتمام الترکة مع الجهل بکونها فی واجب أو فی غیره</w:t>
            </w:r>
            <w:r>
              <w:rPr>
                <w:rStyle w:val="IndexLink"/>
                <w:rtl w:val="true"/>
              </w:rPr>
              <w:tab/>
            </w:r>
            <w:r>
              <w:rPr>
                <w:rStyle w:val="IndexLink"/>
              </w:rPr>
              <w:t>620</w:t>
            </w:r>
          </w:hyperlink>
        </w:p>
        <w:p>
          <w:pPr>
            <w:pStyle w:val="Contents4"/>
            <w:tabs>
              <w:tab w:val="clear" w:pos="8176"/>
              <w:tab w:val="right" w:pos="9026" w:leader="dot"/>
            </w:tabs>
            <w:rPr/>
          </w:pPr>
          <w:hyperlink w:anchor="__RefHeading___Toc2139218_2322387425">
            <w:r>
              <w:rPr>
                <w:webHidden/>
                <w:rStyle w:val="IndexLink"/>
                <w:rtl w:val="true"/>
              </w:rPr>
              <w:t>نفوذ إجازة الوارث فی الوصیّة بعد وفاة الموصی وحال حیاته علی کلام</w:t>
            </w:r>
            <w:r>
              <w:rPr>
                <w:rStyle w:val="IndexLink"/>
                <w:rtl w:val="true"/>
              </w:rPr>
              <w:tab/>
            </w:r>
            <w:r>
              <w:rPr>
                <w:rStyle w:val="IndexLink"/>
              </w:rPr>
              <w:t>622</w:t>
            </w:r>
          </w:hyperlink>
        </w:p>
        <w:p>
          <w:pPr>
            <w:pStyle w:val="Contents4"/>
            <w:tabs>
              <w:tab w:val="clear" w:pos="8176"/>
              <w:tab w:val="right" w:pos="9026" w:leader="dot"/>
            </w:tabs>
            <w:rPr/>
          </w:pPr>
          <w:hyperlink w:anchor="__RefHeading___Toc2139220_2322387425">
            <w:r>
              <w:rPr>
                <w:webHidden/>
                <w:rStyle w:val="IndexLink"/>
                <w:rtl w:val="true"/>
              </w:rPr>
              <w:t>إذا أجاز الورثة ثمّ ادّعوا الظنّ بقلّة المال</w:t>
            </w:r>
            <w:r>
              <w:rPr>
                <w:rStyle w:val="IndexLink"/>
                <w:rtl w:val="true"/>
              </w:rPr>
              <w:tab/>
            </w:r>
            <w:r>
              <w:rPr>
                <w:rStyle w:val="IndexLink"/>
              </w:rPr>
              <w:t>624</w:t>
            </w:r>
          </w:hyperlink>
        </w:p>
        <w:p>
          <w:pPr>
            <w:pStyle w:val="Contents4"/>
            <w:tabs>
              <w:tab w:val="clear" w:pos="8176"/>
              <w:tab w:val="right" w:pos="9026" w:leader="dot"/>
            </w:tabs>
            <w:rPr/>
          </w:pPr>
          <w:hyperlink w:anchor="__RefHeading___Toc2139222_2322387425">
            <w:r>
              <w:rPr>
                <w:webHidden/>
                <w:rStyle w:val="IndexLink"/>
                <w:rtl w:val="true"/>
              </w:rPr>
              <w:t>المدار فی الثلث علی حال وفاة الموصی لا حال الوصیّة</w:t>
            </w:r>
            <w:r>
              <w:rPr>
                <w:rStyle w:val="IndexLink"/>
                <w:rtl w:val="true"/>
              </w:rPr>
              <w:tab/>
            </w:r>
            <w:r>
              <w:rPr>
                <w:rStyle w:val="IndexLink"/>
              </w:rPr>
              <w:t>629</w:t>
            </w:r>
          </w:hyperlink>
        </w:p>
        <w:p>
          <w:pPr>
            <w:pStyle w:val="Contents4"/>
            <w:tabs>
              <w:tab w:val="clear" w:pos="8176"/>
              <w:tab w:val="right" w:pos="9026" w:leader="dot"/>
            </w:tabs>
            <w:rPr/>
          </w:pPr>
          <w:hyperlink w:anchor="__RefHeading___Toc2139224_2322387425">
            <w:r>
              <w:rPr>
                <w:webHidden/>
                <w:rStyle w:val="IndexLink"/>
                <w:rtl w:val="true"/>
              </w:rPr>
              <w:t>حکم الوصیّة بمقدار ثمّ تلف بعض الترکة قبل تنفیذ الوصیّة</w:t>
            </w:r>
            <w:r>
              <w:rPr>
                <w:rStyle w:val="IndexLink"/>
                <w:rtl w:val="true"/>
              </w:rPr>
              <w:tab/>
            </w:r>
            <w:r>
              <w:rPr>
                <w:rStyle w:val="IndexLink"/>
              </w:rPr>
              <w:t>631</w:t>
            </w:r>
          </w:hyperlink>
        </w:p>
        <w:p>
          <w:pPr>
            <w:pStyle w:val="Contents4"/>
            <w:tabs>
              <w:tab w:val="clear" w:pos="8176"/>
              <w:tab w:val="right" w:pos="9026" w:leader="dot"/>
            </w:tabs>
            <w:rPr/>
          </w:pPr>
          <w:hyperlink w:anchor="__RefHeading___Toc2139226_2322387425">
            <w:r>
              <w:rPr>
                <w:webHidden/>
                <w:rStyle w:val="IndexLink"/>
                <w:rtl w:val="true"/>
              </w:rPr>
              <w:t>المال الحاصل للموصی بعد الموت</w:t>
            </w:r>
            <w:r>
              <w:rPr>
                <w:rStyle w:val="IndexLink"/>
                <w:rtl w:val="true"/>
              </w:rPr>
              <w:tab/>
            </w:r>
            <w:r>
              <w:rPr>
                <w:rStyle w:val="IndexLink"/>
              </w:rPr>
              <w:t>632</w:t>
            </w:r>
          </w:hyperlink>
        </w:p>
        <w:p>
          <w:pPr>
            <w:pStyle w:val="Contents3"/>
            <w:tabs>
              <w:tab w:val="clear" w:pos="8459"/>
              <w:tab w:val="right" w:pos="9026" w:leader="dot"/>
            </w:tabs>
            <w:rPr/>
          </w:pPr>
          <w:hyperlink w:anchor="__RefHeading___Toc2139228_2322387425">
            <w:r>
              <w:rPr>
                <w:webHidden/>
                <w:rStyle w:val="IndexLink"/>
                <w:rtl w:val="true"/>
              </w:rPr>
              <w:t>مِسک الختام</w:t>
            </w:r>
            <w:r>
              <w:rPr>
                <w:rStyle w:val="IndexLink"/>
                <w:rtl w:val="true"/>
              </w:rPr>
              <w:tab/>
            </w:r>
            <w:r>
              <w:rPr>
                <w:rStyle w:val="IndexLink"/>
              </w:rPr>
              <w:t>633</w:t>
            </w:r>
          </w:hyperlink>
        </w:p>
        <w:p>
          <w:pPr>
            <w:pStyle w:val="Contents2"/>
            <w:tabs>
              <w:tab w:val="clear" w:pos="8743"/>
              <w:tab w:val="right" w:pos="9026" w:leader="dot"/>
            </w:tabs>
            <w:rPr/>
          </w:pPr>
          <w:hyperlink w:anchor="__RefHeading___Toc2139230_2322387425">
            <w:r>
              <w:rPr>
                <w:webHidden/>
                <w:rStyle w:val="IndexLink"/>
                <w:rtl w:val="true"/>
              </w:rPr>
              <w:t>الفهارس الفنّیّه</w:t>
            </w:r>
            <w:r>
              <w:rPr>
                <w:rStyle w:val="IndexLink"/>
                <w:rtl w:val="true"/>
              </w:rPr>
              <w:tab/>
            </w:r>
            <w:r>
              <w:rPr>
                <w:rStyle w:val="IndexLink"/>
              </w:rPr>
              <w:t>636</w:t>
            </w:r>
          </w:hyperlink>
        </w:p>
        <w:p>
          <w:pPr>
            <w:pStyle w:val="Contents3"/>
            <w:tabs>
              <w:tab w:val="clear" w:pos="8459"/>
              <w:tab w:val="right" w:pos="9026" w:leader="dot"/>
            </w:tabs>
            <w:rPr/>
          </w:pPr>
          <w:hyperlink w:anchor="__RefHeading___Toc2139232_2322387425">
            <w:r>
              <w:rPr>
                <w:webHidden/>
                <w:rStyle w:val="IndexLink"/>
                <w:rtl w:val="true"/>
              </w:rPr>
              <w:t>اشارة</w:t>
            </w:r>
            <w:r>
              <w:rPr>
                <w:rStyle w:val="IndexLink"/>
                <w:rtl w:val="true"/>
              </w:rPr>
              <w:tab/>
            </w:r>
            <w:r>
              <w:rPr>
                <w:rStyle w:val="IndexLink"/>
              </w:rPr>
              <w:t>636</w:t>
            </w:r>
          </w:hyperlink>
        </w:p>
        <w:p>
          <w:pPr>
            <w:pStyle w:val="Contents3"/>
            <w:tabs>
              <w:tab w:val="clear" w:pos="8459"/>
              <w:tab w:val="right" w:pos="9026" w:leader="dot"/>
            </w:tabs>
            <w:rPr/>
          </w:pPr>
          <w:hyperlink w:anchor="__RefHeading___Toc2139234_2322387425">
            <w:r>
              <w:rPr>
                <w:webHidden/>
                <w:rStyle w:val="IndexLink"/>
                <w:rtl w:val="true"/>
              </w:rPr>
              <w:t>کتاب الضمان</w:t>
            </w:r>
            <w:r>
              <w:rPr>
                <w:rStyle w:val="IndexLink"/>
                <w:rtl w:val="true"/>
              </w:rPr>
              <w:tab/>
            </w:r>
            <w:r>
              <w:rPr>
                <w:rStyle w:val="IndexLink"/>
              </w:rPr>
              <w:t>636</w:t>
            </w:r>
          </w:hyperlink>
        </w:p>
        <w:p>
          <w:pPr>
            <w:pStyle w:val="Contents3"/>
            <w:tabs>
              <w:tab w:val="clear" w:pos="8459"/>
              <w:tab w:val="right" w:pos="9026" w:leader="dot"/>
            </w:tabs>
            <w:rPr/>
          </w:pPr>
          <w:hyperlink w:anchor="__RefHeading___Toc2139236_2322387425">
            <w:r>
              <w:rPr>
                <w:webHidden/>
                <w:rStyle w:val="IndexLink"/>
                <w:rtl w:val="true"/>
              </w:rPr>
              <w:t>کتاب الحوالة</w:t>
            </w:r>
            <w:r>
              <w:rPr>
                <w:rStyle w:val="IndexLink"/>
                <w:rtl w:val="true"/>
              </w:rPr>
              <w:tab/>
            </w:r>
            <w:r>
              <w:rPr>
                <w:rStyle w:val="IndexLink"/>
              </w:rPr>
              <w:t>639</w:t>
            </w:r>
          </w:hyperlink>
        </w:p>
        <w:p>
          <w:pPr>
            <w:pStyle w:val="Contents3"/>
            <w:tabs>
              <w:tab w:val="clear" w:pos="8459"/>
              <w:tab w:val="right" w:pos="9026" w:leader="dot"/>
            </w:tabs>
            <w:rPr/>
          </w:pPr>
          <w:hyperlink w:anchor="__RefHeading___Toc2139238_2322387425">
            <w:r>
              <w:rPr>
                <w:webHidden/>
                <w:rStyle w:val="IndexLink"/>
                <w:rtl w:val="true"/>
              </w:rPr>
              <w:t>کتاب النکاح</w:t>
            </w:r>
            <w:r>
              <w:rPr>
                <w:rStyle w:val="IndexLink"/>
                <w:rtl w:val="true"/>
              </w:rPr>
              <w:tab/>
            </w:r>
            <w:r>
              <w:rPr>
                <w:rStyle w:val="IndexLink"/>
              </w:rPr>
              <w:t>640</w:t>
            </w:r>
          </w:hyperlink>
        </w:p>
        <w:p>
          <w:pPr>
            <w:pStyle w:val="Contents3"/>
            <w:tabs>
              <w:tab w:val="clear" w:pos="8459"/>
              <w:tab w:val="right" w:pos="9026" w:leader="dot"/>
            </w:tabs>
            <w:rPr/>
          </w:pPr>
          <w:hyperlink w:anchor="__RefHeading___Toc2139240_2322387425">
            <w:r>
              <w:rPr>
                <w:webHidden/>
                <w:rStyle w:val="IndexLink"/>
                <w:rtl w:val="true"/>
              </w:rPr>
              <w:t>کتاب الوصیّة</w:t>
            </w:r>
            <w:r>
              <w:rPr>
                <w:rStyle w:val="IndexLink"/>
                <w:rtl w:val="true"/>
              </w:rPr>
              <w:tab/>
            </w:r>
            <w:r>
              <w:rPr>
                <w:rStyle w:val="IndexLink"/>
              </w:rPr>
              <w:t>655</w:t>
            </w:r>
          </w:hyperlink>
        </w:p>
        <w:p>
          <w:pPr>
            <w:pStyle w:val="Contents2"/>
            <w:tabs>
              <w:tab w:val="clear" w:pos="8743"/>
              <w:tab w:val="right" w:pos="9026" w:leader="dot"/>
            </w:tabs>
            <w:rPr/>
          </w:pPr>
          <w:hyperlink w:anchor="__RefHeading___Toc2139242_2322387425">
            <w:r>
              <w:rPr>
                <w:webHidden/>
                <w:rStyle w:val="IndexLink"/>
                <w:rtl w:val="true"/>
              </w:rPr>
              <w:t>فهرست الإصدارات العلمیة لمؤسسة السبطین علیهما السّلام العالمیة</w:t>
            </w:r>
            <w:r>
              <w:rPr>
                <w:rStyle w:val="IndexLink"/>
                <w:rtl w:val="true"/>
              </w:rPr>
              <w:tab/>
            </w:r>
            <w:r>
              <w:rPr>
                <w:rStyle w:val="IndexLink"/>
              </w:rPr>
              <w:t>658</w:t>
            </w:r>
          </w:hyperlink>
        </w:p>
        <w:p>
          <w:pPr>
            <w:pStyle w:val="Contents3"/>
            <w:tabs>
              <w:tab w:val="clear" w:pos="8459"/>
              <w:tab w:val="right" w:pos="9026" w:leader="dot"/>
            </w:tabs>
            <w:rPr/>
          </w:pPr>
          <w:hyperlink w:anchor="__RefHeading___Toc2139244_2322387425">
            <w:r>
              <w:rPr>
                <w:webHidden/>
                <w:rStyle w:val="IndexLink"/>
                <w:rtl w:val="true"/>
              </w:rPr>
              <w:t>باللغة العربیة</w:t>
            </w:r>
            <w:r>
              <w:rPr>
                <w:rStyle w:val="IndexLink"/>
                <w:rtl w:val="true"/>
              </w:rPr>
              <w:tab/>
            </w:r>
            <w:r>
              <w:rPr>
                <w:rStyle w:val="IndexLink"/>
              </w:rPr>
              <w:t>658</w:t>
            </w:r>
          </w:hyperlink>
        </w:p>
        <w:p>
          <w:pPr>
            <w:pStyle w:val="Contents3"/>
            <w:tabs>
              <w:tab w:val="clear" w:pos="8459"/>
              <w:tab w:val="right" w:pos="9026" w:leader="dot"/>
            </w:tabs>
            <w:rPr/>
          </w:pPr>
          <w:hyperlink w:anchor="__RefHeading___Toc2139246_2322387425">
            <w:r>
              <w:rPr>
                <w:webHidden/>
                <w:rStyle w:val="IndexLink"/>
                <w:rtl w:val="true"/>
              </w:rPr>
              <w:t>باللغة الفارسیة</w:t>
            </w:r>
            <w:r>
              <w:rPr>
                <w:rStyle w:val="IndexLink"/>
                <w:rtl w:val="true"/>
              </w:rPr>
              <w:tab/>
            </w:r>
            <w:r>
              <w:rPr>
                <w:rStyle w:val="IndexLink"/>
              </w:rPr>
              <w:t>661</w:t>
            </w:r>
          </w:hyperlink>
        </w:p>
        <w:p>
          <w:pPr>
            <w:pStyle w:val="Contents3"/>
            <w:tabs>
              <w:tab w:val="clear" w:pos="8459"/>
              <w:tab w:val="right" w:pos="9026" w:leader="dot"/>
            </w:tabs>
            <w:rPr/>
          </w:pPr>
          <w:hyperlink w:anchor="__RefHeading___Toc2139248_2322387425">
            <w:r>
              <w:rPr>
                <w:webHidden/>
                <w:rStyle w:val="IndexLink"/>
                <w:rtl w:val="true"/>
              </w:rPr>
              <w:t>باللغة الانجلیزیة</w:t>
            </w:r>
            <w:r>
              <w:rPr>
                <w:rStyle w:val="IndexLink"/>
                <w:rtl w:val="true"/>
              </w:rPr>
              <w:tab/>
            </w:r>
            <w:r>
              <w:rPr>
                <w:rStyle w:val="IndexLink"/>
              </w:rPr>
              <w:t>662</w:t>
            </w:r>
          </w:hyperlink>
        </w:p>
        <w:p>
          <w:pPr>
            <w:pStyle w:val="Contents3"/>
            <w:tabs>
              <w:tab w:val="clear" w:pos="8459"/>
              <w:tab w:val="right" w:pos="9026" w:leader="dot"/>
            </w:tabs>
            <w:rPr/>
          </w:pPr>
          <w:hyperlink w:anchor="__RefHeading___Toc2139250_2322387425">
            <w:r>
              <w:rPr>
                <w:webHidden/>
                <w:rStyle w:val="IndexLink"/>
                <w:rtl w:val="true"/>
              </w:rPr>
              <w:t>باللغة الاُردویة</w:t>
            </w:r>
            <w:r>
              <w:rPr>
                <w:rStyle w:val="IndexLink"/>
                <w:rtl w:val="true"/>
              </w:rPr>
              <w:tab/>
            </w:r>
            <w:r>
              <w:rPr>
                <w:rStyle w:val="IndexLink"/>
              </w:rPr>
              <w:t>662</w:t>
            </w:r>
          </w:hyperlink>
        </w:p>
        <w:p>
          <w:pPr>
            <w:pStyle w:val="Contents3"/>
            <w:tabs>
              <w:tab w:val="clear" w:pos="8459"/>
              <w:tab w:val="right" w:pos="9026" w:leader="dot"/>
            </w:tabs>
            <w:rPr/>
          </w:pPr>
          <w:hyperlink w:anchor="__RefHeading___Toc2139252_2322387425">
            <w:r>
              <w:rPr>
                <w:webHidden/>
                <w:rStyle w:val="IndexLink"/>
                <w:rtl w:val="true"/>
              </w:rPr>
              <w:t>باللغة الفرنسیة</w:t>
            </w:r>
            <w:r>
              <w:rPr>
                <w:rStyle w:val="IndexLink"/>
                <w:rtl w:val="true"/>
              </w:rPr>
              <w:tab/>
            </w:r>
            <w:r>
              <w:rPr>
                <w:rStyle w:val="IndexLink"/>
              </w:rPr>
              <w:t>663</w:t>
            </w:r>
          </w:hyperlink>
        </w:p>
        <w:p>
          <w:pPr>
            <w:pStyle w:val="Contents3"/>
            <w:tabs>
              <w:tab w:val="clear" w:pos="8459"/>
              <w:tab w:val="right" w:pos="9026" w:leader="dot"/>
            </w:tabs>
            <w:rPr/>
          </w:pPr>
          <w:hyperlink w:anchor="__RefHeading___Toc2139254_2322387425">
            <w:r>
              <w:rPr>
                <w:webHidden/>
                <w:rStyle w:val="IndexLink"/>
                <w:rtl w:val="true"/>
              </w:rPr>
              <w:t>مرکز النشر و التوزیع لمؤسسة السبطین علیهما السّلام العالمیة</w:t>
            </w:r>
            <w:r>
              <w:rPr>
                <w:rStyle w:val="IndexLink"/>
                <w:rtl w:val="true"/>
              </w:rPr>
              <w:tab/>
            </w:r>
            <w:r>
              <w:rPr>
                <w:rStyle w:val="IndexLink"/>
              </w:rPr>
              <w:t>664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6_153637"/>
      <w:bookmarkStart w:id="1" w:name="pg13286_153637"/>
      <w:bookmarkEnd w:id="1"/>
    </w:p>
    <w:p>
      <w:pPr>
        <w:pStyle w:val="Heading2"/>
        <w:numPr>
          <w:ilvl w:val="1"/>
          <w:numId w:val="1"/>
        </w:numPr>
        <w:rPr/>
      </w:pPr>
      <w:bookmarkStart w:id="2" w:name="pg13286_153637"/>
      <w:bookmarkStart w:id="3" w:name="__RefHeading___Toc213841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 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8418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العُروَةُ الوُثقَی وَ التَّعلِیقَاتُ عَلَیهَا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الفقیه الاعظم السید محمد کاظم الطباطبایی الیزدی</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السبطین علیهما السلام العالمیّة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86_153643"/>
      <w:bookmarkStart w:id="8" w:name="pg13286_153643"/>
      <w:bookmarkEnd w:id="8"/>
    </w:p>
    <w:p>
      <w:pPr>
        <w:pStyle w:val="Heading2"/>
        <w:numPr>
          <w:ilvl w:val="1"/>
          <w:numId w:val="1"/>
        </w:numPr>
        <w:rPr/>
      </w:pPr>
      <w:bookmarkStart w:id="9" w:name="pg13286_153643"/>
      <w:bookmarkStart w:id="10" w:name="__RefHeading___Toc2138420_2322387425"/>
      <w:bookmarkStart w:id="11" w:name="_Toc3"/>
      <w:bookmarkEnd w:id="9"/>
      <w:bookmarkEnd w:id="10"/>
      <w:r>
        <w:rPr>
          <w:rtl w:val="true"/>
        </w:rPr>
        <w:t>کتاب الضمان</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2138422_2322387425"/>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286_153645"/>
      <w:bookmarkStart w:id="15" w:name="pg13286_153645"/>
      <w:bookmarkEnd w:id="15"/>
    </w:p>
    <w:p>
      <w:pPr>
        <w:pStyle w:val="BookText"/>
        <w:rPr/>
      </w:pPr>
      <w:bookmarkStart w:id="16" w:name="pg13286_153645"/>
      <w:bookmarkEnd w:id="16"/>
      <w:r>
        <w:rPr>
          <w:rFonts w:ascii="IRNazanin" w:hAnsi="IRNazanin" w:eastAsia="IRNazanin"/>
          <w:color w:val="111111"/>
          <w:sz w:val="28"/>
          <w:sz w:val="28"/>
          <w:szCs w:val="28"/>
          <w:rtl w:val="true"/>
          <w:lang w:bidi="fa-IR"/>
        </w:rPr>
        <w:t>الضمان</w:t>
      </w:r>
    </w:p>
    <w:p>
      <w:pPr>
        <w:pStyle w:val="Heading3"/>
        <w:numPr>
          <w:ilvl w:val="2"/>
          <w:numId w:val="1"/>
        </w:numPr>
        <w:rPr/>
      </w:pPr>
      <w:bookmarkStart w:id="17" w:name="__RefHeading___Toc2138424_2322387425"/>
      <w:bookmarkStart w:id="18" w:name="_Toc5"/>
      <w:bookmarkEnd w:id="17"/>
      <w:r>
        <w:rPr>
          <w:rtl w:val="true"/>
        </w:rPr>
        <w:t>معنی الضمان وإطلاقاته وشرائطه</w:t>
      </w:r>
      <w:bookmarkEnd w:id="18"/>
    </w:p>
    <w:p>
      <w:pPr>
        <w:pStyle w:val="Heading4"/>
        <w:numPr>
          <w:ilvl w:val="3"/>
          <w:numId w:val="1"/>
        </w:numPr>
        <w:rPr/>
      </w:pPr>
      <w:bookmarkStart w:id="19" w:name="__RefHeading___Toc2138426_2322387425"/>
      <w:bookmarkStart w:id="20" w:name="_Toc6"/>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وهو من الضَمْن؛ لأنّه موجب لتضمّن ذمّة الضامن للمال الّذی علی المضمون عنه للمضمون له، فالنون فیه أصلیّة، کما یشهد له سائر تصرّفاته من الماضی والمستقبل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قیل</w:t>
      </w:r>
      <w:r>
        <w:rPr>
          <w:rStyle w:val="FootnoteAnchor"/>
          <w:rtl w:val="true"/>
        </w:rPr>
        <w:footnoteReference w:id="2"/>
      </w:r>
      <w:r>
        <w:rPr>
          <w:rFonts w:ascii="IRNazanin" w:hAnsi="IRNazanin" w:eastAsia="IRNazanin"/>
          <w:color w:val="111111"/>
          <w:sz w:val="28"/>
          <w:sz w:val="28"/>
          <w:szCs w:val="28"/>
          <w:rtl w:val="true"/>
          <w:lang w:bidi="fa-IR"/>
        </w:rPr>
        <w:t> من احتمال کونه من الضَمِّ ـ فتکون النون زائدة ـ واضح الفساد</w:t>
      </w:r>
      <w:r>
        <w:rPr>
          <w:rStyle w:val="FootnoteAnchor"/>
          <w:rtl w:val="true"/>
        </w:rPr>
        <w:footnoteReference w:id="3"/>
      </w:r>
      <w:r>
        <w:rPr>
          <w:rFonts w:ascii="IRNazanin" w:hAnsi="IRNazanin" w:eastAsia="IRNazanin"/>
          <w:color w:val="111111"/>
          <w:sz w:val="28"/>
          <w:sz w:val="28"/>
          <w:szCs w:val="28"/>
          <w:rtl w:val="true"/>
          <w:lang w:bidi="fa-IR"/>
        </w:rPr>
        <w:t>إذ مع منافاته لسائر مشتقّاته لازمه کون المیم مشدّدة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بالمعنی الأعمّ الشامل للحوالة والکفالة أیضاً، فیکون بمعنی التعهّد بالمال أو النفس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بالمعنی الأخصّ</w:t>
      </w:r>
      <w:r>
        <w:rPr>
          <w:rStyle w:val="FootnoteAnchor"/>
          <w:rtl w:val="true"/>
        </w:rPr>
        <w:footnoteReference w:id="5"/>
      </w:r>
      <w:r>
        <w:rPr>
          <w:rFonts w:ascii="IRNazanin" w:hAnsi="IRNazanin" w:eastAsia="IRNazanin"/>
          <w:color w:val="111111"/>
          <w:sz w:val="28"/>
          <w:sz w:val="28"/>
          <w:szCs w:val="28"/>
          <w:rtl w:val="true"/>
          <w:lang w:bidi="fa-IR"/>
        </w:rPr>
        <w:t>، وهو التعهّد</w:t>
      </w:r>
      <w:r>
        <w:rPr>
          <w:rStyle w:val="FootnoteAnchor"/>
          <w:rtl w:val="true"/>
        </w:rPr>
        <w:footnoteReference w:id="6"/>
      </w:r>
      <w:r>
        <w:rPr>
          <w:rFonts w:ascii="Amiri" w:hAnsi="Amiri" w:eastAsia="Amiri" w:cs="Amiri"/>
          <w:color w:val="111111"/>
          <w:sz w:val="28"/>
          <w:sz w:val="28"/>
          <w:szCs w:val="28"/>
          <w:rtl w:val="true"/>
          <w:lang w:bidi="ar-SA"/>
        </w:rPr>
        <w:t xml:space="preserve"> بالمال عیناً أو منفعةً أو عملاً، </w:t>
      </w:r>
      <w:bookmarkStart w:id="21" w:name="pg13286_153646"/>
    </w:p>
    <w:p>
      <w:pPr>
        <w:pStyle w:val="BookText"/>
        <w:rPr/>
      </w:pPr>
      <w:bookmarkEnd w:id="21"/>
      <w:r>
        <w:rPr>
          <w:rFonts w:ascii="IRNazanin" w:hAnsi="IRNazanin" w:eastAsia="IRNazanin"/>
          <w:color w:val="111111"/>
          <w:sz w:val="28"/>
          <w:sz w:val="28"/>
          <w:szCs w:val="28"/>
          <w:rtl w:val="true"/>
          <w:lang w:bidi="fa-IR"/>
        </w:rPr>
        <w:t>وهو المقصود</w:t>
      </w:r>
      <w:r>
        <w:rPr>
          <w:rStyle w:val="FootnoteAnchor"/>
          <w:rtl w:val="true"/>
        </w:rPr>
        <w:footnoteReference w:id="7"/>
      </w:r>
      <w:r>
        <w:rPr>
          <w:rFonts w:ascii="IRNazanin" w:hAnsi="IRNazanin" w:eastAsia="IRNazanin"/>
          <w:color w:val="111111"/>
          <w:sz w:val="28"/>
          <w:sz w:val="28"/>
          <w:szCs w:val="28"/>
          <w:rtl w:val="true"/>
          <w:lang w:bidi="fa-IR"/>
        </w:rPr>
        <w:t> من هذا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ویُشترَطُ فیه اُمور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2138428_2322387425"/>
      <w:bookmarkStart w:id="23" w:name="_Toc7"/>
      <w:bookmarkEnd w:id="22"/>
      <w:r>
        <w:rPr>
          <w:rtl w:val="true"/>
        </w:rPr>
        <w:t>أحدها</w:t>
      </w:r>
      <w:r>
        <w:rPr>
          <w:rtl w:val="true"/>
        </w:rPr>
        <w:t xml:space="preserve">: </w:t>
      </w:r>
      <w:r>
        <w:rPr>
          <w:rtl w:val="true"/>
        </w:rPr>
        <w:t>الإیجاب</w:t>
      </w:r>
      <w:bookmarkEnd w:id="23"/>
    </w:p>
    <w:p>
      <w:pPr>
        <w:pStyle w:val="BookText"/>
        <w:rPr/>
      </w:pPr>
      <w:r>
        <w:rPr>
          <w:rFonts w:ascii="Amiri" w:hAnsi="Amiri" w:eastAsia="Amiri" w:cs="Amiri"/>
          <w:color w:val="111111"/>
          <w:sz w:val="28"/>
          <w:sz w:val="28"/>
          <w:szCs w:val="28"/>
          <w:rtl w:val="true"/>
          <w:lang w:bidi="ar-SA"/>
        </w:rPr>
        <w:t>ویکفی فیه کلّ لفظٍ دالّ</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علی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اعتبار الألفاظ الصریحة إیجاباً وقبولاً، کغیره من العقوداللازمة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الفعل علی التعهّد وکونه إیجاداً له مجرّد فرضٍ لا واقع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کتابةٍ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یصدق حینئذٍ الضمان العقدیّ وعقد الضمان؛ لأنّ صدق العقد یتوقّف علیکون الإیجاب والقبول کلاهما لفظاً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مثل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الکتابة الصریحة مع قصد إنشاء التعهّد بها، ولکنّ الأحوط عدم الاکتفاء بغیراللفظ فی الإیجاب، بل وفی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فرض دلالته علیه، لکنّه مجرّد فرض، وکذا فی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الکتابة، وکذا فی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بالدلالة الظاهرة علی إنشاء الضمان به، لکنّ فرضه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13286_153647"/>
    </w:p>
    <w:p>
      <w:pPr>
        <w:pStyle w:val="BookText"/>
        <w:rPr/>
      </w:pPr>
      <w:bookmarkEnd w:id="24"/>
      <w:r>
        <w:rPr>
          <w:rFonts w:ascii="IRNazanin" w:hAnsi="IRNazanin" w:eastAsia="IRNazanin"/>
          <w:color w:val="111111"/>
          <w:sz w:val="28"/>
          <w:sz w:val="28"/>
          <w:szCs w:val="28"/>
          <w:rtl w:val="true"/>
          <w:lang w:bidi="fa-IR"/>
        </w:rPr>
        <w:t>ولو</w:t>
      </w:r>
      <w:r>
        <w:rPr>
          <w:rStyle w:val="FootnoteAnchor"/>
          <w:rtl w:val="true"/>
        </w:rPr>
        <w:footnoteReference w:id="9"/>
      </w:r>
      <w:r>
        <w:rPr>
          <w:rFonts w:ascii="IRNazanin" w:hAnsi="IRNazanin" w:eastAsia="IRNazanin"/>
          <w:color w:val="111111"/>
          <w:sz w:val="28"/>
          <w:sz w:val="28"/>
          <w:szCs w:val="28"/>
          <w:rtl w:val="true"/>
          <w:lang w:bidi="fa-IR"/>
        </w:rPr>
        <w:t> بضمیمة</w:t>
      </w:r>
      <w:r>
        <w:rPr>
          <w:rStyle w:val="FootnoteAnchor"/>
          <w:rtl w:val="true"/>
        </w:rPr>
        <w:footnoteReference w:id="10"/>
      </w:r>
      <w:r>
        <w:rPr>
          <w:rFonts w:ascii="IRNazanin" w:hAnsi="IRNazanin" w:eastAsia="IRNazanin"/>
          <w:color w:val="111111"/>
          <w:sz w:val="28"/>
          <w:sz w:val="28"/>
          <w:szCs w:val="28"/>
          <w:rtl w:val="true"/>
          <w:lang w:bidi="fa-IR"/>
        </w:rPr>
        <w:t> القرائن علی التعهّد والالتزام بما علی غیره من المال</w:t>
      </w:r>
      <w:r>
        <w:rPr>
          <w:rFonts w:eastAsia="IRNazanin" w:cs="IRNazanin"/>
          <w:color w:val="111111"/>
          <w:sz w:val="28"/>
          <w:szCs w:val="28"/>
          <w:rtl w:val="true"/>
          <w:lang w:bidi="fa-IR"/>
        </w:rPr>
        <w:t>.</w:t>
      </w:r>
    </w:p>
    <w:p>
      <w:pPr>
        <w:pStyle w:val="Heading4"/>
        <w:numPr>
          <w:ilvl w:val="3"/>
          <w:numId w:val="1"/>
        </w:numPr>
        <w:rPr/>
      </w:pPr>
      <w:bookmarkStart w:id="25" w:name="__RefHeading___Toc2138430_2322387425"/>
      <w:bookmarkStart w:id="26" w:name="_Toc8"/>
      <w:bookmarkEnd w:id="25"/>
      <w:r>
        <w:rPr>
          <w:rtl w:val="true"/>
        </w:rPr>
        <w:t>الثانی</w:t>
      </w:r>
      <w:r>
        <w:rPr>
          <w:rtl w:val="true"/>
        </w:rPr>
        <w:t xml:space="preserve">: </w:t>
      </w:r>
      <w:r>
        <w:rPr>
          <w:rtl w:val="true"/>
        </w:rPr>
        <w:t>القبول من المضمون له</w:t>
      </w:r>
      <w:bookmarkEnd w:id="26"/>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 فیه أیضاً کلّ ما دلّ علی ذلک من قولٍ أو فعل</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الإیجاب باللفظ، وإلّا ففیه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فیکون من العقود المفتقِرة إلی الإیجاب والقبول، کذا ذکروه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لا یبعد دعوی عدم اشتراط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حدّ</w:t>
      </w:r>
    </w:p>
    <w:p>
      <w:pPr>
        <w:pStyle w:val="BookText"/>
        <w:rPr/>
      </w:pPr>
      <w:r>
        <w:rPr>
          <w:rFonts w:ascii="Amiri" w:hAnsi="Amiri" w:eastAsia="Amiri" w:cs="Amiri"/>
          <w:color w:val="111111"/>
          <w:sz w:val="28"/>
          <w:sz w:val="28"/>
          <w:szCs w:val="28"/>
          <w:rtl w:val="true"/>
          <w:lang w:bidi="ar-SA"/>
        </w:rPr>
        <w:t>سائر العقود اللازمة</w:t>
      </w:r>
      <w:r>
        <w:rPr>
          <w:rStyle w:val="FootnoteAnchor"/>
          <w:rtl w:val="true"/>
        </w:rPr>
        <w:footnoteReference w:id="13"/>
      </w:r>
      <w:r>
        <w:rPr>
          <w:rFonts w:ascii="IRNazanin" w:hAnsi="IRNazanin" w:eastAsia="IRNazanin"/>
          <w:color w:val="111111"/>
          <w:sz w:val="28"/>
          <w:sz w:val="28"/>
          <w:szCs w:val="28"/>
          <w:rtl w:val="true"/>
          <w:lang w:bidi="fa-IR"/>
        </w:rPr>
        <w:t>، بل</w:t>
      </w:r>
      <w:r>
        <w:rPr>
          <w:rStyle w:val="FootnoteAnchor"/>
          <w:rtl w:val="true"/>
        </w:rPr>
        <w:footnoteReference w:id="14"/>
      </w:r>
      <w:r>
        <w:rPr>
          <w:rFonts w:ascii="IRNazanin" w:hAnsi="IRNazanin" w:eastAsia="IRNazanin"/>
          <w:color w:val="111111"/>
          <w:sz w:val="28"/>
          <w:sz w:val="28"/>
          <w:szCs w:val="28"/>
          <w:rtl w:val="true"/>
          <w:lang w:bidi="fa-IR"/>
        </w:rPr>
        <w:t> یکفی رضا</w:t>
      </w:r>
      <w:r>
        <w:rPr>
          <w:rStyle w:val="FootnoteAnchor"/>
          <w:rtl w:val="true"/>
        </w:rPr>
        <w:footnoteReference w:id="15"/>
      </w:r>
      <w:r>
        <w:rPr>
          <w:rFonts w:ascii="IRNazanin" w:hAnsi="IRNazanin" w:eastAsia="IRNazanin"/>
          <w:color w:val="111111"/>
          <w:sz w:val="28"/>
          <w:sz w:val="28"/>
          <w:szCs w:val="28"/>
          <w:rtl w:val="true"/>
          <w:lang w:bidi="fa-IR"/>
        </w:rPr>
        <w:t> المضمون</w:t>
      </w:r>
      <w:r>
        <w:rPr>
          <w:rStyle w:val="FootnoteAnchor"/>
          <w:rtl w:val="true"/>
        </w:rPr>
        <w:footnoteReference w:id="16"/>
      </w:r>
      <w:r>
        <w:rPr>
          <w:rFonts w:ascii="IRNazanin" w:hAnsi="IRNazanin" w:eastAsia="IRNazanin"/>
          <w:color w:val="111111"/>
          <w:sz w:val="28"/>
          <w:sz w:val="28"/>
          <w:szCs w:val="28"/>
          <w:rtl w:val="true"/>
          <w:lang w:bidi="fa-IR"/>
        </w:rPr>
        <w:t> له</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أبرزه فی الخارج بمُبرِز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لاحقاً، کما عن الإیضاح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والأردبیلیّ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فیه الرضا، ولا یعتبر القبول العقدیّ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عن القواعد</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قبوله احتمال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ویمکن استظهاره</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ذلک بعد الغضّ عن سند ما تضمّنها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استدلّ به علی القول بعدماعتبار رضا المضمون له، والإنصاف أنّه لا یدلّ علی شیءٍ منهما، والتفصیل لا یَسَعُهالمقام، فالأولی الاستدلال له بإطلاق صحیح ابن سنان المتضمّن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إذارضی به الغرماء فقد برئت ذمّة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الدَین والقرض،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مع ذلک یعتبر إبرازه بمبرز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قضیّة المیّت المدیون الّذی امتنع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علیه حتّی ضمنه علیٌّ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 هذا فلا یعتبر فیه ما یعتبر فی العقود من الترتیب والموالاة وسائر ما یعتبر فی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رضا المضمون عنه فلیس معتبراً فیه؛ إذ یصحّ الضمان التبرّعیّ، فیکون بمنزلة وفاء دَین الغیر تبرّعاً حیث لا یعتبر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واضح فی ما لم یستلزم</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استلزم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صورة الاستلزام الحکم بالبطلان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bookmarkStart w:id="27" w:name="pg13286_153650"/>
    </w:p>
    <w:p>
      <w:pPr>
        <w:pStyle w:val="BookText"/>
        <w:rPr/>
      </w:pPr>
      <w:bookmarkEnd w:id="27"/>
      <w:r>
        <w:rPr>
          <w:rFonts w:ascii="IRNazanin" w:hAnsi="IRNazanin" w:eastAsia="IRNazanin"/>
          <w:color w:val="111111"/>
          <w:sz w:val="28"/>
          <w:sz w:val="28"/>
          <w:szCs w:val="28"/>
          <w:rtl w:val="true"/>
          <w:lang w:bidi="fa-IR"/>
        </w:rPr>
        <w:t>الوفاء</w:t>
      </w:r>
      <w:r>
        <w:rPr>
          <w:rStyle w:val="FootnoteAnchor"/>
          <w:rtl w:val="true"/>
        </w:rPr>
        <w:footnoteReference w:id="22"/>
      </w:r>
      <w:r>
        <w:rPr>
          <w:rFonts w:ascii="IRNazanin" w:hAnsi="IRNazanin" w:eastAsia="IRNazanin"/>
          <w:color w:val="111111"/>
          <w:sz w:val="28"/>
          <w:sz w:val="28"/>
          <w:szCs w:val="28"/>
          <w:rtl w:val="true"/>
          <w:lang w:bidi="fa-IR"/>
        </w:rPr>
        <w:t> أو الضمان عنه ضرراً</w:t>
      </w:r>
      <w:r>
        <w:rPr>
          <w:rStyle w:val="FootnoteAnchor"/>
          <w:rtl w:val="true"/>
        </w:rPr>
        <w:footnoteReference w:id="23"/>
      </w:r>
      <w:r>
        <w:rPr>
          <w:rFonts w:ascii="IRNazanin" w:hAnsi="IRNazanin" w:eastAsia="IRNazanin"/>
          <w:color w:val="111111"/>
          <w:sz w:val="28"/>
          <w:sz w:val="28"/>
          <w:szCs w:val="28"/>
          <w:rtl w:val="true"/>
          <w:lang w:bidi="fa-IR"/>
        </w:rPr>
        <w:t> علیه</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استلزم ذلک؛ فإنّ التکلیف لا یرتبط بالوضع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حرجاً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حیث کون تبرّع</w:t>
      </w:r>
    </w:p>
    <w:p>
      <w:pPr>
        <w:pStyle w:val="BookText"/>
        <w:rPr/>
      </w:pPr>
      <w:r>
        <w:rPr>
          <w:rFonts w:ascii="Amiri" w:hAnsi="Amiri" w:eastAsia="Amiri" w:cs="Amiri"/>
          <w:color w:val="111111"/>
          <w:sz w:val="28"/>
          <w:sz w:val="28"/>
          <w:szCs w:val="28"/>
          <w:rtl w:val="true"/>
          <w:lang w:bidi="ar-SA"/>
        </w:rPr>
        <w:t>هذا الشخص لوفاء دَینه منافیاً لشأنه، کما إذا تبرّع وضیّع دَیناً عن شریفٍ غنیٍّ قادرٍ علی وفاء دَینه فعلاً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2138432_2322387425"/>
      <w:bookmarkStart w:id="29" w:name="_Toc9"/>
      <w:bookmarkEnd w:id="28"/>
      <w:r>
        <w:rPr>
          <w:rtl w:val="true"/>
        </w:rPr>
        <w:t>الثالث</w:t>
      </w:r>
      <w:r>
        <w:rPr>
          <w:rtl w:val="true"/>
        </w:rPr>
        <w:t xml:space="preserve">: </w:t>
      </w:r>
      <w:r>
        <w:rPr>
          <w:rtl w:val="true"/>
        </w:rPr>
        <w:t>کون الضامن بالغاً عاقلاً</w:t>
      </w:r>
      <w:bookmarkEnd w:id="29"/>
    </w:p>
    <w:p>
      <w:pPr>
        <w:pStyle w:val="BookText"/>
        <w:rPr/>
      </w:pPr>
      <w:r>
        <w:rPr>
          <w:rFonts w:ascii="IRNazanin" w:hAnsi="IRNazanin" w:eastAsia="IRNazanin"/>
          <w:color w:val="111111"/>
          <w:sz w:val="28"/>
          <w:sz w:val="28"/>
          <w:szCs w:val="28"/>
          <w:rtl w:val="true"/>
          <w:lang w:bidi="fa-IR"/>
        </w:rPr>
        <w:t>کون الضامن</w:t>
      </w:r>
      <w:r>
        <w:rPr>
          <w:rStyle w:val="FootnoteAnchor"/>
          <w:rtl w:val="true"/>
        </w:rPr>
        <w:footnoteReference w:id="25"/>
      </w:r>
      <w:r>
        <w:rPr>
          <w:rFonts w:ascii="Amiri" w:hAnsi="Amiri" w:eastAsia="Amiri" w:cs="Amiri"/>
          <w:color w:val="111111"/>
          <w:sz w:val="28"/>
          <w:sz w:val="28"/>
          <w:szCs w:val="28"/>
          <w:rtl w:val="true"/>
          <w:lang w:bidi="ar-SA"/>
        </w:rPr>
        <w:t xml:space="preserve"> بالغاً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یصحّ ضمان الصبیّ وإن کان</w:t>
      </w:r>
    </w:p>
    <w:p>
      <w:pPr>
        <w:pStyle w:val="BookText"/>
        <w:rPr/>
      </w:pPr>
      <w:r>
        <w:rPr>
          <w:rFonts w:ascii="IRNazanin" w:hAnsi="IRNazanin" w:eastAsia="IRNazanin"/>
          <w:color w:val="111111"/>
          <w:sz w:val="28"/>
          <w:sz w:val="28"/>
          <w:szCs w:val="28"/>
          <w:rtl w:val="true"/>
          <w:lang w:bidi="fa-IR"/>
        </w:rPr>
        <w:t>مراهقاً، بل وإن أذن له الولیّ علی إشکال</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ضمانه له مصلحة وأذِن الولیّ فالظاهر أنّه لا إشکالفی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الصحّة؛ لأنّ إذن الولیّ لا یُجوِّز تصرّفات الصغیر مع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أمر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الأحکام لیحیی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کتاب الاُمّ للشافعی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دعائم الإسلام للقاضی المغربی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الخصال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لنفس الولیّ أن یجعل الصغیر ضامناً إذااقتضت المصلحة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إذا کانت فیه مصلحة وإن کان هذا الفرض نادراً، وأولی بالجواز ماإذا کان المضمون له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 فی المراهق المأذون من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 w:name="pg13286_153651"/>
    </w:p>
    <w:p>
      <w:pPr>
        <w:pStyle w:val="BookText"/>
        <w:rPr/>
      </w:pPr>
      <w:bookmarkEnd w:id="30"/>
      <w:r>
        <w:rPr>
          <w:rFonts w:ascii="IRNazanin" w:hAnsi="IRNazanin" w:eastAsia="IRNazanin"/>
          <w:color w:val="111111"/>
          <w:sz w:val="28"/>
          <w:sz w:val="28"/>
          <w:szCs w:val="28"/>
          <w:rtl w:val="true"/>
          <w:lang w:bidi="fa-IR"/>
        </w:rPr>
        <w:t>ولا ضمان المجنون إلّا إذا کان أدواریّاً فی دَور إفاقته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یعتبر کون المضمون له بالغاً عاقلاً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المضمون عنه فلا یعتبر فیه ذلک، فیصحّ کونه صغیراً أو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ینفع إذنهما فی جواز الرجوع بالعوض</w:t>
      </w:r>
      <w:r>
        <w:rPr>
          <w:rFonts w:eastAsia="IRNazanin" w:cs="IRNazanin"/>
          <w:color w:val="111111"/>
          <w:sz w:val="28"/>
          <w:szCs w:val="28"/>
          <w:rtl w:val="true"/>
          <w:lang w:bidi="fa-IR"/>
        </w:rPr>
        <w:t>.</w:t>
      </w:r>
    </w:p>
    <w:p>
      <w:pPr>
        <w:pStyle w:val="Heading4"/>
        <w:numPr>
          <w:ilvl w:val="3"/>
          <w:numId w:val="1"/>
        </w:numPr>
        <w:rPr/>
      </w:pPr>
      <w:bookmarkStart w:id="31" w:name="__RefHeading___Toc2138434_2322387425"/>
      <w:bookmarkStart w:id="32" w:name="_Toc10"/>
      <w:bookmarkEnd w:id="31"/>
      <w:r>
        <w:rPr>
          <w:rtl w:val="true"/>
        </w:rPr>
        <w:t>الرابع</w:t>
      </w:r>
      <w:r>
        <w:rPr>
          <w:rtl w:val="true"/>
        </w:rPr>
        <w:t xml:space="preserve">: </w:t>
      </w:r>
      <w:r>
        <w:rPr>
          <w:rtl w:val="true"/>
        </w:rPr>
        <w:t>کونه مختاراً</w:t>
      </w:r>
      <w:bookmarkEnd w:id="32"/>
    </w:p>
    <w:p>
      <w:pPr>
        <w:pStyle w:val="BookText"/>
        <w:rPr/>
      </w:pP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المضمون له فی 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یعتبر کون المضمون له أیضاً مختاراً، فلا یصحّ الضمان    للمُکرَه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المضمون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شرط فی المضمون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13286_153652"/>
    </w:p>
    <w:p>
      <w:pPr>
        <w:pStyle w:val="BookText"/>
        <w:rPr/>
      </w:pPr>
      <w:bookmarkEnd w:id="33"/>
      <w:r>
        <w:rPr>
          <w:rFonts w:ascii="Amiri" w:hAnsi="Amiri" w:eastAsia="Amiri" w:cs="Amiri"/>
          <w:color w:val="111111"/>
          <w:sz w:val="28"/>
          <w:sz w:val="28"/>
          <w:szCs w:val="28"/>
          <w:rtl w:val="true"/>
          <w:lang w:bidi="ar-SA"/>
        </w:rPr>
        <w:t>فلا یصحّ</w:t>
      </w:r>
      <w:r>
        <w:rPr>
          <w:rStyle w:val="FootnoteAnchor"/>
          <w:rtl w:val="true"/>
        </w:rPr>
        <w:footnoteReference w:id="28"/>
      </w:r>
      <w:r>
        <w:rPr>
          <w:rFonts w:ascii="Amiri" w:hAnsi="Amiri" w:eastAsia="Amiri" w:cs="Amiri"/>
          <w:color w:val="111111"/>
          <w:sz w:val="28"/>
          <w:sz w:val="28"/>
          <w:szCs w:val="28"/>
          <w:rtl w:val="true"/>
          <w:lang w:bidi="ar-SA"/>
        </w:rPr>
        <w:t> ضمان المُکرَه</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الشرط مشترک بین الضامن والمضمون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المضمون له، فلا یصحّ قبوله مع الإکراه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الضمان للمُکرَه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المضمون له علی إشکال، إلّا إذا رضیا بعد وقوع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المضمون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138436_2322387425"/>
      <w:bookmarkStart w:id="35" w:name="_Toc11"/>
      <w:bookmarkEnd w:id="34"/>
      <w:r>
        <w:rPr>
          <w:rtl w:val="true"/>
        </w:rPr>
        <w:t>الخامس</w:t>
      </w:r>
      <w:r>
        <w:rPr>
          <w:rtl w:val="true"/>
        </w:rPr>
        <w:t xml:space="preserve">: </w:t>
      </w:r>
      <w:r>
        <w:rPr>
          <w:rtl w:val="true"/>
        </w:rPr>
        <w:t>عدم کونه محجوراً</w:t>
      </w:r>
      <w:bookmarkEnd w:id="35"/>
    </w:p>
    <w:p>
      <w:pPr>
        <w:pStyle w:val="BookText"/>
        <w:rPr/>
      </w:pPr>
      <w:r>
        <w:rPr>
          <w:rFonts w:ascii="IRNazanin" w:hAnsi="IRNazanin" w:eastAsia="IRNazanin"/>
          <w:color w:val="111111"/>
          <w:sz w:val="28"/>
          <w:sz w:val="28"/>
          <w:szCs w:val="28"/>
          <w:rtl w:val="true"/>
          <w:lang w:bidi="fa-IR"/>
        </w:rPr>
        <w:t>لسَفَهٍ إلّا بإذن الولیّ، وکذا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بکون الضامن مفلَّساً، فإنّ ضمانه نظیر اقتراضه، فلا یشارک المضمون له مع الغرماء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المضمون له فیشترط عدم کونه مفلَّساً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بکون المضمون عنه سفیهاً أو مفلَّساً، لکن لا ینفع</w:t>
      </w:r>
      <w:r>
        <w:rPr>
          <w:rStyle w:val="FootnoteAnchor"/>
          <w:rtl w:val="true"/>
        </w:rPr>
        <w:footnoteReference w:id="31"/>
      </w:r>
      <w:r>
        <w:rPr>
          <w:rFonts w:ascii="IRNazanin" w:hAnsi="IRNazanin" w:eastAsia="IRNazanin"/>
          <w:color w:val="111111"/>
          <w:sz w:val="28"/>
          <w:sz w:val="28"/>
          <w:szCs w:val="28"/>
          <w:rtl w:val="true"/>
          <w:lang w:bidi="fa-IR"/>
        </w:rPr>
        <w:t> إذنه</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الرجوع إلی ما تعلّق به الحَجر، وأمّا بغیره أو بعد رفعه فلا مانع من الرجوعإلیه بسبب إذنه فی حال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ینفع بعد رفع الحَجر، وکذا بالنسبة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أصل النسخة، فالعبارة ناقصة، ویحتمل نقصان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حالالفَلَس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الزائد علی مقدارٍ تعلّق به الحَجر، وهو مقدار نصیب المضمون له، وأمّا ذلکالمقدار فلا مانع من تأثیر إذنه فی جواز الرجوع علیه حال حَجره، کما أنّه یؤثّرمطلقاً بعد رفع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bookmarkStart w:id="36" w:name="pg13286_153653"/>
    </w:p>
    <w:p>
      <w:pPr>
        <w:pStyle w:val="BookText"/>
        <w:rPr/>
      </w:pPr>
      <w:bookmarkEnd w:id="36"/>
      <w:r>
        <w:rPr>
          <w:rFonts w:ascii="IRNazanin" w:hAnsi="IRNazanin" w:eastAsia="IRNazanin"/>
          <w:color w:val="111111"/>
          <w:sz w:val="28"/>
          <w:sz w:val="28"/>
          <w:szCs w:val="28"/>
          <w:rtl w:val="true"/>
          <w:lang w:bidi="fa-IR"/>
        </w:rPr>
        <w:t>فی جواز</w:t>
      </w:r>
      <w:r>
        <w:rPr>
          <w:rStyle w:val="FootnoteAnchor"/>
          <w:rtl w:val="true"/>
        </w:rPr>
        <w:footnoteReference w:id="33"/>
      </w:r>
      <w:r>
        <w:rPr>
          <w:rFonts w:ascii="IRNazanin" w:hAnsi="IRNazanin" w:eastAsia="IRNazanin"/>
          <w:color w:val="111111"/>
          <w:sz w:val="28"/>
          <w:sz w:val="28"/>
          <w:szCs w:val="28"/>
          <w:rtl w:val="true"/>
          <w:lang w:bidi="fa-IR"/>
        </w:rPr>
        <w:t> الرجوع</w:t>
      </w:r>
      <w:r>
        <w:rPr>
          <w:rStyle w:val="FootnoteAnchor"/>
          <w:rtl w:val="true"/>
        </w:rPr>
        <w:footnoteReference w:id="34"/>
      </w:r>
      <w:r>
        <w:rPr>
          <w:rFonts w:ascii="IRNazanin" w:hAnsi="IRNazanin" w:eastAsia="IRNazanin"/>
          <w:color w:val="111111"/>
          <w:sz w:val="28"/>
          <w:sz w:val="28"/>
          <w:szCs w:val="28"/>
          <w:rtl w:val="true"/>
          <w:lang w:bidi="fa-IR"/>
        </w:rPr>
        <w:t> علیه</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أمواله الموجودة الّتی تکون مورداً للحَجر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ینفع بعد فکّ الحَجر مطلقاً وقبله بمقدار نصیب المضمون له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2138438_2322387425"/>
      <w:bookmarkStart w:id="38" w:name="_Toc12"/>
      <w:bookmarkEnd w:id="37"/>
      <w:r>
        <w:rPr>
          <w:rtl w:val="true"/>
        </w:rPr>
        <w:t>السادس</w:t>
      </w:r>
      <w:r>
        <w:rPr>
          <w:rtl w:val="true"/>
        </w:rPr>
        <w:t xml:space="preserve">: </w:t>
      </w:r>
      <w:r>
        <w:rPr>
          <w:rtl w:val="true"/>
        </w:rPr>
        <w:t>عدم کون الضامن مملوکاً</w:t>
      </w:r>
      <w:bookmarkEnd w:id="38"/>
    </w:p>
    <w:p>
      <w:pPr>
        <w:pStyle w:val="BookText"/>
        <w:rPr/>
      </w:pPr>
      <w:r>
        <w:rPr>
          <w:rFonts w:ascii="Amiri" w:hAnsi="Amiri" w:eastAsia="Amiri" w:cs="Amiri"/>
          <w:color w:val="111111"/>
          <w:sz w:val="28"/>
          <w:sz w:val="28"/>
          <w:szCs w:val="28"/>
          <w:rtl w:val="true"/>
          <w:lang w:bidi="ar-SA"/>
        </w:rPr>
        <w:t>أن لا یکون الضامن مملوکاً غیر مأذونٍ من قِبَلِ مولاه</w:t>
      </w:r>
    </w:p>
    <w:p>
      <w:pPr>
        <w:pStyle w:val="BookText"/>
        <w:rPr/>
      </w:pPr>
      <w:r>
        <w:rPr>
          <w:rFonts w:ascii="IRNazanin" w:hAnsi="IRNazanin" w:eastAsia="IRNazanin"/>
          <w:color w:val="111111"/>
          <w:sz w:val="28"/>
          <w:sz w:val="28"/>
          <w:szCs w:val="28"/>
          <w:rtl w:val="true"/>
          <w:lang w:bidi="fa-IR"/>
        </w:rPr>
        <w:t>علی المشهور</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نعم، لو أجاز المولی ضمانه لا یبعد الصحّة، ویکون کما لو وقعبإذنه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لما ذکره فی المتن من أنّه لا یقدر علی شیء، ودعوی الانصراف لاوجه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ودعوی الانصراف غیر وجیهة، وضمان الإتلاف خارج عنهاتخفیفاً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المختار، وضمانه بالإتلاف قد خرج بالدلیل عن الحکم تخصیصاً، أو عنالموضوع تخصّصاً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التعلیقة أوردناها من نسخةٍ اُخری منه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ولکن لا یبعد</w:t>
      </w:r>
      <w:r>
        <w:rPr>
          <w:rStyle w:val="FootnoteAnchor"/>
          <w:rtl w:val="true"/>
        </w:rPr>
        <w:footnoteReference w:id="38"/>
      </w:r>
      <w:r>
        <w:rPr>
          <w:rFonts w:ascii="Amiri" w:hAnsi="Amiri" w:eastAsia="Amiri" w:cs="Amiri"/>
          <w:color w:val="111111"/>
          <w:sz w:val="28"/>
          <w:sz w:val="28"/>
          <w:szCs w:val="28"/>
          <w:rtl w:val="true"/>
          <w:lang w:bidi="ar-SA"/>
        </w:rPr>
        <w:t> صحّة ضمانه</w:t>
      </w:r>
      <w:r>
        <w:rPr>
          <w:rStyle w:val="FootnoteAnchor"/>
          <w:rtl w:val="true"/>
        </w:rPr>
        <w:footnoteReference w:id="3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وکونه فی ذمّته یتبع به بعد العتق، کما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14/299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القدرة</w:t>
      </w:r>
      <w:r>
        <w:rPr>
          <w:rStyle w:val="FootnoteAnchor"/>
          <w:rtl w:val="true"/>
        </w:rPr>
        <w:footnoteReference w:id="40"/>
      </w:r>
      <w:r>
        <w:rPr>
          <w:rFonts w:ascii="IRNazanin" w:hAnsi="IRNazanin" w:eastAsia="IRNazanin"/>
          <w:color w:val="111111"/>
          <w:sz w:val="28"/>
          <w:sz w:val="28"/>
          <w:szCs w:val="28"/>
          <w:rtl w:val="true"/>
          <w:lang w:bidi="fa-IR"/>
        </w:rPr>
        <w:t> منصرف</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لا ینافی حقّ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المملوک لا ذمّة له کما تری؛ ولذا لا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ضمانه لمتلفاته،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أذن له مولاه فلا</w:t>
      </w:r>
    </w:p>
    <w:p>
      <w:pPr>
        <w:pStyle w:val="BookText"/>
        <w:rPr/>
      </w:pPr>
      <w:r>
        <w:rPr>
          <w:rFonts w:ascii="IRNazanin" w:hAnsi="IRNazanin" w:eastAsia="IRNazanin"/>
          <w:color w:val="111111"/>
          <w:sz w:val="28"/>
          <w:sz w:val="28"/>
          <w:szCs w:val="28"/>
          <w:rtl w:val="true"/>
          <w:lang w:bidi="fa-IR"/>
        </w:rPr>
        <w:t>إشکال فی صحّة ضمانه</w:t>
      </w:r>
      <w:r>
        <w:rPr>
          <w:rStyle w:val="FootnoteAnchor"/>
          <w:rtl w:val="true"/>
        </w:rPr>
        <w:footnoteReference w:id="42"/>
      </w:r>
      <w:r>
        <w:rPr>
          <w:rFonts w:ascii="Amiri" w:hAnsi="Amiri" w:eastAsia="Amiri" w:cs="Amiri"/>
          <w:color w:val="111111"/>
          <w:sz w:val="28"/>
          <w:sz w:val="28"/>
          <w:szCs w:val="28"/>
          <w:rtl w:val="true"/>
          <w:lang w:bidi="ar-SA"/>
        </w:rPr>
        <w:t>؛ وحینئذٍ فإن عیّن کونه فی ذمّة نفسه أو فی ذمّة</w:t>
      </w:r>
    </w:p>
    <w:p>
      <w:pPr>
        <w:pStyle w:val="BookText"/>
        <w:rPr/>
      </w:pPr>
      <w:r>
        <w:rPr>
          <w:rFonts w:ascii="IRNazanin" w:hAnsi="IRNazanin" w:eastAsia="IRNazanin"/>
          <w:color w:val="111111"/>
          <w:sz w:val="28"/>
          <w:sz w:val="28"/>
          <w:szCs w:val="28"/>
          <w:rtl w:val="true"/>
          <w:lang w:bidi="fa-IR"/>
        </w:rPr>
        <w:t>المملوک یتبع به بعد عتقه أو فی کسبه فهو المتّبع، وإن أطلق الإذن</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کونه فی ذمّة المولی، أو فی کسب المملوک، أو فی ذمّته یتبع به بعد عتقه، أو </w:t>
      </w:r>
    </w:p>
    <w:p>
      <w:pPr>
        <w:pStyle w:val="BookText"/>
        <w:rPr/>
      </w:pPr>
      <w:r>
        <w:rPr>
          <w:rFonts w:ascii="IRNazanin" w:hAnsi="IRNazanin" w:eastAsia="IRNazanin"/>
          <w:color w:val="111111"/>
          <w:sz w:val="28"/>
          <w:sz w:val="28"/>
          <w:szCs w:val="28"/>
          <w:rtl w:val="true"/>
          <w:lang w:bidi="fa-IR"/>
        </w:rPr>
        <w:t>کونه متعلّقاً برقبته وجوه وأقوال، أوجهها</w:t>
      </w:r>
      <w:r>
        <w:rPr>
          <w:rStyle w:val="FootnoteAnchor"/>
          <w:rtl w:val="true"/>
        </w:rPr>
        <w:footnoteReference w:id="44"/>
      </w:r>
      <w:r>
        <w:rPr>
          <w:rFonts w:ascii="Amiri" w:hAnsi="Amiri" w:eastAsia="Amiri" w:cs="Amiri"/>
          <w:color w:val="111111"/>
          <w:sz w:val="28"/>
          <w:sz w:val="28"/>
          <w:szCs w:val="28"/>
          <w:rtl w:val="true"/>
          <w:lang w:bidi="ar-SA"/>
        </w:rPr>
        <w:t> الأوّل</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هو الثالث لو لم تکن قرینة علی الخلاف والانفهام العرفیّ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لانفهامه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ذلک مع انفهامه عرفاً، لکنّه راجع إلی التعیین، وأمّا مع عدمه ـ کماهو المفروض ـ فأوجهها هو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الانفهام مسلّماً فلا إشکال فیه، وإلّا فلا یبعد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الانفهام صحیحاً لکان خارجاً عن الفرض، ولکنّ الکلام فی الانفهام،وعلی فرض عدمه فالأقرب الثالث، والتنظیر مع الفارق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لم یفهم منه ذلک وکان مجملاً مردّداً بین کونه فی ذمّة نفسه أو ذمّة العبدبحیث یتبع به بعد عتقه فالظاهر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اُحرِز الانفهام فلا إشکال،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علی فرض الانفهام، وأمّا علی تقدیر العدم والتردّد بین کونه فیذمّة نفسه أو فی ذمّة العبد فالبطلان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إذنه للاستدانة لنفقته، أو لأمرٍ آخر، وکما فی إذنه فی التزویج حیث إنّ المهر والنفقة علی مولاه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الفرق بین الضمان والاستدانة بأنّ الاستدانة موجبة لملکیّته، وحیث إنّه لا قابلیّة له لذلک یستفاد منه کونه علی مولاه، بخلاف الضمان؛ حیث إنّه لا ملکیّة فیه مدفوعة بمنع عدم قابلیّته للملکیّة، وعلی فرضه أیضاً </w:t>
      </w:r>
      <w:bookmarkStart w:id="39" w:name="pg13286_153657"/>
    </w:p>
    <w:p>
      <w:pPr>
        <w:pStyle w:val="BookText"/>
        <w:rPr/>
      </w:pPr>
      <w:bookmarkEnd w:id="39"/>
      <w:r>
        <w:rPr>
          <w:rFonts w:ascii="IRNazanin" w:hAnsi="IRNazanin" w:eastAsia="IRNazanin"/>
          <w:color w:val="111111"/>
          <w:sz w:val="28"/>
          <w:sz w:val="28"/>
          <w:szCs w:val="28"/>
          <w:rtl w:val="true"/>
          <w:lang w:bidi="fa-IR"/>
        </w:rPr>
        <w:t>لا یکون فارقاً بعد الانفهام العرفیّ</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2138440_2322387425"/>
      <w:bookmarkStart w:id="41" w:name="_Toc13"/>
      <w:bookmarkEnd w:id="40"/>
      <w:r>
        <w:rPr>
          <w:rtl w:val="true"/>
        </w:rPr>
        <w:t>السابع</w:t>
      </w:r>
      <w:r>
        <w:rPr>
          <w:rtl w:val="true"/>
        </w:rPr>
        <w:t xml:space="preserve">: </w:t>
      </w:r>
      <w:r>
        <w:rPr>
          <w:rtl w:val="true"/>
        </w:rPr>
        <w:t>التنجیز</w:t>
      </w:r>
      <w:bookmarkEnd w:id="41"/>
    </w:p>
    <w:p>
      <w:pPr>
        <w:pStyle w:val="BookText"/>
        <w:rPr/>
      </w:pPr>
      <w:r>
        <w:rPr>
          <w:rStyle w:val="FootnoteAnchor"/>
          <w:rtl w:val="true"/>
        </w:rPr>
        <w:footnoteReference w:id="47"/>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علّق الضمان علی شرط ـ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لِما علی فلانٍ إن أذن لی أبی، أو أنا ضامن إن لم یَفِ المدیون إلی زمان کذا، أو إن لم یَفِ أصلاً ـ بطل علی المشهور</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 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لبطلان التعلیق فی العقود إجماعاً، لا من جهة لزوم ترتّب الأثر عندإنشاء العقد بالإجماع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إجماع هکذا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عبارة عن نقل ما فی ذمّة الغیر إلی الذمّة، وهذا لا یقبل التعلیق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برعایة 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یصحّ الضمان إذا عَلّقَ الضامن أداةً علی عدم أداء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لا دلیل علیه بعد صدق الضمان وشمول العمومات العامّة، إلّا دعوی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العقود، علی أنّ اللازم ترتّب الأثر عند إنشاء العقد من غیر تأخیر، أو دعوی منافاة</w:t>
      </w:r>
    </w:p>
    <w:p>
      <w:pPr>
        <w:pStyle w:val="BookText"/>
        <w:rPr/>
      </w:pPr>
      <w:r>
        <w:rPr>
          <w:rFonts w:ascii="IRNazanin" w:hAnsi="IRNazanin" w:eastAsia="IRNazanin"/>
          <w:color w:val="111111"/>
          <w:sz w:val="28"/>
          <w:sz w:val="28"/>
          <w:szCs w:val="28"/>
          <w:rtl w:val="true"/>
          <w:lang w:bidi="fa-IR"/>
        </w:rPr>
        <w:t>التعلیق</w:t>
      </w:r>
      <w:r>
        <w:rPr>
          <w:rStyle w:val="FootnoteAnchor"/>
          <w:rtl w:val="true"/>
        </w:rPr>
        <w:footnoteReference w:id="49"/>
      </w:r>
      <w:r>
        <w:rPr>
          <w:rFonts w:ascii="IRNazanin" w:hAnsi="IRNazanin" w:eastAsia="IRNazanin"/>
          <w:color w:val="111111"/>
          <w:sz w:val="28"/>
          <w:sz w:val="28"/>
          <w:szCs w:val="28"/>
          <w:rtl w:val="true"/>
          <w:lang w:bidi="fa-IR"/>
        </w:rPr>
        <w:t> للإنشاء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الثانی ما لا یخفی، وفی الأوّل منع تحقّقه</w:t>
      </w:r>
      <w:r>
        <w:rPr>
          <w:rStyle w:val="FootnoteAnchor"/>
          <w:rtl w:val="true"/>
        </w:rPr>
        <w:footnoteReference w:id="50"/>
      </w:r>
      <w:r>
        <w:rPr>
          <w:rFonts w:ascii="IRNazanin" w:hAnsi="IRNazanin" w:eastAsia="IRNazanin"/>
          <w:color w:val="111111"/>
          <w:sz w:val="28"/>
          <w:sz w:val="28"/>
          <w:szCs w:val="28"/>
          <w:rtl w:val="true"/>
          <w:lang w:bidi="fa-IR"/>
        </w:rPr>
        <w:t>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تعلیق الضمان، ولکن یجوز تعلیق الوفاء علی شرطٍ مع کون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الوفاء</w:t>
      </w:r>
      <w:r>
        <w:rPr>
          <w:rStyle w:val="FootnoteAnchor"/>
          <w:rtl w:val="true"/>
        </w:rPr>
        <w:footnoteReference w:id="51"/>
      </w:r>
      <w:r>
        <w:rPr>
          <w:rFonts w:ascii="IRNazanin" w:hAnsi="IRNazanin" w:eastAsia="IRNazanin"/>
          <w:color w:val="111111"/>
          <w:sz w:val="28"/>
          <w:sz w:val="28"/>
          <w:szCs w:val="28"/>
          <w:rtl w:val="true"/>
          <w:lang w:bidi="fa-IR"/>
        </w:rPr>
        <w:t> عین</w:t>
      </w:r>
      <w:r>
        <w:rPr>
          <w:rStyle w:val="FootnoteAnchor"/>
          <w:rtl w:val="true"/>
        </w:rPr>
        <w:footnoteReference w:id="52"/>
      </w:r>
      <w:r>
        <w:rPr>
          <w:rFonts w:ascii="IRNazanin" w:hAnsi="IRNazanin" w:eastAsia="IRNazanin"/>
          <w:color w:val="111111"/>
          <w:sz w:val="28"/>
          <w:sz w:val="28"/>
          <w:szCs w:val="28"/>
          <w:rtl w:val="true"/>
          <w:lang w:bidi="fa-IR"/>
        </w:rPr>
        <w:t> تعلیق الضمان، ولا یعقل التفکیک</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تعلیق الوفاء عین تعلیق الضمان ممنوع، وعلی فرض عدم تعقّل التفکیککیف یعقل فرض إمکانه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إنّما یلائم علی قول غیرنا منکون الضمان عبارةً عن ضمّ ذمّةٍ إلی ذمّة، مع أنّ دعوی کون حقیقة الضمان فیالأعیان المضمونة راجعة إلی قضیّةٍ تعلیقیّةٍ ممنوعةٍ أیضاً، وتوقّف ترتّب الأثر علیمثل التلف فیها لا یوجب کون الضمان بنفسه قضیّةً تعلیقیّة، وإلّا یلزم القول بمثلهفی المقام مطلقاً ولو فی موارد عدم التعلیق؛ فإنّ أثر الضمان إنّما یظهر علی تقدیربقاء الدَین وعدم سقوطه بأداء متبرّعٍ ونحوه مثلاً، مع أنّه لم یعهد منهم دعویالتعلیق فی المقام فی موارد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فی المثال الثانی</w:t>
      </w:r>
      <w:r>
        <w:rPr>
          <w:rStyle w:val="FootnoteAnchor"/>
          <w:rtl w:val="true"/>
        </w:rPr>
        <w:footnoteReference w:id="54"/>
      </w:r>
      <w:r>
        <w:rPr>
          <w:rFonts w:ascii="IRNazanin" w:hAnsi="IRNazanin" w:eastAsia="IRNazanin"/>
          <w:color w:val="111111"/>
          <w:sz w:val="28"/>
          <w:sz w:val="28"/>
          <w:szCs w:val="28"/>
          <w:rtl w:val="true"/>
          <w:lang w:bidi="fa-IR"/>
        </w:rPr>
        <w:t> یمکن أن یقال</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المثال الأوّل والثانی فی ظهور کلیهما فی تعلیق أصل الضمان، وعلیفرض صحّة ما أفاد یکون من قبیل ضمّ ذمّةٍ إلی ذمّةٍ اُخری، واشتغال ذمّتَین، وهذامنافٍ لحقیقة الضمان الّتی هی عبارة عن نقل ما فی ذمّةٍ إلی ذمّةٍ اُخری، لا اشتغالذمّتَین فی عرضٍ واحد، کما هو مذهب المخالفین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یمکن مع دعوی امتناع التفکیک مع أنّ هذا النحو من الضمان غیر ما عندنامن کونه ناقلاً؟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یصحّ هذا بعد عدم تعقّل التفکیک؟ وعلی فرض الإمکان یتمّ التفکیکعلی مبنی الضمّ فی باب الضمان، لا النقل الّذی هو المعتمد لدی الأصحاب، اللهمّإلّا أن یُؤوّل کلامه بتعهّد ما فی ذمّة المضمون عنه، وعلیه فالضمان محقّق، وفیصورة عدم حصول المعلّق علیه ینتقل المتعهّد به إلی الذمّة، ولکنّه مع هذا التأویلفالمسألة غبر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یرید بذلک أنّ الضمان فی مورد تعلیق الوفاء علی عدم وفاء المدیون لیس بمعنی النقل إلی الذمّة لیرجع تعلیق الوفاء علیه إلی تعلیق الضمان، بل هو بمعنی تعهّد ما فی ذمّة الغیر علی حَذوِ تعهّد العین الخارجیّة؛ وعلیه فالضمان فعلیّ، وأثرهالانتقال إلی الذمّة علی تقدیر عدم وفاء المدیون، کما أنّ أثره فی ضمان العین الخارجیّة ذلک علی تقدیر تلفها؛ وعلی هذا فلا بأس بما أفاده قدّس سرّه، ولا یبعد أن یکون الضمان بالمعنی المزبور من المرتکزات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أوضحه بعض الأساطین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المقصود به هو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الضمان فی مورد تعلیق الوفاء علیعدم وفاء المدیون لیس بمعنی النقل إلی الذمّة لیرجع تعلیق الوفاء علیه إلیتعلیق الضمان، بل هو بمعنی تعهّد ما فی ذمّة الغیر علی حَذوِ تعهّد العین الخارجیّة؛ وعلیه فالضمان فعلیّ، وأثره الانتقال إلی الذمّة علی تقدیر عدموفاء المدیون، کما أنّ أثره فی ضمان العین الخارجیّة ذلک علی تقدیر تلفها؛ وعلی هذا فلا بأس بما أفاده، ولا یبعد أن یکون الضمان بالمعنی المزبور من المرتکزات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بإمکان تحقّق</w:t>
      </w:r>
      <w:r>
        <w:rPr>
          <w:rStyle w:val="FootnoteAnchor"/>
          <w:rtl w:val="true"/>
        </w:rPr>
        <w:footnoteReference w:id="56"/>
      </w:r>
      <w:r>
        <w:rPr>
          <w:rFonts w:ascii="IRNazanin" w:hAnsi="IRNazanin" w:eastAsia="IRNazanin"/>
          <w:color w:val="111111"/>
          <w:sz w:val="28"/>
          <w:sz w:val="28"/>
          <w:szCs w:val="28"/>
          <w:rtl w:val="true"/>
          <w:lang w:bidi="fa-IR"/>
        </w:rPr>
        <w:t> الضمان</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تسلیم عدم معقولیّة التفکیک بین تعلیق الوفاء وتعلیق الضمان کیف یمکن القول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إمکانه یکون مفاده ضمّ ذمّةٍ إلی اُخری، کما هومذهب العامّة، لا الضمان الناقل، کما هو الصحیح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التعهّد عرفاً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منجّزاً</w:t>
      </w:r>
      <w:r>
        <w:rPr>
          <w:rStyle w:val="FootnoteAnchor"/>
          <w:rtl w:val="true"/>
        </w:rPr>
        <w:footnoteReference w:id="58"/>
      </w:r>
      <w:r>
        <w:rPr>
          <w:rFonts w:ascii="IRNazanin" w:hAnsi="IRNazanin" w:eastAsia="IRNazanin"/>
          <w:color w:val="111111"/>
          <w:sz w:val="28"/>
          <w:sz w:val="28"/>
          <w:szCs w:val="28"/>
          <w:rtl w:val="true"/>
          <w:lang w:bidi="fa-IR"/>
        </w:rPr>
        <w:t>، مع کون الوفاء</w:t>
      </w:r>
      <w:r>
        <w:rPr>
          <w:rStyle w:val="FootnoteAnchor"/>
          <w:rtl w:val="true"/>
        </w:rPr>
        <w:footnoteReference w:id="59"/>
      </w:r>
      <w:r>
        <w:rPr>
          <w:rFonts w:ascii="IRNazanin" w:hAnsi="IRNazanin" w:eastAsia="IRNazanin"/>
          <w:color w:val="111111"/>
          <w:sz w:val="28"/>
          <w:sz w:val="28"/>
          <w:szCs w:val="28"/>
          <w:rtl w:val="true"/>
          <w:lang w:bidi="fa-IR"/>
        </w:rPr>
        <w:t> معلّقاً علی عدم وفاء المضمون له</w:t>
      </w:r>
      <w:r>
        <w:rPr>
          <w:rStyle w:val="FootnoteAnchor"/>
          <w:rtl w:val="true"/>
        </w:rPr>
        <w:footnoteReference w:id="60"/>
      </w:r>
      <w:r>
        <w:rPr>
          <w:rFonts w:ascii="Amiri" w:hAnsi="Amiri" w:eastAsia="Amiri" w:cs="Amiri"/>
          <w:color w:val="111111"/>
          <w:sz w:val="28"/>
          <w:sz w:val="28"/>
          <w:szCs w:val="28"/>
          <w:rtl w:val="true"/>
          <w:lang w:bidi="ar-SA"/>
        </w:rPr>
        <w:t>؛ لأنّه  </w:t>
      </w:r>
    </w:p>
    <w:p>
      <w:pPr>
        <w:pStyle w:val="BookText"/>
        <w:rPr/>
      </w:pPr>
      <w:r>
        <w:rPr>
          <w:rFonts w:ascii="IRNazanin" w:hAnsi="IRNazanin" w:eastAsia="IRNazanin"/>
          <w:color w:val="111111"/>
          <w:sz w:val="28"/>
          <w:sz w:val="28"/>
          <w:szCs w:val="28"/>
          <w:rtl w:val="true"/>
          <w:lang w:bidi="fa-IR"/>
        </w:rPr>
        <w:t>یصدق</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الصدق حقیقیّاً لا تسامحیّاً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صدقاً عرفیّاً وفیه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ضمن الدَین علی نحو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الأعیان المضمونة؛</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w:t>
      </w:r>
      <w:r>
        <w:rPr>
          <w:rStyle w:val="FootnoteAnchor"/>
          <w:rtl w:val="true"/>
        </w:rPr>
        <w:footnoteReference w:id="62"/>
      </w:r>
      <w:r>
        <w:rPr>
          <w:rFonts w:ascii="IRNazanin" w:hAnsi="IRNazanin" w:eastAsia="IRNazanin"/>
          <w:color w:val="111111"/>
          <w:sz w:val="28"/>
          <w:sz w:val="28"/>
          <w:szCs w:val="28"/>
          <w:rtl w:val="true"/>
          <w:lang w:bidi="fa-IR"/>
        </w:rPr>
        <w:t> حقیقته</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حقیقة ضمان الید قضیّةً تعلیقیّةً فی محلّ المنع، ولا یسع المقام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تعلیقیّة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المقصود تعلیق الضمان بعدم الإعطاء فهذا عین ما هو باطل عند المشهور،وإن کان المقصود الضمان منجّزاً، لکنّه یُخبِر بأنّه یفی ما دام الدَین باقیاً ولم یودِّالمضمون عنه، فالظاهر أنّه لیس بتعلیقٍ ولا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تحقّق التعهّد الفعلیّ فیها فی الجملة أیضاً عند العرف، ولا دلیل علی اعتبار أزید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یقال بالفرق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وبینهما فروق،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العقدیّ بالذّمیّ، والیدیّ بالخارجیّ،وغیره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الضمان العَقدیّ   </w:t>
      </w:r>
      <w:bookmarkStart w:id="42" w:name="pg13286_153663"/>
    </w:p>
    <w:p>
      <w:pPr>
        <w:pStyle w:val="BookText"/>
        <w:rPr/>
      </w:pPr>
      <w:bookmarkEnd w:id="42"/>
      <w:r>
        <w:rPr>
          <w:rFonts w:ascii="Amiri" w:hAnsi="Amiri" w:eastAsia="Amiri" w:cs="Amiri"/>
          <w:color w:val="111111"/>
          <w:sz w:val="28"/>
          <w:sz w:val="28"/>
          <w:szCs w:val="28"/>
          <w:rtl w:val="true"/>
          <w:lang w:bidi="ar-SA"/>
        </w:rPr>
        <w:t>والضمان الیَدِیّ</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3" w:name="__RefHeading___Toc2138442_2322387425"/>
      <w:bookmarkStart w:id="44" w:name="_Toc14"/>
      <w:bookmarkEnd w:id="43"/>
      <w:r>
        <w:rPr>
          <w:rtl w:val="true"/>
        </w:rPr>
        <w:t>الثامن</w:t>
      </w:r>
      <w:r>
        <w:rPr>
          <w:rtl w:val="true"/>
        </w:rPr>
        <w:t xml:space="preserve">: </w:t>
      </w:r>
      <w:r>
        <w:rPr>
          <w:rtl w:val="true"/>
        </w:rPr>
        <w:t>ثبوت الدین فیذمّة المضمون عنه</w:t>
      </w:r>
      <w:bookmarkEnd w:id="44"/>
    </w:p>
    <w:p>
      <w:pPr>
        <w:pStyle w:val="BookText"/>
        <w:rPr/>
      </w:pPr>
      <w:r>
        <w:rPr>
          <w:rFonts w:ascii="IRNazanin" w:hAnsi="IRNazanin" w:eastAsia="IRNazanin"/>
          <w:color w:val="111111"/>
          <w:sz w:val="28"/>
          <w:sz w:val="28"/>
          <w:szCs w:val="28"/>
          <w:rtl w:val="true"/>
          <w:lang w:bidi="fa-IR"/>
        </w:rPr>
        <w:t>کون الدَین الّذی یضمنه ثابتاً فی ذمّة المضمون عنه، سواء</w:t>
      </w:r>
    </w:p>
    <w:p>
      <w:pPr>
        <w:pStyle w:val="BookText"/>
        <w:rPr/>
      </w:pPr>
      <w:r>
        <w:rPr>
          <w:rFonts w:ascii="IRNazanin" w:hAnsi="IRNazanin" w:eastAsia="IRNazanin"/>
          <w:color w:val="111111"/>
          <w:sz w:val="28"/>
          <w:sz w:val="28"/>
          <w:szCs w:val="28"/>
          <w:rtl w:val="true"/>
          <w:lang w:bidi="fa-IR"/>
        </w:rPr>
        <w:t>کان مستقرّاً کالقرض والعوضَین فی البیع الّذی لا خیار فیه، أم</w:t>
      </w:r>
    </w:p>
    <w:p>
      <w:pPr>
        <w:pStyle w:val="BookText"/>
        <w:rPr/>
      </w:pPr>
      <w:r>
        <w:rPr>
          <w:rFonts w:ascii="Amiri" w:hAnsi="Amiri" w:eastAsia="Amiri" w:cs="Amiri"/>
          <w:color w:val="111111"/>
          <w:sz w:val="28"/>
          <w:sz w:val="28"/>
          <w:szCs w:val="28"/>
          <w:rtl w:val="true"/>
          <w:lang w:bidi="ar-SA"/>
        </w:rPr>
        <w:t>متزلزلاً</w:t>
      </w:r>
      <w:r>
        <w:rPr>
          <w:rStyle w:val="FootnoteAnchor"/>
          <w:rtl w:val="true"/>
        </w:rPr>
        <w:footnoteReference w:id="65"/>
      </w:r>
      <w:r>
        <w:rPr>
          <w:rFonts w:ascii="IRNazanin" w:hAnsi="IRNazanin" w:eastAsia="IRNazanin"/>
          <w:color w:val="111111"/>
          <w:sz w:val="28"/>
          <w:sz w:val="28"/>
          <w:szCs w:val="28"/>
          <w:rtl w:val="true"/>
          <w:lang w:bidi="fa-IR"/>
        </w:rPr>
        <w:t>، کأحد العوضَین فی البیع الخیاریِّ، کما إذا ضمن الثمن</w:t>
      </w:r>
    </w:p>
    <w:p>
      <w:pPr>
        <w:pStyle w:val="BookText"/>
        <w:rPr/>
      </w:pPr>
      <w:r>
        <w:rPr>
          <w:rFonts w:ascii="IRNazanin" w:hAnsi="IRNazanin" w:eastAsia="IRNazanin"/>
          <w:color w:val="111111"/>
          <w:sz w:val="28"/>
          <w:sz w:val="28"/>
          <w:szCs w:val="28"/>
          <w:rtl w:val="true"/>
          <w:lang w:bidi="fa-IR"/>
        </w:rPr>
        <w:t>الکلّیّ للبائع، أو المبیع الکلّیّ للمشتری، أو المبیع الشخصیّ</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المبیع الشخصیّ لا یلتئم مع عنوان الدَین، وتحریر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المضمون إمّادَین، أو عین،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ضمان الأموال الکلّیة الّتی تشتغل بها الذِمم، کالقرضوالثمن والمثمَن الکلّیَین ونحوهما،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ضمان العهدة، نظیر ضمان الید، وهوالأموال الشخصیّة، ومعنی ضمانها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عهدة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یردّها عیناً، أو یدفع بدلها عیناً، أو قیمةً لو تلفت، ومن هذا القبیل المبیع الشخصیّ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مع أنّه لیس من أمثلة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لذکره فی المقام؛ فإنّ الکلام إنّما هو فی ضمان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یکون المراد من الدَین فی المقام مطلق تعهّد التسلیم، سواء کان الشیء ذمیّاً، أم خارجیّاً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المبیع الشخصیّ وکذا المهر إن کان عیناً خارجیّاً لیسا دَیناً حتّی یکونا من أمثلةالمقام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خارج عمّا هو محلّ الکلام،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هذا من أمثلة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القبض</w:t>
      </w:r>
      <w:r>
        <w:rPr>
          <w:rStyle w:val="FootnoteAnchor"/>
          <w:rtl w:val="true"/>
        </w:rPr>
        <w:footnoteReference w:id="67"/>
      </w:r>
      <w:r>
        <w:rPr>
          <w:rFonts w:ascii="IRNazanin" w:hAnsi="IRNazanin" w:eastAsia="IRNazanin"/>
          <w:color w:val="111111"/>
          <w:sz w:val="28"/>
          <w:sz w:val="28"/>
          <w:szCs w:val="28"/>
          <w:rtl w:val="true"/>
          <w:lang w:bidi="fa-IR"/>
        </w:rPr>
        <w:t>، وکالمهر قبل الدخول،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أقرِض فلاناً کذا وأنا ضامن، أو بِعهُ نسیئةً وأنا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یصحّ علی المشهور</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ویأتی الکلام فی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ببعید، وسیأتی الکلام فی الفروع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 ولا یبعد تفرّع هذا الشرط علی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وأمّا الفروع الآتیة فیأتی الکلام فیها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عن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أصل النسخة، والظاهر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لغیره مهما أعطیت فلاناً فهو علیَّ لم یصحّ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ذکروه من الشرط ینافی جملةً من الفروع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Style w:val="FootnoteAnchor"/>
          <w:rtl w:val="true"/>
        </w:rPr>
        <w:footnoteReference w:id="69"/>
      </w:r>
      <w:r>
        <w:rPr>
          <w:rFonts w:ascii="Amiri" w:hAnsi="Amiri" w:eastAsia="Amiri" w:cs="Amiri"/>
          <w:color w:val="111111"/>
          <w:sz w:val="28"/>
          <w:sz w:val="28"/>
          <w:szCs w:val="28"/>
          <w:rtl w:val="true"/>
          <w:lang w:bidi="ar-SA"/>
        </w:rPr>
        <w:t> بالصحّة</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یعتنی به العرف والعقلاء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للثبوت وإن لم</w:t>
      </w:r>
    </w:p>
    <w:p>
      <w:pPr>
        <w:pStyle w:val="BookText"/>
        <w:rPr/>
      </w:pPr>
      <w:r>
        <w:rPr>
          <w:rFonts w:ascii="Amiri" w:hAnsi="Amiri" w:eastAsia="Amiri" w:cs="Amiri"/>
          <w:color w:val="111111"/>
          <w:sz w:val="28"/>
          <w:sz w:val="28"/>
          <w:szCs w:val="28"/>
          <w:rtl w:val="true"/>
          <w:lang w:bidi="ar-SA"/>
        </w:rPr>
        <w:t>یثبت فعلاً، بل مطلقاً</w:t>
      </w:r>
      <w:r>
        <w:rPr>
          <w:rStyle w:val="FootnoteAnchor"/>
          <w:rtl w:val="true"/>
        </w:rPr>
        <w:footnoteReference w:id="71"/>
      </w:r>
      <w:r>
        <w:rPr>
          <w:rFonts w:ascii="IRNazanin" w:hAnsi="IRNazanin" w:eastAsia="IRNazanin"/>
          <w:color w:val="111111"/>
          <w:sz w:val="28"/>
          <w:sz w:val="28"/>
          <w:szCs w:val="28"/>
          <w:rtl w:val="true"/>
          <w:lang w:bidi="fa-IR"/>
        </w:rPr>
        <w:t>؛ لصدق الضمان</w:t>
      </w:r>
      <w:r>
        <w:rPr>
          <w:rStyle w:val="FootnoteAnchor"/>
          <w:rtl w:val="true"/>
        </w:rPr>
        <w:footnoteReference w:id="72"/>
      </w:r>
      <w:r>
        <w:rPr>
          <w:rFonts w:ascii="Amiri" w:hAnsi="Amiri" w:eastAsia="Amiri" w:cs="Amiri"/>
          <w:color w:val="111111"/>
          <w:sz w:val="28"/>
          <w:sz w:val="28"/>
          <w:szCs w:val="28"/>
          <w:rtl w:val="true"/>
          <w:lang w:bidi="ar-SA"/>
        </w:rPr>
        <w:t>، وشمول العمومات العامّة وإن لم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5" w:name="pg13286_153666"/>
    </w:p>
    <w:p>
      <w:pPr>
        <w:pStyle w:val="BookText"/>
        <w:rPr/>
      </w:pPr>
      <w:bookmarkEnd w:id="45"/>
      <w:r>
        <w:rPr>
          <w:rFonts w:ascii="IRNazanin" w:hAnsi="IRNazanin" w:eastAsia="IRNazanin"/>
          <w:color w:val="111111"/>
          <w:sz w:val="28"/>
          <w:sz w:val="28"/>
          <w:szCs w:val="28"/>
          <w:rtl w:val="true"/>
          <w:lang w:bidi="fa-IR"/>
        </w:rPr>
        <w:t>یکن من الضمان المصطلح عندهم، بل یمکن</w:t>
      </w:r>
      <w:r>
        <w:rPr>
          <w:rStyle w:val="FootnoteAnchor"/>
          <w:rtl w:val="true"/>
        </w:rPr>
        <w:footnoteReference w:id="73"/>
      </w:r>
      <w:r>
        <w:rPr>
          <w:rFonts w:ascii="IRNazanin" w:hAnsi="IRNazanin" w:eastAsia="IRNazanin"/>
          <w:color w:val="111111"/>
          <w:sz w:val="28"/>
          <w:sz w:val="28"/>
          <w:szCs w:val="28"/>
          <w:rtl w:val="true"/>
          <w:lang w:bidi="fa-IR"/>
        </w:rPr>
        <w:t> منع عدم کونه منه أیضاً</w:t>
      </w:r>
      <w:r>
        <w:rPr>
          <w:rFonts w:eastAsia="IRNazanin" w:cs="IRNazanin"/>
          <w:color w:val="111111"/>
          <w:sz w:val="28"/>
          <w:szCs w:val="28"/>
          <w:rtl w:val="true"/>
          <w:lang w:bidi="fa-IR"/>
        </w:rPr>
        <w:t>.</w:t>
      </w:r>
    </w:p>
    <w:p>
      <w:pPr>
        <w:pStyle w:val="Heading4"/>
        <w:numPr>
          <w:ilvl w:val="3"/>
          <w:numId w:val="1"/>
        </w:numPr>
        <w:rPr/>
      </w:pPr>
      <w:bookmarkStart w:id="46" w:name="__RefHeading___Toc2138444_2322387425"/>
      <w:bookmarkStart w:id="47" w:name="_Toc15"/>
      <w:bookmarkEnd w:id="46"/>
      <w:r>
        <w:rPr>
          <w:rtl w:val="true"/>
        </w:rPr>
        <w:t>التاسع</w:t>
      </w:r>
      <w:r>
        <w:rPr>
          <w:rtl w:val="true"/>
        </w:rPr>
        <w:t xml:space="preserve">: </w:t>
      </w:r>
      <w:r>
        <w:rPr>
          <w:rtl w:val="true"/>
        </w:rPr>
        <w:t>عدم اشتغال ذمّة الضامن</w:t>
      </w:r>
      <w:bookmarkEnd w:id="47"/>
    </w:p>
    <w:p>
      <w:pPr>
        <w:pStyle w:val="BookText"/>
        <w:rPr/>
      </w:pPr>
      <w:r>
        <w:rPr>
          <w:rFonts w:ascii="IRNazanin" w:hAnsi="IRNazanin" w:eastAsia="IRNazanin"/>
          <w:color w:val="111111"/>
          <w:sz w:val="28"/>
          <w:sz w:val="28"/>
          <w:szCs w:val="28"/>
          <w:rtl w:val="true"/>
          <w:lang w:bidi="fa-IR"/>
        </w:rPr>
        <w:t>أن لا تکون ذمّة الضامن مشغولةً للمضمون عنه</w:t>
      </w:r>
      <w:r>
        <w:rPr>
          <w:rStyle w:val="FootnoteAnchor"/>
          <w:rtl w:val="true"/>
        </w:rPr>
        <w:footnoteReference w:id="74"/>
      </w:r>
      <w:r>
        <w:rPr>
          <w:rFonts w:ascii="Amiri" w:hAnsi="Amiri" w:eastAsia="Amiri" w:cs="Amiri"/>
          <w:color w:val="111111"/>
          <w:sz w:val="28"/>
          <w:sz w:val="28"/>
          <w:szCs w:val="28"/>
          <w:rtl w:val="true"/>
          <w:lang w:bidi="ar-SA"/>
        </w:rPr>
        <w:t> بمثل الدَین</w:t>
      </w:r>
    </w:p>
    <w:p>
      <w:pPr>
        <w:pStyle w:val="BookText"/>
        <w:rPr/>
      </w:pPr>
      <w:r>
        <w:rPr>
          <w:rFonts w:ascii="IRNazanin" w:hAnsi="IRNazanin" w:eastAsia="IRNazanin"/>
          <w:color w:val="111111"/>
          <w:sz w:val="28"/>
          <w:sz w:val="28"/>
          <w:szCs w:val="28"/>
          <w:rtl w:val="true"/>
          <w:lang w:bidi="fa-IR"/>
        </w:rPr>
        <w:t>الّذی علیه، علی ما یظهر من کلماتهم فی بیان الضمان بالمعنی الأعمِّ،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بمعنی التعهّد بمال، أو نفس، فالثانی الکفالة، والأوّل إن کان ممّن علیه للمضمون عنه مال فهو الحوالة، وإن لم یکن فضمان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دلیل علی هذا الشرط</w:t>
      </w:r>
      <w:r>
        <w:rPr>
          <w:rStyle w:val="FootnoteAnchor"/>
          <w:rtl w:val="true"/>
        </w:rPr>
        <w:footnoteReference w:id="75"/>
      </w:r>
      <w:r>
        <w:rPr>
          <w:rFonts w:ascii="IRNazanin" w:hAnsi="IRNazanin" w:eastAsia="IRNazanin"/>
          <w:color w:val="111111"/>
          <w:sz w:val="28"/>
          <w:sz w:val="28"/>
          <w:szCs w:val="28"/>
          <w:rtl w:val="true"/>
          <w:lang w:bidi="fa-IR"/>
        </w:rPr>
        <w:t>، فإذا ضمن للمضمون عنه</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العبارة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المضمون عنه، وما ذکره خلاف الاصطلاح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بمثل ماله علیه یکون ضماناً، فإن کان بإذنه یتهاتران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أداء مال الضمان، وإلّا فیبقی  </w:t>
      </w:r>
    </w:p>
    <w:p>
      <w:pPr>
        <w:pStyle w:val="BookText"/>
        <w:rPr/>
      </w:pPr>
      <w:r>
        <w:rPr>
          <w:rFonts w:ascii="IRNazanin" w:hAnsi="IRNazanin" w:eastAsia="IRNazanin"/>
          <w:color w:val="111111"/>
          <w:sz w:val="28"/>
          <w:sz w:val="28"/>
          <w:szCs w:val="28"/>
          <w:rtl w:val="true"/>
          <w:lang w:bidi="fa-IR"/>
        </w:rPr>
        <w:t>الّذی للمضمون عنه علیه، وتفرغ ذمّته ممّا علیه بضمان الضامن تبرّعاً،</w:t>
      </w:r>
    </w:p>
    <w:p>
      <w:pPr>
        <w:pStyle w:val="BookText"/>
        <w:rPr/>
      </w:pPr>
      <w:r>
        <w:rPr>
          <w:rFonts w:ascii="IRNazanin" w:hAnsi="IRNazanin" w:eastAsia="IRNazanin"/>
          <w:color w:val="111111"/>
          <w:sz w:val="28"/>
          <w:sz w:val="28"/>
          <w:szCs w:val="28"/>
          <w:rtl w:val="true"/>
          <w:lang w:bidi="fa-IR"/>
        </w:rPr>
        <w:t>ولیس من الحوالة؛ لأنّ المضمون عنه علی التقدیرین لم یحلّ مدیونه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علی الضامن حتّی تکون 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الإغماض عن ذلک غایة</w:t>
      </w:r>
    </w:p>
    <w:p>
      <w:pPr>
        <w:pStyle w:val="BookText"/>
        <w:rPr/>
      </w:pPr>
      <w:r>
        <w:rPr>
          <w:rFonts w:ascii="IRNazanin" w:hAnsi="IRNazanin" w:eastAsia="IRNazanin"/>
          <w:color w:val="111111"/>
          <w:sz w:val="28"/>
          <w:sz w:val="28"/>
          <w:szCs w:val="28"/>
          <w:rtl w:val="true"/>
          <w:lang w:bidi="fa-IR"/>
        </w:rPr>
        <w:t>ما یکون أنّه یکون داخلاً فی</w:t>
      </w:r>
      <w:r>
        <w:rPr>
          <w:rStyle w:val="FootnoteAnchor"/>
          <w:rtl w:val="true"/>
        </w:rPr>
        <w:footnoteReference w:id="78"/>
      </w:r>
      <w:r>
        <w:rPr>
          <w:rFonts w:ascii="IRNazanin" w:hAnsi="IRNazanin" w:eastAsia="IRNazanin"/>
          <w:color w:val="111111"/>
          <w:sz w:val="28"/>
          <w:sz w:val="28"/>
          <w:szCs w:val="28"/>
          <w:rtl w:val="true"/>
          <w:lang w:bidi="fa-IR"/>
        </w:rPr>
        <w:t> کلا العنوانَین</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یدخل عنوان قصدیّ فی عنوانٍ قصدیٍّ آخر، بل لابدّ من قصد کلّ عنوانٍ قصدیٍّ بحیال 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 کیف یمکن ذلک بعد امتناع اجتماع لحاظهما معاً فی مقام الإنشاء والباب باب الإنشاء، وتحقّق العنوان تابع للقصد؟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التسلیم والاعتراف بتغایر العنوانَین، وأنّ المنشأ فی أحدهما إثبات مالٍ فیالذمّة وفراغ ذمّةٍ اُخری، وفی الآخر نقل ما فی ذمّةٍ إلی ذمّةٍ مشغولةٍ بمثل ما فیها،وأنّ اعتبار ذلک فی أحدهما وظیفة الضامن، وفی الآخر وظیفة المدیون، فکیف یمکن إنشاوهما بإنشاءٍ واحدٍ حتّی یکون داخلاً فی کلا العنوانَین ومورداً لکلاالأثرین، مع أنّ الأثر المختصّ بأحدهما مستلزم لِما لا یجتمع مع المختصّ بالآخر،فیکون الجمع بینهما مستلزماً للجمع بین النقیضَین، وظاهر العلماء ـ رضوان الله علیهم ـ أنّ المدیون إذا ضمن فلابدّ أن یکون حوالةً، بمعنی بطلان ما إذا قصدالضمان، ولا یبعد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الحوالة ما یوضّحه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فیدور مدار القصد، ولا یبعد أن یکون ترتّب الأثر الخاصّ مخصّصاًأیضاً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bookmarkStart w:id="48" w:name="pg13286_153668"/>
    </w:p>
    <w:p>
      <w:pPr>
        <w:pStyle w:val="BookText"/>
        <w:rPr/>
      </w:pPr>
      <w:bookmarkEnd w:id="48"/>
      <w:r>
        <w:rPr>
          <w:rFonts w:ascii="IRNazanin" w:hAnsi="IRNazanin" w:eastAsia="IRNazanin"/>
          <w:color w:val="111111"/>
          <w:sz w:val="28"/>
          <w:sz w:val="28"/>
          <w:szCs w:val="28"/>
          <w:rtl w:val="true"/>
          <w:lang w:bidi="fa-IR"/>
        </w:rPr>
        <w:t>فیترتّب علیه</w:t>
      </w:r>
      <w:r>
        <w:rPr>
          <w:rStyle w:val="FootnoteAnchor"/>
          <w:rtl w:val="true"/>
        </w:rPr>
        <w:footnoteReference w:id="80"/>
      </w:r>
      <w:r>
        <w:rPr>
          <w:rFonts w:ascii="Amiri" w:hAnsi="Amiri" w:eastAsia="Amiri" w:cs="Amiri"/>
          <w:color w:val="111111"/>
          <w:sz w:val="28"/>
          <w:sz w:val="28"/>
          <w:szCs w:val="28"/>
          <w:rtl w:val="true"/>
          <w:lang w:bidi="ar-SA"/>
        </w:rPr>
        <w:t> ما یختصّ بکلٍّ منهما، مضافاً إلی ما یکون مشترکاً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138446_2322387425"/>
      <w:bookmarkStart w:id="50" w:name="_Toc16"/>
      <w:bookmarkEnd w:id="49"/>
      <w:r>
        <w:rPr>
          <w:rtl w:val="true"/>
        </w:rPr>
        <w:t>العاشر</w:t>
      </w:r>
      <w:r>
        <w:rPr>
          <w:rtl w:val="true"/>
        </w:rPr>
        <w:t xml:space="preserve">: </w:t>
      </w:r>
      <w:r>
        <w:rPr>
          <w:rtl w:val="true"/>
        </w:rPr>
        <w:t>امتیاز الدَین والمضمون له والمضمون عنه</w:t>
      </w:r>
      <w:bookmarkEnd w:id="50"/>
    </w:p>
    <w:p>
      <w:pPr>
        <w:pStyle w:val="BookText"/>
        <w:rPr/>
      </w:pPr>
      <w:r>
        <w:rPr>
          <w:rFonts w:ascii="IRNazanin" w:hAnsi="IRNazanin" w:eastAsia="IRNazanin"/>
          <w:color w:val="111111"/>
          <w:sz w:val="28"/>
          <w:sz w:val="28"/>
          <w:szCs w:val="28"/>
          <w:rtl w:val="true"/>
          <w:lang w:bidi="fa-IR"/>
        </w:rPr>
        <w:t>عند الضامن علی وجهٍ یصحّ معه القصد إلی الضمان، ویکفی التمیّز الواقعیّ وإن لم یعلمه الضامن، فالمضرّ هو الإبهام والتردید، فلا یصحّ</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أحد الدَینَین ولو لشخصٍ واحد علی شخصٍ واحدٍ علی وجه التردید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تحقّق    </w:t>
      </w:r>
      <w:bookmarkStart w:id="51" w:name="pg13286_153669"/>
    </w:p>
    <w:p>
      <w:pPr>
        <w:pStyle w:val="BookText"/>
        <w:rPr/>
      </w:pPr>
      <w:bookmarkEnd w:id="51"/>
      <w:r>
        <w:rPr>
          <w:rFonts w:ascii="IRNazanin" w:hAnsi="IRNazanin" w:eastAsia="IRNazanin"/>
          <w:color w:val="111111"/>
          <w:sz w:val="28"/>
          <w:sz w:val="28"/>
          <w:szCs w:val="28"/>
          <w:rtl w:val="true"/>
          <w:lang w:bidi="fa-IR"/>
        </w:rPr>
        <w:t>الدَینَین، ولا ضمان دَین أحد الشخصَین ولو لواحد، ولا ضمان دَینٍ لأحد الشخصَین ولو علی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الدَین الّذی علی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یعلم أنّه لزیدٍ أو لعمرو،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الّذی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یعلم أنّه علی زیدٍ أو علی عمرٍو صحّ</w:t>
      </w:r>
      <w:r>
        <w:rPr>
          <w:rStyle w:val="FootnoteAnchor"/>
          <w:rtl w:val="true"/>
        </w:rPr>
        <w:footnoteReference w:id="82"/>
      </w:r>
      <w:r>
        <w:rPr>
          <w:rFonts w:ascii="Amiri" w:hAnsi="Amiri" w:eastAsia="Amiri" w:cs="Amiri"/>
          <w:color w:val="111111"/>
          <w:sz w:val="28"/>
          <w:sz w:val="28"/>
          <w:szCs w:val="28"/>
          <w:rtl w:val="true"/>
          <w:lang w:bidi="ar-SA"/>
        </w:rPr>
        <w:t>؛ لأنّه متعیّن</w:t>
      </w:r>
    </w:p>
    <w:p>
      <w:pPr>
        <w:pStyle w:val="BookText"/>
        <w:rPr/>
      </w:pP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لک کلّ ما کان لک علی الناس،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عنک کلّ ما کان علیک لکلّ من کان من الناس</w:t>
      </w:r>
      <w:r>
        <w:rPr>
          <w:rFonts w:eastAsia="IRNazanin" w:cs="IRNazanin"/>
          <w:color w:val="111111"/>
          <w:sz w:val="28"/>
          <w:szCs w:val="28"/>
          <w:rtl w:val="true"/>
          <w:lang w:bidi="fa-IR"/>
        </w:rPr>
        <w:t>.</w:t>
      </w:r>
    </w:p>
    <w:p>
      <w:pPr>
        <w:pStyle w:val="Heading3"/>
        <w:numPr>
          <w:ilvl w:val="2"/>
          <w:numId w:val="1"/>
        </w:numPr>
        <w:rPr/>
      </w:pPr>
      <w:bookmarkStart w:id="52" w:name="__RefHeading___Toc2138448_2322387425"/>
      <w:bookmarkStart w:id="53" w:name="_Toc17"/>
      <w:bookmarkEnd w:id="52"/>
      <w:r>
        <w:rPr>
          <w:rtl w:val="true"/>
        </w:rPr>
        <w:t>عدم اعتبار العلم بمقدار المضمون أو جنسه</w:t>
      </w:r>
      <w:bookmarkEnd w:id="53"/>
    </w:p>
    <w:p>
      <w:pPr>
        <w:pStyle w:val="BookText"/>
        <w:rPr/>
      </w:pPr>
      <w:r>
        <w:rPr>
          <w:rFonts w:ascii="IRNazanin" w:hAnsi="IRNazanin" w:eastAsia="IRNazanin"/>
          <w:color w:val="111111"/>
          <w:sz w:val="28"/>
          <w:sz w:val="28"/>
          <w:szCs w:val="28"/>
          <w:rtl w:val="true"/>
          <w:lang w:bidi="fa-IR"/>
        </w:rPr>
        <w:t>ومن الغریب ما عن بعضهم من اعتبار العلم</w:t>
      </w:r>
      <w:r>
        <w:rPr>
          <w:rStyle w:val="FootnoteAnchor"/>
          <w:rtl w:val="true"/>
        </w:rPr>
        <w:footnoteReference w:id="83"/>
      </w:r>
      <w:r>
        <w:rPr>
          <w:rFonts w:ascii="IRNazanin" w:hAnsi="IRNazanin" w:eastAsia="IRNazanin"/>
          <w:color w:val="111111"/>
          <w:sz w:val="28"/>
          <w:sz w:val="28"/>
          <w:szCs w:val="28"/>
          <w:rtl w:val="true"/>
          <w:lang w:bidi="fa-IR"/>
        </w:rPr>
        <w:t> بالمضمون عنه والمضمون له بالوصف والنسب، أو العلم باسمهما ونسبهما، مع أنّه لا دلیل علیه أصلاً، ولم یعتبر ذلک فی البیع الّذی هو أضیق دائرةً من سائر العقود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صحّة الضمان العلم بمقدار الدَین، ولا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علیه ـ مضافاً إلی العمومات العامّة، 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5/267</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المصنّف للصنعانی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8/173</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بضمان</w:t>
      </w:r>
      <w:r>
        <w:rPr>
          <w:rStyle w:val="FootnoteAnchor"/>
          <w:rtl w:val="true"/>
        </w:rPr>
        <w:footnoteReference w:id="85"/>
      </w:r>
      <w:r>
        <w:rPr>
          <w:rFonts w:ascii="IRNazanin" w:hAnsi="IRNazanin" w:eastAsia="IRNazanin"/>
          <w:color w:val="111111"/>
          <w:sz w:val="28"/>
          <w:sz w:val="28"/>
          <w:szCs w:val="28"/>
          <w:rtl w:val="true"/>
          <w:lang w:bidi="fa-IR"/>
        </w:rPr>
        <w:t xml:space="preserve"> علیّ بن الحسین علیهما السّلام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روی الخبران فی بعض کتب العامّة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 عبدالله بن</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87"/>
      </w:r>
      <w:r>
        <w:rPr>
          <w:rFonts w:ascii="Amiri" w:hAnsi="Amiri" w:eastAsia="Amiri" w:cs="Amiri"/>
          <w:color w:val="111111"/>
          <w:sz w:val="28"/>
          <w:sz w:val="28"/>
          <w:szCs w:val="28"/>
          <w:rtl w:val="true"/>
          <w:lang w:bidi="ar-SA"/>
        </w:rPr>
        <w:t>، وضمانه لِدَین محمّد بن اُسامة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الصحّة مخصوصة بما إذا کان له واقع معیّن، وأمّا إذا لم یکن کذلک ـ کقولک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شیئاً من دَینک ـ فلا 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إنّما هی فیما إذا کان یمکن العلم به بعد ذلک، فلا یرد علیه ما یقال من عدم الإشکال فی الصحّة مع فرض تعیّنه واقعاً، وإن لم یمکن العلم به فیأخذ بالقدر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وخالف بعضهم فاشترط العلم به لنفی الغَرر والضَرر، ورُدَّ بعدم العموم فی الأوّل؛ لاختصاصه بالبیع، أو مطلق المعاوضات</w:t>
      </w:r>
      <w:r>
        <w:rPr>
          <w:rStyle w:val="FootnoteAnchor"/>
          <w:rtl w:val="true"/>
        </w:rPr>
        <w:footnoteReference w:id="89"/>
      </w:r>
      <w:r>
        <w:rPr>
          <w:rFonts w:ascii="IRNazanin" w:hAnsi="IRNazanin" w:eastAsia="IRNazanin"/>
          <w:color w:val="111111"/>
          <w:sz w:val="28"/>
          <w:sz w:val="28"/>
          <w:szCs w:val="28"/>
          <w:rtl w:val="true"/>
          <w:lang w:bidi="fa-IR"/>
        </w:rPr>
        <w:t>، وبالإقدام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الفرق بین الضمان التبرّعیّ والإذنیّ</w:t>
      </w:r>
      <w:r>
        <w:rPr>
          <w:rStyle w:val="FootnoteAnchor"/>
          <w:rtl w:val="true"/>
        </w:rPr>
        <w:footnoteReference w:id="90"/>
      </w:r>
      <w:r>
        <w:rPr>
          <w:rFonts w:ascii="IRNazanin" w:hAnsi="IRNazanin" w:eastAsia="IRNazanin"/>
          <w:color w:val="111111"/>
          <w:sz w:val="28"/>
          <w:sz w:val="28"/>
          <w:szCs w:val="28"/>
          <w:rtl w:val="true"/>
          <w:lang w:bidi="fa-IR"/>
        </w:rPr>
        <w:t>، فیعتبر فی الثانی</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یُعتبر 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الأوّل؛ إذ ضمان علیِّ بن الحسین علیهما السّلام کان تبرّعیّاً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واختصاص نفی الغَرر  </w:t>
      </w:r>
      <w:bookmarkStart w:id="54" w:name="pg13286_153671"/>
    </w:p>
    <w:p>
      <w:pPr>
        <w:pStyle w:val="BookText"/>
        <w:rPr/>
      </w:pPr>
      <w:bookmarkEnd w:id="54"/>
      <w:r>
        <w:rPr>
          <w:rFonts w:ascii="IRNazanin" w:hAnsi="IRNazanin" w:eastAsia="IRNazanin"/>
          <w:color w:val="111111"/>
          <w:sz w:val="28"/>
          <w:sz w:val="28"/>
          <w:szCs w:val="28"/>
          <w:rtl w:val="true"/>
          <w:lang w:bidi="fa-IR"/>
        </w:rPr>
        <w:t>بالمعاوضات ممنوع</w:t>
      </w:r>
      <w:r>
        <w:rPr>
          <w:rStyle w:val="FootnoteAnchor"/>
          <w:rtl w:val="true"/>
        </w:rPr>
        <w:footnoteReference w:id="92"/>
      </w:r>
      <w:r>
        <w:rPr>
          <w:rFonts w:ascii="IRNazanin" w:hAnsi="IRNazanin" w:eastAsia="IRNazanin"/>
          <w:color w:val="111111"/>
          <w:sz w:val="28"/>
          <w:sz w:val="28"/>
          <w:szCs w:val="28"/>
          <w:rtl w:val="true"/>
          <w:lang w:bidi="fa-IR"/>
        </w:rPr>
        <w:t>، بل یجری فی مثل المقام الشبیه بالمعاوضة إذا کان</w:t>
      </w:r>
    </w:p>
    <w:p>
      <w:pPr>
        <w:pStyle w:val="BookText"/>
        <w:rPr/>
      </w:pPr>
      <w:r>
        <w:rPr>
          <w:rFonts w:ascii="IRNazanin" w:hAnsi="IRNazanin" w:eastAsia="IRNazanin"/>
          <w:color w:val="111111"/>
          <w:sz w:val="28"/>
          <w:sz w:val="28"/>
          <w:szCs w:val="28"/>
          <w:rtl w:val="true"/>
          <w:lang w:bidi="fa-IR"/>
        </w:rPr>
        <w:t>بالإذن مع قصد الرجوع علی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التفصیل لا یخلو من قرب</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عدم الفرق بین القسمَین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اشتراط نفی معظم الغَرر، من غیر فرق بین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 ذلک القدر من الجهالة متعارفاً، فلو دار بین عشرةٍ أوعشرین فلا مانع من الصحّة، ولو دار بین عشرةٍ أو آلاف مثلاً فلا یصحّ، من غیرفرقٍ بین القسمَین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عدم الفرق؛ لعدم الغَرر، فإنّ باب الضمان غیر باب المعاوضات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عدم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اختصاص عدم مانعیّة الغَرر بخصوص التبرّعیّ، ولکنّه خلاف المرتکز العرفیّ، فالأظهر عدم الاعتبار فی شیءٍ منهما،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منه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138450_2322387425"/>
      <w:bookmarkStart w:id="56" w:name="_Toc18"/>
      <w:bookmarkEnd w:id="55"/>
      <w:r>
        <w:rPr>
          <w:rtl w:val="true"/>
        </w:rPr>
        <w:t>انتقال الحق إلی ذمّة الضامن بالضمان</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 الضمان الجامع لشرائط الصحّة انتقل الحقّ من ذِمّة المضمون عنه إلی ذمّة الضامن، وتبرأ ذمّة المضمون عنه بالإجماع والنصوص، خلافاً للجمهور؛ حیث إنّ الضمان عندهم ضمّ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کلمات الأصحاب</w:t>
      </w:r>
      <w:r>
        <w:rPr>
          <w:rStyle w:val="FootnoteAnchor"/>
          <w:rtl w:val="true"/>
        </w:rPr>
        <w:footnoteReference w:id="94"/>
      </w:r>
      <w:r>
        <w:rPr>
          <w:rFonts w:ascii="IRNazanin" w:hAnsi="IRNazanin" w:eastAsia="IRNazanin"/>
          <w:color w:val="111111"/>
          <w:sz w:val="28"/>
          <w:sz w:val="28"/>
          <w:szCs w:val="28"/>
          <w:rtl w:val="true"/>
          <w:lang w:bidi="fa-IR"/>
        </w:rPr>
        <w:t xml:space="preserve"> عدم صحّة ما ذکروه حتّی مع التصریح به </w:t>
      </w:r>
    </w:p>
    <w:p>
      <w:pPr>
        <w:pStyle w:val="BookText"/>
        <w:rPr/>
      </w:pPr>
      <w:r>
        <w:rPr>
          <w:rFonts w:ascii="IRNazanin" w:hAnsi="IRNazanin" w:eastAsia="IRNazanin"/>
          <w:color w:val="111111"/>
          <w:sz w:val="28"/>
          <w:sz w:val="28"/>
          <w:szCs w:val="28"/>
          <w:rtl w:val="true"/>
          <w:lang w:bidi="fa-IR"/>
        </w:rPr>
        <w:t>علی هذا النحو، ویمکن</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یمکن؛ لأنّه لا معنی لضمّ ذمّةٍ إلی اُخری علی نحو الاستقلال؛ لأنّ المال الواحد لا یشغل ذمَّتین بالاستقلال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بالتزام صحّة اشتغال الذمم علی سبیل البدلیّة بمضمونٍ واحد، ولکنّه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 لم یکن فی قبال الضمان المعهود معاملة اُخری مجعولة عندالعقلاء، غایة الأمر اختلفوا فی حقیقة الضمان، فبعد ردعهم عمّا فهموا لا یبقی مجالا لتشبّث بالعمومات بالنسبة إلیها بعد ردعه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 للعمومات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صحّة کلّ عقدٍ عقلائیٍّ لم یَنهَ عنه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3286_153673"/>
    </w:p>
    <w:p>
      <w:pPr>
        <w:pStyle w:val="Heading3"/>
        <w:numPr>
          <w:ilvl w:val="2"/>
          <w:numId w:val="1"/>
        </w:numPr>
        <w:rPr/>
      </w:pPr>
      <w:bookmarkStart w:id="58" w:name="__RefHeading___Toc2138452_2322387425"/>
      <w:bookmarkStart w:id="59" w:name="_Toc19"/>
      <w:bookmarkEnd w:id="57"/>
      <w:bookmarkEnd w:id="58"/>
      <w:r>
        <w:rPr>
          <w:rtl w:val="true"/>
        </w:rPr>
        <w:t>إبراء ذمّة الضامن والمضمون عنه</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أبرأ المضمون له ذمّة الضامن برئت ذمّته وذمّة</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المضمون عنه</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مال الضامن بالإبراء، وکانت بریئة عن حقّ المضمون له بالضمان علی مذهبنا، ومنه ظهر أن لا موقع لبراءة ذمّته عن حقّ المضمون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أبرأ ذمّة المضمون عنه لم یوثّر شیئاً، فلا تبرأ ذمّة الضامن؛ لعدم المحلّ للإبراء بعد براءته بالضمان، إلّا إذا استُفِید منه الإبراء من الدَین الّذی کان علیه بحیث یُفهَم منه عرفاً</w:t>
      </w:r>
      <w:r>
        <w:rPr>
          <w:rStyle w:val="FootnoteAnchor"/>
          <w:rtl w:val="true"/>
        </w:rPr>
        <w:footnoteReference w:id="98"/>
      </w:r>
      <w:r>
        <w:rPr>
          <w:rFonts w:ascii="IRNazanin" w:hAnsi="IRNazanin" w:eastAsia="IRNazanin"/>
          <w:color w:val="111111"/>
          <w:sz w:val="28"/>
          <w:sz w:val="28"/>
          <w:szCs w:val="28"/>
          <w:rtl w:val="true"/>
          <w:lang w:bidi="fa-IR"/>
        </w:rPr>
        <w:t> إبراء ذمّة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الضمان بمعنی</w:t>
      </w:r>
    </w:p>
    <w:p>
      <w:pPr>
        <w:pStyle w:val="BookText"/>
        <w:rPr/>
      </w:pPr>
      <w:r>
        <w:rPr>
          <w:rFonts w:ascii="Amiri" w:hAnsi="Amiri" w:eastAsia="Amiri" w:cs="Amiri"/>
          <w:color w:val="111111"/>
          <w:sz w:val="28"/>
          <w:sz w:val="28"/>
          <w:szCs w:val="28"/>
          <w:rtl w:val="true"/>
          <w:lang w:bidi="ar-SA"/>
        </w:rPr>
        <w:t>ضمّ ذمّةٍ إلی ذمّةٍ</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أبرأ ذمّة المضمون عنه برئت ذمّة الضامن أیضاً، وإن</w:t>
      </w:r>
    </w:p>
    <w:p>
      <w:pPr>
        <w:pStyle w:val="BookText"/>
        <w:rPr/>
      </w:pPr>
      <w:r>
        <w:rPr>
          <w:rFonts w:ascii="IRNazanin" w:hAnsi="IRNazanin" w:eastAsia="IRNazanin"/>
          <w:color w:val="111111"/>
          <w:sz w:val="28"/>
          <w:sz w:val="28"/>
          <w:szCs w:val="28"/>
          <w:rtl w:val="true"/>
          <w:lang w:bidi="fa-IR"/>
        </w:rPr>
        <w:t>أبرأ ذمّة الضامن فلا تبرأ ذمّة المضمون عنه، کذا قالوا</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الوجه علی هذا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لوحدتهما بحسب متن الواقع، إلّا أنّ المبنی فاسد؛ لِما مرّ من عدم اشتغال ذمّتین بمالٍ واحدٍ علی سبیل 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یَؤُول الأمر إلی رفع الید عن الدَین، لکنّه خارج عن الفرض، مضافاً إلی أنّه مخدوش بأنّه إن کانت ذمّة الضامن بمنزلة الوثیقة علی الدَین فلا ریب فی أنّ إسقاط الوثیقة لا یوجب سقوط الدَین، وکذا لو کان الباب من باب البدلیّة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یعلم المقصود من ضمّ الذمّة إلی الذمّة، وأنّ ذمّة الضامن هل هی وثیقةلذمّة المدیون؟ کما صرّح بعض القائلین به بعدم جواز المطالبة من الضامن إلّا بعدعدم إمکان الأداء من المدیون، أو أنّ ضمانها کضمان الید مع تعدّد الأیادی ـ کما عن بعضهم جواز الرجوع إلی کلٍّ منهما علی التخییر ـ فلا داعی لنا لتفریع الفروع،سیّما مع عدم ملائمته لبعض ما فرّعوا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إلّا إذا اُحرز من القرائن إسقاط أصل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ضعیف، علی تقدیر کون المراد من ضمّ الذمّة إلی اُخری أن تکون ذمّةالضامن وثیقةً للدَین، ضرورة أنّ إسقاط الوثیقة لا یلازم إسقاط الدَین، وأمّا لو کان المراد منه تعدّد الذِمَم بالإضافة إلی دَینٍ واحد ـ کما فی الأیادی المتعدّدة فی ضمان الأعیان المضمونة، ویؤیّده حکم بعض القائلین بهذا القول بجواز رجوع المضمون لهإلی کلّ واحدٍ منهما علی التخییر ـ فهذا الاحتمال لیس بضعیف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ببراءة</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علی ذاک القول؛ فإنّ إسقاط الوثیقة علی الدَین لا یستلزم سقوط نفس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التقدیرین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3286_153675"/>
    </w:p>
    <w:p>
      <w:pPr>
        <w:pStyle w:val="Heading3"/>
        <w:numPr>
          <w:ilvl w:val="2"/>
          <w:numId w:val="1"/>
        </w:numPr>
        <w:rPr/>
      </w:pPr>
      <w:bookmarkStart w:id="61" w:name="__RefHeading___Toc2138454_2322387425"/>
      <w:bookmarkStart w:id="62" w:name="_Toc20"/>
      <w:bookmarkEnd w:id="60"/>
      <w:bookmarkEnd w:id="61"/>
      <w:r>
        <w:rPr>
          <w:rtl w:val="true"/>
        </w:rPr>
        <w:t>لزوم الضمان من طرف الضامن والمضمون له وحکم ضمان المعسر</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الضمان لازم من طرف الضامن والمضمون له، فلا یجوز للضامن فسخه حتّی لو کان بإذن المضمون عنه وتبیّن إعساره، وکذا لا یجوز للمضمون له فسخه والرجوع علی المضمون عنه، لکن بشرط ملاءة الضامن حین الضمان، أو علم المضمون له بإعساره، بخلاف ما لو کان مُعسِراً حین الضمان وکان جاهلاً بإعساره، ففی هذه الصورة یجوز له الفسخ علی المشهور</w:t>
      </w:r>
      <w:r>
        <w:rPr>
          <w:rStyle w:val="FootnoteAnchor"/>
          <w:rtl w:val="true"/>
        </w:rPr>
        <w:footnoteReference w:id="102"/>
      </w:r>
      <w:r>
        <w:rPr>
          <w:rFonts w:ascii="IRNazanin" w:hAnsi="IRNazanin" w:eastAsia="IRNazanin"/>
          <w:color w:val="111111"/>
          <w:sz w:val="28"/>
          <w:sz w:val="28"/>
          <w:szCs w:val="28"/>
          <w:rtl w:val="true"/>
          <w:lang w:bidi="fa-IR"/>
        </w:rPr>
        <w:t>، بل الظاهر عدم الخلاف فیه، ویستفاد من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26/128</w:t>
      </w:r>
      <w:r>
        <w:rPr>
          <w:rFonts w:ascii="IRNazanin" w:hAnsi="IRNazanin" w:eastAsia="IRNazanin"/>
          <w:color w:val="111111"/>
          <w:sz w:val="28"/>
          <w:sz w:val="28"/>
          <w:szCs w:val="28"/>
          <w:rtl w:val="true"/>
          <w:lang w:bidi="fa-IR"/>
        </w:rPr>
        <w:t>، تبصرة المتعلّمین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شرائع الإسلام للمحقّق الحلّی </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کما أشرنا إلیه فی الإعسار والیسار علی حال الضمان، فلو کان موسِراً ثمّ اُعسِر لا یجوز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کان معسِراً ثمّ أیسَر یبقی الخیار</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العلم بالإعسار بعد حدوث الیسار، ففیه یکون بقاء الخیار محلّ تأمّلٍ وارتیاب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والظاهر عدم الفرق فی ثبوت الخیار مع الجهل بالإعسار بین کون  المضمون عنه أیضاً معسراً أو لا</w:t>
      </w:r>
      <w:r>
        <w:rPr>
          <w:rFonts w:eastAsia="IRNazanin" w:cs="IRNazanin"/>
          <w:color w:val="111111"/>
          <w:sz w:val="28"/>
          <w:szCs w:val="28"/>
          <w:rtl w:val="true"/>
          <w:lang w:bidi="fa-IR"/>
        </w:rPr>
        <w:t>.</w:t>
      </w:r>
      <w:bookmarkStart w:id="63" w:name="pg13286_153676"/>
    </w:p>
    <w:p>
      <w:pPr>
        <w:pStyle w:val="BookText"/>
        <w:rPr/>
      </w:pPr>
      <w:bookmarkEnd w:id="63"/>
      <w:r>
        <w:rPr>
          <w:rFonts w:ascii="IRNazanin" w:hAnsi="IRNazanin" w:eastAsia="IRNazanin"/>
          <w:color w:val="111111"/>
          <w:sz w:val="28"/>
          <w:sz w:val="28"/>
          <w:szCs w:val="28"/>
          <w:rtl w:val="true"/>
          <w:lang w:bidi="fa-IR"/>
        </w:rPr>
        <w:t>وهل یلحق بالإعسار تبیّن کونه مماطلاً مع یساره</w:t>
      </w:r>
      <w:r>
        <w:rPr>
          <w:rStyle w:val="FootnoteAnchor"/>
          <w:rtl w:val="true"/>
        </w:rPr>
        <w:footnoteReference w:id="104"/>
      </w:r>
      <w:r>
        <w:rPr>
          <w:rFonts w:ascii="IRNazanin" w:hAnsi="IRNazanin" w:eastAsia="IRNazanin"/>
          <w:color w:val="111111"/>
          <w:sz w:val="28"/>
          <w:sz w:val="28"/>
          <w:szCs w:val="28"/>
          <w:rtl w:val="true"/>
          <w:lang w:bidi="fa-IR"/>
        </w:rPr>
        <w:t> فی ثبوت الخیار،  </w:t>
      </w:r>
    </w:p>
    <w:p>
      <w:pPr>
        <w:pStyle w:val="BookText"/>
        <w:rPr/>
      </w:pPr>
      <w:r>
        <w:rPr>
          <w:rFonts w:ascii="IRNazanin" w:hAnsi="IRNazanin" w:eastAsia="IRNazanin"/>
          <w:color w:val="111111"/>
          <w:sz w:val="28"/>
          <w:sz w:val="28"/>
          <w:szCs w:val="28"/>
          <w:rtl w:val="true"/>
          <w:lang w:bidi="fa-IR"/>
        </w:rPr>
        <w:t>أو لا؟ وجهان</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الخیار إذا کان عرفاً فی حکم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 خصوصاً مع إمکان إجباره ولو بالرجوع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 خصوصاً مع إمکان إجباره ولو بالرجوع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إمکان الإجبار ولو بالرجوع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ثبوت الخیار وإن کان الأحوط عدم إعماله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العدم، وعلی فرض الثبوت هو فی صورة عدم إمکان الإجبار ولو بالرجوع إلی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 مع عدم إمکان الإجبار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138456_2322387425"/>
      <w:bookmarkStart w:id="65" w:name="_Toc21"/>
      <w:bookmarkEnd w:id="64"/>
      <w:r>
        <w:rPr>
          <w:rtl w:val="true"/>
        </w:rPr>
        <w:t>اشتراط الخیار وغیره فی الضمان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 المضمون له ورضاه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 وفی ثبوت الخیار عند تخلّف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اشتراط الخیار</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وکذا فی ثبوت الخیار عند تخلّف الشرط، 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انفساخ عقدٍ ما إذا لم یمکن فی نفسه ولو بالتقایل فأدلّة الشروط، لا تفی بصحّةجعل الخیار فیه، وبذلک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للضامن والمضمون له؛ لعموم</w:t>
      </w:r>
    </w:p>
    <w:p>
      <w:pPr>
        <w:pStyle w:val="BookText"/>
        <w:rPr/>
      </w:pPr>
      <w:r>
        <w:rPr>
          <w:rFonts w:ascii="Amiri" w:hAnsi="Amiri" w:eastAsia="Amiri" w:cs="Amiri"/>
          <w:color w:val="111111"/>
          <w:sz w:val="28"/>
          <w:sz w:val="28"/>
          <w:szCs w:val="28"/>
          <w:rtl w:val="true"/>
          <w:lang w:bidi="ar-SA"/>
        </w:rPr>
        <w:t>أدلّة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w:t>
      </w:r>
      <w:r>
        <w:rPr>
          <w:rStyle w:val="FootnoteAnchor"/>
          <w:rtl w:val="true"/>
        </w:rPr>
        <w:footnoteReference w:id="108"/>
      </w:r>
      <w:r>
        <w:rPr>
          <w:rFonts w:ascii="IRNazanin" w:hAnsi="IRNazanin" w:eastAsia="IRNazanin"/>
          <w:color w:val="111111"/>
          <w:sz w:val="28"/>
          <w:sz w:val="28"/>
          <w:szCs w:val="28"/>
          <w:rtl w:val="true"/>
          <w:lang w:bidi="fa-IR"/>
        </w:rPr>
        <w:t> اشتراط شیء</w:t>
      </w:r>
      <w:r>
        <w:rPr>
          <w:rStyle w:val="FootnoteAnchor"/>
          <w:rtl w:val="true"/>
        </w:rPr>
        <w:footnoteReference w:id="109"/>
      </w:r>
      <w:r>
        <w:rPr>
          <w:rFonts w:ascii="Amiri" w:hAnsi="Amiri" w:eastAsia="Amiri" w:cs="Amiri"/>
          <w:color w:val="111111"/>
          <w:sz w:val="28"/>
          <w:sz w:val="28"/>
          <w:szCs w:val="28"/>
          <w:rtl w:val="true"/>
          <w:lang w:bidi="ar-SA"/>
        </w:rPr>
        <w:t> لکلٍّ منهما، کما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قال</w:t>
      </w:r>
      <w:r>
        <w:rPr>
          <w:rStyle w:val="FootnoteAnchor"/>
          <w:rtl w:val="true"/>
        </w:rPr>
        <w:footnoteReference w:id="110"/>
      </w:r>
      <w:r>
        <w:rPr>
          <w:rFonts w:ascii="IRNazanin" w:hAnsi="IRNazanin" w:eastAsia="IRNazanin"/>
          <w:color w:val="111111"/>
          <w:sz w:val="28"/>
          <w:sz w:val="28"/>
          <w:szCs w:val="28"/>
          <w:rtl w:val="true"/>
          <w:lang w:bidi="fa-IR"/>
        </w:rPr>
        <w:t>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بشرط</w:t>
      </w:r>
      <w:r>
        <w:rPr>
          <w:rStyle w:val="FootnoteAnchor"/>
          <w:rtl w:val="true"/>
        </w:rPr>
        <w:footnoteReference w:id="111"/>
      </w:r>
      <w:r>
        <w:rPr>
          <w:rFonts w:ascii="IRNazanin" w:hAnsi="IRNazanin" w:eastAsia="IRNazanin"/>
          <w:color w:val="111111"/>
          <w:sz w:val="28"/>
          <w:sz w:val="28"/>
          <w:szCs w:val="28"/>
          <w:rtl w:val="true"/>
          <w:lang w:bidi="fa-IR"/>
        </w:rPr>
        <w:t> أن تخیط</w:t>
      </w:r>
      <w:r>
        <w:rPr>
          <w:rStyle w:val="FootnoteAnchor"/>
          <w:rtl w:val="true"/>
        </w:rPr>
        <w:footnoteReference w:id="112"/>
      </w:r>
      <w:bookmarkStart w:id="66" w:name="pg13286_153678"/>
    </w:p>
    <w:p>
      <w:pPr>
        <w:pStyle w:val="BookText"/>
        <w:rPr/>
      </w:pPr>
      <w:bookmarkEnd w:id="66"/>
      <w:r>
        <w:rPr>
          <w:rFonts w:ascii="Amiri" w:hAnsi="Amiri" w:eastAsia="Amiri" w:cs="Amiri"/>
          <w:color w:val="111111"/>
          <w:sz w:val="28"/>
          <w:sz w:val="28"/>
          <w:szCs w:val="28"/>
          <w:rtl w:val="true"/>
          <w:lang w:bidi="ar-SA"/>
        </w:rPr>
        <w:t>لی ثوباً</w:t>
      </w:r>
      <w:r>
        <w:rPr>
          <w:rStyle w:val="FootnoteAnchor"/>
          <w:rtl w:val="true"/>
        </w:rPr>
        <w:footnoteReference w:id="113"/>
      </w:r>
      <w:r>
        <w:rPr>
          <w:rFonts w:ascii="IRNazanin" w:hAnsi="IRNazanin" w:eastAsia="IRNazanin"/>
          <w:color w:val="111111"/>
          <w:sz w:val="28"/>
          <w:sz w:val="28"/>
          <w:szCs w:val="28"/>
          <w:rtl w:val="true"/>
          <w:lang w:bidi="fa-IR"/>
        </w:rPr>
        <w:t>، أو قال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الضمان بشرط أن تعمل لی کذا، ومع التخلّف یثبت للشارط خیار تخلّف الشرط</w:t>
      </w:r>
      <w:r>
        <w:rPr>
          <w:rFonts w:eastAsia="IRNazanin" w:cs="IRNazanin"/>
          <w:color w:val="111111"/>
          <w:sz w:val="28"/>
          <w:szCs w:val="28"/>
          <w:rtl w:val="true"/>
          <w:lang w:bidi="fa-IR"/>
        </w:rPr>
        <w:t>.</w:t>
      </w:r>
    </w:p>
    <w:p>
      <w:pPr>
        <w:pStyle w:val="Heading3"/>
        <w:numPr>
          <w:ilvl w:val="2"/>
          <w:numId w:val="1"/>
        </w:numPr>
        <w:rPr/>
      </w:pPr>
      <w:bookmarkStart w:id="67" w:name="__RefHeading___Toc2138458_2322387425"/>
      <w:bookmarkStart w:id="68" w:name="_Toc22"/>
      <w:bookmarkEnd w:id="67"/>
      <w:r>
        <w:rPr>
          <w:rtl w:val="true"/>
        </w:rPr>
        <w:t>تبیّن کون الضامن مملوکاً</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کون الضامن مملوکاً وضَمِن من غیر إذن مولاه أو بإذنه،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یتبع بما ضمن بعد العتق لا یبعد</w:t>
      </w:r>
      <w:r>
        <w:rPr>
          <w:rStyle w:val="FootnoteAnchor"/>
          <w:rtl w:val="true"/>
        </w:rPr>
        <w:footnoteReference w:id="114"/>
      </w:r>
      <w:r>
        <w:rPr>
          <w:rFonts w:ascii="IRNazanin" w:hAnsi="IRNazanin" w:eastAsia="IRNazanin"/>
          <w:color w:val="111111"/>
          <w:sz w:val="28"/>
          <w:sz w:val="28"/>
          <w:szCs w:val="28"/>
          <w:rtl w:val="true"/>
          <w:lang w:bidi="fa-IR"/>
        </w:rPr>
        <w:t> ثبوت الخیار للمضمون له</w:t>
      </w:r>
      <w:r>
        <w:rPr>
          <w:rFonts w:eastAsia="IRNazanin" w:cs="IRNazanin"/>
          <w:color w:val="111111"/>
          <w:sz w:val="28"/>
          <w:szCs w:val="28"/>
          <w:rtl w:val="true"/>
          <w:lang w:bidi="fa-IR"/>
        </w:rPr>
        <w:t>.</w:t>
      </w:r>
    </w:p>
    <w:p>
      <w:pPr>
        <w:pStyle w:val="Heading3"/>
        <w:numPr>
          <w:ilvl w:val="2"/>
          <w:numId w:val="1"/>
        </w:numPr>
        <w:rPr/>
      </w:pPr>
      <w:bookmarkStart w:id="69" w:name="__RefHeading___Toc2138460_2322387425"/>
      <w:bookmarkStart w:id="70" w:name="_Toc23"/>
      <w:bookmarkEnd w:id="69"/>
      <w:r>
        <w:rPr>
          <w:rtl w:val="true"/>
        </w:rPr>
        <w:t>ضمان الدَین الحالّ مؤجّلاً وبالعکس</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یجوز ضمان الدَین الحالّ حالّاً وموجّلاً، وکذا</w:t>
      </w:r>
    </w:p>
    <w:p>
      <w:pPr>
        <w:pStyle w:val="BookText"/>
        <w:rPr/>
      </w:pPr>
      <w:r>
        <w:rPr>
          <w:rFonts w:ascii="IRNazanin" w:hAnsi="IRNazanin" w:eastAsia="IRNazanin"/>
          <w:color w:val="111111"/>
          <w:sz w:val="28"/>
          <w:sz w:val="28"/>
          <w:szCs w:val="28"/>
          <w:rtl w:val="true"/>
          <w:lang w:bidi="fa-IR"/>
        </w:rPr>
        <w:t>ضمان الموجّل حالّاً وموجّلاً بمثل ذلک الأجل أو أزید أو 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صحّة الضمان إلّا موجّلاً وأنّه یعتبر فیه الأجل کالسلم ضعیف، کالقول بعدم صحّة ضمان الدَین الموجّل حالّاً أو بأنقص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من ضمان ما لم یجب کما تری</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ضمن الدَین الحالّ موجّلاً بإذن المضمون عنه فالأجل للضمان، لا للدَین</w:t>
      </w:r>
      <w:r>
        <w:rPr>
          <w:rStyle w:val="FootnoteAnchor"/>
          <w:rtl w:val="true"/>
        </w:rPr>
        <w:footnoteReference w:id="116"/>
      </w:r>
      <w:r>
        <w:rPr>
          <w:rFonts w:ascii="IRNazanin" w:hAnsi="IRNazanin" w:eastAsia="IRNazanin"/>
          <w:color w:val="111111"/>
          <w:sz w:val="28"/>
          <w:sz w:val="28"/>
          <w:szCs w:val="28"/>
          <w:rtl w:val="true"/>
          <w:lang w:bidi="fa-IR"/>
        </w:rPr>
        <w:t>، فلو أسقط الضامن أجله وأدّی الدَین قبل الأجل یجوز له الرجوع</w:t>
      </w:r>
      <w:r>
        <w:rPr>
          <w:rStyle w:val="FootnoteAnchor"/>
          <w:rtl w:val="true"/>
        </w:rPr>
        <w:footnoteReference w:id="117"/>
      </w:r>
      <w:r>
        <w:rPr>
          <w:rFonts w:ascii="Amiri" w:hAnsi="Amiri" w:eastAsia="Amiri" w:cs="Amiri"/>
          <w:color w:val="111111"/>
          <w:sz w:val="28"/>
          <w:sz w:val="28"/>
          <w:szCs w:val="28"/>
          <w:rtl w:val="true"/>
          <w:lang w:bidi="ar-SA"/>
        </w:rPr>
        <w:t> علی المضمون عنه؛ لأنّ الّذی علیه کان حالّاً ولم یَصِر موجّلاً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بتأجیل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مات قبل انقضاء أجله وحلّ ما علیه وأخذ من ترکته یجوز لوارثه الرجوع علی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صیرورة أصل </w:t>
      </w:r>
      <w:bookmarkStart w:id="71" w:name="pg13286_153679"/>
    </w:p>
    <w:p>
      <w:pPr>
        <w:pStyle w:val="BookText"/>
        <w:rPr/>
      </w:pPr>
      <w:bookmarkEnd w:id="71"/>
      <w:r>
        <w:rPr>
          <w:rFonts w:ascii="IRNazanin" w:hAnsi="IRNazanin" w:eastAsia="IRNazanin"/>
          <w:color w:val="111111"/>
          <w:sz w:val="28"/>
          <w:sz w:val="28"/>
          <w:szCs w:val="28"/>
          <w:rtl w:val="true"/>
          <w:lang w:bidi="fa-IR"/>
        </w:rPr>
        <w:t>الدَین موجّلاً حتّی بالنسبة إلی المضمون عنه ضعیف</w:t>
      </w:r>
      <w:r>
        <w:rPr>
          <w:rFonts w:eastAsia="IRNazanin" w:cs="IRNazanin"/>
          <w:color w:val="111111"/>
          <w:sz w:val="28"/>
          <w:szCs w:val="28"/>
          <w:rtl w:val="true"/>
          <w:lang w:bidi="fa-IR"/>
        </w:rPr>
        <w:t>.</w:t>
      </w:r>
    </w:p>
    <w:p>
      <w:pPr>
        <w:pStyle w:val="Heading3"/>
        <w:numPr>
          <w:ilvl w:val="2"/>
          <w:numId w:val="1"/>
        </w:numPr>
        <w:rPr/>
      </w:pPr>
      <w:bookmarkStart w:id="72" w:name="__RefHeading___Toc2138462_2322387425"/>
      <w:bookmarkStart w:id="73" w:name="_Toc24"/>
      <w:bookmarkEnd w:id="72"/>
      <w:r>
        <w:rPr>
          <w:rtl w:val="true"/>
        </w:rPr>
        <w:t>موت الضامن وحلول الدَین المؤجّل</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موجّلاً فضمنه الضامن کذلک فمات، وحلّ ما علیه واُخذ من ترکته لیس لوارثه الرجوع علی المضمون عنه إلّا بعد حلول أجل أصل الدَین؛ لأنّ الحلول علی الضامن بموته لا یستلزم الحلول علی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أسقط أجله وأدّی الدَین قبل الأجل لا یجوز له الرجوع علی المضمون عنه إلّا بعد انقضاء الأجل</w:t>
      </w:r>
      <w:r>
        <w:rPr>
          <w:rFonts w:eastAsia="IRNazanin" w:cs="IRNazanin"/>
          <w:color w:val="111111"/>
          <w:sz w:val="28"/>
          <w:szCs w:val="28"/>
          <w:rtl w:val="true"/>
          <w:lang w:bidi="fa-IR"/>
        </w:rPr>
        <w:t>.</w:t>
      </w:r>
    </w:p>
    <w:p>
      <w:pPr>
        <w:pStyle w:val="Heading3"/>
        <w:numPr>
          <w:ilvl w:val="2"/>
          <w:numId w:val="1"/>
        </w:numPr>
        <w:rPr/>
      </w:pPr>
      <w:bookmarkStart w:id="74" w:name="__RefHeading___Toc2138464_2322387425"/>
      <w:bookmarkStart w:id="75" w:name="_Toc25"/>
      <w:bookmarkEnd w:id="74"/>
      <w:r>
        <w:rPr>
          <w:rtl w:val="true"/>
        </w:rPr>
        <w:t>ضمان الدَین المؤجّل حالّاً بإذن المضمون عنه</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ضمن الدَین الموجّل حالّاً بإذن المضمون عنه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فهم من إذنه</w:t>
      </w:r>
      <w:r>
        <w:rPr>
          <w:rStyle w:val="FootnoteAnchor"/>
          <w:rtl w:val="true"/>
        </w:rPr>
        <w:footnoteReference w:id="119"/>
      </w:r>
      <w:r>
        <w:rPr>
          <w:rFonts w:ascii="IRNazanin" w:hAnsi="IRNazanin" w:eastAsia="IRNazanin"/>
          <w:color w:val="111111"/>
          <w:sz w:val="28"/>
          <w:sz w:val="28"/>
          <w:szCs w:val="28"/>
          <w:rtl w:val="true"/>
          <w:lang w:bidi="fa-IR"/>
        </w:rPr>
        <w:t> رضاه بالرجوع علیه یجوز للضامن ذلک، وإلّا فلا</w:t>
      </w:r>
      <w:r>
        <w:rPr>
          <w:rStyle w:val="FootnoteAnchor"/>
          <w:rtl w:val="true"/>
        </w:rPr>
        <w:footnoteReference w:id="120"/>
      </w:r>
      <w:r>
        <w:rPr>
          <w:rFonts w:ascii="IRNazanin" w:hAnsi="IRNazanin" w:eastAsia="IRNazanin"/>
          <w:color w:val="111111"/>
          <w:sz w:val="28"/>
          <w:sz w:val="28"/>
          <w:szCs w:val="28"/>
          <w:rtl w:val="true"/>
          <w:lang w:bidi="fa-IR"/>
        </w:rPr>
        <w:t> یجوز</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کفایة الإذن فی الضمان حالّاً فی جواز الرجوع، ولعلّه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الضمان أعمّ من کونه حالّاً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بعد انقضاء الأجل، والإذن فی الضمان</w:t>
      </w:r>
      <w:r>
        <w:rPr>
          <w:rStyle w:val="FootnoteAnchor"/>
          <w:rtl w:val="true"/>
        </w:rPr>
        <w:footnoteReference w:id="122"/>
      </w:r>
      <w:r>
        <w:rPr>
          <w:rFonts w:ascii="Amiri" w:hAnsi="Amiri" w:eastAsia="Amiri" w:cs="Amiri"/>
          <w:color w:val="111111"/>
          <w:sz w:val="28"/>
          <w:sz w:val="28"/>
          <w:szCs w:val="28"/>
          <w:rtl w:val="true"/>
          <w:lang w:bidi="ar-SA"/>
        </w:rPr>
        <w:t> أعمّ من کونه حالّاً</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138466_2322387425"/>
      <w:bookmarkStart w:id="77" w:name="_Toc26"/>
      <w:bookmarkEnd w:id="76"/>
      <w:r>
        <w:rPr>
          <w:rtl w:val="true"/>
        </w:rPr>
        <w:t>ضمان الدَین المؤجّل بأقلّ من أجله وأدائه</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ضمن الدَین الموجّل بأقلّ من أجله وأدّاه لیس له</w:t>
      </w:r>
      <w:r>
        <w:rPr>
          <w:rStyle w:val="FootnoteAnchor"/>
          <w:rtl w:val="true"/>
        </w:rPr>
        <w:footnoteReference w:id="123"/>
      </w:r>
      <w:bookmarkStart w:id="78" w:name="pg13286_153680"/>
    </w:p>
    <w:p>
      <w:pPr>
        <w:pStyle w:val="BookText"/>
        <w:rPr/>
      </w:pPr>
      <w:bookmarkEnd w:id="78"/>
      <w:r>
        <w:rPr>
          <w:rFonts w:ascii="IRNazanin" w:hAnsi="IRNazanin" w:eastAsia="IRNazanin"/>
          <w:color w:val="111111"/>
          <w:sz w:val="28"/>
          <w:sz w:val="28"/>
          <w:szCs w:val="28"/>
          <w:rtl w:val="true"/>
          <w:lang w:bidi="fa-IR"/>
        </w:rPr>
        <w:t>الرجوع</w:t>
      </w:r>
      <w:r>
        <w:rPr>
          <w:rStyle w:val="FootnoteAnchor"/>
          <w:rtl w:val="true"/>
        </w:rPr>
        <w:footnoteReference w:id="124"/>
      </w:r>
      <w:r>
        <w:rPr>
          <w:rFonts w:ascii="IRNazanin" w:hAnsi="IRNazanin" w:eastAsia="IRNazanin"/>
          <w:color w:val="111111"/>
          <w:sz w:val="28"/>
          <w:sz w:val="28"/>
          <w:szCs w:val="28"/>
          <w:rtl w:val="true"/>
          <w:lang w:bidi="fa-IR"/>
        </w:rPr>
        <w:t> علی المضمون عنه إلّا بعد</w:t>
      </w:r>
      <w:r>
        <w:rPr>
          <w:rStyle w:val="FootnoteAnchor"/>
          <w:rtl w:val="true"/>
        </w:rPr>
        <w:footnoteReference w:id="125"/>
      </w:r>
      <w:r>
        <w:rPr>
          <w:rFonts w:ascii="IRNazanin" w:hAnsi="IRNazanin" w:eastAsia="IRNazanin"/>
          <w:color w:val="111111"/>
          <w:sz w:val="28"/>
          <w:sz w:val="28"/>
          <w:szCs w:val="28"/>
          <w:rtl w:val="true"/>
          <w:lang w:bidi="fa-IR"/>
        </w:rPr>
        <w:t> انقضاء أجله، وإذا ضمنه بأزید من</w:t>
      </w:r>
    </w:p>
    <w:p>
      <w:pPr>
        <w:pStyle w:val="BookText"/>
        <w:rPr/>
      </w:pPr>
      <w:r>
        <w:rPr>
          <w:rFonts w:ascii="IRNazanin" w:hAnsi="IRNazanin" w:eastAsia="IRNazanin"/>
          <w:color w:val="111111"/>
          <w:sz w:val="28"/>
          <w:sz w:val="28"/>
          <w:szCs w:val="28"/>
          <w:rtl w:val="true"/>
          <w:lang w:bidi="fa-IR"/>
        </w:rPr>
        <w:t>أجله فأسقط الزائد وأدّاه جاز له الرجوع علیه، علی ما مرّ</w:t>
      </w:r>
      <w:r>
        <w:rPr>
          <w:rStyle w:val="FootnoteAnchor"/>
          <w:rtl w:val="true"/>
        </w:rPr>
        <w:footnoteReference w:id="126"/>
      </w:r>
      <w:r>
        <w:rPr>
          <w:rFonts w:ascii="Amiri" w:hAnsi="Amiri" w:eastAsia="Amiri" w:cs="Amiri"/>
          <w:color w:val="111111"/>
          <w:sz w:val="28"/>
          <w:sz w:val="28"/>
          <w:szCs w:val="28"/>
          <w:rtl w:val="true"/>
          <w:lang w:bidi="ar-SA"/>
        </w:rPr>
        <w:t> من أنّ أجَلَ</w:t>
      </w:r>
    </w:p>
    <w:p>
      <w:pPr>
        <w:pStyle w:val="BookText"/>
        <w:rPr/>
      </w:pPr>
      <w:r>
        <w:rPr>
          <w:rFonts w:ascii="IRNazanin" w:hAnsi="IRNazanin" w:eastAsia="IRNazanin"/>
          <w:color w:val="111111"/>
          <w:sz w:val="28"/>
          <w:sz w:val="28"/>
          <w:szCs w:val="28"/>
          <w:rtl w:val="true"/>
          <w:lang w:bidi="fa-IR"/>
        </w:rPr>
        <w:t>الضمان لا یوجب صیرورة أصل الدَین موجّلاً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مات بعد انقضاء أجَلَ الدَین قبل انقضاء الزائد فأخذ من ترکته فإنّه یرجع علی المضمون عنه</w:t>
      </w:r>
      <w:r>
        <w:rPr>
          <w:rFonts w:eastAsia="IRNazanin" w:cs="IRNazanin"/>
          <w:color w:val="111111"/>
          <w:sz w:val="28"/>
          <w:szCs w:val="28"/>
          <w:rtl w:val="true"/>
          <w:lang w:bidi="fa-IR"/>
        </w:rPr>
        <w:t>.</w:t>
      </w:r>
    </w:p>
    <w:p>
      <w:pPr>
        <w:pStyle w:val="Heading3"/>
        <w:numPr>
          <w:ilvl w:val="2"/>
          <w:numId w:val="1"/>
        </w:numPr>
        <w:rPr/>
      </w:pPr>
      <w:bookmarkStart w:id="79" w:name="__RefHeading___Toc2138468_2322387425"/>
      <w:bookmarkStart w:id="80" w:name="_Toc27"/>
      <w:bookmarkEnd w:id="79"/>
      <w:r>
        <w:rPr>
          <w:rtl w:val="true"/>
        </w:rPr>
        <w:t>حکم الضمان من غیر إذن المضمون عنه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بغیر إذن المضمون عنه برئت ذمّته، ولم یکن له الرجوع علیه وإن کان أداوه بإذنه أو أمره، إلّا أن یأذن له فی الأداء عنه تبرّعاً منه فی وفاء دَینه،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ما ضمنت عنّی وارجع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یبعد عدم الإشکال فیه، فإنّه من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للفقیر الخبزَ وعَلَیَّ ثَمَنُه، لا الوعدالمجّانیّ بالإحسان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الصورة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 حیث إنّ مرجعه حینئذٍ إلی الوعد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یلزم الوفاء به</w:t>
      </w:r>
      <w:r>
        <w:rPr>
          <w:rFonts w:eastAsia="IRNazanin" w:cs="IRNazanin"/>
          <w:color w:val="111111"/>
          <w:sz w:val="28"/>
          <w:szCs w:val="28"/>
          <w:rtl w:val="true"/>
          <w:lang w:bidi="fa-IR"/>
        </w:rPr>
        <w:t>.</w:t>
      </w:r>
      <w:bookmarkStart w:id="81" w:name="pg13286_153681"/>
    </w:p>
    <w:p>
      <w:pPr>
        <w:pStyle w:val="BookText"/>
        <w:rPr/>
      </w:pPr>
      <w:bookmarkEnd w:id="81"/>
      <w:r>
        <w:rPr>
          <w:rFonts w:ascii="IRNazanin" w:hAnsi="IRNazanin" w:eastAsia="IRNazanin"/>
          <w:color w:val="111111"/>
          <w:sz w:val="28"/>
          <w:sz w:val="28"/>
          <w:szCs w:val="28"/>
          <w:rtl w:val="true"/>
          <w:lang w:bidi="fa-IR"/>
        </w:rPr>
        <w:t>وإذا ضمن بإذنه فله الرجوع علیه بعد الأداء وإن لم یکن بإذنه؛ لأنّه بمجرّد الإذن فی الضمان اشتغلت ذمّته من غیر توقّفٍ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أذن له فی الضمان تبرّعاً فضمن لیس له الرجوع علیه؛ لأنّ الإذن علی هذا الوجه کَلاَ إذن</w:t>
      </w:r>
      <w:r>
        <w:rPr>
          <w:rFonts w:eastAsia="IRNazanin" w:cs="IRNazanin"/>
          <w:color w:val="111111"/>
          <w:sz w:val="28"/>
          <w:szCs w:val="28"/>
          <w:rtl w:val="true"/>
          <w:lang w:bidi="fa-IR"/>
        </w:rPr>
        <w:t>.</w:t>
      </w:r>
    </w:p>
    <w:p>
      <w:pPr>
        <w:pStyle w:val="Heading3"/>
        <w:numPr>
          <w:ilvl w:val="2"/>
          <w:numId w:val="1"/>
        </w:numPr>
        <w:rPr/>
      </w:pPr>
      <w:bookmarkStart w:id="82" w:name="__RefHeading___Toc2138470_2322387425"/>
      <w:bookmarkStart w:id="83" w:name="_Toc28"/>
      <w:bookmarkEnd w:id="82"/>
      <w:r>
        <w:rPr>
          <w:rtl w:val="true"/>
        </w:rPr>
        <w:t>لیس للضامن الرجوع إلّا بعد الأداء بمقدار ما أدّی</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للضامن الرجوع علی المضمون عنه فی صورة الإذن إلّا بعد أداء مال الضمان علی المشهور، بل الظاهر عدم الخلاف</w:t>
      </w:r>
      <w:r>
        <w:rPr>
          <w:rStyle w:val="FootnoteAnchor"/>
          <w:rtl w:val="true"/>
        </w:rPr>
        <w:footnoteReference w:id="128"/>
      </w:r>
      <w:r>
        <w:rPr>
          <w:rFonts w:ascii="IRNazanin" w:hAnsi="IRNazanin" w:eastAsia="IRNazanin"/>
          <w:color w:val="111111"/>
          <w:sz w:val="28"/>
          <w:sz w:val="28"/>
          <w:szCs w:val="28"/>
          <w:rtl w:val="true"/>
          <w:lang w:bidi="fa-IR"/>
        </w:rPr>
        <w:t xml:space="preserve"> فیه، وإنّما یرجع علیه بمقدار ما أدّی، فلیس له المطالبة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لأنّ ذمّة</w:t>
      </w:r>
      <w:r>
        <w:rPr>
          <w:rStyle w:val="FootnoteAnchor"/>
          <w:rtl w:val="true"/>
        </w:rPr>
        <w:footnoteReference w:id="129"/>
      </w:r>
      <w:r>
        <w:rPr>
          <w:rFonts w:ascii="IRNazanin" w:hAnsi="IRNazanin" w:eastAsia="IRNazanin"/>
          <w:color w:val="111111"/>
          <w:sz w:val="28"/>
          <w:sz w:val="28"/>
          <w:szCs w:val="28"/>
          <w:rtl w:val="true"/>
          <w:lang w:bidi="fa-IR"/>
        </w:rPr>
        <w:t> الضامن وإن اشتغلت حین الضمان بمجرّده إلّا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ذمّة المضمون عنه</w:t>
      </w:r>
      <w:r>
        <w:rPr>
          <w:rStyle w:val="FootnoteAnchor"/>
          <w:rtl w:val="true"/>
        </w:rPr>
        <w:footnoteReference w:id="130"/>
      </w:r>
      <w:r>
        <w:rPr>
          <w:rFonts w:ascii="IRNazanin" w:hAnsi="IRNazanin" w:eastAsia="IRNazanin"/>
          <w:color w:val="111111"/>
          <w:sz w:val="28"/>
          <w:sz w:val="28"/>
          <w:szCs w:val="28"/>
          <w:rtl w:val="true"/>
          <w:lang w:bidi="fa-IR"/>
        </w:rPr>
        <w:t> لا تشتغل إلّا</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w:t>
      </w:r>
    </w:p>
    <w:p>
      <w:pPr>
        <w:pStyle w:val="BookText"/>
        <w:rPr/>
      </w:pPr>
      <w:r>
        <w:rPr>
          <w:rFonts w:ascii="IRNazanin" w:hAnsi="IRNazanin" w:eastAsia="IRNazanin"/>
          <w:color w:val="111111"/>
          <w:sz w:val="28"/>
          <w:sz w:val="28"/>
          <w:szCs w:val="28"/>
          <w:rtl w:val="true"/>
          <w:lang w:bidi="fa-IR"/>
        </w:rPr>
        <w:t>بعد</w:t>
      </w:r>
      <w:r>
        <w:rPr>
          <w:rStyle w:val="FootnoteAnchor"/>
          <w:rtl w:val="true"/>
        </w:rPr>
        <w:footnoteReference w:id="132"/>
      </w:r>
      <w:r>
        <w:rPr>
          <w:rFonts w:ascii="IRNazanin" w:hAnsi="IRNazanin" w:eastAsia="IRNazanin"/>
          <w:color w:val="111111"/>
          <w:sz w:val="28"/>
          <w:sz w:val="28"/>
          <w:szCs w:val="28"/>
          <w:rtl w:val="true"/>
          <w:lang w:bidi="fa-IR"/>
        </w:rPr>
        <w:t> الأداء</w:t>
      </w:r>
      <w:r>
        <w:rPr>
          <w:rStyle w:val="FootnoteAnchor"/>
          <w:rtl w:val="true"/>
        </w:rPr>
        <w:footnoteReference w:id="133"/>
      </w:r>
      <w:r>
        <w:rPr>
          <w:rFonts w:ascii="IRNazanin" w:hAnsi="IRNazanin" w:eastAsia="IRNazanin"/>
          <w:color w:val="111111"/>
          <w:sz w:val="28"/>
          <w:sz w:val="28"/>
          <w:szCs w:val="28"/>
          <w:rtl w:val="true"/>
          <w:lang w:bidi="fa-IR"/>
        </w:rPr>
        <w:t> وبمقداره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لأنّها تشتغل حین الضمان لکن بشرط الأداء، فالأداء علی هذا کاشف عن الاشتغال من حینه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لأنّها وإن اشتغلت بمجرّد الضمان إلّا أنّ جواز المطالبة مشروط بالأداء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وظاهرهم هو الوجه الأوّل</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تطبیقه علی القاعدة، بل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تقتضیه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کما هو صریح بعضهم، وظاهر الباقی، حتّی مثل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والعلّامة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الأحکام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الحکم بجواز مطالبة الضامن المضمون عنه بتخلیصه عن الدَین غیر الحکم باشتغال ذمّة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المطابق للقاعدة أیضاً؛ لأنّ إذن المضمون عنه لا موضوعیّة له مطلقاً، بل طریق إلی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مقتضی القاعدة، لا ما ذکره المصنّف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أیّ حالٍ لا خلاف فی أصل الحکم     </w:t>
      </w:r>
    </w:p>
    <w:p>
      <w:pPr>
        <w:pStyle w:val="BookText"/>
        <w:rPr/>
      </w:pPr>
      <w:r>
        <w:rPr>
          <w:rFonts w:ascii="IRNazanin" w:hAnsi="IRNazanin" w:eastAsia="IRNazanin"/>
          <w:color w:val="111111"/>
          <w:sz w:val="28"/>
          <w:sz w:val="28"/>
          <w:szCs w:val="28"/>
          <w:rtl w:val="true"/>
          <w:lang w:bidi="fa-IR"/>
        </w:rPr>
        <w:t>وإن کان مقتضی القاعدة</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نعرف قاعدةً تقتضی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تقتضی القاعدة جواز المطالبة قبل الأداء؛ لِما عرفت من أنّ المضمون عنه ضامن بالضمان الطولیّ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مقتضی القاعدة ما ذکره ممنوع، بل الظاهر أنّ مجرّد إذنه بالضمان وضمانه و اشتغال ذمّته لا یوجب اشتغال ذمّة المضمون عنه، ولو للأصل وعدم الدلیل علیه،نعم، بعد الأداء لا إشکال نصّاً وفتویً فی جواز الرجوع واشتغال ذمّته، ویمکن استفادة ما ذکر من الروایة المشار إلیها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الأوفق بالقاعدة ولو من جهة الأصل وعدم الدلیل علی خلافه هوالوجه الأوّل؛ فإنّ عقد الضمان لا یؤثّر إلّا فی ثبوت الاشتغال للضامن، وانتقال مافی ذمّة المضمون عنه إلیه، ولیس فیه من اشتغال ذمّة المضمون عنه للضامن عینولا أثر، ولیس له الرجوع علیه من دون الإذن فی الضمان، فالاشتغال إنّما هو فیصورة الإذن، وحیث لا دلیل علی ثبوته بمجرّد الضمان فمقتضی الاستصحاب عدمحدوثه إلّا بعد الأداء؛ لأنّه لا إشکال نصّاً وفتویً فی ثبوته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فرضنا أنّ مقتضی القاعدة ما أفاده الماتن  قدّس سرّه فثبوت الإجماع والخبرعلی خلافه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 حکم الشیخ  قدّس سرّه وبعض آخر بأنّه یجوز للضامن مطالبة المضمون عنه بتخلیصه من الدَین وإن لم یطالبه المضمون له، وذلک ظاهر فیثبوت الاشتغال قبل الأداء ومطالبة المضمون له، ودعوی أنّ الحکم بجواز المطالبةبذلک غیر الحکم باشتغال ذمّة المضمون عنه واضحة الفساد؛ فإنّه کیف یعقل جوازالمطالبة منه مع عدم اشتغال ذمّته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فلأنّه لا منافاة بین کون الاشتغال من حین الضمان وبین عدم جواز الرجوع إلّا بالمقدار الّذی صولح الضامن عمّا ضمنه بذلک المقدار، غایة الأمر أنّه لو کانت المصالحة بعد أخذ مال الضمان یجب علیه ردّ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Amiri" w:hAnsi="Amiri" w:eastAsia="Amiri" w:cs="Amiri"/>
          <w:color w:val="111111"/>
          <w:sz w:val="28"/>
          <w:sz w:val="28"/>
          <w:szCs w:val="28"/>
          <w:rtl w:val="true"/>
          <w:lang w:bidi="ar-SA"/>
        </w:rPr>
        <w:t>جواز المطالبة</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القاعدة أیضاً تقتضی الوجه الأوّل، کالإجماع والنصّ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من حین الضمان</w:t>
      </w:r>
      <w:r>
        <w:rPr>
          <w:rStyle w:val="FootnoteAnchor"/>
          <w:rtl w:val="true"/>
        </w:rPr>
        <w:footnoteReference w:id="137"/>
      </w:r>
      <w:r>
        <w:rPr>
          <w:rFonts w:ascii="IRNazanin" w:hAnsi="IRNazanin" w:eastAsia="IRNazanin"/>
          <w:color w:val="111111"/>
          <w:sz w:val="28"/>
          <w:sz w:val="28"/>
          <w:szCs w:val="28"/>
          <w:rtl w:val="true"/>
          <w:lang w:bidi="fa-IR"/>
        </w:rPr>
        <w:t> فی قبال اشتغال ذمّة الضامن، سواء أدّی، أم لم 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المذکور علی خلاف</w:t>
      </w:r>
      <w:r>
        <w:rPr>
          <w:rStyle w:val="FootnoteAnchor"/>
          <w:rtl w:val="true"/>
        </w:rPr>
        <w:footnoteReference w:id="138"/>
      </w:r>
      <w:r>
        <w:rPr>
          <w:rFonts w:ascii="Amiri" w:hAnsi="Amiri" w:eastAsia="Amiri" w:cs="Amiri"/>
          <w:color w:val="111111"/>
          <w:sz w:val="28"/>
          <w:sz w:val="28"/>
          <w:szCs w:val="28"/>
          <w:rtl w:val="true"/>
          <w:lang w:bidi="ar-SA"/>
        </w:rPr>
        <w:t> القاعدة</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علی مقتضی القاعدة؛ إذ سبب الضمان واشتغال ذمّة المضمون عنه هو استیفاء مال الضامن فی أداء دینه، لا صرف أمره بالضمان والأداء أو إذنه فیهما،اللهمّ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نقل ما فی ذمّة المضمون عنه إلی ذمّته لیس مجّاناً وبلا عوض،بل باعتبار اشتغال ذمّته له، وعلیه بناء العقلاء وعملهم،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موافق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بالإجماع، وخصوص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ضمن ضماناً ثمّ صالح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إلّا الّذی صالح  </w:t>
      </w:r>
      <w:bookmarkStart w:id="84" w:name="pg13286_153686"/>
    </w:p>
    <w:p>
      <w:pPr>
        <w:pStyle w:val="BookText"/>
        <w:rPr/>
      </w:pPr>
      <w:bookmarkEnd w:id="84"/>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الاستفادة منه أن لیس للضامن إلّا ما خسر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ما ذکروه</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المضمون له لو أبرأ ذمّة الضامن عن تمام الدَین لیس له الرجوع علی المضمون عنه أصلاً، وإن أبرأه من البعض لیس له الرجوع بمقداره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صالح معه بالأقلّ کما هو مورد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لو ضمن عن الضامِنِ ضامِنٌ تبرّعاً فأدّی فإنّه حیث لم یخسر بشیءٍ لم یرجع علی المضمون عنه وإن کان بإذنه، وکذا لو وفّاه عنه غیره تبرّعاً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2138472_2322387425"/>
      <w:bookmarkStart w:id="86" w:name="_Toc29"/>
      <w:bookmarkEnd w:id="85"/>
      <w:r>
        <w:rPr>
          <w:rtl w:val="true"/>
        </w:rPr>
        <w:t>احتساب المضمون له الدَین علی الضامن من الحقوق الشرعیّة</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حسب المضمون له علی الضامن ما علیه خُمُساً أو زکاةً أو صدقةً فالظاهر أنّ له الرجوع</w:t>
      </w:r>
      <w:r>
        <w:rPr>
          <w:rStyle w:val="FootnoteAnchor"/>
          <w:rtl w:val="true"/>
        </w:rPr>
        <w:footnoteReference w:id="143"/>
      </w:r>
      <w:r>
        <w:rPr>
          <w:rFonts w:ascii="IRNazanin" w:hAnsi="IRNazanin" w:eastAsia="IRNazanin"/>
          <w:color w:val="111111"/>
          <w:sz w:val="28"/>
          <w:sz w:val="28"/>
          <w:szCs w:val="28"/>
          <w:rtl w:val="true"/>
          <w:lang w:bidi="fa-IR"/>
        </w:rPr>
        <w:t> علی المضمون عنه، ولا یکون ذلک فی</w:t>
      </w:r>
    </w:p>
    <w:p>
      <w:pPr>
        <w:pStyle w:val="BookText"/>
        <w:rPr/>
      </w:pPr>
      <w:r>
        <w:rPr>
          <w:rFonts w:ascii="IRNazanin" w:hAnsi="IRNazanin" w:eastAsia="IRNazanin"/>
          <w:color w:val="111111"/>
          <w:sz w:val="28"/>
          <w:sz w:val="28"/>
          <w:szCs w:val="28"/>
          <w:rtl w:val="true"/>
          <w:lang w:bidi="fa-IR"/>
        </w:rPr>
        <w:t>حکم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أخذه منه ثمّ ردّه علیه هبةً، وأمّا لو وهبه ما فی ذمّته فهل هو کالإبراء</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هو کالإبراء، والوجه واضح؛ لأنّ هبة ما فی الذمّة إن کانت غیر الإبراء فلاشکّ فی کونها مثله فی عدم خروج شیءٍ من کیس الضامن للمضمون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13286_153687"/>
    </w:p>
    <w:p>
      <w:pPr>
        <w:pStyle w:val="BookText"/>
        <w:rPr/>
      </w:pPr>
      <w:bookmarkEnd w:id="87"/>
      <w:r>
        <w:rPr>
          <w:rFonts w:ascii="IRNazanin" w:hAnsi="IRNazanin" w:eastAsia="IRNazanin"/>
          <w:color w:val="111111"/>
          <w:sz w:val="28"/>
          <w:sz w:val="28"/>
          <w:szCs w:val="28"/>
          <w:rtl w:val="true"/>
          <w:lang w:bidi="fa-IR"/>
        </w:rPr>
        <w:t>أو لا؟</w:t>
      </w:r>
      <w:r>
        <w:rPr>
          <w:rStyle w:val="FootnoteAnchor"/>
          <w:rtl w:val="true"/>
        </w:rPr>
        <w:footnoteReference w:id="145"/>
      </w:r>
      <w:r>
        <w:rPr>
          <w:rFonts w:ascii="IRNazanin" w:hAnsi="IRNazanin" w:eastAsia="IRNazanin"/>
          <w:color w:val="111111"/>
          <w:sz w:val="28"/>
          <w:sz w:val="28"/>
          <w:szCs w:val="28"/>
          <w:rtl w:val="true"/>
          <w:lang w:bidi="fa-IR"/>
        </w:rPr>
        <w:t> وجهان</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بل أوّله إلیه واقعاً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 بل ربّما یُدّعی أنّه عین الإبراء حقیقة، وإن کانت هذه الدعوی ضعیفةً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ثانیهما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الثانی لو لم تکن قرینة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الثانی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أن یکون الثانی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مات المضمون له فورِثه الضامن لم یسقط</w:t>
      </w:r>
      <w:r>
        <w:rPr>
          <w:rStyle w:val="FootnoteAnchor"/>
          <w:rtl w:val="true"/>
        </w:rPr>
        <w:footnoteReference w:id="147"/>
      </w:r>
      <w:r>
        <w:rPr>
          <w:rFonts w:ascii="IRNazanin" w:hAnsi="IRNazanin" w:eastAsia="IRNazanin"/>
          <w:color w:val="111111"/>
          <w:sz w:val="28"/>
          <w:sz w:val="28"/>
          <w:szCs w:val="28"/>
          <w:rtl w:val="true"/>
          <w:lang w:bidi="fa-IR"/>
        </w:rPr>
        <w:t> جواز الرجوع به علی المضمون عنه</w:t>
      </w:r>
      <w:r>
        <w:rPr>
          <w:rFonts w:eastAsia="IRNazanin" w:cs="IRNazanin"/>
          <w:color w:val="111111"/>
          <w:sz w:val="28"/>
          <w:szCs w:val="28"/>
          <w:rtl w:val="true"/>
          <w:lang w:bidi="fa-IR"/>
        </w:rPr>
        <w:t>.</w:t>
      </w:r>
    </w:p>
    <w:p>
      <w:pPr>
        <w:pStyle w:val="Heading3"/>
        <w:numPr>
          <w:ilvl w:val="2"/>
          <w:numId w:val="1"/>
        </w:numPr>
        <w:rPr/>
      </w:pPr>
      <w:bookmarkStart w:id="88" w:name="__RefHeading___Toc2138474_2322387425"/>
      <w:bookmarkStart w:id="89" w:name="_Toc30"/>
      <w:bookmarkEnd w:id="88"/>
      <w:r>
        <w:rPr>
          <w:rtl w:val="true"/>
        </w:rPr>
        <w:t>بیع المضمون له بما یساوی أقلّ من الدَین</w:t>
      </w:r>
      <w:bookmarkEnd w:id="8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باعه أو صالحه المضمون له بما یُسوّی أقلّ من الدَین، أو </w:t>
      </w:r>
    </w:p>
    <w:p>
      <w:pPr>
        <w:pStyle w:val="BookText"/>
        <w:rPr/>
      </w:pPr>
      <w:r>
        <w:rPr>
          <w:rFonts w:ascii="Amiri" w:hAnsi="Amiri" w:eastAsia="Amiri" w:cs="Amiri"/>
          <w:color w:val="111111"/>
          <w:sz w:val="28"/>
          <w:sz w:val="28"/>
          <w:szCs w:val="28"/>
          <w:rtl w:val="true"/>
          <w:lang w:bidi="ar-SA"/>
        </w:rPr>
        <w:t>وفّاه الضامن بما یُسوّی أقلّ منه، فقد صرّح بعضهم</w:t>
      </w:r>
      <w:r>
        <w:rPr>
          <w:rStyle w:val="FootnoteAnchor"/>
          <w:rtl w:val="true"/>
        </w:rPr>
        <w:footnoteReference w:id="148"/>
      </w:r>
      <w:r>
        <w:rPr>
          <w:rFonts w:ascii="IRNazanin" w:hAnsi="IRNazanin" w:eastAsia="IRNazanin"/>
          <w:color w:val="111111"/>
          <w:sz w:val="28"/>
          <w:sz w:val="28"/>
          <w:szCs w:val="28"/>
          <w:rtl w:val="true"/>
          <w:lang w:bidi="fa-IR"/>
        </w:rPr>
        <w:t> بأنّه لا یرجع</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علی المضمون عنه إلّا بمقدار ما یُسوّی، وهو مشکل</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لشمول الموثّقة له، وقد عرفت أنّه موافق للقاعدة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ولا ظهور للخبر فی خصوص الرضا من الدَین بأقلّ منه، وقدمرّ أنّ الحکم علی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الصلح مطلق، والحکم مطابق للقاعدة، فلا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کون الحکم علی طبق القاعدة، وإطلاق خبر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لما مرّ من عدم کون الحکم علی خلاف القاعدة،والظاهر عدم الفرق بین مورد خبر الصلح وبین هذین الموردین لو لم نقل بشموله لهما، وعدم اختصاصه به، کما لا تبعد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کون الحکم علی خلاف القاعدة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هذا الحکم لیس علی خلاف القاعدة، فلا إشکال فی ما ذکره البعض،وخبر الصلح أیضاً یدلّ علی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منع کونه علی خلاف القاعدة، لکنّ المسألة مع ذلک محلّ إشکالٍ بجمیع صورها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خلافها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 والحکم علی طبق القاعدة، وخبر الصلح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وکون القدر المسلّم غیر هذه الصور،</w:t>
      </w:r>
      <w:bookmarkStart w:id="90" w:name="pg13286_153689"/>
    </w:p>
    <w:p>
      <w:pPr>
        <w:pStyle w:val="BookText"/>
        <w:rPr/>
      </w:pPr>
      <w:bookmarkEnd w:id="90"/>
      <w:r>
        <w:rPr>
          <w:rFonts w:ascii="IRNazanin" w:hAnsi="IRNazanin" w:eastAsia="IRNazanin"/>
          <w:color w:val="111111"/>
          <w:sz w:val="28"/>
          <w:sz w:val="28"/>
          <w:szCs w:val="28"/>
          <w:rtl w:val="true"/>
          <w:lang w:bidi="fa-IR"/>
        </w:rPr>
        <w:t>وظاهر</w:t>
      </w:r>
      <w:r>
        <w:rPr>
          <w:rStyle w:val="FootnoteAnchor"/>
          <w:rtl w:val="true"/>
        </w:rPr>
        <w:footnoteReference w:id="151"/>
      </w:r>
      <w:r>
        <w:rPr>
          <w:rFonts w:ascii="IRNazanin" w:hAnsi="IRNazanin" w:eastAsia="IRNazanin"/>
          <w:color w:val="111111"/>
          <w:sz w:val="28"/>
          <w:sz w:val="28"/>
          <w:szCs w:val="28"/>
          <w:rtl w:val="true"/>
          <w:lang w:bidi="fa-IR"/>
        </w:rPr>
        <w:t> خبر</w:t>
      </w:r>
      <w:r>
        <w:rPr>
          <w:rStyle w:val="FootnoteAnchor"/>
          <w:rtl w:val="true"/>
        </w:rPr>
        <w:footnoteReference w:id="152"/>
      </w:r>
      <w:r>
        <w:rPr>
          <w:rFonts w:ascii="IRNazanin" w:hAnsi="IRNazanin" w:eastAsia="IRNazanin"/>
          <w:color w:val="111111"/>
          <w:sz w:val="28"/>
          <w:sz w:val="28"/>
          <w:szCs w:val="28"/>
          <w:rtl w:val="true"/>
          <w:lang w:bidi="fa-IR"/>
        </w:rPr>
        <w:t> الصلح</w:t>
      </w:r>
      <w:r>
        <w:rPr>
          <w:rStyle w:val="FootnoteAnchor"/>
          <w:rtl w:val="true"/>
        </w:rPr>
        <w:footnoteReference w:id="153"/>
      </w:r>
      <w:r>
        <w:rPr>
          <w:rFonts w:ascii="IRNazanin" w:hAnsi="IRNazanin" w:eastAsia="IRNazanin"/>
          <w:color w:val="111111"/>
          <w:sz w:val="28"/>
          <w:sz w:val="28"/>
          <w:szCs w:val="28"/>
          <w:rtl w:val="true"/>
          <w:lang w:bidi="fa-IR"/>
        </w:rPr>
        <w:t> الرضا من الدَین بأقلّ منه، لا ما إذا</w:t>
      </w:r>
      <w:r>
        <w:rPr>
          <w:rStyle w:val="FootnoteAnchor"/>
          <w:rtl w:val="true"/>
        </w:rPr>
        <w:footnoteReference w:id="154"/>
      </w:r>
      <w:r>
        <w:rPr>
          <w:rFonts w:ascii="IRNazanin" w:hAnsi="IRNazanin" w:eastAsia="IRNazanin"/>
          <w:color w:val="111111"/>
          <w:sz w:val="28"/>
          <w:sz w:val="28"/>
          <w:szCs w:val="28"/>
          <w:rtl w:val="true"/>
          <w:lang w:bidi="fa-IR"/>
        </w:rPr>
        <w:t> صالحه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بما</w:t>
      </w:r>
      <w:r>
        <w:rPr>
          <w:rStyle w:val="FootnoteAnchor"/>
          <w:rtl w:val="true"/>
        </w:rPr>
        <w:footnoteReference w:id="156"/>
      </w:r>
      <w:r>
        <w:rPr>
          <w:rFonts w:ascii="Amiri" w:hAnsi="Amiri" w:eastAsia="Amiri" w:cs="Amiri"/>
          <w:color w:val="111111"/>
          <w:sz w:val="28"/>
          <w:sz w:val="28"/>
          <w:szCs w:val="28"/>
          <w:rtl w:val="true"/>
          <w:lang w:bidi="ar-SA"/>
        </w:rPr>
        <w:t> یُسوّی</w:t>
      </w:r>
      <w:r>
        <w:rPr>
          <w:rStyle w:val="FootnoteAnchor"/>
          <w:rtl w:val="true"/>
        </w:rPr>
        <w:footnoteReference w:id="157"/>
      </w:r>
      <w:r>
        <w:rPr>
          <w:rFonts w:ascii="Amiri" w:hAnsi="Amiri" w:eastAsia="Amiri" w:cs="Amiri"/>
          <w:color w:val="111111"/>
          <w:sz w:val="28"/>
          <w:sz w:val="28"/>
          <w:szCs w:val="28"/>
          <w:rtl w:val="true"/>
          <w:lang w:bidi="ar-SA"/>
        </w:rPr>
        <w:t> أقلّ منه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باعه أو صالحه أو وفّاه الضامن بما یُسوّی أزید فلا إشکال فی عدم جواز الرجوع بالزیادة</w:t>
      </w:r>
      <w:r>
        <w:rPr>
          <w:rFonts w:eastAsia="IRNazanin" w:cs="IRNazanin"/>
          <w:color w:val="111111"/>
          <w:sz w:val="28"/>
          <w:szCs w:val="28"/>
          <w:rtl w:val="true"/>
          <w:lang w:bidi="fa-IR"/>
        </w:rPr>
        <w:t>.</w:t>
      </w:r>
    </w:p>
    <w:p>
      <w:pPr>
        <w:pStyle w:val="Heading3"/>
        <w:numPr>
          <w:ilvl w:val="2"/>
          <w:numId w:val="1"/>
        </w:numPr>
        <w:rPr/>
      </w:pPr>
      <w:bookmarkStart w:id="91" w:name="__RefHeading___Toc2138476_2322387425"/>
      <w:bookmarkStart w:id="92" w:name="_Toc31"/>
      <w:bookmarkEnd w:id="91"/>
      <w:r>
        <w:rPr>
          <w:rtl w:val="true"/>
        </w:rPr>
        <w:t>لو دفع المضمون عنه إلی الضامن مقدار ما ضمن قبل الأداء</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دفع المضمون عنه إلی الضامن مقدار ما ضمن قبل أدائه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ذلک بعنوان الأمانة لیحتسب بعد الأداء عمّا له علیه فلا إشکال، ویکون فی یده أمانةً لا یضمن لو تلف إلّا بالتعدّی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بعنوان وفاءِ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باشتغال</w:t>
      </w:r>
      <w:r>
        <w:rPr>
          <w:rStyle w:val="FootnoteAnchor"/>
          <w:rtl w:val="true"/>
        </w:rPr>
        <w:footnoteReference w:id="159"/>
      </w:r>
      <w:r>
        <w:rPr>
          <w:rFonts w:ascii="Amiri" w:hAnsi="Amiri" w:eastAsia="Amiri" w:cs="Amiri"/>
          <w:color w:val="111111"/>
          <w:sz w:val="28"/>
          <w:sz w:val="28"/>
          <w:szCs w:val="28"/>
          <w:rtl w:val="true"/>
          <w:lang w:bidi="ar-SA"/>
        </w:rPr>
        <w:t> ذمّته</w:t>
      </w:r>
      <w:r>
        <w:rPr>
          <w:rStyle w:val="FootnoteAnchor"/>
          <w:rtl w:val="true"/>
        </w:rPr>
        <w:footnoteReference w:id="160"/>
      </w:r>
      <w:r>
        <w:rPr>
          <w:rFonts w:ascii="IRNazanin" w:hAnsi="IRNazanin" w:eastAsia="IRNazanin"/>
          <w:color w:val="111111"/>
          <w:sz w:val="28"/>
          <w:sz w:val="28"/>
          <w:szCs w:val="28"/>
          <w:rtl w:val="true"/>
          <w:lang w:bidi="fa-IR"/>
        </w:rPr>
        <w:t> حین الضمان</w:t>
      </w:r>
    </w:p>
    <w:p>
      <w:pPr>
        <w:pStyle w:val="BookText"/>
        <w:rPr/>
      </w:pPr>
      <w:r>
        <w:rPr>
          <w:rFonts w:ascii="IRNazanin" w:hAnsi="IRNazanin" w:eastAsia="IRNazanin"/>
          <w:color w:val="111111"/>
          <w:sz w:val="28"/>
          <w:sz w:val="28"/>
          <w:szCs w:val="28"/>
          <w:rtl w:val="true"/>
          <w:lang w:bidi="fa-IR"/>
        </w:rPr>
        <w:t>وإن لم یجب علیه دفعه إلّا بعد أداء الضامن، أو قلنا باشتغاله حینه بشرط الأداء بعد ذلک علی وجه الکشف فهو صحیح، ویُحتَسب وفاءً، لکن بشرط حصول الأداء من الضامن علی التقدیر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تشتغل ذمّته إلّا بالأداء وحینه کما هو ظاهر المشهور</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 للتحقیق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الأشبه،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أنّه الأوفق بالقاعدة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فیشکل صحّته وفاء؛ لأنّ المفروض عدم اشتغال ذمّته بعد، فیکون فی یده کالمقبوض</w:t>
      </w:r>
      <w:r>
        <w:rPr>
          <w:rStyle w:val="FootnoteAnchor"/>
          <w:rtl w:val="true"/>
        </w:rPr>
        <w:footnoteReference w:id="162"/>
      </w:r>
      <w:r>
        <w:rPr>
          <w:rFonts w:ascii="IRNazanin" w:hAnsi="IRNazanin" w:eastAsia="IRNazanin"/>
          <w:color w:val="111111"/>
          <w:sz w:val="28"/>
          <w:sz w:val="28"/>
          <w:szCs w:val="28"/>
          <w:rtl w:val="true"/>
          <w:lang w:bidi="fa-IR"/>
        </w:rPr>
        <w:t> بالعقد</w:t>
      </w:r>
      <w:r>
        <w:rPr>
          <w:rStyle w:val="FootnoteAnchor"/>
          <w:rtl w:val="true"/>
        </w:rPr>
        <w:footnoteReference w:id="163"/>
      </w:r>
      <w:r>
        <w:rPr>
          <w:rFonts w:ascii="IRNazanin" w:hAnsi="IRNazanin" w:eastAsia="IRNazanin"/>
          <w:color w:val="111111"/>
          <w:sz w:val="28"/>
          <w:sz w:val="28"/>
          <w:szCs w:val="28"/>
          <w:rtl w:val="true"/>
          <w:lang w:bidi="fa-IR"/>
        </w:rPr>
        <w:t> الفاسد</w:t>
      </w:r>
      <w:r>
        <w:rPr>
          <w:rStyle w:val="FootnoteAnchor"/>
          <w:rtl w:val="true"/>
        </w:rPr>
        <w:footnoteReference w:id="164"/>
      </w:r>
      <w:r>
        <w:rPr>
          <w:rFonts w:ascii="IRNazanin" w:hAnsi="IRNazanin" w:eastAsia="IRNazanin"/>
          <w:color w:val="111111"/>
          <w:sz w:val="28"/>
          <w:sz w:val="28"/>
          <w:szCs w:val="28"/>
          <w:rtl w:val="true"/>
          <w:lang w:bidi="fa-IR"/>
        </w:rPr>
        <w:t>، وبعد الأداء لیس له الاحتساب إلّا بإذنٍ  </w:t>
      </w:r>
    </w:p>
    <w:p>
      <w:pPr>
        <w:pStyle w:val="BookText"/>
        <w:rPr/>
      </w:pPr>
      <w:r>
        <w:rPr>
          <w:rFonts w:ascii="IRNazanin" w:hAnsi="IRNazanin" w:eastAsia="IRNazanin"/>
          <w:color w:val="111111"/>
          <w:sz w:val="28"/>
          <w:sz w:val="28"/>
          <w:szCs w:val="28"/>
          <w:rtl w:val="true"/>
          <w:lang w:bidi="fa-IR"/>
        </w:rPr>
        <w:t>جدید</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ولبقاء الإذن السابق وجه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العلم ببقاء الرضا به</w:t>
      </w:r>
      <w:r>
        <w:rPr>
          <w:rFonts w:eastAsia="IRNazanin" w:cs="IRNazanin"/>
          <w:color w:val="111111"/>
          <w:sz w:val="28"/>
          <w:szCs w:val="28"/>
          <w:rtl w:val="true"/>
          <w:lang w:bidi="fa-IR"/>
        </w:rPr>
        <w:t>.</w:t>
      </w:r>
      <w:bookmarkStart w:id="93" w:name="pg13286_153691"/>
    </w:p>
    <w:p>
      <w:pPr>
        <w:pStyle w:val="Heading3"/>
        <w:numPr>
          <w:ilvl w:val="2"/>
          <w:numId w:val="1"/>
        </w:numPr>
        <w:rPr/>
      </w:pPr>
      <w:bookmarkStart w:id="94" w:name="__RefHeading___Toc2138478_2322387425"/>
      <w:bookmarkStart w:id="95" w:name="_Toc32"/>
      <w:bookmarkEnd w:id="93"/>
      <w:bookmarkEnd w:id="94"/>
      <w:r>
        <w:rPr>
          <w:rtl w:val="true"/>
        </w:rPr>
        <w:t>لو دفع المضمون عنه بأمر الضامن</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الضامن للمضمون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عنّی إلی المضمون له ما علیّ من مال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برئت ذمّتهما معاً، أمّا الضامن فلأنّه قد أدّی دَینه، وأمّا المضمون عنه فلأنّ المفروض أنّ الضامن لم یخسر، کذا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والأوجه</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ولاحتمال بناء المسألة علی ما تقدّم من اشتغال الذمّة من حین وقوع الضمان و عدمه وجه، لکنّه غیر موجّه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التفصیل بین القول باشتغال ذمّة المضمون عنه حین الضمان، فتشتغل ذمّةالضامن للمضمون عنه بالأداء بإذنه فی تهاتران، وبین القول بعدم الاشتغال إلّا بعد أداءالضامن، فإن أدّی المضمون عنه مجّاناً فلا تشتغل ذمّته؛ لعدم خسران الضامن، وإن أدّی بإذنه بقصد أخذ العوض منه فإن أعطاه الضامن عِوض ما أدّی عنه بإذنه اشتغلت ذمّته له بالدَین؛ لأنّه خسر بإعطائه، وإلّا فلا، کما مرّ فی أداء الضامن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بناءً علی ما هو ظاهر المشهور، وأمّا بناءً علی القول بحدوث الاشتغال للمضمون عنه بمجرّد الضمان، فهو أی ـ التهاتر ـ واضح لا ارتیاب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الضامن حیث أمر المضمون عنه بأداء دَینه</w:t>
      </w:r>
    </w:p>
    <w:p>
      <w:pPr>
        <w:pStyle w:val="BookText"/>
        <w:rPr/>
      </w:pPr>
      <w:r>
        <w:rPr>
          <w:rFonts w:ascii="IRNazanin" w:hAnsi="IRNazanin" w:eastAsia="IRNazanin"/>
          <w:color w:val="111111"/>
          <w:sz w:val="28"/>
          <w:sz w:val="28"/>
          <w:szCs w:val="28"/>
          <w:rtl w:val="true"/>
          <w:lang w:bidi="fa-IR"/>
        </w:rPr>
        <w:t>فقد اشتغلت ذمّته بالأداء، والمفروض أنّ ذمّة المضمون عنه أیضاً مشغولة</w:t>
      </w:r>
    </w:p>
    <w:p>
      <w:pPr>
        <w:pStyle w:val="BookText"/>
        <w:rPr/>
      </w:pPr>
      <w:r>
        <w:rPr>
          <w:rFonts w:ascii="IRNazanin" w:hAnsi="IRNazanin" w:eastAsia="IRNazanin"/>
          <w:color w:val="111111"/>
          <w:sz w:val="28"/>
          <w:sz w:val="28"/>
          <w:szCs w:val="28"/>
          <w:rtl w:val="true"/>
          <w:lang w:bidi="fa-IR"/>
        </w:rPr>
        <w:t>له؛ حیث إنّه أذن له فی الضمان، فالأداء المفروض موجب لاشتغال ذمّة الضامن من حیث کونه بأمره، ولاشتغال ذمّة المضمون عنه؛ حیث إنّ الضمان بإذنه وقد وفّی الضامن</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نسخةٍ مصحّحة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المضمون عنه، والظاهر کون المقام من التهاتر، لا التقاصّ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فیتهاتَران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تردید فی کونه تهاتراً، ولا مورد للمقاصّة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یتقاصّان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للتقاصّ هاهنا، بل هو من باب التهاتر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للتقاصّ ها هنا، وأمّا التهاتر فوجیه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قهراً، وهو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للمقاصّة فی المقام، وبراءة الذمّتین إنّما هی من جهة التهاتر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تعلیقة منه ؛ فی نسخةٍ اُخری، ولا توجد فی النسخة الّتی بأیدینا،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وفی المضمون عنه، ولعلّ التبدیل من سهو القلم، أو من غلط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المقام من مصادیق التقاصّ، بل هو من التهاتر القهریّ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للتقاصّ، بل هو من موارد التهاتر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موقع للمقاصّة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وإشکال صاحب</w:t>
      </w:r>
      <w:bookmarkStart w:id="96" w:name="pg13286_153693"/>
    </w:p>
    <w:p>
      <w:pPr>
        <w:pStyle w:val="BookText"/>
        <w:rPr/>
      </w:pPr>
      <w:bookmarkEnd w:id="96"/>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اشتغال ذمّة الضامن بالقول المزبور فی غیر</w:t>
      </w:r>
      <w:r>
        <w:rPr>
          <w:rStyle w:val="FootnoteAnchor"/>
          <w:rtl w:val="true"/>
        </w:rPr>
        <w:footnoteReference w:id="168"/>
      </w:r>
      <w:r>
        <w:rPr>
          <w:rFonts w:ascii="Amiri" w:hAnsi="Amiri" w:eastAsia="Amiri" w:cs="Amiri"/>
          <w:color w:val="111111"/>
          <w:sz w:val="28"/>
          <w:sz w:val="28"/>
          <w:szCs w:val="28"/>
          <w:rtl w:val="true"/>
          <w:lang w:bidi="ar-SA"/>
        </w:rPr>
        <w:t> محلّه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138480_2322387425"/>
      <w:bookmarkStart w:id="98" w:name="_Toc33"/>
      <w:bookmarkEnd w:id="97"/>
      <w:r>
        <w:rPr>
          <w:rtl w:val="true"/>
        </w:rPr>
        <w:t>إذا دفع المضمون عنه بغیر إذن الضامن</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دفع المضمون عنه إلی المضمون له من غیر إذن الضامن بَرِئا معاً</w:t>
      </w:r>
      <w:r>
        <w:rPr>
          <w:rStyle w:val="FootnoteAnchor"/>
          <w:rtl w:val="true"/>
        </w:rPr>
        <w:footnoteReference w:id="170"/>
      </w:r>
      <w:r>
        <w:rPr>
          <w:rFonts w:ascii="IRNazanin" w:hAnsi="IRNazanin" w:eastAsia="IRNazanin"/>
          <w:color w:val="111111"/>
          <w:sz w:val="28"/>
          <w:sz w:val="28"/>
          <w:szCs w:val="28"/>
          <w:rtl w:val="true"/>
          <w:lang w:bidi="fa-IR"/>
        </w:rPr>
        <w:t>، کما لو دفعه أجنبیّ عنه</w:t>
      </w:r>
      <w:r>
        <w:rPr>
          <w:rFonts w:eastAsia="IRNazanin" w:cs="IRNazanin"/>
          <w:color w:val="111111"/>
          <w:sz w:val="28"/>
          <w:szCs w:val="28"/>
          <w:rtl w:val="true"/>
          <w:lang w:bidi="fa-IR"/>
        </w:rPr>
        <w:t>.</w:t>
      </w:r>
    </w:p>
    <w:p>
      <w:pPr>
        <w:pStyle w:val="Heading3"/>
        <w:numPr>
          <w:ilvl w:val="2"/>
          <w:numId w:val="1"/>
        </w:numPr>
        <w:rPr/>
      </w:pPr>
      <w:bookmarkStart w:id="99" w:name="__RefHeading___Toc2138482_2322387425"/>
      <w:bookmarkStart w:id="100" w:name="_Toc34"/>
      <w:bookmarkEnd w:id="99"/>
      <w:r>
        <w:rPr>
          <w:rtl w:val="true"/>
        </w:rPr>
        <w:t>إذا ضمن تبرّعاً فضمن عنه ضامن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تبرّعاً فضمن عنه ضامن بإذنه وأدّی لیس له الرجوع علی المضمون عنه، بل علی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لو ضمن بالإذن فضمن عنه ضامن بإذنه فإنّه بالأداء یرجع علی الضامن، ویرجع هو علی المضمون عنه الأوّل</w:t>
      </w:r>
      <w:r>
        <w:rPr>
          <w:rFonts w:eastAsia="IRNazanin" w:cs="IRNazanin"/>
          <w:color w:val="111111"/>
          <w:sz w:val="28"/>
          <w:szCs w:val="28"/>
          <w:rtl w:val="true"/>
          <w:lang w:bidi="fa-IR"/>
        </w:rPr>
        <w:t>.</w:t>
      </w:r>
    </w:p>
    <w:p>
      <w:pPr>
        <w:pStyle w:val="Heading3"/>
        <w:numPr>
          <w:ilvl w:val="2"/>
          <w:numId w:val="1"/>
        </w:numPr>
        <w:rPr/>
      </w:pPr>
      <w:bookmarkStart w:id="101" w:name="__RefHeading___Toc2138484_2322387425"/>
      <w:bookmarkStart w:id="102" w:name="_Toc35"/>
      <w:bookmarkEnd w:id="101"/>
      <w:r>
        <w:rPr>
          <w:rtl w:val="true"/>
        </w:rPr>
        <w:t>ضمان الدَین بأقلّ منه أو أکثر</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یضمن الدَین بأقلّ منه</w:t>
      </w:r>
      <w:r>
        <w:rPr>
          <w:rStyle w:val="FootnoteAnchor"/>
          <w:rtl w:val="true"/>
        </w:rPr>
        <w:footnoteReference w:id="171"/>
      </w:r>
      <w:r>
        <w:rPr>
          <w:rFonts w:ascii="IRNazanin" w:hAnsi="IRNazanin" w:eastAsia="IRNazanin"/>
          <w:color w:val="111111"/>
          <w:sz w:val="28"/>
          <w:sz w:val="28"/>
          <w:szCs w:val="28"/>
          <w:rtl w:val="true"/>
          <w:lang w:bidi="fa-IR"/>
        </w:rPr>
        <w:t> برضا المضمون له، وکذا</w:t>
      </w:r>
    </w:p>
    <w:p>
      <w:pPr>
        <w:pStyle w:val="BookText"/>
        <w:rPr/>
      </w:pPr>
      <w:r>
        <w:rPr>
          <w:rFonts w:ascii="IRNazanin" w:hAnsi="IRNazanin" w:eastAsia="IRNazanin"/>
          <w:color w:val="111111"/>
          <w:sz w:val="28"/>
          <w:sz w:val="28"/>
          <w:szCs w:val="28"/>
          <w:rtl w:val="true"/>
          <w:lang w:bidi="fa-IR"/>
        </w:rPr>
        <w:t>یجوز</w:t>
      </w:r>
      <w:r>
        <w:rPr>
          <w:rStyle w:val="FootnoteAnchor"/>
          <w:rtl w:val="true"/>
        </w:rPr>
        <w:footnoteReference w:id="172"/>
      </w:r>
      <w:r>
        <w:rPr>
          <w:rFonts w:ascii="IRNazanin" w:hAnsi="IRNazanin" w:eastAsia="IRNazanin"/>
          <w:color w:val="111111"/>
          <w:sz w:val="28"/>
          <w:sz w:val="28"/>
          <w:szCs w:val="28"/>
          <w:rtl w:val="true"/>
          <w:lang w:bidi="fa-IR"/>
        </w:rPr>
        <w:t> أن یضمنه بأکثر</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الزیادة ضمان لِما لم یجب، وتعهّد بما لا مطابق له خارجاً، فلا یصحّ، بل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إعطاء الزائد بقصد الهبة جائز، کما هو واضح، وحکمه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یشترط الزیادة ویلتزم بها للمضمون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بمعنی الالتزام بإعطاء شیءٍ زائدٍ علیه مجّاناً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بناءً علی بطلان ضمان ما لم یجب، وشموله حتّی للمقام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عبدالهادی الشیرازی، الخمینی، الروحانی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الصورة الاُولی لا یرجع علی</w:t>
      </w:r>
      <w:bookmarkStart w:id="103" w:name="pg13286_153694"/>
    </w:p>
    <w:p>
      <w:pPr>
        <w:pStyle w:val="BookText"/>
        <w:rPr/>
      </w:pPr>
      <w:bookmarkEnd w:id="103"/>
      <w:r>
        <w:rPr>
          <w:rFonts w:ascii="IRNazanin" w:hAnsi="IRNazanin" w:eastAsia="IRNazanin"/>
          <w:color w:val="111111"/>
          <w:sz w:val="28"/>
          <w:sz w:val="28"/>
          <w:szCs w:val="28"/>
          <w:rtl w:val="true"/>
          <w:lang w:bidi="fa-IR"/>
        </w:rPr>
        <w:t>المضمون عنه مع إذنه فی الضمان إلّا بذلک الأقلّ، کما أنّ فی الثانیة لا یرجع علیه إلّا بمقدار الدَین، إلّا إذا أذن المضمون عنه فی الضمان بالزیادة</w:t>
      </w:r>
      <w:r>
        <w:rPr>
          <w:rFonts w:eastAsia="IRNazanin" w:cs="IRNazanin"/>
          <w:color w:val="111111"/>
          <w:sz w:val="28"/>
          <w:szCs w:val="28"/>
          <w:rtl w:val="true"/>
          <w:lang w:bidi="fa-IR"/>
        </w:rPr>
        <w:t>.</w:t>
      </w:r>
    </w:p>
    <w:p>
      <w:pPr>
        <w:pStyle w:val="Heading3"/>
        <w:numPr>
          <w:ilvl w:val="2"/>
          <w:numId w:val="1"/>
        </w:numPr>
        <w:rPr/>
      </w:pPr>
      <w:bookmarkStart w:id="104" w:name="__RefHeading___Toc2138486_2322387425"/>
      <w:bookmarkStart w:id="105" w:name="_Toc36"/>
      <w:bookmarkEnd w:id="104"/>
      <w:r>
        <w:rPr>
          <w:rtl w:val="true"/>
        </w:rPr>
        <w:t>الضمان بغیر جنس الدَین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174"/>
      </w:r>
      <w:r>
        <w:rPr>
          <w:rFonts w:ascii="IRNazanin" w:hAnsi="IRNazanin" w:eastAsia="IRNazanin"/>
          <w:color w:val="111111"/>
          <w:sz w:val="28"/>
          <w:sz w:val="28"/>
          <w:szCs w:val="28"/>
          <w:rtl w:val="true"/>
          <w:lang w:bidi="fa-IR"/>
        </w:rPr>
        <w:t> الضمان</w:t>
      </w:r>
      <w:r>
        <w:rPr>
          <w:rStyle w:val="FootnoteAnchor"/>
          <w:rtl w:val="true"/>
        </w:rPr>
        <w:footnoteReference w:id="175"/>
      </w:r>
      <w:r>
        <w:rPr>
          <w:rFonts w:ascii="IRNazanin" w:hAnsi="IRNazanin" w:eastAsia="IRNazanin"/>
          <w:color w:val="111111"/>
          <w:sz w:val="28"/>
          <w:sz w:val="28"/>
          <w:szCs w:val="28"/>
          <w:rtl w:val="true"/>
          <w:lang w:bidi="fa-IR"/>
        </w:rPr>
        <w:t> بغیر جنس</w:t>
      </w:r>
      <w:r>
        <w:rPr>
          <w:rStyle w:val="FootnoteAnchor"/>
          <w:rtl w:val="true"/>
        </w:rPr>
        <w:footnoteReference w:id="176"/>
      </w:r>
      <w:r>
        <w:rPr>
          <w:rFonts w:ascii="Amiri" w:hAnsi="Amiri" w:eastAsia="Amiri" w:cs="Amiri"/>
          <w:color w:val="111111"/>
          <w:sz w:val="28"/>
          <w:sz w:val="28"/>
          <w:szCs w:val="28"/>
          <w:rtl w:val="true"/>
          <w:lang w:bidi="ar-SA"/>
        </w:rPr>
        <w:t> الدَین</w:t>
      </w:r>
      <w:r>
        <w:rPr>
          <w:rStyle w:val="FootnoteAnchor"/>
          <w:rtl w:val="true"/>
        </w:rPr>
        <w:footnoteReference w:id="177"/>
      </w:r>
      <w:r>
        <w:rPr>
          <w:rFonts w:ascii="IRNazanin" w:hAnsi="IRNazanin" w:eastAsia="IRNazanin"/>
          <w:color w:val="111111"/>
          <w:sz w:val="28"/>
          <w:sz w:val="28"/>
          <w:szCs w:val="28"/>
          <w:rtl w:val="true"/>
          <w:lang w:bidi="fa-IR"/>
        </w:rPr>
        <w:t>، کما یجوز</w:t>
      </w:r>
    </w:p>
    <w:p>
      <w:pPr>
        <w:pStyle w:val="BookText"/>
        <w:rPr/>
      </w:pPr>
      <w:r>
        <w:rPr>
          <w:rFonts w:ascii="IRNazanin" w:hAnsi="IRNazanin" w:eastAsia="IRNazanin"/>
          <w:color w:val="111111"/>
          <w:sz w:val="28"/>
          <w:sz w:val="28"/>
          <w:szCs w:val="28"/>
          <w:rtl w:val="true"/>
          <w:lang w:bidi="fa-IR"/>
        </w:rPr>
        <w:t>الوفاء بغیر الجنس</w:t>
      </w:r>
      <w:r>
        <w:rPr>
          <w:rStyle w:val="FootnoteAnchor"/>
          <w:rtl w:val="true"/>
        </w:rPr>
        <w:footnoteReference w:id="178"/>
      </w:r>
      <w:r>
        <w:rPr>
          <w:rFonts w:ascii="IRNazanin" w:hAnsi="IRNazanin" w:eastAsia="IRNazanin"/>
          <w:color w:val="111111"/>
          <w:sz w:val="28"/>
          <w:sz w:val="28"/>
          <w:szCs w:val="28"/>
          <w:rtl w:val="true"/>
          <w:lang w:bidi="fa-IR"/>
        </w:rPr>
        <w:t>، ولیس له أن یرجع علی المضمون عنه إلّا بالجنس</w:t>
      </w:r>
    </w:p>
    <w:p>
      <w:pPr>
        <w:pStyle w:val="BookText"/>
        <w:rPr/>
      </w:pPr>
      <w:r>
        <w:rPr>
          <w:rFonts w:ascii="Amiri" w:hAnsi="Amiri" w:eastAsia="Amiri" w:cs="Amiri"/>
          <w:color w:val="111111"/>
          <w:sz w:val="28"/>
          <w:sz w:val="28"/>
          <w:szCs w:val="28"/>
          <w:rtl w:val="true"/>
          <w:lang w:bidi="ar-SA"/>
        </w:rPr>
        <w:t>الّذی علیه إلّا برضاه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2138488_2322387425"/>
      <w:bookmarkStart w:id="107" w:name="_Toc37"/>
      <w:bookmarkEnd w:id="106"/>
      <w:r>
        <w:rPr>
          <w:rtl w:val="true"/>
        </w:rPr>
        <w:t>الضمان بشرط الرهانة</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الضمان بشرط الرهانة</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فیما إذا کان الشرط بنحو شرط النتیجة، وأمّا إذا کان الشرط بنحوشرط الفعل فلا یصحّ؛ لأنّ مرجعه إلی جعل الخیار فیه، وقد تقدّم أنّ الخیار لایدخل فی عقد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فیرهن بعد الضمان، بل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 w:name="pg13286_153695"/>
    </w:p>
    <w:p>
      <w:pPr>
        <w:pStyle w:val="BookText"/>
        <w:rPr/>
      </w:pPr>
      <w:bookmarkEnd w:id="108"/>
      <w:r>
        <w:rPr>
          <w:rFonts w:ascii="IRNazanin" w:hAnsi="IRNazanin" w:eastAsia="IRNazanin"/>
          <w:color w:val="111111"/>
          <w:sz w:val="28"/>
          <w:sz w:val="28"/>
          <w:szCs w:val="28"/>
          <w:rtl w:val="true"/>
          <w:lang w:bidi="fa-IR"/>
        </w:rPr>
        <w:t>الظاهر جواز اشتراط کون المِلک الفلانیّ رَهناً بنحو شرط النتیجة</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ذلک لا یوجب سقوط اشتراط صحّة الرهن بالقبض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w:t>
      </w:r>
    </w:p>
    <w:p>
      <w:pPr>
        <w:pStyle w:val="BookText"/>
        <w:rPr/>
      </w:pPr>
      <w:r>
        <w:rPr>
          <w:rFonts w:ascii="IRNazanin" w:hAnsi="IRNazanin" w:eastAsia="IRNazanin"/>
          <w:color w:val="111111"/>
          <w:sz w:val="28"/>
          <w:sz w:val="28"/>
          <w:szCs w:val="28"/>
          <w:rtl w:val="true"/>
          <w:lang w:bidi="fa-IR"/>
        </w:rPr>
        <w:t>ضمن عقد الضمان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138490_2322387425"/>
      <w:bookmarkStart w:id="110" w:name="_Toc38"/>
      <w:bookmarkEnd w:id="109"/>
      <w:r>
        <w:rPr>
          <w:rtl w:val="true"/>
        </w:rPr>
        <w:t>إذا کان علی الدَین رهن فهل ینفک بالضمان؟</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الدَین الّذی علی المضمون عنه رهن فهل ینفکّ</w:t>
      </w:r>
      <w:r>
        <w:rPr>
          <w:rStyle w:val="FootnoteAnchor"/>
          <w:rtl w:val="true"/>
        </w:rPr>
        <w:footnoteReference w:id="182"/>
      </w:r>
      <w:r>
        <w:rPr>
          <w:rFonts w:ascii="IRNazanin" w:hAnsi="IRNazanin" w:eastAsia="IRNazanin"/>
          <w:color w:val="111111"/>
          <w:sz w:val="28"/>
          <w:sz w:val="28"/>
          <w:szCs w:val="28"/>
          <w:rtl w:val="true"/>
          <w:lang w:bidi="fa-IR"/>
        </w:rPr>
        <w:t> بالضمان</w:t>
      </w:r>
      <w:r>
        <w:rPr>
          <w:rStyle w:val="FootnoteAnchor"/>
          <w:rtl w:val="true"/>
        </w:rPr>
        <w:footnoteReference w:id="183"/>
      </w:r>
      <w:r>
        <w:rPr>
          <w:rFonts w:ascii="IRNazanin" w:hAnsi="IRNazanin" w:eastAsia="IRNazanin"/>
          <w:color w:val="111111"/>
          <w:sz w:val="28"/>
          <w:sz w:val="28"/>
          <w:szCs w:val="28"/>
          <w:rtl w:val="true"/>
          <w:lang w:bidi="fa-IR"/>
        </w:rPr>
        <w:t>، أو لا؟ یظهر من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انفکاکه</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لأنّه بمنزلة الوفاء، لکنّه لا یخلو من إشکال</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إذا کان وثیقةً لدَینٍ فی ذمّة شخصه، نعم، لو کان وثیقةً لنفس مافی الذمّة ـ فی أیّ ذمّةٍ کان ـ لا وجه لفکّه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أصلاً، وهو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إذا کان وثیقةً للدَین فی ذمّة شخصه، وأمّا إذا کان مطلقاً ففیه إشکال،وکذا مع اشتراط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ذلک؛ إذ لا رهن علی ذمّةٍ بریئة، فینفکّ الرهن؛ لأنّه وثیقة لِما فیذمّة المدیون، وبعد انتقاله إلی ذمّةٍ اُخری لابقاء له، ومن هذا ظهر عدم صحّةاشتراط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الفکّ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وجهه احتمال بقاء الدَین بلا أداءٍ مع کون المرهونة وثیقةً له، غایة الأمر أنّ انتقاله بالضمان من ذمّةٍ إلی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الرهن علی هذا الدَین ما لم یُعطَ بقی الرهن، وإن کان رهناً علی خصوص ذمّة المضمون منه فکّ الرهن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الأقوی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مع الإطلاق، وأمّا مع</w:t>
      </w:r>
      <w:bookmarkStart w:id="111" w:name="pg13286_153696"/>
    </w:p>
    <w:p>
      <w:pPr>
        <w:pStyle w:val="BookText"/>
        <w:rPr/>
      </w:pPr>
      <w:bookmarkEnd w:id="111"/>
      <w:r>
        <w:rPr>
          <w:rFonts w:ascii="Amiri" w:hAnsi="Amiri" w:eastAsia="Amiri" w:cs="Amiri"/>
          <w:color w:val="111111"/>
          <w:sz w:val="28"/>
          <w:sz w:val="28"/>
          <w:szCs w:val="28"/>
          <w:rtl w:val="true"/>
          <w:lang w:bidi="ar-SA"/>
        </w:rPr>
        <w:t>اشتراط البقاء أو عدمه فهو المتَّبَع</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138492_2322387425"/>
      <w:bookmarkStart w:id="113" w:name="_Toc39"/>
      <w:bookmarkEnd w:id="112"/>
      <w:r>
        <w:rPr>
          <w:rtl w:val="true"/>
        </w:rPr>
        <w:t>اشتراط الضمان فی مالٍ معیّن وما فیه من أقسام</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186"/>
      </w:r>
      <w:r>
        <w:rPr>
          <w:rFonts w:ascii="IRNazanin" w:hAnsi="IRNazanin" w:eastAsia="IRNazanin"/>
          <w:color w:val="111111"/>
          <w:sz w:val="28"/>
          <w:sz w:val="28"/>
          <w:szCs w:val="28"/>
          <w:rtl w:val="true"/>
          <w:lang w:bidi="fa-IR"/>
        </w:rPr>
        <w:t>اشتراط</w:t>
      </w:r>
      <w:r>
        <w:rPr>
          <w:rStyle w:val="FootnoteAnchor"/>
          <w:rtl w:val="true"/>
        </w:rPr>
        <w:footnoteReference w:id="187"/>
      </w:r>
      <w:r>
        <w:rPr>
          <w:rFonts w:ascii="IRNazanin" w:hAnsi="IRNazanin" w:eastAsia="IRNazanin"/>
          <w:color w:val="111111"/>
          <w:sz w:val="28"/>
          <w:sz w:val="28"/>
          <w:szCs w:val="28"/>
          <w:rtl w:val="true"/>
          <w:lang w:bidi="fa-IR"/>
        </w:rPr>
        <w:t>الضمان</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مالٍ </w:t>
      </w:r>
    </w:p>
    <w:p>
      <w:pPr>
        <w:pStyle w:val="BookText"/>
        <w:rPr/>
      </w:pPr>
      <w:r>
        <w:rPr>
          <w:rFonts w:ascii="Amiri" w:hAnsi="Amiri" w:eastAsia="Amiri" w:cs="Amiri"/>
          <w:color w:val="111111"/>
          <w:sz w:val="28"/>
          <w:sz w:val="28"/>
          <w:szCs w:val="28"/>
          <w:rtl w:val="true"/>
          <w:lang w:bidi="ar-SA"/>
        </w:rPr>
        <w:t>معیّنٍ</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یشترطا الأداء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الضمان بمعنی نقل الذمّة فکیف یعقل تقییده بالمال الموجود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یمنع ذلک، ویلتزم بکون الضمان نوع تعهّدٍ للأداء، لکنّه خلافالمشهور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 کذلک محلّ إشکال، بل منعٍ، إلّا إذا کان کلّیّاً فی المعیّن فإنّ له وجه صحّة؛فإنّ الکلّی فی المعیّن لا یخرج عن الکلّیّة، والذمّة علی ما هو التحقیق، فیکون ضمانه فی دائرة المعیّن، فمع تلف الکلّ یبطل الضمان، ومع بقاء مقدار الدَین لا یبطل ویتعیّن للأداء، ومع بقاء ما ینقص عنه یبطل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یتقیّد المضمون فی الذمّة بکونه فی العین الخارجیّة علی نحو تقیّد الکلّیّ فی المعیّن، لا تقیّد الضمان حتّی یلزم محذور التعلیق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یظهر معنی متحصّل للتقیید فی المقام، فینحصر الأمر فی الاشتراط، ولا یترتّب علیه إلّا وجوب الوفاء بالشرط؛ لما مرّ من الإشکال فی ثبوت الخیار بتخلّفه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تقیّد الضمان بأداء العین، وهو یرجع إلی التعلیق الباطل بالإجماع، ولمأجد مَن تعرّض للمسألة إلّا العلّامة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w:t>
      </w:r>
      <w:r>
        <w:rPr>
          <w:rFonts w:eastAsia="IRNazanin" w:cs="IRNazanin"/>
          <w:color w:val="111111"/>
          <w:sz w:val="28"/>
          <w:szCs w:val="28"/>
          <w:lang w:bidi="fa-IR"/>
        </w:rPr>
        <w:t>14/301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المتفرّد به علی ما فی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16/348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مقصوده الاشتراط دون التقیید، کما أنّ صاحب مفتاح الکرامة حمل کلامه علیه من دون ذکر احتمالٍ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من تقیید الوفی، ولا إشکال فیه، بل ویصحّ فرض اعتبار العین فی الذمّة أیضاً تقییداً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یقیّد الکلّیّ الّذی یضمنه فی ذمّته بقیدٍ یوجب انحصار فرده لو اُرید الأداءبمالٍ معیّن خارجیّ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یظهر معنی معقول لتقیید الضمان، الّذی هو عبارة عن اشتغال ذمّة الضامن بماعلی عهدة المضمون عنه بالمال المعیّن الموجود فی الخارج، إلّا إذا کان بنحو الکلّیفی المعیّن؛ حیث إنّه یجتمع فیه الذمّة والمعیّن معاً، فیکون ضمانه فی حدوده ولایتجاوز عنه، فإذا تلف الجمیع یرتفع اشتغال الذمّة، ومع بقاء مقداره أو بعضٍ منه یتعیّن للأداء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علی نحو الشرائط فی العقود؛ من کونه من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الالتزام فی الالتزام، وحینئذٍ یجب علی الضامن الوفاء من ذلک المال، بمعنی صرفه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 الأوّل إذا تلف ذلک المال یبطل الضمان</w:t>
      </w:r>
      <w:r>
        <w:rPr>
          <w:rStyle w:val="FootnoteAnchor"/>
          <w:rtl w:val="true"/>
        </w:rPr>
        <w:footnoteReference w:id="190"/>
      </w:r>
      <w:r>
        <w:rPr>
          <w:rFonts w:ascii="IRNazanin" w:hAnsi="IRNazanin" w:eastAsia="IRNazanin"/>
          <w:color w:val="111111"/>
          <w:sz w:val="28"/>
          <w:sz w:val="28"/>
          <w:szCs w:val="28"/>
          <w:rtl w:val="true"/>
          <w:lang w:bidi="fa-IR"/>
        </w:rPr>
        <w:t>، ویرجع المضمون له</w:t>
      </w:r>
    </w:p>
    <w:p>
      <w:pPr>
        <w:pStyle w:val="BookText"/>
        <w:rPr/>
      </w:pPr>
      <w:r>
        <w:rPr>
          <w:rFonts w:ascii="IRNazanin" w:hAnsi="IRNazanin" w:eastAsia="IRNazanin"/>
          <w:color w:val="111111"/>
          <w:sz w:val="28"/>
          <w:sz w:val="28"/>
          <w:szCs w:val="28"/>
          <w:rtl w:val="true"/>
          <w:lang w:bidi="fa-IR"/>
        </w:rPr>
        <w:t>علی المضمون عنه، کما أنّه إذا نقص</w:t>
      </w:r>
      <w:r>
        <w:rPr>
          <w:rStyle w:val="FootnoteAnchor"/>
          <w:rtl w:val="true"/>
        </w:rPr>
        <w:footnoteReference w:id="191"/>
      </w:r>
      <w:r>
        <w:rPr>
          <w:rFonts w:ascii="IRNazanin" w:hAnsi="IRNazanin" w:eastAsia="IRNazanin"/>
          <w:color w:val="111111"/>
          <w:sz w:val="28"/>
          <w:sz w:val="28"/>
          <w:szCs w:val="28"/>
          <w:rtl w:val="true"/>
          <w:lang w:bidi="fa-IR"/>
        </w:rPr>
        <w:t> یبقی الناقص فی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لا یبطل، بل یوجب الخیار</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ثبوت الخیار فی الضمان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له الشرط من الضامن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لخیار الضامن فی فرض المسألة، وهو تلف ذلک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الخیار له منفرداً أو مع المضمون له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الخیار للضامن بالتلف عنده محلّ منع، ولو کان هو المشروط له؛ لأنّ الشرط علی المضمون له معناه عدم استنکافه من أخذه، ولیس من شأنه أن یلتزم بغیر ذلک، فلا خیار للضامن إلّا مع استنکاف المضمون له من الأخذ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خیار للضامن فی فرض المسألة، وهو تلف ذلک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المضمون له أو هما، ومع النقصان یجب علی الضامن الإتمام مع عدم الفسخ</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جعل الضمان فی مالٍ معیّنٍ من غیر اشتغال ذمّة الضامن، بأن یکون </w:t>
      </w:r>
      <w:bookmarkStart w:id="114" w:name="pg13286_153700"/>
    </w:p>
    <w:p>
      <w:pPr>
        <w:pStyle w:val="BookText"/>
        <w:rPr/>
      </w:pPr>
      <w:bookmarkEnd w:id="114"/>
      <w:r>
        <w:rPr>
          <w:rFonts w:ascii="IRNazanin" w:hAnsi="IRNazanin" w:eastAsia="IRNazanin"/>
          <w:color w:val="111111"/>
          <w:sz w:val="28"/>
          <w:sz w:val="28"/>
          <w:szCs w:val="28"/>
          <w:rtl w:val="true"/>
          <w:lang w:bidi="fa-IR"/>
        </w:rPr>
        <w:t>الدَین فی عهدة ذلک المال</w:t>
      </w:r>
      <w:r>
        <w:rPr>
          <w:rStyle w:val="FootnoteAnchor"/>
          <w:rtl w:val="true"/>
        </w:rPr>
        <w:footnoteReference w:id="193"/>
      </w:r>
      <w:r>
        <w:rPr>
          <w:rFonts w:ascii="Amiri" w:hAnsi="Amiri" w:eastAsia="Amiri" w:cs="Amiri"/>
          <w:color w:val="111111"/>
          <w:sz w:val="28"/>
          <w:sz w:val="28"/>
          <w:szCs w:val="28"/>
          <w:rtl w:val="true"/>
          <w:lang w:bidi="ar-SA"/>
        </w:rPr>
        <w:t> فلا یصحّ</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138494_2322387425"/>
      <w:bookmarkStart w:id="116" w:name="_Toc40"/>
      <w:bookmarkEnd w:id="115"/>
      <w:r>
        <w:rPr>
          <w:rtl w:val="true"/>
        </w:rPr>
        <w:t>إذن المولی لعبده بالضمان فی کسبه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أذِن المولی لمملوکه فی الضمان فی کسبه</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الضامن هو المولی للانفهام العرفیّ، أو لقرائن خارجیّةٍ یکون من اشتراط الضمان فی مالٍ معیّنٍ وهو الکسب الّذی</w:t>
      </w:r>
      <w:r>
        <w:rPr>
          <w:rStyle w:val="FootnoteAnchor"/>
          <w:rtl w:val="true"/>
        </w:rPr>
        <w:footnoteReference w:id="195"/>
      </w:r>
      <w:r>
        <w:rPr>
          <w:rFonts w:ascii="IRNazanin" w:hAnsi="IRNazanin" w:eastAsia="IRNazanin"/>
          <w:color w:val="111111"/>
          <w:sz w:val="28"/>
          <w:sz w:val="28"/>
          <w:szCs w:val="28"/>
          <w:rtl w:val="true"/>
          <w:lang w:bidi="fa-IR"/>
        </w:rPr>
        <w:t> للمولی، وحینئذٍ فإذا مات العبد</w:t>
      </w:r>
    </w:p>
    <w:p>
      <w:pPr>
        <w:pStyle w:val="BookText"/>
        <w:rPr/>
      </w:pPr>
      <w:r>
        <w:rPr>
          <w:rFonts w:ascii="IRNazanin" w:hAnsi="IRNazanin" w:eastAsia="IRNazanin"/>
          <w:color w:val="111111"/>
          <w:sz w:val="28"/>
          <w:sz w:val="28"/>
          <w:szCs w:val="28"/>
          <w:rtl w:val="true"/>
          <w:lang w:bidi="fa-IR"/>
        </w:rPr>
        <w:t>تبقی ذمّة المولی مشغولة إن کان علی نحو الشرط فی ضمن العقود، ویبطل</w:t>
      </w:r>
      <w:r>
        <w:rPr>
          <w:rStyle w:val="FootnoteAnchor"/>
          <w:rtl w:val="true"/>
        </w:rPr>
        <w:footnoteReference w:id="196"/>
      </w:r>
      <w:r>
        <w:rPr>
          <w:rFonts w:ascii="IRNazanin" w:hAnsi="IRNazanin" w:eastAsia="IRNazanin"/>
          <w:color w:val="111111"/>
          <w:sz w:val="28"/>
          <w:sz w:val="28"/>
          <w:szCs w:val="28"/>
          <w:rtl w:val="true"/>
          <w:lang w:bidi="fa-IR"/>
        </w:rPr>
        <w:t> إن کان علی</w:t>
      </w:r>
      <w:r>
        <w:rPr>
          <w:rStyle w:val="FootnoteAnchor"/>
          <w:rtl w:val="true"/>
        </w:rPr>
        <w:footnoteReference w:id="197"/>
      </w:r>
      <w:r>
        <w:rPr>
          <w:rFonts w:ascii="IRNazanin" w:hAnsi="IRNazanin" w:eastAsia="IRNazanin"/>
          <w:color w:val="111111"/>
          <w:sz w:val="28"/>
          <w:sz w:val="28"/>
          <w:szCs w:val="28"/>
          <w:rtl w:val="true"/>
          <w:lang w:bidi="fa-IR"/>
        </w:rPr>
        <w:t> وجه التقیید</w:t>
      </w:r>
      <w:r>
        <w:rPr>
          <w:rStyle w:val="FootnoteAnchor"/>
          <w:rtl w:val="true"/>
        </w:rPr>
        <w:footnoteReference w:id="198"/>
      </w:r>
      <w:r>
        <w:rPr>
          <w:rFonts w:ascii="IRNazanin" w:hAnsi="IRNazanin" w:eastAsia="IRNazanin"/>
          <w:color w:val="111111"/>
          <w:sz w:val="28"/>
          <w:sz w:val="28"/>
          <w:szCs w:val="28"/>
          <w:rtl w:val="true"/>
          <w:lang w:bidi="fa-IR"/>
        </w:rPr>
        <w:t>، وإن انعتق یبقی</w:t>
      </w:r>
      <w:r>
        <w:rPr>
          <w:rStyle w:val="FootnoteAnchor"/>
          <w:rtl w:val="true"/>
        </w:rPr>
        <w:footnoteReference w:id="199"/>
      </w:r>
      <w:r>
        <w:rPr>
          <w:rFonts w:ascii="IRNazanin" w:hAnsi="IRNazanin" w:eastAsia="IRNazanin"/>
          <w:color w:val="111111"/>
          <w:sz w:val="28"/>
          <w:sz w:val="28"/>
          <w:szCs w:val="28"/>
          <w:rtl w:val="true"/>
          <w:lang w:bidi="fa-IR"/>
        </w:rPr>
        <w:t> وجوب الکسب</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کون الضامن هو المولی لا وجه لبقاء وجوب الکسب علیه؛ فإنّه فیحکم تلف المال الّذی اشترط الأداء منه؛ فإنّ کسب العبد بعد انعتاقه لا یکون منأموال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مع فرض القول بأنّ الضامن هو المولی بل الظاهر أنّه کتلف المالالّذی اشترط أن یودّی منه؛ فإنّ کسب العبد علی وجهٍ یکون من أموال المولی قدتعذّر بانعتاقه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لوجوب الکسب علیه، مع أنّ المفروض هو اشتغال ذمّة المولی، وکونههو الضامن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کسبه بعد انعتاقه یکون له، لا لمولاه، فلا وجوب علیه بعدالانعتاق فی کسبه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تبقی ذمّة المولی مشغولة، کما فی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الموضوعیّة لذمّة المولی أبداً، بل کونها طریقاً إلی الکسب فقط،وإلّا فلا وجه للوجوب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وجهه أنّ بمقتضی الشرط جعل کسبه قبل عتقه متعلّقاً لحقّ الغیر بمقدار أداءالدَین، فبعد العتق لا یسقط هذا الحق، کما لو آجره قبل عتقه ثمّ أعتقه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مع فرض کون الضامن هو المولی، بل تبقی ذمّة المولی مشغولة، کمافی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3286_153701"/>
    </w:p>
    <w:p>
      <w:pPr>
        <w:pStyle w:val="BookText"/>
        <w:rPr/>
      </w:pPr>
      <w:bookmarkEnd w:id="117"/>
      <w:r>
        <w:rPr>
          <w:rFonts w:ascii="IRNazanin" w:hAnsi="IRNazanin" w:eastAsia="IRNazanin"/>
          <w:color w:val="111111"/>
          <w:sz w:val="28"/>
          <w:sz w:val="28"/>
          <w:szCs w:val="28"/>
          <w:rtl w:val="true"/>
          <w:lang w:bidi="fa-IR"/>
        </w:rPr>
        <w:t>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الضامن هو المملوک، وإنّ مرجعه إلی رفع الحَجر عنه بالنسبة إلی الضمان فإذا مات لا یجب علی المولی شیء، وتبقی ذمّة المملوک مشغولة یمکن تفریغه بالزکاة ونحوها، وإن انعتق یبقی الوجوب</w:t>
      </w:r>
      <w:r>
        <w:rPr>
          <w:rStyle w:val="FootnoteAnchor"/>
          <w:rtl w:val="true"/>
        </w:rPr>
        <w:footnoteReference w:id="201"/>
      </w:r>
      <w:r>
        <w:rPr>
          <w:rFonts w:ascii="IRNazanin" w:hAnsi="IRNazanin" w:eastAsia="IRNazanin"/>
          <w:color w:val="111111"/>
          <w:sz w:val="28"/>
          <w:sz w:val="28"/>
          <w:szCs w:val="28"/>
          <w:rtl w:val="true"/>
          <w:lang w:bidi="fa-IR"/>
        </w:rPr>
        <w:t> علیه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138496_2322387425"/>
      <w:bookmarkStart w:id="119" w:name="_Toc41"/>
      <w:bookmarkEnd w:id="118"/>
      <w:r>
        <w:rPr>
          <w:rtl w:val="true"/>
        </w:rPr>
        <w:t>ضمان إثنین عن واحد</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اثنان أو أزید عن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علی التعاقب، أو دفعةً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الأوّل الضامن مَن رضی المضمون له</w:t>
      </w:r>
      <w:r>
        <w:rPr>
          <w:rStyle w:val="FootnoteAnchor"/>
          <w:rtl w:val="true"/>
        </w:rPr>
        <w:footnoteReference w:id="203"/>
      </w:r>
      <w:r>
        <w:rPr>
          <w:rFonts w:ascii="IRNazanin" w:hAnsi="IRNazanin" w:eastAsia="IRNazanin"/>
          <w:color w:val="111111"/>
          <w:sz w:val="28"/>
          <w:sz w:val="28"/>
          <w:szCs w:val="28"/>
          <w:rtl w:val="true"/>
          <w:lang w:bidi="fa-IR"/>
        </w:rPr>
        <w:t> بضمانه، ولو أطلق</w:t>
      </w:r>
    </w:p>
    <w:p>
      <w:pPr>
        <w:pStyle w:val="BookText"/>
        <w:rPr/>
      </w:pPr>
      <w:r>
        <w:rPr>
          <w:rFonts w:ascii="IRNazanin" w:hAnsi="IRNazanin" w:eastAsia="IRNazanin"/>
          <w:color w:val="111111"/>
          <w:sz w:val="28"/>
          <w:sz w:val="28"/>
          <w:szCs w:val="28"/>
          <w:rtl w:val="true"/>
          <w:lang w:bidi="fa-IR"/>
        </w:rPr>
        <w:t>الرضا</w:t>
      </w:r>
      <w:r>
        <w:rPr>
          <w:rStyle w:val="FootnoteAnchor"/>
          <w:rtl w:val="true"/>
        </w:rPr>
        <w:footnoteReference w:id="204"/>
      </w:r>
      <w:r>
        <w:rPr>
          <w:rFonts w:ascii="IRNazanin" w:hAnsi="IRNazanin" w:eastAsia="IRNazanin"/>
          <w:color w:val="111111"/>
          <w:sz w:val="28"/>
          <w:sz w:val="28"/>
          <w:szCs w:val="28"/>
          <w:rtl w:val="true"/>
          <w:lang w:bidi="fa-IR"/>
        </w:rPr>
        <w:t> بهما کان الضامن هو السابق</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للانتقال إلیه أوّلاً، فلا مورد للانتقال الثانی، ولا للرضا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ویحتمل قویّاً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المتعیّن؛ لما مرّ من أنّ الأقوی اعتبار القبول، وهو الملاک فی التعاقبوالدفعة، لا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کما إذا ضمنا  </w:t>
      </w:r>
    </w:p>
    <w:p>
      <w:pPr>
        <w:pStyle w:val="BookText"/>
        <w:rPr/>
      </w:pPr>
      <w:r>
        <w:rPr>
          <w:rFonts w:ascii="Amiri" w:hAnsi="Amiri" w:eastAsia="Amiri" w:cs="Amiri"/>
          <w:color w:val="111111"/>
          <w:sz w:val="28"/>
          <w:sz w:val="28"/>
          <w:szCs w:val="28"/>
          <w:rtl w:val="true"/>
          <w:lang w:bidi="ar-SA"/>
        </w:rPr>
        <w:t>دفعةً</w:t>
      </w:r>
      <w:r>
        <w:rPr>
          <w:rStyle w:val="FootnoteAnchor"/>
          <w:rtl w:val="true"/>
        </w:rPr>
        <w:footnoteReference w:id="206"/>
      </w:r>
      <w:r>
        <w:rPr>
          <w:rFonts w:ascii="IRNazanin" w:hAnsi="IRNazanin" w:eastAsia="IRNazanin"/>
          <w:color w:val="111111"/>
          <w:sz w:val="28"/>
          <w:sz w:val="28"/>
          <w:szCs w:val="28"/>
          <w:rtl w:val="true"/>
          <w:lang w:bidi="fa-IR"/>
        </w:rPr>
        <w:t>، خصوصاً بناءً علی اعتبار</w:t>
      </w:r>
      <w:r>
        <w:rPr>
          <w:rStyle w:val="FootnoteAnchor"/>
          <w:rtl w:val="true"/>
        </w:rPr>
        <w:footnoteReference w:id="207"/>
      </w:r>
      <w:r>
        <w:rPr>
          <w:rFonts w:ascii="IRNazanin" w:hAnsi="IRNazanin" w:eastAsia="IRNazanin"/>
          <w:color w:val="111111"/>
          <w:sz w:val="28"/>
          <w:sz w:val="28"/>
          <w:szCs w:val="28"/>
          <w:rtl w:val="true"/>
          <w:lang w:bidi="fa-IR"/>
        </w:rPr>
        <w:t> القبول</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هذا لو تعقّب کلّ إیجابٍ بقبولٍ منفرد، وفی صورة تعقّب الجمیع بقبولٍ واحدٍ إشکال، والأوجه التقسیط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المضمون له، فإنّ الأثر</w:t>
      </w:r>
    </w:p>
    <w:p>
      <w:pPr>
        <w:pStyle w:val="BookText"/>
        <w:rPr/>
      </w:pPr>
      <w:r>
        <w:rPr>
          <w:rFonts w:ascii="IRNazanin" w:hAnsi="IRNazanin" w:eastAsia="IRNazanin"/>
          <w:color w:val="111111"/>
          <w:sz w:val="28"/>
          <w:sz w:val="28"/>
          <w:szCs w:val="28"/>
          <w:rtl w:val="true"/>
          <w:lang w:bidi="fa-IR"/>
        </w:rPr>
        <w:t>حاصل بالقبول نقلاً، لا کشفاً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إن رضی بأحدهما دون الآخر فهو الضامن، وإن رضی</w:t>
      </w:r>
    </w:p>
    <w:p>
      <w:pPr>
        <w:pStyle w:val="BookText"/>
        <w:rPr/>
      </w:pPr>
      <w:r>
        <w:rPr>
          <w:rFonts w:ascii="IRNazanin" w:hAnsi="IRNazanin" w:eastAsia="IRNazanin"/>
          <w:color w:val="111111"/>
          <w:sz w:val="28"/>
          <w:sz w:val="28"/>
          <w:szCs w:val="28"/>
          <w:rtl w:val="true"/>
          <w:lang w:bidi="fa-IR"/>
        </w:rPr>
        <w:t>بهما معاً ففی بطلانه</w:t>
      </w:r>
      <w:r>
        <w:rPr>
          <w:rStyle w:val="FootnoteAnchor"/>
          <w:rtl w:val="true"/>
        </w:rPr>
        <w:footnoteReference w:id="209"/>
      </w:r>
      <w:r>
        <w:rPr>
          <w:rFonts w:ascii="IRNazanin" w:hAnsi="IRNazanin" w:eastAsia="IRNazanin"/>
          <w:color w:val="111111"/>
          <w:sz w:val="28"/>
          <w:sz w:val="28"/>
          <w:szCs w:val="28"/>
          <w:rtl w:val="true"/>
          <w:lang w:bidi="fa-IR"/>
        </w:rPr>
        <w:t> ـ کما عن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واختاره</w:t>
      </w:r>
      <w:r>
        <w:rPr>
          <w:rStyle w:val="FootnoteAnchor"/>
          <w:rtl w:val="true"/>
        </w:rPr>
        <w:footnoteReference w:id="210"/>
      </w:r>
      <w:r>
        <w:rPr>
          <w:rFonts w:ascii="IRNazanin" w:hAnsi="IRNazanin" w:eastAsia="IRNazanin"/>
          <w:color w:val="111111"/>
          <w:sz w:val="28"/>
          <w:sz w:val="28"/>
          <w:szCs w:val="28"/>
          <w:rtl w:val="true"/>
          <w:lang w:bidi="fa-IR"/>
        </w:rPr>
        <w:t>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التقسیط بینهما بالنصف، أو بینهم</w:t>
      </w:r>
    </w:p>
    <w:p>
      <w:pPr>
        <w:pStyle w:val="BookText"/>
        <w:rPr/>
      </w:pPr>
      <w:r>
        <w:rPr>
          <w:rFonts w:ascii="IRNazanin" w:hAnsi="IRNazanin" w:eastAsia="IRNazanin"/>
          <w:color w:val="111111"/>
          <w:sz w:val="28"/>
          <w:sz w:val="28"/>
          <w:szCs w:val="28"/>
          <w:rtl w:val="true"/>
          <w:lang w:bidi="fa-IR"/>
        </w:rPr>
        <w:t>بالثلث إن کانوا ثلاثة، وهکذا، أو ضمان کلٍّ منهما فللمضمون له مطالبة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شاء، کما فی تعاقب الأیدی وجوه</w:t>
      </w:r>
      <w:r>
        <w:rPr>
          <w:rStyle w:val="FootnoteAnchor"/>
          <w:rtl w:val="true"/>
        </w:rPr>
        <w:footnoteReference w:id="211"/>
      </w:r>
      <w:r>
        <w:rPr>
          <w:rFonts w:ascii="IRNazanin" w:hAnsi="IRNazanin" w:eastAsia="IRNazanin"/>
          <w:color w:val="111111"/>
          <w:sz w:val="28"/>
          <w:sz w:val="28"/>
          <w:szCs w:val="28"/>
          <w:rtl w:val="true"/>
          <w:lang w:bidi="fa-IR"/>
        </w:rPr>
        <w:t xml:space="preserve">، أقواها </w:t>
      </w:r>
    </w:p>
    <w:p>
      <w:pPr>
        <w:pStyle w:val="BookText"/>
        <w:rPr/>
      </w:pPr>
      <w:r>
        <w:rPr>
          <w:rFonts w:ascii="IRNazanin" w:hAnsi="IRNazanin" w:eastAsia="IRNazanin"/>
          <w:color w:val="111111"/>
          <w:sz w:val="28"/>
          <w:sz w:val="28"/>
          <w:szCs w:val="28"/>
          <w:rtl w:val="true"/>
          <w:lang w:bidi="fa-IR"/>
        </w:rPr>
        <w:t>الأخیر</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أضعفها، کما یظهر من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یراه العامّة؛ إذ علیه یمکن تعهّدات کثیرة لما فی ذمّة واحدةٍ مع بقائه علیما کان علیه، بل علیه یصحّ الجمیع مع التعاقب أیضاً، وأمّا علی مذهب أصحابنافالأقوی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ثانی الوجوه، أی التقسیط؛ لأنّ ما فی ذمّة المضمون عنه إذا انتقلإلی ذمّة الضامن فلیس هناک شیء آخر حتّی ینتقل إلی ذمّة الضامن الآخر، وقیاسهبتعاقب الأیدی لیس فی محلّه؛ لأنّ الضمانات هناک طُولی، وبطلانه أیضاً لا وجهله، فلا یبقی إلّا التقسیط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أضعفهما؛ لعدم إمکان ضمان الاثنین تمام المال علی وجه النقل الّذی هومعنی الضمان علی المذهب الحقّ، ولا یبعد کون الأوّل أقرب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بنحو العرضیّة فی الذمم حتّی لا یلائم مبنی الأصحاب فی باب الضمان،بل بنحو البدلیّة والطُولیّة، وفیه إشکال، فالمختار أوّل الوجوه إذا لم یکن الباب منضمان المجموع، وإلّا فأوجه الوجوه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من ضَمِّ ذمّةٍ إلی ذمّةٍ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لأقوائیّته علی ما هو الحقّ فی معنی الضمان، نعم، لها وجه علی ما یراهغیرنا فی معناه، فالأظهر علی مسلکنا هو الوجه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bookmarkStart w:id="120" w:name="pg13286_153705"/>
    </w:p>
    <w:p>
      <w:pPr>
        <w:pStyle w:val="BookText"/>
        <w:rPr/>
      </w:pPr>
      <w:bookmarkEnd w:id="120"/>
      <w:r>
        <w:rPr>
          <w:rFonts w:ascii="IRNazanin" w:hAnsi="IRNazanin" w:eastAsia="IRNazanin"/>
          <w:color w:val="111111"/>
          <w:sz w:val="28"/>
          <w:sz w:val="28"/>
          <w:szCs w:val="28"/>
          <w:rtl w:val="true"/>
          <w:lang w:bidi="fa-IR"/>
        </w:rPr>
        <w:t>إذا أبرأ</w:t>
      </w:r>
      <w:r>
        <w:rPr>
          <w:rStyle w:val="FootnoteAnchor"/>
          <w:rtl w:val="true"/>
        </w:rPr>
        <w:footnoteReference w:id="213"/>
      </w:r>
      <w:r>
        <w:rPr>
          <w:rFonts w:ascii="IRNazanin" w:hAnsi="IRNazanin" w:eastAsia="IRNazanin"/>
          <w:color w:val="111111"/>
          <w:sz w:val="28"/>
          <w:sz w:val="28"/>
          <w:szCs w:val="28"/>
          <w:rtl w:val="true"/>
          <w:lang w:bidi="fa-IR"/>
        </w:rPr>
        <w:t> المضمون له واحداً منهما برئ دون الآخر</w:t>
      </w:r>
      <w:r>
        <w:rPr>
          <w:rStyle w:val="FootnoteAnchor"/>
          <w:rtl w:val="true"/>
        </w:rPr>
        <w:footnoteReference w:id="214"/>
      </w:r>
      <w:r>
        <w:rPr>
          <w:rFonts w:ascii="IRNazanin" w:hAnsi="IRNazanin" w:eastAsia="IRNazanin"/>
          <w:color w:val="111111"/>
          <w:sz w:val="28"/>
          <w:sz w:val="28"/>
          <w:szCs w:val="28"/>
          <w:rtl w:val="true"/>
          <w:lang w:bidi="fa-IR"/>
        </w:rPr>
        <w:t>، إلّا إذا علم</w:t>
      </w:r>
      <w:r>
        <w:rPr>
          <w:rStyle w:val="FootnoteAnchor"/>
          <w:rtl w:val="true"/>
        </w:rPr>
        <w:footnoteReference w:id="215"/>
      </w:r>
      <w:r>
        <w:rPr>
          <w:rFonts w:ascii="IRNazanin" w:hAnsi="IRNazanin" w:eastAsia="IRNazanin"/>
          <w:color w:val="111111"/>
          <w:sz w:val="28"/>
          <w:sz w:val="28"/>
          <w:szCs w:val="28"/>
          <w:rtl w:val="true"/>
          <w:lang w:bidi="fa-IR"/>
        </w:rPr>
        <w:t> إرادته</w:t>
      </w:r>
    </w:p>
    <w:p>
      <w:pPr>
        <w:pStyle w:val="BookText"/>
        <w:rPr/>
      </w:pPr>
      <w:r>
        <w:rPr>
          <w:rFonts w:ascii="Amiri" w:hAnsi="Amiri" w:eastAsia="Amiri" w:cs="Amiri"/>
          <w:color w:val="111111"/>
          <w:sz w:val="28"/>
          <w:sz w:val="28"/>
          <w:szCs w:val="28"/>
          <w:rtl w:val="true"/>
          <w:lang w:bidi="ar-SA"/>
        </w:rPr>
        <w:t>إبراء أصل الدَین لا خصوصَ ذمّةِ ذلک الواحد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138498_2322387425"/>
      <w:bookmarkStart w:id="122" w:name="_Toc42"/>
      <w:bookmarkEnd w:id="121"/>
      <w:r>
        <w:rPr>
          <w:rtl w:val="true"/>
        </w:rPr>
        <w:t>ضمان کلّ من المدینین ما علیه للاخر</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علی رجلَین مال، فضمن کلّ منهما ما علی الآخر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المضمون له بهما صحّ، وحینئذٍ فإن کان الدَینان متماثِلَین جنساً وقدراً تحوّل ما علی کلٍّ منهما إلی ذمّة الآخر، ویظهر الثمر فی الإعسار</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إبراء صاحب الدَین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والیسار، وفی کون أحدهما علیه رهن دون الآخر بناءً علی افتکاک الرهن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مختلِفَین قدراً أو جنساً، أو تعجیلاً وتأجیلاً، أو فی مقدار الأجل فالثمر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رضی المضمون له بأحدهما</w:t>
      </w:r>
      <w:r>
        <w:rPr>
          <w:rStyle w:val="FootnoteAnchor"/>
          <w:rtl w:val="true"/>
        </w:rPr>
        <w:footnoteReference w:id="217"/>
      </w:r>
      <w:r>
        <w:rPr>
          <w:rFonts w:ascii="IRNazanin" w:hAnsi="IRNazanin" w:eastAsia="IRNazanin"/>
          <w:color w:val="111111"/>
          <w:sz w:val="28"/>
          <w:sz w:val="28"/>
          <w:szCs w:val="28"/>
          <w:rtl w:val="true"/>
          <w:lang w:bidi="fa-IR"/>
        </w:rPr>
        <w:t> دون الآخر کان الجمیع علیه، وحینئذٍ</w:t>
      </w:r>
    </w:p>
    <w:p>
      <w:pPr>
        <w:pStyle w:val="BookText"/>
        <w:rPr/>
      </w:pPr>
      <w:r>
        <w:rPr>
          <w:rFonts w:ascii="IRNazanin" w:hAnsi="IRNazanin" w:eastAsia="IRNazanin"/>
          <w:color w:val="111111"/>
          <w:sz w:val="28"/>
          <w:sz w:val="28"/>
          <w:szCs w:val="28"/>
          <w:rtl w:val="true"/>
          <w:lang w:bidi="fa-IR"/>
        </w:rPr>
        <w:t>فإن أدّی الجمیع رجع علی الآخر بما أدّی؛ حیث إنّ المفروض کونه مأذوناً منه، وإن أدّی البعض فإن قصد کونه ممّا علیه أصلاً أو ممّا علیه ضماناً فهو المتّبع، ویقبل قوله إن ادّعی ذلک، وإن أطلق ولم یقصد أحدهما فالظاهر</w:t>
      </w:r>
      <w:r>
        <w:rPr>
          <w:rStyle w:val="FootnoteAnchor"/>
          <w:rtl w:val="true"/>
        </w:rPr>
        <w:footnoteReference w:id="21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التقسیط</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فی الذمّة لا یتَعنوَن بعنوان الأصلیّ والضمانیّ فلا موجب للتقسیط، وأمّاالقرعة فلا عموم لها یشمل المورد، فالأوجه تخییر المؤدّی فی التعیین؛ لأنّ ولایةالتعیین تکون لمن علیه الدَین، والتعیین اللاحق امتداد لتلک الولایة، فتأمّل جیّداً،نعم، الأحوط عدم ترتّب الآثار الخاصّة إلّا مع التراضی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احتمال القرعة أقرب، وأقرب منه عدم جواز الرجوعإلی المضمون عنه إلّا مع العلم بالأداء لما علیه ضماناً، وکذا نظائر المسألة،فلا یُفکّ الرهان إلّا مع العلم بافتکاکه بأداء الدَین الّذی له رهن، وکذا الحالفی الإبراء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إمکان صرفه إلی أحدهما بدون مرجّح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 یقع وفاءً لِما فی ذمّته أصلاً، فلا یجوز له الرجوع علی المضمونعنه ما لم یقصد وفاء ما وجب علیه من قبله، والوجه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علیه منآثار أداء ما ثبت فی ذمّته من قبله، فما لم یقصد بخصوصه لا یترتّب أثره، وبذلکیظهر حال نظائر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 ممّا علیه أصلاً، أمّا فی نظائر المسألة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وقوعه وفاءً لِما فی ذمّته أصلاً؛ لأنّ ترتّب الآثار الاُخر منجواز الرجوع وافتکاک الرهن وسقوط الخیار إنّما یتوقّف علی تعلّق القصدبموضوعاتها، وأمّا براءة الذمّة من الدَین الأصلیّ فترتّبها علی أداء الدَین قهریّ منشؤه الانصراف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w:t>
      </w:r>
    </w:p>
    <w:p>
      <w:pPr>
        <w:pStyle w:val="BookText"/>
        <w:rPr/>
      </w:pPr>
      <w:r>
        <w:rPr>
          <w:rFonts w:ascii="IRNazanin" w:hAnsi="IRNazanin" w:eastAsia="IRNazanin"/>
          <w:color w:val="111111"/>
          <w:sz w:val="28"/>
          <w:sz w:val="28"/>
          <w:szCs w:val="28"/>
          <w:rtl w:val="true"/>
          <w:lang w:bidi="fa-IR"/>
        </w:rPr>
        <w:t>ویحتمل القرعة</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مخیّراً فی التعیین بعد ذلک، والأظهر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نظائر المسألة</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بین ما نحن فیه وبین الموارد الّتی ذکرها، والمقام شبیه من علیه فریضةلنفسه ومثلها من باب الإجارة وجاء بها من غیر أن یقصد إنّها عن نفسه أو عن غیرهفإنّ الأظهر أنّها تقع لنفسه وما نحن فیه من هذا القبیل فعند الاطلاق بحسب ممّاعلیه ویبقی ما علیه من باب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الدَینین المحضین ممّا کان فی البین شیء زائد عنهما إشکالوحینئذٍ ینصرف قریباً إلی ما هو لا أثر له إلّا أداء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کان علیه دَین علیه رهن، ودَین آخر لا رهن علیه فأدّی مقدار أحدهما، أو کان أحدهما من باب القرض والآخر ثمن مبیع، وهکذا فإنّ الظاهر فی الجمیع التقسیط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تعارف علی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222"/>
      </w:r>
      <w:r>
        <w:rPr>
          <w:rFonts w:ascii="IRNazanin" w:hAnsi="IRNazanin" w:eastAsia="IRNazanin"/>
          <w:color w:val="111111"/>
          <w:sz w:val="28"/>
          <w:sz w:val="28"/>
          <w:szCs w:val="28"/>
          <w:rtl w:val="true"/>
          <w:lang w:bidi="fa-IR"/>
        </w:rPr>
        <w:t xml:space="preserve"> الحال إذا أبرأ المضمون له مقدار أحد الدَینَین مع عدم قصد کونه    </w:t>
      </w:r>
      <w:bookmarkStart w:id="123" w:name="pg13286_153708"/>
    </w:p>
    <w:p>
      <w:pPr>
        <w:pStyle w:val="BookText"/>
        <w:rPr/>
      </w:pPr>
      <w:bookmarkEnd w:id="123"/>
      <w:r>
        <w:rPr>
          <w:rFonts w:ascii="IRNazanin" w:hAnsi="IRNazanin" w:eastAsia="IRNazanin"/>
          <w:color w:val="111111"/>
          <w:sz w:val="28"/>
          <w:sz w:val="28"/>
          <w:szCs w:val="28"/>
          <w:rtl w:val="true"/>
          <w:lang w:bidi="fa-IR"/>
        </w:rPr>
        <w:t>من مال الضمان أو من الدَین الأصلی، ویقبل قوله إذا ادّعی التعیین فی القصد؛ لأنّه لا یعلم إلّا مِن قِبَلِه</w:t>
      </w:r>
      <w:r>
        <w:rPr>
          <w:rFonts w:eastAsia="IRNazanin" w:cs="IRNazanin"/>
          <w:color w:val="111111"/>
          <w:sz w:val="28"/>
          <w:szCs w:val="28"/>
          <w:rtl w:val="true"/>
          <w:lang w:bidi="fa-IR"/>
        </w:rPr>
        <w:t>.</w:t>
      </w:r>
    </w:p>
    <w:p>
      <w:pPr>
        <w:pStyle w:val="Heading3"/>
        <w:numPr>
          <w:ilvl w:val="2"/>
          <w:numId w:val="1"/>
        </w:numPr>
        <w:rPr/>
      </w:pPr>
      <w:bookmarkStart w:id="124" w:name="__RefHeading___Toc2138500_2322387425"/>
      <w:bookmarkStart w:id="125" w:name="_Toc43"/>
      <w:bookmarkEnd w:id="124"/>
      <w:r>
        <w:rPr>
          <w:rtl w:val="true"/>
        </w:rPr>
        <w:t>عدم اعتبار علم الضامن بثبوت الدَین</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علم</w:t>
      </w:r>
      <w:r>
        <w:rPr>
          <w:rStyle w:val="FootnoteAnchor"/>
          <w:rtl w:val="true"/>
        </w:rPr>
        <w:footnoteReference w:id="223"/>
      </w:r>
      <w:r>
        <w:rPr>
          <w:rFonts w:ascii="IRNazanin" w:hAnsi="IRNazanin" w:eastAsia="IRNazanin"/>
          <w:color w:val="111111"/>
          <w:sz w:val="28"/>
          <w:sz w:val="28"/>
          <w:szCs w:val="28"/>
          <w:rtl w:val="true"/>
          <w:lang w:bidi="fa-IR"/>
        </w:rPr>
        <w:t> الضامن</w:t>
      </w:r>
      <w:r>
        <w:rPr>
          <w:rStyle w:val="FootnoteAnchor"/>
          <w:rtl w:val="true"/>
        </w:rPr>
        <w:footnoteReference w:id="224"/>
      </w:r>
      <w:r>
        <w:rPr>
          <w:rFonts w:ascii="IRNazanin" w:hAnsi="IRNazanin" w:eastAsia="IRNazanin"/>
          <w:color w:val="111111"/>
          <w:sz w:val="28"/>
          <w:sz w:val="28"/>
          <w:szCs w:val="28"/>
          <w:rtl w:val="true"/>
          <w:lang w:bidi="fa-IR"/>
        </w:rPr>
        <w:t> حین الضمان بثبوت الدَین  </w:t>
      </w:r>
    </w:p>
    <w:p>
      <w:pPr>
        <w:pStyle w:val="BookText"/>
        <w:rPr/>
      </w:pPr>
      <w:r>
        <w:rPr>
          <w:rFonts w:ascii="IRNazanin" w:hAnsi="IRNazanin" w:eastAsia="IRNazanin"/>
          <w:color w:val="111111"/>
          <w:sz w:val="28"/>
          <w:sz w:val="28"/>
          <w:szCs w:val="28"/>
          <w:rtl w:val="true"/>
          <w:lang w:bidi="fa-IR"/>
        </w:rPr>
        <w:t>علی المضمون عنه، کما لا یشترط العلم بمقداره، فلو ادّعی رجل علی آخر دَیناً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وحینئذٍ فإن ثبت</w:t>
      </w:r>
      <w:r>
        <w:rPr>
          <w:rStyle w:val="FootnoteAnchor"/>
          <w:rtl w:val="true"/>
        </w:rPr>
        <w:footnoteReference w:id="225"/>
      </w:r>
      <w:r>
        <w:rPr>
          <w:rFonts w:ascii="Amiri" w:hAnsi="Amiri" w:eastAsia="Amiri" w:cs="Amiri"/>
          <w:color w:val="111111"/>
          <w:sz w:val="28"/>
          <w:sz w:val="28"/>
          <w:szCs w:val="28"/>
          <w:rtl w:val="true"/>
          <w:lang w:bidi="ar-SA"/>
        </w:rPr>
        <w:t> بالبیّنة</w:t>
      </w:r>
      <w:r>
        <w:rPr>
          <w:rStyle w:val="FootnoteAnchor"/>
          <w:rtl w:val="true"/>
        </w:rPr>
        <w:footnoteReference w:id="226"/>
      </w:r>
      <w:r>
        <w:rPr>
          <w:rFonts w:ascii="IRNazanin" w:hAnsi="IRNazanin" w:eastAsia="IRNazanin"/>
          <w:color w:val="111111"/>
          <w:sz w:val="28"/>
          <w:sz w:val="28"/>
          <w:szCs w:val="28"/>
          <w:rtl w:val="true"/>
          <w:lang w:bidi="fa-IR"/>
        </w:rPr>
        <w:t> یجب علیه أداوه، سواء کانت سابقةً أم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ثبت بالإقرار السابق علی الضمان أو بالیمین المردودة</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أقرّ المضمون عنه بعد الضمان أو ثبت بالیمین المردودة فلا یکون حجّةً علی الضامن إذا أنکره، ویلزم عنه</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یلزم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بأدائه فی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تحریف ظاهراً، ولعلّ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بأدائه عنه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إشکال حتّی فی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3286_153709"/>
    </w:p>
    <w:p>
      <w:pPr>
        <w:pStyle w:val="BookText"/>
        <w:rPr/>
      </w:pPr>
      <w:bookmarkEnd w:id="126"/>
      <w:r>
        <w:rPr>
          <w:rFonts w:ascii="IRNazanin" w:hAnsi="IRNazanin" w:eastAsia="IRNazanin"/>
          <w:color w:val="111111"/>
          <w:sz w:val="28"/>
          <w:sz w:val="28"/>
          <w:szCs w:val="28"/>
          <w:rtl w:val="true"/>
          <w:lang w:bidi="fa-IR"/>
        </w:rPr>
        <w:t>ولو اختلف الضامن والمضمون له فی ثبوت الدَین أو مقداره فأقرّ الضامن، أو ردّ الیمین علی المضمون له فحلف لیس له الرجوع علی المضمون عنه إذا کان مُنکِراً وإن کان أصل</w:t>
      </w:r>
      <w:r>
        <w:rPr>
          <w:rStyle w:val="FootnoteAnchor"/>
          <w:rtl w:val="true"/>
        </w:rPr>
        <w:footnoteReference w:id="229"/>
      </w:r>
      <w:r>
        <w:rPr>
          <w:rFonts w:ascii="IRNazanin" w:hAnsi="IRNazanin" w:eastAsia="IRNazanin"/>
          <w:color w:val="111111"/>
          <w:sz w:val="28"/>
          <w:sz w:val="28"/>
          <w:szCs w:val="28"/>
          <w:rtl w:val="true"/>
          <w:lang w:bidi="fa-IR"/>
        </w:rPr>
        <w:t> الضمان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فی البیّنة المثبتة للدَین أن تشهد بثبوته حین الضمان، فلو شهدت بالدَین اللاحق أو أطلقت ولم یعلم سبقه علی الضمان أو لحوقه لم یجب علی الضامن أداوه</w:t>
      </w:r>
      <w:r>
        <w:rPr>
          <w:rFonts w:eastAsia="IRNazanin" w:cs="IRNazanin"/>
          <w:color w:val="111111"/>
          <w:sz w:val="28"/>
          <w:szCs w:val="28"/>
          <w:rtl w:val="true"/>
          <w:lang w:bidi="fa-IR"/>
        </w:rPr>
        <w:t>.</w:t>
      </w:r>
    </w:p>
    <w:p>
      <w:pPr>
        <w:pStyle w:val="Heading3"/>
        <w:numPr>
          <w:ilvl w:val="2"/>
          <w:numId w:val="1"/>
        </w:numPr>
        <w:rPr/>
      </w:pPr>
      <w:bookmarkStart w:id="127" w:name="__RefHeading___Toc2138502_2322387425"/>
      <w:bookmarkStart w:id="128" w:name="_Toc44"/>
      <w:bookmarkEnd w:id="127"/>
      <w:r>
        <w:rPr>
          <w:rtl w:val="true"/>
        </w:rPr>
        <w:t>ضمان ما تشهد به البیّنة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الضامن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ما تشهد به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علیه</w:t>
      </w:r>
      <w:r>
        <w:rPr>
          <w:rStyle w:val="FootnoteAnchor"/>
          <w:rtl w:val="true"/>
        </w:rPr>
        <w:footnoteReference w:id="230"/>
      </w:r>
      <w:r>
        <w:rPr>
          <w:rFonts w:ascii="IRNazanin" w:hAnsi="IRNazanin" w:eastAsia="IRNazanin"/>
          <w:color w:val="111111"/>
          <w:sz w:val="28"/>
          <w:sz w:val="28"/>
          <w:szCs w:val="28"/>
          <w:rtl w:val="true"/>
          <w:lang w:bidi="fa-IR"/>
        </w:rPr>
        <w:t> أداء  </w:t>
      </w:r>
    </w:p>
    <w:p>
      <w:pPr>
        <w:pStyle w:val="BookText"/>
        <w:rPr/>
      </w:pPr>
      <w:r>
        <w:rPr>
          <w:rFonts w:ascii="IRNazanin" w:hAnsi="IRNazanin" w:eastAsia="IRNazanin"/>
          <w:color w:val="111111"/>
          <w:sz w:val="28"/>
          <w:sz w:val="28"/>
          <w:szCs w:val="28"/>
          <w:rtl w:val="true"/>
          <w:lang w:bidi="fa-IR"/>
        </w:rPr>
        <w:t>ما شهدت بثبوته حین التکلّم بهذا الکلام؛ لأنّها طریق إلی الواقع</w:t>
      </w:r>
      <w:r>
        <w:rPr>
          <w:rStyle w:val="FootnoteAnchor"/>
          <w:rtl w:val="true"/>
        </w:rPr>
        <w:footnoteReference w:id="231"/>
      </w:r>
      <w:r>
        <w:rPr>
          <w:rFonts w:ascii="IRNazanin" w:hAnsi="IRNazanin" w:eastAsia="IRNazanin"/>
          <w:color w:val="111111"/>
          <w:sz w:val="28"/>
          <w:sz w:val="28"/>
          <w:szCs w:val="28"/>
          <w:rtl w:val="true"/>
          <w:lang w:bidi="fa-IR"/>
        </w:rPr>
        <w:t>، وکاشف  عن کون الدَین ثابتاً حینه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بعدم الصحّة لا وجه </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وجه غیر بعید، سواء کان المراد نفیه بالنسبة إلی الواقع، أم لحمل عبارةالمحقّق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إلّا له إذا کان المراد ما یثبت بالبیّنة علی وجه التقیید؛ لأنّ الضمان لابدّوأن یتعلّق بالدَین، وما تشهد به البیّنة بهذا العنوان لا یکون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للتعلیل الّذی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یعلم ثبوته فی الذمّة، إلّا أن  </w:t>
      </w:r>
    </w:p>
    <w:p>
      <w:pPr>
        <w:pStyle w:val="BookText"/>
        <w:rPr/>
      </w:pPr>
      <w:r>
        <w:rPr>
          <w:rFonts w:ascii="IRNazanin" w:hAnsi="IRNazanin" w:eastAsia="IRNazanin"/>
          <w:color w:val="111111"/>
          <w:sz w:val="28"/>
          <w:sz w:val="28"/>
          <w:szCs w:val="28"/>
          <w:rtl w:val="true"/>
          <w:lang w:bidi="fa-IR"/>
        </w:rPr>
        <w:t>یکون مراده فی صورة إطلاق البیّنة المحتمل للثبوت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 بیان عدم صحّة ضمان ما یثبت بالبیّنة من حیث کونه کذلک؛ لأنّه من ضمان ما لم یجب، حیث لم یجعل العنوان ضمان ما فی ذمّته لتکون البیّنة طریقاً، بل جعل العنوان ما یثبت بها، والفرض وقوعه قبل ثبوته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w:t>
      </w:r>
      <w:r>
        <w:rPr>
          <w:rStyle w:val="FootnoteAnchor"/>
          <w:rtl w:val="true"/>
        </w:rPr>
        <w:footnoteReference w:id="233"/>
      </w:r>
      <w:r>
        <w:rPr>
          <w:rFonts w:ascii="IRNazanin" w:hAnsi="IRNazanin" w:eastAsia="IRNazanin"/>
          <w:color w:val="111111"/>
          <w:sz w:val="28"/>
          <w:sz w:val="28"/>
          <w:szCs w:val="28"/>
          <w:rtl w:val="true"/>
          <w:lang w:bidi="fa-IR"/>
        </w:rPr>
        <w:t> لا وجه له</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مراد الشیخ ومَن تابعه علیه قطعاً، وهو الوجه؛ فإنّ الضمان لابدّ من تعلّقهبالدَین بعنوانه أو بعنوانٍ ملازمٍ له لِیُشار به إلیه، وما تشهد به البیّنة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رفع النزاع، وأنّ اختلافهم من جهة دلالة عبارتَی الضمان والشهادة علیوقوع أیّهما مقدَّم والآخر مؤخّر، ولمّا کان اللازم وقوع الضمان بعد ثبوت الدَین فی الذمّة ومقتضی العبارتَین المذکورتَین فی المتن التقارن وهو لا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أصل النسخة، والعبارة فیها إبهام وغیر تامّة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3286_153711"/>
    </w:p>
    <w:p>
      <w:pPr>
        <w:pStyle w:val="Heading3"/>
        <w:numPr>
          <w:ilvl w:val="2"/>
          <w:numId w:val="1"/>
        </w:numPr>
        <w:rPr/>
      </w:pPr>
      <w:bookmarkStart w:id="130" w:name="__RefHeading___Toc2138504_2322387425"/>
      <w:bookmarkStart w:id="131" w:name="_Toc45"/>
      <w:bookmarkEnd w:id="129"/>
      <w:bookmarkEnd w:id="130"/>
      <w:r>
        <w:rPr>
          <w:rtl w:val="true"/>
        </w:rPr>
        <w:t>جواز الدور فی الضمان</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الدَور</w:t>
      </w:r>
      <w:r>
        <w:rPr>
          <w:rStyle w:val="FootnoteAnchor"/>
          <w:rtl w:val="true"/>
        </w:rPr>
        <w:footnoteReference w:id="235"/>
      </w:r>
      <w:r>
        <w:rPr>
          <w:rFonts w:ascii="IRNazanin" w:hAnsi="IRNazanin" w:eastAsia="IRNazanin"/>
          <w:color w:val="111111"/>
          <w:sz w:val="28"/>
          <w:sz w:val="28"/>
          <w:szCs w:val="28"/>
          <w:rtl w:val="true"/>
          <w:lang w:bidi="fa-IR"/>
        </w:rPr>
        <w:t> فی الضمان، بأن یضمن عن الضامن ضامنٌ</w:t>
      </w:r>
    </w:p>
    <w:p>
      <w:pPr>
        <w:pStyle w:val="BookText"/>
        <w:rPr/>
      </w:pPr>
      <w:r>
        <w:rPr>
          <w:rFonts w:ascii="IRNazanin" w:hAnsi="IRNazanin" w:eastAsia="IRNazanin"/>
          <w:color w:val="111111"/>
          <w:sz w:val="28"/>
          <w:sz w:val="28"/>
          <w:szCs w:val="28"/>
          <w:rtl w:val="true"/>
          <w:lang w:bidi="fa-IR"/>
        </w:rPr>
        <w:t>آخر ویضمن عنه المضمون عنه الأصیل، وما عن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صحّته؛ لاستلزامه صیرورة الفرع أصلاً، وبالعکس؛ ولعدم الفائدة لرجوع الدَین کما کان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غیر صالحٍ للمانعیّة، بل الثانی أیضاً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کذلک، مع أنّ الفائدة تظهر فی الإعسار</w:t>
      </w:r>
      <w:r>
        <w:rPr>
          <w:rStyle w:val="FootnoteAnchor"/>
          <w:rtl w:val="true"/>
        </w:rPr>
        <w:footnoteReference w:id="237"/>
      </w:r>
      <w:r>
        <w:rPr>
          <w:rFonts w:ascii="IRNazanin" w:hAnsi="IRNazanin" w:eastAsia="IRNazanin"/>
          <w:color w:val="111111"/>
          <w:sz w:val="28"/>
          <w:sz w:val="28"/>
          <w:szCs w:val="28"/>
          <w:rtl w:val="true"/>
          <w:lang w:bidi="fa-IR"/>
        </w:rPr>
        <w:t> والیسار</w:t>
      </w:r>
      <w:r>
        <w:rPr>
          <w:rStyle w:val="FootnoteAnchor"/>
          <w:rtl w:val="true"/>
        </w:rPr>
        <w:footnoteReference w:id="238"/>
      </w:r>
      <w:r>
        <w:rPr>
          <w:rFonts w:ascii="IRNazanin" w:hAnsi="IRNazanin" w:eastAsia="IRNazanin"/>
          <w:color w:val="111111"/>
          <w:sz w:val="28"/>
          <w:sz w:val="28"/>
          <w:szCs w:val="28"/>
          <w:rtl w:val="true"/>
          <w:lang w:bidi="fa-IR"/>
        </w:rPr>
        <w:t>، وفی الحلول والتأجیل،</w:t>
      </w:r>
    </w:p>
    <w:p>
      <w:pPr>
        <w:pStyle w:val="BookText"/>
        <w:rPr/>
      </w:pPr>
      <w:r>
        <w:rPr>
          <w:rFonts w:ascii="IRNazanin" w:hAnsi="IRNazanin" w:eastAsia="IRNazanin"/>
          <w:color w:val="111111"/>
          <w:sz w:val="28"/>
          <w:sz w:val="28"/>
          <w:szCs w:val="28"/>
          <w:rtl w:val="true"/>
          <w:lang w:bidi="fa-IR"/>
        </w:rPr>
        <w:t>والإذن وعدمه، وکذا یجوز التسلسل بلا إشکال</w:t>
      </w:r>
      <w:r>
        <w:rPr>
          <w:rFonts w:eastAsia="IRNazanin" w:cs="IRNazanin"/>
          <w:color w:val="111111"/>
          <w:sz w:val="28"/>
          <w:szCs w:val="28"/>
          <w:rtl w:val="true"/>
          <w:lang w:bidi="fa-IR"/>
        </w:rPr>
        <w:t>.</w:t>
      </w:r>
    </w:p>
    <w:p>
      <w:pPr>
        <w:pStyle w:val="Heading3"/>
        <w:numPr>
          <w:ilvl w:val="2"/>
          <w:numId w:val="1"/>
        </w:numPr>
        <w:rPr/>
      </w:pPr>
      <w:bookmarkStart w:id="132" w:name="__RefHeading___Toc2138506_2322387425"/>
      <w:bookmarkStart w:id="133" w:name="_Toc46"/>
      <w:bookmarkEnd w:id="132"/>
      <w:r>
        <w:rPr>
          <w:rtl w:val="true"/>
        </w:rPr>
        <w:t>ضمان دَین الفقیر بالوفاء من الخمس ونحوه</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المدیون فقیراً یجوز أن</w:t>
      </w:r>
      <w:r>
        <w:rPr>
          <w:rStyle w:val="FootnoteAnchor"/>
          <w:rtl w:val="true"/>
        </w:rPr>
        <w:footnoteReference w:id="239"/>
      </w:r>
      <w:r>
        <w:rPr>
          <w:rFonts w:ascii="IRNazanin" w:hAnsi="IRNazanin" w:eastAsia="IRNazanin"/>
          <w:color w:val="111111"/>
          <w:sz w:val="28"/>
          <w:sz w:val="28"/>
          <w:szCs w:val="28"/>
          <w:rtl w:val="true"/>
          <w:lang w:bidi="fa-IR"/>
        </w:rPr>
        <w:t> یضمن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الضامن ولیّاً عن کلّیّ الفقیر المالک للخمس والزکاة، وإلّا ففی صحّتهبمجرّد ولایته عن شخص الفقیر إشکال؛ لعدم کونه مالکاً قبل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الضمان فی غایة الإشکال، خصوصاً فیما عدا الخُمس والزکاة، بل لا یبعدعدم جوازه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یجوز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طرف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المظالم، أو نحوها من</w:t>
      </w:r>
    </w:p>
    <w:p>
      <w:pPr>
        <w:pStyle w:val="BookText"/>
        <w:rPr/>
      </w:pPr>
      <w:r>
        <w:rPr>
          <w:rFonts w:ascii="IRNazanin" w:hAnsi="IRNazanin" w:eastAsia="IRNazanin"/>
          <w:color w:val="111111"/>
          <w:sz w:val="28"/>
          <w:sz w:val="28"/>
          <w:szCs w:val="28"/>
          <w:rtl w:val="true"/>
          <w:lang w:bidi="fa-IR"/>
        </w:rPr>
        <w:t>الوجوه الّتی تنطبق علیه إذا کانت ذمّته مشغولةً</w:t>
      </w:r>
      <w:r>
        <w:rPr>
          <w:rStyle w:val="FootnoteAnchor"/>
          <w:rtl w:val="true"/>
        </w:rPr>
        <w:footnoteReference w:id="242"/>
      </w:r>
      <w:r>
        <w:rPr>
          <w:rFonts w:ascii="IRNazanin" w:hAnsi="IRNazanin" w:eastAsia="IRNazanin"/>
          <w:color w:val="111111"/>
          <w:sz w:val="28"/>
          <w:sz w:val="28"/>
          <w:szCs w:val="28"/>
          <w:rtl w:val="true"/>
          <w:lang w:bidi="fa-IR"/>
        </w:rPr>
        <w:t> بها فعلاً، بل وإن لم  </w:t>
      </w:r>
    </w:p>
    <w:p>
      <w:pPr>
        <w:pStyle w:val="BookText"/>
        <w:rPr/>
      </w:pPr>
      <w:r>
        <w:rPr>
          <w:rFonts w:ascii="IRNazanin" w:hAnsi="IRNazanin" w:eastAsia="IRNazanin"/>
          <w:color w:val="111111"/>
          <w:sz w:val="28"/>
          <w:sz w:val="28"/>
          <w:szCs w:val="28"/>
          <w:rtl w:val="true"/>
          <w:lang w:bidi="fa-IR"/>
        </w:rPr>
        <w:t>تشتغل</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وإن کانت ذمّته مشغولة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إشکالٍ فی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قبیل الضمان التبرّعیّ، سواء اشتغلت أو لم تشتغل، وتوجیهه یحتاج إلینظر، أمّا ضمان الزکاة لآحاد الفقراء فلا وجه له أصلاً؛ فإنّ الآحاد لا یملکون قبلالقبض، نعم، یصحّ الضمان لحاکم الشرع باعتبار ولایته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مثله فی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الضمان فی کِلتا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الجواز فیه، بل وفی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لأنّ أمثال ذلک من الاُمور الحسبیّة الّتی یصحّ للمؤمنینالقیام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ضعیف، خصوصاً إذا کان الضامن ولیّاً عن أرباب الخُمس والزکاة،کالفقیه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سابقه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بل وفی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3286_153713"/>
    </w:p>
    <w:p>
      <w:pPr>
        <w:pStyle w:val="Heading3"/>
        <w:numPr>
          <w:ilvl w:val="2"/>
          <w:numId w:val="1"/>
        </w:numPr>
        <w:rPr/>
      </w:pPr>
      <w:bookmarkStart w:id="135" w:name="__RefHeading___Toc2138508_2322387425"/>
      <w:bookmarkStart w:id="136" w:name="_Toc47"/>
      <w:bookmarkEnd w:id="134"/>
      <w:bookmarkEnd w:id="135"/>
      <w:r>
        <w:rPr>
          <w:rtl w:val="true"/>
        </w:rPr>
        <w:t>کون الدَین زکاةً أو خمساً</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الدَین الّذی علی المدیون زکاةً أو خُمُساً جاز أن یضمن عنه ضامن للحاکم</w:t>
      </w:r>
      <w:r>
        <w:rPr>
          <w:rStyle w:val="FootnoteAnchor"/>
          <w:rtl w:val="true"/>
        </w:rPr>
        <w:footnoteReference w:id="244"/>
      </w:r>
      <w:r>
        <w:rPr>
          <w:rFonts w:ascii="IRNazanin" w:hAnsi="IRNazanin" w:eastAsia="IRNazanin"/>
          <w:color w:val="111111"/>
          <w:sz w:val="28"/>
          <w:sz w:val="28"/>
          <w:szCs w:val="28"/>
          <w:rtl w:val="true"/>
          <w:lang w:bidi="fa-IR"/>
        </w:rPr>
        <w:t> الشرعیّ، بل ولآحاد الفقراء</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 بناءً علی صحّة التبرّع عن المدیون وإن کان الدَین منالحقوق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ذکرنا فی تصویره لا مدخل لاشتغال ذمّته بهما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له؛ لأنّ آحاد الفقراء قبل أن یصل إلی یدهم المال لا یملکون علیذمّة مَن علیه الخمس أو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 الضمان للحاکم، وعلی فرض الصحّة فالمضمون له کلّیّ الفقیر أوالسادة، والحاکم ولیّ لهم فی قبول الضمان، لا أنّه المضمون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خصوصاً إن کان المدیون من ذوی العفّة والصلاح، وکان معتاد الأخذ،أو ممّن یستحقّ تخصیصه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ضعیف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إشکالاً قویّاً فی غایة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3286_153714"/>
    </w:p>
    <w:p>
      <w:pPr>
        <w:pStyle w:val="Heading3"/>
        <w:numPr>
          <w:ilvl w:val="2"/>
          <w:numId w:val="1"/>
        </w:numPr>
        <w:rPr/>
      </w:pPr>
      <w:bookmarkStart w:id="138" w:name="__RefHeading___Toc2138510_2322387425"/>
      <w:bookmarkStart w:id="139" w:name="_Toc48"/>
      <w:bookmarkEnd w:id="137"/>
      <w:bookmarkEnd w:id="138"/>
      <w:r>
        <w:rPr>
          <w:rtl w:val="true"/>
        </w:rPr>
        <w:t>الضمان فی مرض الموت</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ضمن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بإذن المضمون عنه فلا إشکال فی خروجه من الأصل؛ لأنّه لیس من التبرّعات، بل هو نظیر القرض والبیع بثمن المثل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بإذنه فالأقوی خروجه من الأصل کسائر المنجّزات</w:t>
      </w:r>
      <w:r>
        <w:rPr>
          <w:rStyle w:val="FootnoteAnchor"/>
          <w:rtl w:val="true"/>
        </w:rPr>
        <w:footnoteReference w:id="246"/>
      </w:r>
      <w:r>
        <w:rPr>
          <w:rFonts w:ascii="IRNazanin" w:hAnsi="IRNazanin" w:eastAsia="IRNazanin"/>
          <w:color w:val="111111"/>
          <w:sz w:val="28"/>
          <w:sz w:val="28"/>
          <w:szCs w:val="28"/>
          <w:rtl w:val="true"/>
          <w:lang w:bidi="fa-IR"/>
        </w:rPr>
        <w:t>، نعم، علی القول بالثُلُث یخرج منه</w:t>
      </w:r>
      <w:r>
        <w:rPr>
          <w:rFonts w:eastAsia="IRNazanin" w:cs="IRNazanin"/>
          <w:color w:val="111111"/>
          <w:sz w:val="28"/>
          <w:szCs w:val="28"/>
          <w:rtl w:val="true"/>
          <w:lang w:bidi="fa-IR"/>
        </w:rPr>
        <w:t>.</w:t>
      </w:r>
    </w:p>
    <w:p>
      <w:pPr>
        <w:pStyle w:val="Heading3"/>
        <w:numPr>
          <w:ilvl w:val="2"/>
          <w:numId w:val="1"/>
        </w:numPr>
        <w:rPr/>
      </w:pPr>
      <w:bookmarkStart w:id="140" w:name="__RefHeading___Toc2138512_2322387425"/>
      <w:bookmarkStart w:id="141" w:name="_Toc49"/>
      <w:bookmarkEnd w:id="140"/>
      <w:r>
        <w:rPr>
          <w:rtl w:val="true"/>
        </w:rPr>
        <w:t>ضمان ما یعتبر مباشرة المدیون له وضمان الکلّی فی المعیّن</w:t>
      </w:r>
      <w:bookmarkEnd w:id="1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ما علی المدیون یعتبر فیه مباشرته لا یصحّ</w:t>
      </w:r>
      <w:r>
        <w:rPr>
          <w:rStyle w:val="FootnoteAnchor"/>
          <w:rtl w:val="true"/>
        </w:rPr>
        <w:footnoteReference w:id="247"/>
      </w:r>
      <w:bookmarkStart w:id="142" w:name="pg13286_153715"/>
    </w:p>
    <w:p>
      <w:pPr>
        <w:pStyle w:val="BookText"/>
        <w:rPr/>
      </w:pPr>
      <w:bookmarkEnd w:id="142"/>
      <w:r>
        <w:rPr>
          <w:rFonts w:ascii="IRNazanin" w:hAnsi="IRNazanin" w:eastAsia="IRNazanin"/>
          <w:color w:val="111111"/>
          <w:sz w:val="28"/>
          <w:sz w:val="28"/>
          <w:szCs w:val="28"/>
          <w:rtl w:val="true"/>
          <w:lang w:bidi="fa-IR"/>
        </w:rPr>
        <w:t>ضمانه</w:t>
      </w:r>
      <w:r>
        <w:rPr>
          <w:rStyle w:val="FootnoteAnchor"/>
          <w:rtl w:val="true"/>
        </w:rPr>
        <w:footnoteReference w:id="248"/>
      </w:r>
      <w:r>
        <w:rPr>
          <w:rFonts w:ascii="IRNazanin" w:hAnsi="IRNazanin" w:eastAsia="IRNazanin"/>
          <w:color w:val="111111"/>
          <w:sz w:val="28"/>
          <w:sz w:val="28"/>
          <w:szCs w:val="28"/>
          <w:rtl w:val="true"/>
          <w:lang w:bidi="fa-IR"/>
        </w:rPr>
        <w:t>، کما إذا کان علیه خیاطة ثوبٍ مباشرة، وکما إذا اشترط أداء</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الدَین من مالٍ معیّنٍ للمدیون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لا یجوز ضمان الکلّیّ فی المعیّن</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ضمانه علی نحو ما یأتی فی المسألة الثامنة والثلاثین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w:t>
      </w:r>
    </w:p>
    <w:p>
      <w:pPr>
        <w:pStyle w:val="BookText"/>
        <w:rPr/>
      </w:pPr>
      <w:r>
        <w:rPr>
          <w:rFonts w:ascii="IRNazanin" w:hAnsi="IRNazanin" w:eastAsia="IRNazanin"/>
          <w:color w:val="111111"/>
          <w:sz w:val="28"/>
          <w:sz w:val="28"/>
          <w:szCs w:val="28"/>
          <w:rtl w:val="true"/>
          <w:lang w:bidi="fa-IR"/>
        </w:rPr>
        <w:t>إذا باع صاعاً من صُبرة معیّنة، فإنّه لا یجوز الضمان عنه</w:t>
      </w:r>
      <w:r>
        <w:rPr>
          <w:rStyle w:val="FootnoteAnchor"/>
          <w:rtl w:val="true"/>
        </w:rPr>
        <w:footnoteReference w:id="251"/>
      </w:r>
      <w:r>
        <w:rPr>
          <w:rFonts w:ascii="IRNazanin" w:hAnsi="IRNazanin" w:eastAsia="IRNazanin"/>
          <w:color w:val="111111"/>
          <w:sz w:val="28"/>
          <w:sz w:val="28"/>
          <w:szCs w:val="28"/>
          <w:rtl w:val="true"/>
          <w:lang w:bidi="fa-IR"/>
        </w:rPr>
        <w:t> والأداء</w:t>
      </w:r>
      <w:r>
        <w:rPr>
          <w:rStyle w:val="FootnoteAnchor"/>
          <w:rtl w:val="true"/>
        </w:rPr>
        <w:footnoteReference w:id="252"/>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غیرها</w:t>
      </w:r>
      <w:r>
        <w:rPr>
          <w:rStyle w:val="FootnoteAnchor"/>
          <w:rtl w:val="true"/>
        </w:rPr>
        <w:footnoteReference w:id="253"/>
      </w:r>
      <w:r>
        <w:rPr>
          <w:rFonts w:ascii="IRNazanin" w:hAnsi="IRNazanin" w:eastAsia="IRNazanin"/>
          <w:color w:val="111111"/>
          <w:sz w:val="28"/>
          <w:sz w:val="28"/>
          <w:szCs w:val="28"/>
          <w:rtl w:val="true"/>
          <w:lang w:bidi="fa-IR"/>
        </w:rPr>
        <w:t> مع بقاء</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مع عدم بقائها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الصبرة موجودة</w:t>
      </w:r>
      <w:r>
        <w:rPr>
          <w:rFonts w:eastAsia="IRNazanin" w:cs="IRNazanin"/>
          <w:color w:val="111111"/>
          <w:sz w:val="28"/>
          <w:szCs w:val="28"/>
          <w:rtl w:val="true"/>
          <w:lang w:bidi="fa-IR"/>
        </w:rPr>
        <w:t>.</w:t>
      </w:r>
    </w:p>
    <w:p>
      <w:pPr>
        <w:pStyle w:val="Heading3"/>
        <w:numPr>
          <w:ilvl w:val="2"/>
          <w:numId w:val="1"/>
        </w:numPr>
        <w:rPr/>
      </w:pPr>
      <w:bookmarkStart w:id="143" w:name="__RefHeading___Toc2138514_2322387425"/>
      <w:bookmarkStart w:id="144" w:name="_Toc50"/>
      <w:bookmarkEnd w:id="143"/>
      <w:r>
        <w:rPr>
          <w:rtl w:val="true"/>
        </w:rPr>
        <w:t>حکم ضمان نفقة الزوجة والأقارب</w:t>
      </w:r>
      <w:bookmarkEnd w:id="14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ضمان النفقة الماضیة</w:t>
      </w:r>
      <w:r>
        <w:rPr>
          <w:rStyle w:val="FootnoteAnchor"/>
          <w:rtl w:val="true"/>
        </w:rPr>
        <w:footnoteReference w:id="255"/>
      </w:r>
      <w:r>
        <w:rPr>
          <w:rFonts w:ascii="IRNazanin" w:hAnsi="IRNazanin" w:eastAsia="IRNazanin"/>
          <w:color w:val="111111"/>
          <w:sz w:val="28"/>
          <w:sz w:val="28"/>
          <w:szCs w:val="28"/>
          <w:rtl w:val="true"/>
          <w:lang w:bidi="fa-IR"/>
        </w:rPr>
        <w:t xml:space="preserve"> للزوجة؛ لأنّها دَین علی الزوج، وکذا نفقة الیوم الحاضر لها إذا کانت ممکِّنة فی صبیحته؛ لوجوبها </w:t>
      </w:r>
    </w:p>
    <w:p>
      <w:pPr>
        <w:pStyle w:val="BookText"/>
        <w:rPr/>
      </w:pPr>
      <w:r>
        <w:rPr>
          <w:rFonts w:ascii="IRNazanin" w:hAnsi="IRNazanin" w:eastAsia="IRNazanin"/>
          <w:color w:val="111111"/>
          <w:sz w:val="28"/>
          <w:sz w:val="28"/>
          <w:szCs w:val="28"/>
          <w:rtl w:val="true"/>
          <w:lang w:bidi="fa-IR"/>
        </w:rPr>
        <w:t>علیه حینئذٍ وإن لم تکن مستقرّة؛ لاحتمال نشوزها فی أثناء النهار بناءً علی سقوطها</w:t>
      </w:r>
      <w:r>
        <w:rPr>
          <w:rStyle w:val="FootnoteAnchor"/>
          <w:rtl w:val="true"/>
        </w:rPr>
        <w:footnoteReference w:id="256"/>
      </w:r>
      <w:r>
        <w:rPr>
          <w:rFonts w:ascii="IRNazanin" w:hAnsi="IRNazanin" w:eastAsia="IRNazanin"/>
          <w:color w:val="111111"/>
          <w:sz w:val="28"/>
          <w:sz w:val="28"/>
          <w:szCs w:val="28"/>
          <w:rtl w:val="true"/>
          <w:lang w:bidi="fa-IR"/>
        </w:rPr>
        <w:t>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النفقة المستقبلة فلا یجوز</w:t>
      </w:r>
      <w:r>
        <w:rPr>
          <w:rStyle w:val="FootnoteAnchor"/>
          <w:rtl w:val="true"/>
        </w:rPr>
        <w:footnoteReference w:id="257"/>
      </w:r>
      <w:r>
        <w:rPr>
          <w:rFonts w:ascii="IRNazanin" w:hAnsi="IRNazanin" w:eastAsia="IRNazanin"/>
          <w:color w:val="111111"/>
          <w:sz w:val="28"/>
          <w:sz w:val="28"/>
          <w:szCs w:val="28"/>
          <w:rtl w:val="true"/>
          <w:lang w:bidi="fa-IR"/>
        </w:rPr>
        <w:t> ضمانها عندهم</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إن کان الضمان فعلیّاً؛ لأنّه من ضمان ما لم یجب، والأحوط إن کانمعلّقاً علی ثبوته فی ذمّة المضمون عنه،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 ضمان ما</w:t>
      </w:r>
    </w:p>
    <w:p>
      <w:pPr>
        <w:pStyle w:val="BookText"/>
        <w:rPr/>
      </w:pPr>
      <w:r>
        <w:rPr>
          <w:rFonts w:ascii="IRNazanin" w:hAnsi="IRNazanin" w:eastAsia="IRNazanin"/>
          <w:color w:val="111111"/>
          <w:sz w:val="28"/>
          <w:sz w:val="28"/>
          <w:szCs w:val="28"/>
          <w:rtl w:val="true"/>
          <w:lang w:bidi="fa-IR"/>
        </w:rPr>
        <w:t>لم یجب، ولکن لا یبعد</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فی أوائل کتاب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لکفایة 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محلّ نظر بعد اشتراط الثبوت فی الذمّة بالنسبة إلی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بصرف وجود المقتضی لا یخرج عن کونه ضمانَ ما لم یجب، فصحّته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الزوجیّة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نفقة الأقارب فلا یجوز ضمانها بالنسبة إلی ما مضی؛ لعدم کونها دَیناً علی مَن</w:t>
      </w:r>
      <w:r>
        <w:rPr>
          <w:rStyle w:val="FootnoteAnchor"/>
          <w:rtl w:val="true"/>
        </w:rPr>
        <w:footnoteReference w:id="260"/>
      </w:r>
      <w:r>
        <w:rPr>
          <w:rFonts w:ascii="IRNazanin" w:hAnsi="IRNazanin" w:eastAsia="IRNazanin"/>
          <w:color w:val="111111"/>
          <w:sz w:val="28"/>
          <w:sz w:val="28"/>
          <w:szCs w:val="28"/>
          <w:rtl w:val="true"/>
          <w:lang w:bidi="fa-IR"/>
        </w:rPr>
        <w:t> کانت علیه، إلّا إذا أذن للقریب أن یستقرض ویُنفِق علی  </w:t>
      </w:r>
    </w:p>
    <w:p>
      <w:pPr>
        <w:pStyle w:val="BookText"/>
        <w:rPr/>
      </w:pPr>
      <w:r>
        <w:rPr>
          <w:rFonts w:ascii="IRNazanin" w:hAnsi="IRNazanin" w:eastAsia="IRNazanin"/>
          <w:color w:val="111111"/>
          <w:sz w:val="28"/>
          <w:sz w:val="28"/>
          <w:szCs w:val="28"/>
          <w:rtl w:val="true"/>
          <w:lang w:bidi="fa-IR"/>
        </w:rPr>
        <w:t>نفسه، أو أذن له الحاکم فی ذلک؛ إذ حینئذٍ یکون دَیناً علیه</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w:t>
      </w:r>
    </w:p>
    <w:p>
      <w:pPr>
        <w:pStyle w:val="BookText"/>
        <w:rPr/>
      </w:pPr>
      <w:r>
        <w:rPr>
          <w:rFonts w:ascii="IRNazanin" w:hAnsi="IRNazanin" w:eastAsia="IRNazanin"/>
          <w:color w:val="111111"/>
          <w:sz w:val="28"/>
          <w:sz w:val="28"/>
          <w:szCs w:val="28"/>
          <w:rtl w:val="true"/>
          <w:lang w:bidi="fa-IR"/>
        </w:rPr>
        <w:t>إلی ما سیأتی فمن ضمان ما لم یجب</w:t>
      </w:r>
      <w:r>
        <w:rPr>
          <w:rStyle w:val="FootnoteAnchor"/>
          <w:rtl w:val="true"/>
        </w:rPr>
        <w:footnoteReference w:id="262"/>
      </w:r>
      <w:r>
        <w:rPr>
          <w:rFonts w:ascii="IRNazanin" w:hAnsi="IRNazanin" w:eastAsia="IRNazanin"/>
          <w:color w:val="111111"/>
          <w:sz w:val="28"/>
          <w:sz w:val="28"/>
          <w:szCs w:val="28"/>
          <w:rtl w:val="true"/>
          <w:lang w:bidi="fa-IR"/>
        </w:rPr>
        <w:t>، مضافاً إلی أنّ وجوب الإنفاق</w:t>
      </w:r>
      <w:r>
        <w:rPr>
          <w:rStyle w:val="FootnoteAnchor"/>
          <w:rtl w:val="true"/>
        </w:rPr>
        <w:footnoteReference w:id="263"/>
      </w:r>
      <w:r>
        <w:rPr>
          <w:rFonts w:ascii="Times New Roman" w:hAnsi="Times New Roman" w:eastAsia="Times New Roman" w:cs="Times New Roman"/>
          <w:color w:val="111111"/>
          <w:sz w:val="28"/>
          <w:sz w:val="28"/>
          <w:szCs w:val="28"/>
          <w:rtl w:val="true"/>
          <w:lang w:val="en-US" w:bidi="en-US"/>
        </w:rPr>
        <w:t> </w:t>
      </w:r>
    </w:p>
    <w:p>
      <w:pPr>
        <w:pStyle w:val="BookText"/>
        <w:rPr/>
      </w:pPr>
      <w:r>
        <w:rPr>
          <w:rFonts w:ascii="IRNazanin" w:hAnsi="IRNazanin" w:eastAsia="IRNazanin"/>
          <w:color w:val="111111"/>
          <w:sz w:val="28"/>
          <w:sz w:val="28"/>
          <w:szCs w:val="28"/>
          <w:rtl w:val="true"/>
          <w:lang w:bidi="fa-IR"/>
        </w:rPr>
        <w:t>حکم تکلیفیّ، ولا تکون النفقة فی ذمّته، ولکن مع ذلک لا یخلو من إشکال</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لعدم المقتضی فی المقام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صحّة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جواز الضمان؛ لأنّه لیس شیء فی ذمّته حتّی ینقل إلی ذمّة الضامن؛ بناءًعلی أنّ الضمان نقل ذمّةٍ إلی 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والبطلان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الإشکال فی بطلان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عدم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یصدق الضمان عرفاً لا وجه للصحّة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بطلان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الإشکال فی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5" w:name="pg13286_153718"/>
    </w:p>
    <w:p>
      <w:pPr>
        <w:pStyle w:val="Heading3"/>
        <w:numPr>
          <w:ilvl w:val="2"/>
          <w:numId w:val="1"/>
        </w:numPr>
        <w:rPr/>
      </w:pPr>
      <w:bookmarkStart w:id="146" w:name="__RefHeading___Toc2138516_2322387425"/>
      <w:bookmarkStart w:id="147" w:name="_Toc51"/>
      <w:bookmarkEnd w:id="145"/>
      <w:bookmarkEnd w:id="146"/>
      <w:r>
        <w:rPr>
          <w:rtl w:val="true"/>
        </w:rPr>
        <w:t>ضمان مال الکتابة</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w:t>
      </w:r>
      <w:r>
        <w:rPr>
          <w:rStyle w:val="FootnoteAnchor"/>
          <w:rtl w:val="true"/>
        </w:rPr>
        <w:footnoteReference w:id="265"/>
      </w:r>
      <w:r>
        <w:rPr>
          <w:rFonts w:ascii="IRNazanin" w:hAnsi="IRNazanin" w:eastAsia="IRNazanin"/>
          <w:color w:val="111111"/>
          <w:sz w:val="28"/>
          <w:sz w:val="28"/>
          <w:szCs w:val="28"/>
          <w:rtl w:val="true"/>
          <w:lang w:bidi="fa-IR"/>
        </w:rPr>
        <w:t> جواز</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المکاتبة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کانت</w:t>
      </w:r>
    </w:p>
    <w:p>
      <w:pPr>
        <w:pStyle w:val="BookText"/>
        <w:rPr/>
      </w:pPr>
      <w:r>
        <w:rPr>
          <w:rFonts w:ascii="IRNazanin" w:hAnsi="IRNazanin" w:eastAsia="IRNazanin"/>
          <w:color w:val="111111"/>
          <w:sz w:val="28"/>
          <w:sz w:val="28"/>
          <w:szCs w:val="28"/>
          <w:rtl w:val="true"/>
          <w:lang w:bidi="fa-IR"/>
        </w:rPr>
        <w:t>مشروطةً أو مطلقة؛ لأنّه دَین فی ذمّة العبد وإن لم یکن مستقرّاً؛ لإمکان تعجیز نفسه</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وبالتعجیز تبطل المکاتبة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148" w:name="pg13286_153719"/>
    </w:p>
    <w:p>
      <w:pPr>
        <w:pStyle w:val="BookText"/>
        <w:rPr/>
      </w:pPr>
      <w:bookmarkEnd w:id="148"/>
      <w:r>
        <w:rPr>
          <w:rFonts w:ascii="IRNazanin" w:hAnsi="IRNazanin" w:eastAsia="IRNazanin"/>
          <w:color w:val="111111"/>
          <w:sz w:val="28"/>
          <w:sz w:val="28"/>
          <w:szCs w:val="28"/>
          <w:rtl w:val="true"/>
          <w:lang w:bidi="fa-IR"/>
        </w:rPr>
        <w:t>والقول بعدم الجواز مطلقاً، أو فی خصوص المشروطة؛ معلّلاً بأنّه لیس بلازمٍ</w:t>
      </w:r>
      <w:r>
        <w:rPr>
          <w:rStyle w:val="FootnoteAnchor"/>
          <w:rtl w:val="true"/>
        </w:rPr>
        <w:footnoteReference w:id="268"/>
      </w:r>
      <w:r>
        <w:rPr>
          <w:rFonts w:ascii="IRNazanin" w:hAnsi="IRNazanin" w:eastAsia="IRNazanin"/>
          <w:color w:val="111111"/>
          <w:sz w:val="28"/>
          <w:sz w:val="28"/>
          <w:szCs w:val="28"/>
          <w:rtl w:val="true"/>
          <w:lang w:bidi="fa-IR"/>
        </w:rPr>
        <w:t> ولا یوول</w:t>
      </w:r>
      <w:r>
        <w:rPr>
          <w:rStyle w:val="FootnoteAnchor"/>
          <w:rtl w:val="true"/>
        </w:rPr>
        <w:footnoteReference w:id="269"/>
      </w:r>
      <w:r>
        <w:rPr>
          <w:rFonts w:ascii="Amiri" w:hAnsi="Amiri" w:eastAsia="Amiri" w:cs="Amiri"/>
          <w:color w:val="111111"/>
          <w:sz w:val="28"/>
          <w:sz w:val="28"/>
          <w:szCs w:val="28"/>
          <w:rtl w:val="true"/>
          <w:lang w:bidi="ar-SA"/>
        </w:rPr>
        <w:t> إلی اللزوم ضعیف، کتعلیله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یُعلَّل بأنّ لازم ضمانه</w:t>
      </w:r>
    </w:p>
    <w:p>
      <w:pPr>
        <w:pStyle w:val="BookText"/>
        <w:rPr/>
      </w:pPr>
      <w:r>
        <w:rPr>
          <w:rFonts w:ascii="IRNazanin" w:hAnsi="IRNazanin" w:eastAsia="IRNazanin"/>
          <w:color w:val="111111"/>
          <w:sz w:val="28"/>
          <w:sz w:val="28"/>
          <w:szCs w:val="28"/>
          <w:rtl w:val="true"/>
          <w:lang w:bidi="fa-IR"/>
        </w:rPr>
        <w:t>لزومه، مع أنّه بالنسبة إلی المضمون عنه غیر لازم، فیکون فی الفرع لازماً، مع أنّه فی الأصل غیر لازم، وهو أیضاً کما تری</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3"/>
        <w:numPr>
          <w:ilvl w:val="2"/>
          <w:numId w:val="1"/>
        </w:numPr>
        <w:rPr/>
      </w:pPr>
      <w:bookmarkStart w:id="149" w:name="__RefHeading___Toc2138518_2322387425"/>
      <w:bookmarkStart w:id="150" w:name="_Toc52"/>
      <w:bookmarkEnd w:id="149"/>
      <w:r>
        <w:rPr>
          <w:rtl w:val="true"/>
        </w:rPr>
        <w:t>حکم ضمان مال الجعالة والسبق والرمایة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اختلفوا فی جواز ضمان مال الجُعالة قبل الإتیان بالعمل، وکذا مال السَبق والرمایة، فقیل بعدم الجواز؛ لعدم ثبوته فی الذمّة</w:t>
      </w:r>
      <w:r>
        <w:rPr>
          <w:rStyle w:val="FootnoteAnchor"/>
          <w:rtl w:val="true"/>
        </w:rPr>
        <w:footnoteReference w:id="271"/>
      </w:r>
      <w:r>
        <w:rPr>
          <w:rFonts w:ascii="IRNazanin" w:hAnsi="IRNazanin" w:eastAsia="IRNazanin"/>
          <w:color w:val="111111"/>
          <w:sz w:val="28"/>
          <w:sz w:val="28"/>
          <w:szCs w:val="28"/>
          <w:rtl w:val="true"/>
          <w:lang w:bidi="fa-IR"/>
        </w:rPr>
        <w:t> قبل   </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272"/>
      </w:r>
      <w:r>
        <w:rPr>
          <w:rFonts w:ascii="Amiri" w:hAnsi="Amiri" w:eastAsia="Amiri" w:cs="Amiri"/>
          <w:color w:val="111111"/>
          <w:sz w:val="28"/>
          <w:sz w:val="28"/>
          <w:szCs w:val="28"/>
          <w:rtl w:val="true"/>
          <w:lang w:bidi="ar-SA"/>
        </w:rPr>
        <w:t> ـ وفاقاً</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قوّة فیه،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لجماعةٍ ـ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والوجوه الأربعة الّتی أشار إلیها کلّها مخدوشة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لدعوی ثبوته فی الذمّة من الأوّل وسقوطه إذا لم یعمل، ولا</w:t>
      </w:r>
    </w:p>
    <w:p>
      <w:pPr>
        <w:pStyle w:val="BookText"/>
        <w:rPr/>
      </w:pPr>
      <w:r>
        <w:rPr>
          <w:rFonts w:ascii="IRNazanin" w:hAnsi="IRNazanin" w:eastAsia="IRNazanin"/>
          <w:color w:val="111111"/>
          <w:sz w:val="28"/>
          <w:sz w:val="28"/>
          <w:szCs w:val="28"/>
          <w:rtl w:val="true"/>
          <w:lang w:bidi="fa-IR"/>
        </w:rPr>
        <w:t>لثبوته من الأوّل بشرط مجیء العمل فی المستقبل؛ إذ الظاهر أنّ الثبوت إنّما هو بالعمل، بل لقوله تعالی</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لیست فی بیان الضمان النقلیّ المصطلح، بل فی مقام بیان التعهّد، أو الوعد،أو أنّها واردة فی بیان أصل تشریع الضمان، فهناک محتملات اُخر، والتفصیل موکولإلی المبسوطات المؤلّفة فی آیات الأحکام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جَاءَ بِهِ حِمْلُ بَعِیرٍ وَأَنَا بِهِ زَعِیمٌ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ولکفایة</w:t>
      </w:r>
      <w:r>
        <w:rPr>
          <w:rStyle w:val="FootnoteAnchor"/>
          <w:rtl w:val="true"/>
        </w:rPr>
        <w:footnoteReference w:id="276"/>
      </w:r>
      <w:r>
        <w:rPr>
          <w:rFonts w:ascii="IRNazanin" w:hAnsi="IRNazanin" w:eastAsia="IRNazanin"/>
          <w:color w:val="111111"/>
          <w:sz w:val="28"/>
          <w:sz w:val="28"/>
          <w:szCs w:val="28"/>
          <w:rtl w:val="true"/>
          <w:lang w:bidi="fa-IR"/>
        </w:rPr>
        <w:t> المقتضی</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للثبوت فی 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 ومنع اعتبار الثبوت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1" w:name="pg13286_153721"/>
    </w:p>
    <w:p>
      <w:pPr>
        <w:pStyle w:val="BookText"/>
        <w:rPr/>
      </w:pPr>
      <w:bookmarkEnd w:id="151"/>
      <w:r>
        <w:rPr>
          <w:rFonts w:ascii="IRNazanin" w:hAnsi="IRNazanin" w:eastAsia="IRNazanin"/>
          <w:color w:val="111111"/>
          <w:sz w:val="28"/>
          <w:sz w:val="28"/>
          <w:szCs w:val="28"/>
          <w:rtl w:val="true"/>
          <w:lang w:bidi="fa-IR"/>
        </w:rPr>
        <w:t>الفعلیّ، کما أشرنا إلیه سابقاً</w:t>
      </w:r>
      <w:r>
        <w:rPr>
          <w:rFonts w:eastAsia="IRNazanin" w:cs="IRNazanin"/>
          <w:color w:val="111111"/>
          <w:sz w:val="28"/>
          <w:szCs w:val="28"/>
          <w:rtl w:val="true"/>
          <w:lang w:bidi="fa-IR"/>
        </w:rPr>
        <w:t>.</w:t>
      </w:r>
    </w:p>
    <w:p>
      <w:pPr>
        <w:pStyle w:val="Heading3"/>
        <w:numPr>
          <w:ilvl w:val="2"/>
          <w:numId w:val="1"/>
        </w:numPr>
        <w:rPr/>
      </w:pPr>
      <w:bookmarkStart w:id="152" w:name="__RefHeading___Toc2138520_2322387425"/>
      <w:bookmarkStart w:id="153" w:name="_Toc53"/>
      <w:bookmarkEnd w:id="152"/>
      <w:r>
        <w:rPr>
          <w:rtl w:val="true"/>
        </w:rPr>
        <w:t>حکم ضمان الأعیان المضمونة</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اختلفوا فی جواز ضمان الأعیان المضمونة ـ کالغصب</w:t>
      </w:r>
      <w:r>
        <w:rPr>
          <w:rStyle w:val="FootnoteAnchor"/>
          <w:rtl w:val="true"/>
        </w:rPr>
        <w:footnoteReference w:id="278"/>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والمقبوض بالعقد الفاسد، ونحوهما ـ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pStyle w:val="BookText"/>
        <w:rPr/>
      </w:pPr>
      <w:r>
        <w:rPr>
          <w:rFonts w:ascii="IRNazanin" w:hAnsi="IRNazanin" w:eastAsia="IRNazanin"/>
          <w:color w:val="111111"/>
          <w:sz w:val="28"/>
          <w:sz w:val="28"/>
          <w:szCs w:val="28"/>
          <w:rtl w:val="true"/>
          <w:lang w:bidi="fa-IR"/>
        </w:rPr>
        <w:t>إلی کلٍّ منهما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 للشکّ فی صلوح المذکورات لتعلّق الضمان الناقل المشروع عندنابها، وعدم کون ضمانها بمعنی ضمّ ذمّةٍ إلی ذمّةٍ اُخری من مذهبنا، بل من مذهبالعامّة، والتمسّک بالعمومات مع الشکّ فی صحّته فی المذکورات عرفاً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تعهّد العین وجعلها فی العهدة؛ کی تترتّب علیه الآثار من استحقاقالمضمون له مطالبتها علی تقدیرَی الوجود والعدم، ووجوب ردّها بعینها وشخصهاعلی فرض البقاء، وبأوصافها النوعیّة ومالیّتها، أو بمالیّتها فقط عند تلفها، ولکنّالمسألة غیر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فیه التفصیل؛ فإنّ المنشأ إذا کان هو التعهّد الفعلیّ للعین المضمونة لیترتّبعلیه وجوب ردّها مع بقائها، ودفع البدل عند تلفها فلا بأس به للعمومات، ولاسیّماأنّه متعارف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اشتغال الذمّة بالبدل فعلاً علی تقدیر تلفهاواشتغال ذمّة الضامن الأوّل به متأخّراً فهو واضح الفساد، بل صحّته غیر معقولة، وإذاکان اشتغال الذمّة بعد اشتغال ذمّة الضامن الأوّل به علی نحو الواجب المشروطفصحّته مبتنیة علی عدم اعتبار التنجیز؛ وبذلک یظهر الحال فی ضمان الأعیان غیرالمضمونة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المنشأ التعهّد الفعلیّ للعین یترتّب علیه وجوب ردّها مع بقائها وردّ بدلهاعند التلف، وأمّا إذا کان المنشأ اشتغال الذمّة 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الاشتغال فعلاً فهوباطل قطعاً، وإن کان معلّقاً علی اشتغال ذمّة الضامن الأوّل به فصحّته تبتنی علیعدم اعتبار التنجیز، وقد تقدّم الکلام فیه، وبذلک یظهر الحال فی ضمان الأعیان غیرالمضمونة، فالمتحصّل جواز ضمان الأعیان مطلقاً، بل الظاهر جواز ضمان الأعیانالّتی عند أصحابها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 سواء کان المراد به أحد الأمرین المذکورین فی المتن، أم کانالمراد به هو التعهّد الفعلیّ لنفس العین المضمونة علی حذو ثبوتها فی عهدة الضامنالأوّل، المترتّب علیه وجوب الردّ مع البقاء والبدل مثلاً، أو قیمةً مع التلف، من دونفرقٍ بین أن یکون المراد ضمّ عهدته إلی عهدة الأوّل، أو النقل عنها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سواء</w:t>
      </w:r>
      <w:r>
        <w:rPr>
          <w:rStyle w:val="FootnoteAnchor"/>
          <w:rtl w:val="true"/>
        </w:rPr>
        <w:footnoteReference w:id="280"/>
      </w:r>
      <w:r>
        <w:rPr>
          <w:rFonts w:ascii="IRNazanin" w:hAnsi="IRNazanin" w:eastAsia="IRNazanin"/>
          <w:color w:val="111111"/>
          <w:sz w:val="28"/>
          <w:sz w:val="28"/>
          <w:szCs w:val="28"/>
          <w:rtl w:val="true"/>
          <w:lang w:bidi="fa-IR"/>
        </w:rPr>
        <w:t> کان المراد</w:t>
      </w:r>
      <w:r>
        <w:rPr>
          <w:rStyle w:val="FootnoteAnchor"/>
          <w:rtl w:val="true"/>
        </w:rPr>
        <w:footnoteReference w:id="281"/>
      </w:r>
      <w:r>
        <w:rPr>
          <w:rFonts w:ascii="IRNazanin" w:hAnsi="IRNazanin" w:eastAsia="IRNazanin"/>
          <w:color w:val="111111"/>
          <w:sz w:val="28"/>
          <w:sz w:val="28"/>
          <w:szCs w:val="28"/>
          <w:rtl w:val="true"/>
          <w:lang w:bidi="fa-IR"/>
        </w:rPr>
        <w:t> ضمانها بمعنی التزام ردّها</w:t>
      </w:r>
      <w:r>
        <w:rPr>
          <w:rStyle w:val="FootnoteAnchor"/>
          <w:rtl w:val="true"/>
        </w:rPr>
        <w:footnoteReference w:id="282"/>
      </w:r>
      <w:r>
        <w:rPr>
          <w:rFonts w:ascii="IRNazanin" w:hAnsi="IRNazanin" w:eastAsia="IRNazanin"/>
          <w:color w:val="111111"/>
          <w:sz w:val="28"/>
          <w:sz w:val="28"/>
          <w:szCs w:val="28"/>
          <w:rtl w:val="true"/>
          <w:lang w:bidi="fa-IR"/>
        </w:rPr>
        <w:t> عیناً ومثلها</w:t>
      </w:r>
      <w:r>
        <w:rPr>
          <w:rStyle w:val="FootnoteAnchor"/>
          <w:rtl w:val="true"/>
        </w:rPr>
        <w:footnoteReference w:id="283"/>
      </w:r>
      <w:r>
        <w:rPr>
          <w:rFonts w:ascii="IRNazanin" w:hAnsi="IRNazanin" w:eastAsia="IRNazanin"/>
          <w:color w:val="111111"/>
          <w:sz w:val="28"/>
          <w:sz w:val="28"/>
          <w:szCs w:val="28"/>
          <w:rtl w:val="true"/>
          <w:lang w:bidi="fa-IR"/>
        </w:rPr>
        <w:t>، أو</w:t>
      </w:r>
    </w:p>
    <w:p>
      <w:pPr>
        <w:pStyle w:val="BookText"/>
        <w:rPr/>
      </w:pPr>
      <w:r>
        <w:rPr>
          <w:rFonts w:ascii="IRNazanin" w:hAnsi="IRNazanin" w:eastAsia="IRNazanin"/>
          <w:color w:val="111111"/>
          <w:sz w:val="28"/>
          <w:sz w:val="28"/>
          <w:szCs w:val="28"/>
          <w:rtl w:val="true"/>
          <w:lang w:bidi="fa-IR"/>
        </w:rPr>
        <w:t>قیمتها علی فرض التلف، أو کان المراد</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بترک مثل هذا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ضمانها بمعنی التزام مثلها،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أو قیمتها</w:t>
      </w:r>
      <w:r>
        <w:rPr>
          <w:rStyle w:val="FootnoteAnchor"/>
          <w:rtl w:val="true"/>
        </w:rPr>
        <w:footnoteReference w:id="285"/>
      </w:r>
      <w:r>
        <w:rPr>
          <w:rFonts w:ascii="IRNazanin" w:hAnsi="IRNazanin" w:eastAsia="IRNazanin"/>
          <w:color w:val="111111"/>
          <w:sz w:val="28"/>
          <w:sz w:val="28"/>
          <w:szCs w:val="28"/>
          <w:rtl w:val="true"/>
          <w:lang w:bidi="fa-IR"/>
        </w:rPr>
        <w:t xml:space="preserve"> إذا تلفت؛ وذلک لعموم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الزعیم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5/267</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العلل لابنحنبل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الخلاف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3/319</w:t>
      </w:r>
      <w:r>
        <w:rPr>
          <w:rFonts w:ascii="IRNazanin" w:hAnsi="IRNazanin" w:eastAsia="IRNazanin"/>
          <w:color w:val="111111"/>
          <w:sz w:val="28"/>
          <w:sz w:val="28"/>
          <w:szCs w:val="28"/>
          <w:rtl w:val="true"/>
          <w:lang w:bidi="fa-IR"/>
        </w:rPr>
        <w:t>، 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ضعف صدوراً ودلالةً، وما خُیّل من العمل بأنّه جابر فلیس ممّا یُعتدّ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والعمومات</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الصحّة إقدام العرف والعقلاء علیه، وعدم ثبوت الردع، فکیف بما إذاشملته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الکلام فی مال الجعالة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علی التقدیر الأوّل</w:t>
      </w:r>
    </w:p>
    <w:p>
      <w:pPr>
        <w:pStyle w:val="BookText"/>
        <w:rPr/>
      </w:pPr>
      <w:r>
        <w:rPr>
          <w:rFonts w:ascii="Amiri" w:hAnsi="Amiri" w:eastAsia="Amiri" w:cs="Amiri"/>
          <w:color w:val="111111"/>
          <w:sz w:val="28"/>
          <w:sz w:val="28"/>
          <w:szCs w:val="28"/>
          <w:rtl w:val="true"/>
          <w:lang w:bidi="ar-SA"/>
        </w:rPr>
        <w:t>یکون من ضمان العین، بمعنی الالتزام بردّها ـ مع أنّ الضمان نقل الحقّ من ذمّةٍ إلی اُخری، وأیضاً لا إشکال فی أنّ الغاصِب أیضاً مکلّف بالردّ، فیکون من ضمّ ذمّةٍ إلی اُخری، ولیس من مذهبنا ـ وعلی الثانی</w:t>
      </w:r>
      <w:r>
        <w:rPr>
          <w:rStyle w:val="FootnoteAnchor"/>
          <w:rtl w:val="true"/>
        </w:rPr>
        <w:footnoteReference w:id="288"/>
      </w:r>
      <w:r>
        <w:rPr>
          <w:rFonts w:ascii="IRNazanin" w:hAnsi="IRNazanin" w:eastAsia="IRNazanin"/>
          <w:color w:val="111111"/>
          <w:sz w:val="28"/>
          <w:sz w:val="28"/>
          <w:szCs w:val="28"/>
          <w:rtl w:val="true"/>
          <w:lang w:bidi="fa-IR"/>
        </w:rPr>
        <w:t> یکون من ضمان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لم یجب، کما أنّه علی الأوّل أیضاً کذلک بالنسبة إلی ردّ المثل أو القیمة عند التلف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منه بعد شمول العمومات، غایة الأمر أنّه لیس من الضمان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من ضمان ما لم یجب لا یضرّ بعد ثبوت المقتضی</w:t>
      </w:r>
      <w:r>
        <w:rPr>
          <w:rStyle w:val="FootnoteAnchor"/>
          <w:rtl w:val="true"/>
        </w:rPr>
        <w:footnoteReference w:id="289"/>
      </w:r>
      <w:r>
        <w:rPr>
          <w:rFonts w:ascii="IRNazanin" w:hAnsi="IRNazanin" w:eastAsia="IRNazanin"/>
          <w:color w:val="111111"/>
          <w:sz w:val="28"/>
          <w:sz w:val="28"/>
          <w:szCs w:val="28"/>
          <w:rtl w:val="true"/>
          <w:lang w:bidi="fa-IR"/>
        </w:rPr>
        <w:t>، ولا دلیل علی عدم صحّة ضمان ما لم یجب</w:t>
      </w:r>
      <w:r>
        <w:rPr>
          <w:rStyle w:val="FootnoteAnchor"/>
          <w:rtl w:val="true"/>
        </w:rPr>
        <w:footnoteReference w:id="290"/>
      </w:r>
      <w:r>
        <w:rPr>
          <w:rFonts w:ascii="IRNazanin" w:hAnsi="IRNazanin" w:eastAsia="IRNazanin"/>
          <w:color w:val="111111"/>
          <w:sz w:val="28"/>
          <w:sz w:val="28"/>
          <w:szCs w:val="28"/>
          <w:rtl w:val="true"/>
          <w:lang w:bidi="fa-IR"/>
        </w:rPr>
        <w:t> من نصٍّ أو إجماعٍ وإن اشتهر فی الألسن، بل فی جملةٍ من الموارد حکموا بصحّته، وفی جملةٍ منها اختلفوا فیه فلا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ضمان الأعیان الغیر المضمونة ـ کمال المضاربة والرهن والودیعة قبل تحقّق سبب ضمانها من تعدٍّ أو تفریطٍ ـ فلا خلاف بینهم</w:t>
      </w:r>
      <w:r>
        <w:rPr>
          <w:rStyle w:val="FootnoteAnchor"/>
          <w:rtl w:val="true"/>
        </w:rPr>
        <w:footnoteReference w:id="291"/>
      </w:r>
      <w:r>
        <w:rPr>
          <w:rFonts w:ascii="Amiri" w:hAnsi="Amiri" w:eastAsia="Amiri" w:cs="Amiri"/>
          <w:color w:val="111111"/>
          <w:sz w:val="28"/>
          <w:sz w:val="28"/>
          <w:szCs w:val="28"/>
          <w:rtl w:val="true"/>
          <w:lang w:bidi="ar-SA"/>
        </w:rPr>
        <w:t> فی عدم صحّته</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والتمسّک بالعمومات لصحّته 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والتمسّک بالعمومات الخاصّة أو العامّة فی رفع أمثال هذه الشبهة کماتری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4" w:name="pg13286_153726"/>
    </w:p>
    <w:p>
      <w:pPr>
        <w:pStyle w:val="BookText"/>
        <w:rPr/>
      </w:pPr>
      <w:bookmarkEnd w:id="154"/>
      <w:r>
        <w:rPr>
          <w:rFonts w:ascii="Amiri" w:hAnsi="Amiri" w:eastAsia="Amiri" w:cs="Amiri"/>
          <w:color w:val="111111"/>
          <w:sz w:val="28"/>
          <w:sz w:val="28"/>
          <w:szCs w:val="28"/>
          <w:rtl w:val="true"/>
          <w:lang w:bidi="ar-SA"/>
        </w:rPr>
        <w:t>صحّته</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التعهّد، لا بالضمان الناقل من ذمّةٍ إلی اُخری، وکذا فی الفرع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2138522_2322387425"/>
      <w:bookmarkStart w:id="156" w:name="_Toc54"/>
      <w:bookmarkEnd w:id="155"/>
      <w:r>
        <w:rPr>
          <w:rtl w:val="true"/>
        </w:rPr>
        <w:t>حکم ضمان درک الثمن للمشتری</w:t>
      </w:r>
      <w:bookmarkEnd w:id="15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w:t>
      </w:r>
      <w:r>
        <w:rPr>
          <w:rStyle w:val="FootnoteAnchor"/>
          <w:rtl w:val="true"/>
        </w:rPr>
        <w:footnoteReference w:id="294"/>
      </w:r>
      <w:r>
        <w:rPr>
          <w:rFonts w:ascii="IRNazanin" w:hAnsi="IRNazanin" w:eastAsia="IRNazanin"/>
          <w:color w:val="111111"/>
          <w:sz w:val="28"/>
          <w:sz w:val="28"/>
          <w:szCs w:val="28"/>
          <w:rtl w:val="true"/>
          <w:lang w:bidi="fa-IR"/>
        </w:rPr>
        <w:t> عندهم</w:t>
      </w:r>
      <w:r>
        <w:rPr>
          <w:rStyle w:val="FootnoteAnchor"/>
          <w:rtl w:val="true"/>
        </w:rPr>
        <w:footnoteReference w:id="295"/>
      </w:r>
      <w:r>
        <w:rPr>
          <w:rFonts w:ascii="IRNazanin" w:hAnsi="IRNazanin" w:eastAsia="IRNazanin"/>
          <w:color w:val="111111"/>
          <w:sz w:val="28"/>
          <w:sz w:val="28"/>
          <w:szCs w:val="28"/>
          <w:rtl w:val="true"/>
          <w:lang w:bidi="fa-IR"/>
        </w:rPr>
        <w:t> بلا خلافٍ بینهم ضمان درک</w:t>
      </w:r>
      <w:r>
        <w:rPr>
          <w:rStyle w:val="FootnoteAnchor"/>
          <w:rtl w:val="true"/>
        </w:rPr>
        <w:footnoteReference w:id="296"/>
      </w:r>
      <w:r>
        <w:rPr>
          <w:rFonts w:ascii="IRNazanin" w:hAnsi="IRNazanin" w:eastAsia="IRNazanin"/>
          <w:color w:val="111111"/>
          <w:sz w:val="28"/>
          <w:sz w:val="28"/>
          <w:szCs w:val="28"/>
          <w:rtl w:val="true"/>
          <w:lang w:bidi="fa-IR"/>
        </w:rPr>
        <w:t> الثمن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للمشتری</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لم یثبت الإجماع علی هذا الضمان لیخرج به عن القواعد فالحال فیه هو الحال فی ضمان الأعیان المضمونة، وبذلک یظهر الحال فی بقیّة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کون المبیع مستحقّاً للغیر، أو ظهر بطلان البیع لفقد شرطٍ</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شروط صحّته إذا کان ذلک بعد قبض الثمن، کما قیّد به الأکثر، أو مطلقاً کما أطلق آخر</w:t>
      </w:r>
      <w:r>
        <w:rPr>
          <w:rStyle w:val="FootnoteAnchor"/>
          <w:rtl w:val="true"/>
        </w:rPr>
        <w:footnoteReference w:id="299"/>
      </w:r>
      <w:r>
        <w:rPr>
          <w:rFonts w:ascii="IRNazanin" w:hAnsi="IRNazanin" w:eastAsia="IRNazanin"/>
          <w:color w:val="111111"/>
          <w:sz w:val="28"/>
          <w:sz w:val="28"/>
          <w:szCs w:val="28"/>
          <w:rtl w:val="true"/>
          <w:lang w:bidi="fa-IR"/>
        </w:rPr>
        <w:t>، وهو الأقوی</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صحّة ضمان درک الثمن إذا کان موجوداً، نعم، یصحّ هذا بعد القبضوالتلف، ولکنّه لیس ضماناً للدَرک ولا دلیل علی استثناء ضمان درک الثمن منضمان ما لم یجب الّذی قلنا ببطلانه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والقیل المنقول فیه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الّذی تقدّم فی المسألة السابقة،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مستثنیً</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بعد صحّته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تظهر تمامیّة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عدم ضمان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وأمّا لو کان البیع صحیحاً وحصل الفسخ بالخیار أو التقایل أو تلف المبیع قبل القبض فعلی المشهور</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یلزم الضامن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وکذلک الأمر فی ما بعده من الفسخ بالعیب السابق أو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ویرجع علی البائع؛</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لعدم ثبوت الحقّ وقت الضمان، فیکون من 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صرّح بالضمان، إذا حصل الفسخ لم یصحّ بمقتضی التعلیل المذکور، نعم، فی الفسخ بالعیب السابق أو اللاحق اختلفوا فی أنّه هل یدخل فی العهدة ویصحّ الضمان، أو لا؟ فالمشهور علی العدم</w:t>
      </w:r>
      <w:r>
        <w:rPr>
          <w:rStyle w:val="FootnoteAnchor"/>
          <w:rtl w:val="true"/>
        </w:rPr>
        <w:footnoteReference w:id="303"/>
      </w:r>
      <w:r>
        <w:rPr>
          <w:rFonts w:ascii="IRNazanin" w:hAnsi="IRNazanin" w:eastAsia="IRNazanin"/>
          <w:color w:val="111111"/>
          <w:sz w:val="28"/>
          <w:sz w:val="28"/>
          <w:szCs w:val="28"/>
          <w:rtl w:val="true"/>
          <w:lang w:bidi="fa-IR"/>
        </w:rPr>
        <w:t>، وعن بعضهم دخوله، ولازمه الصحّة مع التصریح بالأولی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305"/>
      </w:r>
      <w:r>
        <w:rPr>
          <w:rFonts w:ascii="IRNazanin" w:hAnsi="IRNazanin" w:eastAsia="IRNazanin"/>
          <w:color w:val="111111"/>
          <w:sz w:val="28"/>
          <w:sz w:val="28"/>
          <w:szCs w:val="28"/>
          <w:rtl w:val="true"/>
          <w:lang w:bidi="fa-IR"/>
        </w:rPr>
        <w:t> فی الجمیع</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إقدام العرف والعقلاء علیه، وأمّا مع تردّدهم فیه فالمشهور هو المنصور فکیفبصورة عدم الإقدام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الدخول مع الإطلاق، والصحّة مع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من ضمان ما لم یجب مدفوعة بکفایة</w:t>
      </w:r>
      <w:r>
        <w:rPr>
          <w:rStyle w:val="FootnoteAnchor"/>
          <w:rtl w:val="true"/>
        </w:rPr>
        <w:footnoteReference w:id="307"/>
      </w:r>
      <w:r>
        <w:rPr>
          <w:rFonts w:ascii="IRNazanin" w:hAnsi="IRNazanin" w:eastAsia="IRNazanin"/>
          <w:color w:val="111111"/>
          <w:sz w:val="28"/>
          <w:sz w:val="28"/>
          <w:szCs w:val="28"/>
          <w:rtl w:val="true"/>
          <w:lang w:bidi="fa-IR"/>
        </w:rPr>
        <w:t> وجود السبب</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ضمان عهدة الثمن إذا حصل الفسخ</w:t>
      </w:r>
      <w:r>
        <w:rPr>
          <w:rFonts w:eastAsia="IRNazanin" w:cs="IRNazanin"/>
          <w:color w:val="111111"/>
          <w:sz w:val="28"/>
          <w:szCs w:val="28"/>
          <w:rtl w:val="true"/>
          <w:lang w:bidi="fa-IR"/>
        </w:rPr>
        <w:t xml:space="preserve">. </w:t>
      </w:r>
      <w:bookmarkStart w:id="157" w:name="pg13286_153729"/>
    </w:p>
    <w:p>
      <w:pPr>
        <w:pStyle w:val="Heading3"/>
        <w:numPr>
          <w:ilvl w:val="2"/>
          <w:numId w:val="1"/>
        </w:numPr>
        <w:rPr/>
      </w:pPr>
      <w:bookmarkStart w:id="158" w:name="__RefHeading___Toc2138524_2322387425"/>
      <w:bookmarkStart w:id="159" w:name="_Toc55"/>
      <w:bookmarkEnd w:id="157"/>
      <w:bookmarkEnd w:id="158"/>
      <w:r>
        <w:rPr>
          <w:rtl w:val="true"/>
        </w:rPr>
        <w:t>ضمان أرش المعیب</w:t>
      </w:r>
      <w:bookmarkEnd w:id="159"/>
    </w:p>
    <w:p>
      <w:pPr>
        <w:pStyle w:val="BookText"/>
        <w:rPr/>
      </w:pPr>
      <w:r>
        <w:rPr>
          <w:rFonts w:ascii="IRNazanin" w:hAnsi="IRNazanin" w:eastAsia="IRNazanin"/>
          <w:color w:val="111111"/>
          <w:sz w:val="28"/>
          <w:sz w:val="28"/>
          <w:szCs w:val="28"/>
          <w:rtl w:val="true"/>
          <w:lang w:bidi="fa-IR"/>
        </w:rPr>
        <w:t>وأمّا بالنسبة إلی مطالبة الأرش فقال بعض مَن منع من ذلک بجوازها</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الاستحقاق له ثابت عند العقد، فلا یکون من ضمان ما لم یجب، وقد عرفت أنّ الأقوی صحّة الأوّل أیضاً، وأنّ تحقّق السبب حال العقد کافٍ، مع إمکان دعوی</w:t>
      </w:r>
      <w:r>
        <w:rPr>
          <w:rStyle w:val="FootnoteAnchor"/>
          <w:rtl w:val="true"/>
        </w:rPr>
        <w:footnoteReference w:id="310"/>
      </w:r>
      <w:r>
        <w:rPr>
          <w:rFonts w:ascii="Amiri" w:hAnsi="Amiri" w:eastAsia="Amiri" w:cs="Amiri"/>
          <w:color w:val="111111"/>
          <w:sz w:val="28"/>
          <w:sz w:val="28"/>
          <w:szCs w:val="28"/>
          <w:rtl w:val="true"/>
          <w:lang w:bidi="ar-SA"/>
        </w:rPr>
        <w:t> أنّ الأرش أیضاً لا یثبت</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ولکنّ الملاک هو الاستحقاق، وهو ثابت بالعقد بلا إشکال، فلا یبعد الجوازفیه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بعد اختیاره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الأرش ثابت فیختار لا أنّ ثبوته بالاختیار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ولکن لمّا کان مطالبته عین اختیاره فلا إشکال فی اختیاره بعدالعقد ومطالبته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فیختاره، لأنّه ثبت بالعقد لا أنّه یثبت فعلاً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ومطالبته،</w:t>
      </w:r>
    </w:p>
    <w:p>
      <w:pPr>
        <w:pStyle w:val="BookText"/>
        <w:rPr/>
      </w:pPr>
      <w:r>
        <w:rPr>
          <w:rFonts w:ascii="Amiri" w:hAnsi="Amiri" w:eastAsia="Amiri" w:cs="Amiri"/>
          <w:color w:val="111111"/>
          <w:sz w:val="28"/>
          <w:sz w:val="28"/>
          <w:szCs w:val="28"/>
          <w:rtl w:val="true"/>
          <w:lang w:bidi="ar-SA"/>
        </w:rPr>
        <w:t>فالصحّة فیه</w:t>
      </w:r>
      <w:r>
        <w:rPr>
          <w:rStyle w:val="FootnoteAnchor"/>
          <w:rtl w:val="true"/>
        </w:rPr>
        <w:footnoteReference w:id="312"/>
      </w:r>
      <w:r>
        <w:rPr>
          <w:rFonts w:ascii="IRNazanin" w:hAnsi="IRNazanin" w:eastAsia="IRNazanin"/>
          <w:color w:val="111111"/>
          <w:sz w:val="28"/>
          <w:sz w:val="28"/>
          <w:szCs w:val="28"/>
          <w:rtl w:val="true"/>
          <w:lang w:bidi="fa-IR"/>
        </w:rPr>
        <w:t> أیضاً من جهة کفایة تحقّق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ظهر حال  </w:t>
      </w:r>
    </w:p>
    <w:p>
      <w:pPr>
        <w:pStyle w:val="BookText"/>
        <w:rPr/>
      </w:pPr>
      <w:r>
        <w:rPr>
          <w:rFonts w:ascii="IRNazanin" w:hAnsi="IRNazanin" w:eastAsia="IRNazanin"/>
          <w:color w:val="111111"/>
          <w:sz w:val="28"/>
          <w:sz w:val="28"/>
          <w:szCs w:val="28"/>
          <w:rtl w:val="true"/>
          <w:lang w:bidi="fa-IR"/>
        </w:rPr>
        <w:t>ضمان درک المبیع</w:t>
      </w:r>
      <w:r>
        <w:rPr>
          <w:rStyle w:val="FootnoteAnchor"/>
          <w:rtl w:val="true"/>
        </w:rPr>
        <w:footnoteReference w:id="313"/>
      </w:r>
      <w:r>
        <w:rPr>
          <w:rFonts w:ascii="IRNazanin" w:hAnsi="IRNazanin" w:eastAsia="IRNazanin"/>
          <w:color w:val="111111"/>
          <w:sz w:val="28"/>
          <w:sz w:val="28"/>
          <w:szCs w:val="28"/>
          <w:rtl w:val="true"/>
          <w:lang w:bidi="fa-IR"/>
        </w:rPr>
        <w:t> للبائع</w:t>
      </w:r>
      <w:r>
        <w:rPr>
          <w:rFonts w:eastAsia="IRNazanin" w:cs="IRNazanin"/>
          <w:color w:val="111111"/>
          <w:sz w:val="28"/>
          <w:szCs w:val="28"/>
          <w:rtl w:val="true"/>
          <w:lang w:bidi="fa-IR"/>
        </w:rPr>
        <w:t>.</w:t>
      </w:r>
    </w:p>
    <w:p>
      <w:pPr>
        <w:pStyle w:val="Heading3"/>
        <w:numPr>
          <w:ilvl w:val="2"/>
          <w:numId w:val="1"/>
        </w:numPr>
        <w:rPr/>
      </w:pPr>
      <w:bookmarkStart w:id="160" w:name="__RefHeading___Toc2138526_2322387425"/>
      <w:bookmarkStart w:id="161" w:name="_Toc56"/>
      <w:bookmarkEnd w:id="160"/>
      <w:r>
        <w:rPr>
          <w:rtl w:val="true"/>
        </w:rPr>
        <w:t>ضمان عهدة الثمن وتبیّن بعض المبیع مستحقّاً</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ضمن</w:t>
      </w:r>
      <w:r>
        <w:rPr>
          <w:rStyle w:val="FootnoteAnchor"/>
          <w:rtl w:val="true"/>
        </w:rPr>
        <w:footnoteReference w:id="314"/>
      </w:r>
      <w:r>
        <w:rPr>
          <w:rFonts w:ascii="IRNazanin" w:hAnsi="IRNazanin" w:eastAsia="IRNazanin"/>
          <w:color w:val="111111"/>
          <w:sz w:val="28"/>
          <w:sz w:val="28"/>
          <w:szCs w:val="28"/>
          <w:rtl w:val="true"/>
          <w:lang w:bidi="fa-IR"/>
        </w:rPr>
        <w:t xml:space="preserve"> عهدة الثمن فظهر بعض المبیع مستحقّاً فالأقوی </w:t>
      </w:r>
      <w:bookmarkStart w:id="162" w:name="pg13286_153730"/>
    </w:p>
    <w:p>
      <w:pPr>
        <w:pStyle w:val="BookText"/>
        <w:rPr/>
      </w:pPr>
      <w:bookmarkEnd w:id="162"/>
      <w:r>
        <w:rPr>
          <w:rFonts w:ascii="IRNazanin" w:hAnsi="IRNazanin" w:eastAsia="IRNazanin"/>
          <w:color w:val="111111"/>
          <w:sz w:val="28"/>
          <w:sz w:val="28"/>
          <w:szCs w:val="28"/>
          <w:rtl w:val="true"/>
          <w:lang w:bidi="fa-IR"/>
        </w:rPr>
        <w:t>اختصاص ضمان الضامن بذلک البعض، وفی البعض الآخر یتخیّر المشتری بین الإمضاء والفسخ؛ لتبعّض الصَفقة، فیرجع علی البائع بما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 علی الضامن بالجمیع، ولا وجه له</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الضمان مقیّداً،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3"/>
        <w:numPr>
          <w:ilvl w:val="2"/>
          <w:numId w:val="1"/>
        </w:numPr>
        <w:rPr/>
      </w:pPr>
      <w:bookmarkStart w:id="163" w:name="__RefHeading___Toc2138528_2322387425"/>
      <w:bookmarkStart w:id="164" w:name="_Toc57"/>
      <w:bookmarkEnd w:id="163"/>
      <w:r>
        <w:rPr>
          <w:rtl w:val="true"/>
        </w:rPr>
        <w:t>ضمان ما یحدثه المشتری فی الأرض</w:t>
      </w:r>
      <w:bookmarkEnd w:id="16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w:t>
      </w:r>
      <w:r>
        <w:rPr>
          <w:rStyle w:val="FootnoteAnchor"/>
          <w:rtl w:val="true"/>
        </w:rPr>
        <w:footnoteReference w:id="316"/>
      </w:r>
      <w:r>
        <w:rPr>
          <w:rFonts w:ascii="Amiri" w:hAnsi="Amiri" w:eastAsia="Amiri" w:cs="Amiri"/>
          <w:color w:val="111111"/>
          <w:sz w:val="28"/>
          <w:sz w:val="28"/>
          <w:szCs w:val="28"/>
          <w:rtl w:val="true"/>
          <w:lang w:bidi="ar-SA"/>
        </w:rPr>
        <w:t> وفاقاً</w:t>
      </w:r>
      <w:r>
        <w:rPr>
          <w:rStyle w:val="FootnoteAnchor"/>
          <w:rtl w:val="true"/>
        </w:rPr>
        <w:footnoteReference w:id="317"/>
      </w:r>
      <w:r>
        <w:rPr>
          <w:rFonts w:ascii="IRNazanin" w:hAnsi="IRNazanin" w:eastAsia="IRNazanin"/>
          <w:color w:val="111111"/>
          <w:sz w:val="28"/>
          <w:sz w:val="28"/>
          <w:szCs w:val="28"/>
          <w:rtl w:val="true"/>
          <w:lang w:bidi="fa-IR"/>
        </w:rPr>
        <w:t> للشهیدین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4/204</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ضمان ما یُحدِثه المشتری من بناءٍ أو غرسٍ فی الأرض المشتراة إذا ظهر</w:t>
      </w:r>
    </w:p>
    <w:p>
      <w:pPr>
        <w:pStyle w:val="BookText"/>
        <w:rPr/>
      </w:pPr>
      <w:r>
        <w:rPr>
          <w:rFonts w:ascii="IRNazanin" w:hAnsi="IRNazanin" w:eastAsia="IRNazanin"/>
          <w:color w:val="111111"/>
          <w:sz w:val="28"/>
          <w:sz w:val="28"/>
          <w:szCs w:val="28"/>
          <w:rtl w:val="true"/>
          <w:lang w:bidi="fa-IR"/>
        </w:rPr>
        <w:t>کونها مستحقّةً للغیر، وقَلَع البناء والغرس فیضمن الأرش، وهو تفاوت ما بین المقلوع والثابت عن البائع، خلافاً</w:t>
      </w:r>
      <w:r>
        <w:rPr>
          <w:rStyle w:val="FootnoteAnchor"/>
          <w:rtl w:val="true"/>
        </w:rPr>
        <w:footnoteReference w:id="319"/>
      </w:r>
      <w:r>
        <w:rPr>
          <w:rFonts w:ascii="IRNazanin" w:hAnsi="IRNazanin" w:eastAsia="IRNazanin"/>
          <w:color w:val="111111"/>
          <w:sz w:val="28"/>
          <w:sz w:val="28"/>
          <w:szCs w:val="28"/>
          <w:rtl w:val="true"/>
          <w:lang w:bidi="fa-IR"/>
        </w:rPr>
        <w:t> للمشهور</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محمّد رضا الگلپایگانی،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لما ذکرنا من أنّ وجود سبب الضمان لا یُخرِج الشیء عن کونهضمانَ ما لم یجب بالنسبة إلی المسبّب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ذکروه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من ضمان ما لم   </w:t>
      </w:r>
    </w:p>
    <w:p>
      <w:pPr>
        <w:pStyle w:val="BookText"/>
        <w:rPr/>
      </w:pPr>
      <w:r>
        <w:rPr>
          <w:rFonts w:ascii="IRNazanin" w:hAnsi="IRNazanin" w:eastAsia="IRNazanin"/>
          <w:color w:val="111111"/>
          <w:sz w:val="28"/>
          <w:sz w:val="28"/>
          <w:szCs w:val="28"/>
          <w:rtl w:val="true"/>
          <w:lang w:bidi="fa-IR"/>
        </w:rPr>
        <w:t>یجب، وقد عرفت کفایة السبب</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ولو ضمنه البائع</w:t>
      </w:r>
      <w:r>
        <w:rPr>
          <w:rStyle w:val="FootnoteAnchor"/>
          <w:rtl w:val="true"/>
        </w:rPr>
        <w:footnoteReference w:id="322"/>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یصحّ</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لِما ذکره بأنّه لا معنی لضمان شخصٍ عن نفسه، وتعدّد الجهة لایرفع 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الصحیح؛ لعدم ثبوت الحقّ حال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بل لا وجه لضمان الشخص عن نفسه ولو مع تعدّد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 إلی اتّحاد الضامن والمضمون عنه، وعدم جدوی تعدّد العنوان مع احتمالکون الجهتَین تعلیلیّتَین، مضافاً إلی شبهة تحصیل 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الأصحّ، وتعدّد الجهة لا یجدی فی التصحیح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بل لا معنی له، وتعدّد الجهة لا یجدی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کالأجنبیّ، وثبوته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بحکم الشرع لا یقتضی صحّة عقد الضمان المشروط بتحقّق الحقّ حال </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بالصحّة؛ لأنّه لازم بنفس العقد</w:t>
      </w:r>
      <w:r>
        <w:rPr>
          <w:rStyle w:val="FootnoteAnchor"/>
          <w:rtl w:val="true"/>
        </w:rPr>
        <w:footnoteReference w:id="324"/>
      </w:r>
      <w:r>
        <w:rPr>
          <w:rFonts w:ascii="IRNazanin" w:hAnsi="IRNazanin" w:eastAsia="IRNazanin"/>
          <w:color w:val="111111"/>
          <w:sz w:val="28"/>
          <w:sz w:val="28"/>
          <w:szCs w:val="28"/>
          <w:rtl w:val="true"/>
          <w:lang w:bidi="fa-IR"/>
        </w:rPr>
        <w:t>، فلا مانع من ضمانه؛ لِما مرّ</w:t>
      </w:r>
    </w:p>
    <w:p>
      <w:pPr>
        <w:pStyle w:val="BookText"/>
        <w:rPr/>
      </w:pPr>
      <w:r>
        <w:rPr>
          <w:rFonts w:ascii="IRNazanin" w:hAnsi="IRNazanin" w:eastAsia="IRNazanin"/>
          <w:color w:val="111111"/>
          <w:sz w:val="28"/>
          <w:sz w:val="28"/>
          <w:szCs w:val="28"/>
          <w:rtl w:val="true"/>
          <w:lang w:bidi="fa-IR"/>
        </w:rPr>
        <w:t>من کفایة</w:t>
      </w:r>
      <w:r>
        <w:rPr>
          <w:rStyle w:val="FootnoteAnchor"/>
          <w:rtl w:val="true"/>
        </w:rPr>
        <w:footnoteReference w:id="325"/>
      </w:r>
      <w:r>
        <w:rPr>
          <w:rFonts w:ascii="IRNazanin" w:hAnsi="IRNazanin" w:eastAsia="IRNazanin"/>
          <w:color w:val="111111"/>
          <w:sz w:val="28"/>
          <w:sz w:val="28"/>
          <w:szCs w:val="28"/>
          <w:rtl w:val="true"/>
          <w:lang w:bidi="fa-IR"/>
        </w:rPr>
        <w:t> تحقّق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حینئذٍ للضمان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العقد،</w:t>
      </w:r>
    </w:p>
    <w:p>
      <w:pPr>
        <w:pStyle w:val="BookText"/>
        <w:rPr/>
      </w:pPr>
      <w:r>
        <w:rPr>
          <w:rFonts w:ascii="IRNazanin" w:hAnsi="IRNazanin" w:eastAsia="IRNazanin"/>
          <w:color w:val="111111"/>
          <w:sz w:val="28"/>
          <w:sz w:val="28"/>
          <w:szCs w:val="28"/>
          <w:rtl w:val="true"/>
          <w:lang w:bidi="fa-IR"/>
        </w:rPr>
        <w:t>والضمان بعقده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الثمر فیما لو أسقط المشتری عنه حقّ الضمان الثابت بالعقد، فإنّه یبقی الضمان العقدیّ، کما إذا کان لشخصٍ خیاران بسببَین فأسقط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یُورَد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معنی</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کذلک، وتعدّد الجهة لا یُجدی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لضمان شخصٍ عن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والمقام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r>
        <w:rPr>
          <w:rStyle w:val="FootnoteAnchor"/>
          <w:rtl w:val="true"/>
        </w:rPr>
        <w:footnoteReference w:id="327"/>
      </w:r>
      <w:r>
        <w:rPr>
          <w:rFonts w:ascii="Amiri" w:hAnsi="Amiri" w:eastAsia="Amiri" w:cs="Amiri"/>
          <w:color w:val="111111"/>
          <w:sz w:val="28"/>
          <w:sz w:val="28"/>
          <w:szCs w:val="28"/>
          <w:rtl w:val="true"/>
          <w:lang w:bidi="ar-SA"/>
        </w:rPr>
        <w:t> مع تعدّد الجهة</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کون العقد سبباً لإثبات المال فی ذمّة البائع، فإثبات ذلک بالضمانتحصیل للحاصل، ولا یفیده تعدّد الجهة، مع أنّ العقد الواقع علی مال الغیر لیسسبباً للضمان، بل السبب نفس تلف مال المشتری بتسبیب البائع؛ ولذا یقال فیضمان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ضمان لِما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الجهات منشأ الاعتبار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بعنوان عقد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اشترط ضمانه فلا بأس به، </w:t>
      </w:r>
      <w:bookmarkStart w:id="165" w:name="pg13286_153733"/>
    </w:p>
    <w:p>
      <w:pPr>
        <w:pStyle w:val="BookText"/>
        <w:rPr/>
      </w:pPr>
      <w:bookmarkEnd w:id="165"/>
      <w:r>
        <w:rPr>
          <w:rFonts w:ascii="Amiri" w:hAnsi="Amiri" w:eastAsia="Amiri" w:cs="Amiri"/>
          <w:color w:val="111111"/>
          <w:sz w:val="28"/>
          <w:sz w:val="28"/>
          <w:szCs w:val="28"/>
          <w:rtl w:val="true"/>
          <w:lang w:bidi="ar-SA"/>
        </w:rPr>
        <w:t>ویکون موکّداً</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ظاهراً، فلا ینافی البطلان المستکشَف بظهور المبیع مستحقّاً وردّ المالک البیع،والغرض عدم تأثیر الشرط فی الخلل فی البیع؛ لعدم کونه فاسداً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ظهور المبیع مستحقّاً للغیر، وردّ المالک المبیع، وقلع البناء والشجرفالحکم بصحّة شرط الضمان الواقع فی ضمن العقد وکونه موکّداً لما هو لازمه لایوافق القواعد، إلّا أن یکون المراد غیر ما هو ظاهر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العقد</w:t>
      </w:r>
      <w:r>
        <w:rPr>
          <w:rFonts w:eastAsia="IRNazanin" w:cs="IRNazanin"/>
          <w:color w:val="111111"/>
          <w:sz w:val="28"/>
          <w:szCs w:val="28"/>
          <w:rtl w:val="true"/>
          <w:lang w:bidi="fa-IR"/>
        </w:rPr>
        <w:t>.</w:t>
      </w:r>
    </w:p>
    <w:p>
      <w:pPr>
        <w:pStyle w:val="Heading3"/>
        <w:numPr>
          <w:ilvl w:val="2"/>
          <w:numId w:val="1"/>
        </w:numPr>
        <w:rPr/>
      </w:pPr>
      <w:bookmarkStart w:id="166" w:name="__RefHeading___Toc2138530_2322387425"/>
      <w:bookmarkStart w:id="167" w:name="_Toc58"/>
      <w:bookmarkEnd w:id="166"/>
      <w:r>
        <w:rPr>
          <w:rtl w:val="true"/>
        </w:rPr>
        <w:t>ضمان المتاع الملقی فی البحر لغرضٍ عقلائی</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عند خوف غرق السفینة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متاعَک فی البحر وعَلَیَّ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Style w:val="FootnoteAnchor"/>
          <w:rtl w:val="true"/>
        </w:rPr>
        <w:footnoteReference w:id="330"/>
      </w:r>
      <w:r>
        <w:rPr>
          <w:rFonts w:ascii="IRNazanin" w:hAnsi="IRNazanin" w:eastAsia="IRNazanin"/>
          <w:color w:val="111111"/>
          <w:sz w:val="28"/>
          <w:sz w:val="28"/>
          <w:szCs w:val="28"/>
          <w:rtl w:val="true"/>
          <w:lang w:bidi="fa-IR"/>
        </w:rPr>
        <w:t>، بلا خلافٍ بینهم، بل الظاهر الإجماع علیه، وهوالدلیل</w:t>
      </w:r>
      <w:r>
        <w:rPr>
          <w:rStyle w:val="FootnoteAnchor"/>
          <w:rtl w:val="true"/>
        </w:rPr>
        <w:footnoteReference w:id="331"/>
      </w:r>
      <w:r>
        <w:rPr>
          <w:rFonts w:ascii="IRNazanin" w:hAnsi="IRNazanin" w:eastAsia="IRNazanin"/>
          <w:color w:val="111111"/>
          <w:sz w:val="28"/>
          <w:sz w:val="28"/>
          <w:szCs w:val="28"/>
          <w:rtl w:val="true"/>
          <w:lang w:bidi="fa-IR"/>
        </w:rPr>
        <w:t>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لخوف الغرق، بل لمصلحةٍ اُخری من خِفّة السفینة</w:t>
      </w:r>
      <w:r>
        <w:rPr>
          <w:rStyle w:val="FootnoteAnchor"/>
          <w:rtl w:val="true"/>
        </w:rPr>
        <w:footnoteReference w:id="332"/>
      </w:r>
      <w:r>
        <w:rPr>
          <w:rFonts w:ascii="IRNazanin" w:hAnsi="IRNazanin" w:eastAsia="IRNazanin"/>
          <w:color w:val="111111"/>
          <w:sz w:val="28"/>
          <w:sz w:val="28"/>
          <w:szCs w:val="28"/>
          <w:rtl w:val="true"/>
          <w:lang w:bidi="fa-IR"/>
        </w:rPr>
        <w:t> أو نحوها فلا یصحّ</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الصحیح؛ لأنّه حکم علی خلاف القاعدة ثبت فی موردٍ خاصٍّ، سیّما إذاکان الدلیل هو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المورد أیضاً من موارد الاستیفاء بالعِوَض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الأقوی، وأمّا الأوّل فقد ادّعی الشیخ إجماع الفرقة، بل إجماع الاُمّة عدا أبیثور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ولا بأس به، لکنّه لیس من فروع هذا الکتاب، وغیر مربوطٍ بالضمانالمذکور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عندهم</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الصحّة 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الأقوی، بل الأوّل أیضاً موضوعاً وحکماً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لأنّه من ضمان ما 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یدّعی السیرة القطعیّة علی الصحّة فی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هو الحقّ، بل الأوّل أیضاً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ومقتضی العمومات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w:t>
      </w:r>
      <w:r>
        <w:rPr>
          <w:rStyle w:val="FootnoteAnchor"/>
          <w:rtl w:val="true"/>
        </w:rPr>
        <w:footnoteReference w:id="335"/>
      </w:r>
      <w:r>
        <w:rPr>
          <w:rFonts w:ascii="IRNazanin" w:hAnsi="IRNazanin" w:eastAsia="IRNazanin"/>
          <w:color w:val="111111"/>
          <w:sz w:val="28"/>
          <w:sz w:val="28"/>
          <w:szCs w:val="28"/>
          <w:rtl w:val="true"/>
          <w:lang w:bidi="fa-IR"/>
        </w:rPr>
        <w:t> من تضاعیف المسائل المتقدّمة الاتّفاقیّة أو الخلافیّة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w:t>
      </w:r>
      <w:bookmarkStart w:id="168" w:name="pg13286_153735"/>
    </w:p>
    <w:p>
      <w:pPr>
        <w:pStyle w:val="BookText"/>
        <w:rPr/>
      </w:pPr>
      <w:bookmarkEnd w:id="168"/>
      <w:r>
        <w:rPr>
          <w:rFonts w:ascii="IRNazanin" w:hAnsi="IRNazanin" w:eastAsia="IRNazanin"/>
          <w:color w:val="111111"/>
          <w:sz w:val="28"/>
          <w:sz w:val="28"/>
          <w:szCs w:val="28"/>
          <w:rtl w:val="true"/>
          <w:lang w:bidi="fa-IR"/>
        </w:rPr>
        <w:t>ذکروه</w:t>
      </w:r>
      <w:r>
        <w:rPr>
          <w:rStyle w:val="FootnoteAnchor"/>
          <w:rtl w:val="true"/>
        </w:rPr>
        <w:footnoteReference w:id="336"/>
      </w:r>
      <w:r>
        <w:rPr>
          <w:rFonts w:ascii="IRNazanin" w:hAnsi="IRNazanin" w:eastAsia="IRNazanin"/>
          <w:color w:val="111111"/>
          <w:sz w:val="28"/>
          <w:sz w:val="28"/>
          <w:szCs w:val="28"/>
          <w:rtl w:val="true"/>
          <w:lang w:bidi="fa-IR"/>
        </w:rPr>
        <w:t> فی أوّل الفصل من تعریف الضمان، وأنّه نقل الحقّ الثابت من ذمّةٍ</w:t>
      </w:r>
    </w:p>
    <w:p>
      <w:pPr>
        <w:pStyle w:val="BookText"/>
        <w:rPr/>
      </w:pPr>
      <w:r>
        <w:rPr>
          <w:rFonts w:ascii="IRNazanin" w:hAnsi="IRNazanin" w:eastAsia="IRNazanin"/>
          <w:color w:val="111111"/>
          <w:sz w:val="28"/>
          <w:sz w:val="28"/>
          <w:szCs w:val="28"/>
          <w:rtl w:val="true"/>
          <w:lang w:bidi="fa-IR"/>
        </w:rPr>
        <w:t>إلی اُخری، وأنّه لا یصحّ فی غیر الدَین، ولا فی غیر الثابت حین الضمان لاوجه له</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تفصیلٍ تقدّم کلّ فی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ذلک حسب ما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138532_2322387425"/>
      <w:bookmarkStart w:id="170" w:name="_Toc59"/>
      <w:bookmarkEnd w:id="169"/>
      <w:r>
        <w:rPr>
          <w:rtl w:val="true"/>
        </w:rPr>
        <w:t>اختلاف المضمون له والمضمون عنه</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المضمون له والمضمون عنه</w:t>
      </w:r>
      <w:r>
        <w:rPr>
          <w:rStyle w:val="FootnoteAnchor"/>
          <w:rtl w:val="true"/>
        </w:rPr>
        <w:footnoteReference w:id="338"/>
      </w:r>
      <w:r>
        <w:rPr>
          <w:rFonts w:ascii="IRNazanin" w:hAnsi="IRNazanin" w:eastAsia="IRNazanin"/>
          <w:color w:val="111111"/>
          <w:sz w:val="28"/>
          <w:sz w:val="28"/>
          <w:szCs w:val="28"/>
          <w:rtl w:val="true"/>
          <w:lang w:bidi="fa-IR"/>
        </w:rPr>
        <w:t> فی أصل الضمان،  </w:t>
      </w:r>
    </w:p>
    <w:p>
      <w:pPr>
        <w:pStyle w:val="BookText"/>
        <w:rPr/>
      </w:pPr>
      <w:r>
        <w:rPr>
          <w:rFonts w:ascii="IRNazanin" w:hAnsi="IRNazanin" w:eastAsia="IRNazanin"/>
          <w:color w:val="111111"/>
          <w:sz w:val="28"/>
          <w:sz w:val="28"/>
          <w:szCs w:val="28"/>
          <w:rtl w:val="true"/>
          <w:lang w:bidi="fa-IR"/>
        </w:rPr>
        <w:t>فادّعی أنّه ضمنه ضامن وأنکره المضمون له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ادّعی أنّه ضمن تمام دیونه وأنکره المضمون له؛ لأصالة</w:t>
      </w:r>
      <w:r>
        <w:rPr>
          <w:rStyle w:val="FootnoteAnchor"/>
          <w:rtl w:val="true"/>
        </w:rPr>
        <w:footnoteReference w:id="339"/>
      </w:r>
      <w:r>
        <w:rPr>
          <w:rFonts w:ascii="IRNazanin" w:hAnsi="IRNazanin" w:eastAsia="IRNazanin"/>
          <w:color w:val="111111"/>
          <w:sz w:val="28"/>
          <w:sz w:val="28"/>
          <w:szCs w:val="28"/>
          <w:rtl w:val="true"/>
          <w:lang w:bidi="fa-IR"/>
        </w:rPr>
        <w:t> بقاء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اختلفا فی إعسار الضامن حین العقد ویساره فادّعی المضمون له إعساره</w:t>
      </w:r>
      <w:r>
        <w:rPr>
          <w:rStyle w:val="FootnoteAnchor"/>
          <w:rtl w:val="true"/>
        </w:rPr>
        <w:footnoteReference w:id="340"/>
      </w:r>
      <w:r>
        <w:rPr>
          <w:rFonts w:ascii="IRNazanin" w:hAnsi="IRNazanin" w:eastAsia="IRNazanin"/>
          <w:color w:val="111111"/>
          <w:sz w:val="28"/>
          <w:sz w:val="28"/>
          <w:szCs w:val="28"/>
          <w:rtl w:val="true"/>
          <w:lang w:bidi="fa-IR"/>
        </w:rPr>
        <w:t> فالقول قول</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تقدّم إعساره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کان مسبوقاً بالیسار، ومع الجهل بالحال فیه تأمّل وإشکال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المضمون عنه</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سبق یساره، وقول المضمون له مع سبق إعساره، ومع عدم العلم بالحالالسابق فمحلّ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بالإعسار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الضامن مسبوقاً بالإعسار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مسبوقاً بالیسار للاستصحاب، کما أنّه لو کان مسبوقاً بالإعسار فالقولحینئذٍ قول مدّعی الإعسار، أی المضمون له فی المفروض، ولو لم یعلم الحالةالسابقة فالأصلان متعارضان،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لأصالة عدم الیسار إلّا علی القولبالأصل المُثبِت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فلو کان مُعسِراً سابقاً فالقول قول المضمون له، ولو لم یعلم حالتهالسابقة ففیه تأمّل وإشکال، نعم لو کان سابقاً موسراً فما فی المتن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اللزوم فی الضمان المشروطة بیسار الضامن، مع أصالة عدم علمالمضمون له بإعساره، إلّا مع علمه بسبق إعساره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لم یثبت إعساره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ثبت إعساره سابقاً ولو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سبق الیسار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3286_153737"/>
    </w:p>
    <w:p>
      <w:pPr>
        <w:pStyle w:val="BookText"/>
        <w:rPr/>
      </w:pPr>
      <w:bookmarkEnd w:id="171"/>
      <w:r>
        <w:rPr>
          <w:rFonts w:ascii="IRNazanin" w:hAnsi="IRNazanin" w:eastAsia="IRNazanin"/>
          <w:color w:val="111111"/>
          <w:sz w:val="28"/>
          <w:sz w:val="28"/>
          <w:szCs w:val="28"/>
          <w:rtl w:val="true"/>
          <w:lang w:bidi="fa-IR"/>
        </w:rPr>
        <w:t>وکذا لو اختلفا فی اشتراط الخیار للمضمون له وعدمه فإنّ القول قول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اختلفا فی صحّة الضمان</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فیه قول مدّعِی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وعدمها</w:t>
      </w:r>
      <w:r>
        <w:rPr>
          <w:rFonts w:eastAsia="IRNazanin" w:cs="IRNazanin"/>
          <w:color w:val="111111"/>
          <w:sz w:val="28"/>
          <w:szCs w:val="28"/>
          <w:rtl w:val="true"/>
          <w:lang w:bidi="fa-IR"/>
        </w:rPr>
        <w:t>.</w:t>
      </w:r>
    </w:p>
    <w:p>
      <w:pPr>
        <w:pStyle w:val="Heading3"/>
        <w:numPr>
          <w:ilvl w:val="2"/>
          <w:numId w:val="1"/>
        </w:numPr>
        <w:rPr/>
      </w:pPr>
      <w:bookmarkStart w:id="172" w:name="__RefHeading___Toc2138534_2322387425"/>
      <w:bookmarkStart w:id="173" w:name="_Toc60"/>
      <w:bookmarkEnd w:id="172"/>
      <w:r>
        <w:rPr>
          <w:rtl w:val="true"/>
        </w:rPr>
        <w:t>اختلاف الضامن والمضمون له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اختلف الضامن والمضمون له فی أصل الضمان، أو فی ثبوت الدَین وعدمه، أو فی مقداره، أو فی مقدار ما ضمن، أو فی اشتراط تعجیله، أو تنقیص أجله إذا کان موجّلاً، أو فی اشتراط شیءٍ علیه زائداً علی أصل الدَین، فالقول قول الضامن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اشتراط تأجیله مع کونه حالّاً، أو زیادة أجله مع کونه موجّلاً، أو وفائه، أو إبراء المضمون له عن جمیعه أو بعضه، أو تقییده بکونه من مالٍ معیّنٍ والمفروض تلفه، أو اشتراط خیار الفسخ للضامن، أو اشتراط شیءٍ علی المضمون له، أو اشتراط کون الضمان بما یسوّی أقلّ من الدَین، قُدِّمَ قول المضمون له</w:t>
      </w:r>
      <w:r>
        <w:rPr>
          <w:rFonts w:eastAsia="IRNazanin" w:cs="IRNazanin"/>
          <w:color w:val="111111"/>
          <w:sz w:val="28"/>
          <w:szCs w:val="28"/>
          <w:rtl w:val="true"/>
          <w:lang w:bidi="fa-IR"/>
        </w:rPr>
        <w:t>.</w:t>
      </w:r>
    </w:p>
    <w:p>
      <w:pPr>
        <w:pStyle w:val="Heading3"/>
        <w:numPr>
          <w:ilvl w:val="2"/>
          <w:numId w:val="1"/>
        </w:numPr>
        <w:rPr/>
      </w:pPr>
      <w:bookmarkStart w:id="174" w:name="__RefHeading___Toc2138536_2322387425"/>
      <w:bookmarkStart w:id="175" w:name="_Toc61"/>
      <w:bookmarkEnd w:id="174"/>
      <w:r>
        <w:rPr>
          <w:rtl w:val="true"/>
        </w:rPr>
        <w:t>اختلاف الضامن والمضمون عنه</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اختلف الضامن والمضمون عنه فی الإذن</w:t>
      </w:r>
      <w:r>
        <w:rPr>
          <w:rStyle w:val="FootnoteAnchor"/>
          <w:rtl w:val="true"/>
        </w:rPr>
        <w:footnoteReference w:id="345"/>
      </w:r>
      <w:r>
        <w:rPr>
          <w:rFonts w:ascii="IRNazanin" w:hAnsi="IRNazanin" w:eastAsia="IRNazanin"/>
          <w:color w:val="111111"/>
          <w:sz w:val="28"/>
          <w:sz w:val="28"/>
          <w:szCs w:val="28"/>
          <w:rtl w:val="true"/>
          <w:lang w:bidi="fa-IR"/>
        </w:rPr>
        <w:t> وعدمه، أو</w:t>
      </w:r>
    </w:p>
    <w:p>
      <w:pPr>
        <w:pStyle w:val="BookText"/>
        <w:rPr/>
      </w:pPr>
      <w:r>
        <w:rPr>
          <w:rFonts w:ascii="IRNazanin" w:hAnsi="IRNazanin" w:eastAsia="IRNazanin"/>
          <w:color w:val="111111"/>
          <w:sz w:val="28"/>
          <w:sz w:val="28"/>
          <w:szCs w:val="28"/>
          <w:rtl w:val="true"/>
          <w:lang w:bidi="fa-IR"/>
        </w:rPr>
        <w:t>فی وفاء</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تسالمهما علی الإذن فالقول قول مَن یدّعی عدم 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یصدِّقه المضمون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یجوز له الرجوع وعدمه، أو فی مقدار الدَین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الّذی ضمن وأنکر المضمون عنه الزیادة، أو فی اشتراط</w:t>
      </w:r>
      <w:r>
        <w:rPr>
          <w:rStyle w:val="FootnoteAnchor"/>
          <w:rtl w:val="true"/>
        </w:rPr>
        <w:footnoteReference w:id="347"/>
      </w:r>
      <w:r>
        <w:rPr>
          <w:rFonts w:ascii="Amiri" w:hAnsi="Amiri" w:eastAsia="Amiri" w:cs="Amiri"/>
          <w:color w:val="111111"/>
          <w:sz w:val="28"/>
          <w:sz w:val="28"/>
          <w:szCs w:val="28"/>
          <w:rtl w:val="true"/>
          <w:lang w:bidi="ar-SA"/>
        </w:rPr>
        <w:t> شیءٍ علی</w:t>
      </w:r>
    </w:p>
    <w:p>
      <w:pPr>
        <w:pStyle w:val="BookText"/>
        <w:rPr/>
      </w:pPr>
      <w:r>
        <w:rPr>
          <w:rFonts w:ascii="IRNazanin" w:hAnsi="IRNazanin" w:eastAsia="IRNazanin"/>
          <w:color w:val="111111"/>
          <w:sz w:val="28"/>
          <w:sz w:val="28"/>
          <w:szCs w:val="28"/>
          <w:rtl w:val="true"/>
          <w:lang w:bidi="fa-IR"/>
        </w:rPr>
        <w:t>المضمون عنه</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المضمون عنه لیس طرفاً فی عقد الضمان، فلا معنی لاشتراط شیءعلیه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لاشتراط شیءٍ علی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عقدٍ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ضمن عقدٍ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ضمن عقدٍ خارج؛ حیث إنّ المضمون عنه لیس طرفاً فی عقد الضمان حتّییشترط فیه شیء علیه، واحتمال کونه ملزماً بما اشترطا علیه برضاه وإذنه لا وجهله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ضمن عقدٍ آخر، أو نفس عقد الضمان، بناءً علی صحّة شرط شیءٍ بغیرطَرَفی العقد أیضاً، کما هو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اشتراط الخیار للضامن قُدِّم قول المضمون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لتوافقه للأصل فی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اختلفا فی أصل الضمان، أو فی مقدار الدَین الّذی ضمنه وأنکر الضامن الزیادة فالقول قول الضامن</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کان مُنکِراً لأصله أو زیادته، وإلّا یُقدَّم قول مَن کان مُنکِراً لهما، فالإطلاق فیکلامه لا یخلو من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6" w:name="pg13286_153739"/>
    </w:p>
    <w:p>
      <w:pPr>
        <w:pStyle w:val="Heading3"/>
        <w:numPr>
          <w:ilvl w:val="2"/>
          <w:numId w:val="1"/>
        </w:numPr>
        <w:rPr/>
      </w:pPr>
      <w:bookmarkStart w:id="177" w:name="__RefHeading___Toc2138538_2322387425"/>
      <w:bookmarkStart w:id="178" w:name="_Toc62"/>
      <w:bookmarkEnd w:id="176"/>
      <w:bookmarkEnd w:id="177"/>
      <w:r>
        <w:rPr>
          <w:rtl w:val="true"/>
        </w:rPr>
        <w:t>إنکار الضامن الضمان</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أنکر الضامن الضمان فاستُوفِیَ الحقّ منه بالبیّنة لیس له الرجوع علی المضمون عنه المنکِر</w:t>
      </w:r>
      <w:r>
        <w:rPr>
          <w:rStyle w:val="FootnoteAnchor"/>
          <w:rtl w:val="true"/>
        </w:rPr>
        <w:footnoteReference w:id="350"/>
      </w:r>
      <w:r>
        <w:rPr>
          <w:rFonts w:ascii="IRNazanin" w:hAnsi="IRNazanin" w:eastAsia="IRNazanin"/>
          <w:color w:val="111111"/>
          <w:sz w:val="28"/>
          <w:sz w:val="28"/>
          <w:szCs w:val="28"/>
          <w:rtl w:val="true"/>
          <w:lang w:bidi="fa-IR"/>
        </w:rPr>
        <w:t> للإذن</w:t>
      </w:r>
      <w:r>
        <w:rPr>
          <w:rStyle w:val="FootnoteAnchor"/>
          <w:rtl w:val="true"/>
        </w:rPr>
        <w:footnoteReference w:id="351"/>
      </w:r>
      <w:r>
        <w:rPr>
          <w:rFonts w:ascii="Amiri" w:hAnsi="Amiri" w:eastAsia="Amiri" w:cs="Amiri"/>
          <w:color w:val="111111"/>
          <w:sz w:val="28"/>
          <w:sz w:val="28"/>
          <w:szCs w:val="28"/>
          <w:rtl w:val="true"/>
          <w:lang w:bidi="ar-SA"/>
        </w:rPr>
        <w:t> أو الدَین</w:t>
      </w:r>
      <w:r>
        <w:rPr>
          <w:rStyle w:val="FootnoteAnchor"/>
          <w:rtl w:val="true"/>
        </w:rPr>
        <w:footnoteReference w:id="352"/>
      </w:r>
      <w:r>
        <w:rPr>
          <w:rFonts w:ascii="IRNazanin" w:hAnsi="IRNazanin" w:eastAsia="IRNazanin"/>
          <w:color w:val="111111"/>
          <w:sz w:val="28"/>
          <w:sz w:val="28"/>
          <w:szCs w:val="28"/>
          <w:rtl w:val="true"/>
          <w:lang w:bidi="fa-IR"/>
        </w:rPr>
        <w:t>؛ لاعترافه بکونه</w:t>
      </w:r>
    </w:p>
    <w:p>
      <w:pPr>
        <w:pStyle w:val="BookText"/>
        <w:rPr/>
      </w:pPr>
      <w:r>
        <w:rPr>
          <w:rFonts w:ascii="IRNazanin" w:hAnsi="IRNazanin" w:eastAsia="IRNazanin"/>
          <w:color w:val="111111"/>
          <w:sz w:val="28"/>
          <w:sz w:val="28"/>
          <w:szCs w:val="28"/>
          <w:rtl w:val="true"/>
          <w:lang w:bidi="fa-IR"/>
        </w:rPr>
        <w:t>اُخذ منه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w:t>
      </w:r>
      <w:r>
        <w:rPr>
          <w:rStyle w:val="FootnoteAnchor"/>
          <w:rtl w:val="true"/>
        </w:rPr>
        <w:footnoteReference w:id="353"/>
      </w:r>
      <w:r>
        <w:rPr>
          <w:rFonts w:ascii="Amiri" w:hAnsi="Amiri" w:eastAsia="Amiri" w:cs="Amiri"/>
          <w:color w:val="111111"/>
          <w:sz w:val="28"/>
          <w:sz w:val="28"/>
          <w:szCs w:val="28"/>
          <w:rtl w:val="true"/>
          <w:lang w:bidi="ar-SA"/>
        </w:rPr>
        <w:t> مدّعیاً</w:t>
      </w:r>
      <w:r>
        <w:rPr>
          <w:rStyle w:val="FootnoteAnchor"/>
          <w:rtl w:val="true"/>
        </w:rPr>
        <w:footnoteReference w:id="354"/>
      </w:r>
      <w:r>
        <w:rPr>
          <w:rFonts w:ascii="IRNazanin" w:hAnsi="IRNazanin" w:eastAsia="IRNazanin"/>
          <w:color w:val="111111"/>
          <w:sz w:val="28"/>
          <w:sz w:val="28"/>
          <w:szCs w:val="28"/>
          <w:rtl w:val="true"/>
          <w:lang w:bidi="fa-IR"/>
        </w:rPr>
        <w:t> مع ذلک للإذن فی الأداء بلا ضمانٍ ولم یکن مُنکِراً لأصل الدَین وفرض کون المضمون عنه أیضاً معترفاً بالدَین والإذن فی الضمان جاز له الرجوع</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أدّاه بقصد ما أذن له، وأمّا إذا أخذ منه قهراً من دون أن یقصد الأداء فلا وجه لرجوعهعلیه؛ لاعترافه بأنّ الدَین باقٍ بحاله، والمال مأخوذ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حین استیفاء الحقّ منه قصد أداء دَین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مقاصّة عمّا اُخذ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فإنّ جواز الرجوع علیه یتفرّع علی براءة ذمّة المضمون عنه باعتقادالضامن، والمفروض فی المقام عدمه؛ لأنّ المأخوذ ظلماً لا یصلح لتحقّق البراءة، بلباقٍ علی مِلک الضامن باعتقاده، ولم یتعیّن بسببه کلّیّ الدَین، فکیف یجوز مع ذلکالرجوع إلی المضمون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ذکرنا یظهر الفرق بین ما نحن فیه وبین ذلکالمثال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 لا منافاة بین إنکار الضمان  </w:t>
      </w:r>
    </w:p>
    <w:p>
      <w:pPr>
        <w:pStyle w:val="BookText"/>
        <w:rPr/>
      </w:pPr>
      <w:r>
        <w:rPr>
          <w:rFonts w:ascii="IRNazanin" w:hAnsi="IRNazanin" w:eastAsia="IRNazanin"/>
          <w:color w:val="111111"/>
          <w:sz w:val="28"/>
          <w:sz w:val="28"/>
          <w:szCs w:val="28"/>
          <w:rtl w:val="true"/>
          <w:lang w:bidi="fa-IR"/>
        </w:rPr>
        <w:t>وادّعاء الإذن فی الأداء، فاستحقاقه الرجوع معلوم</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فإنّ الإذن فی الضمان لا یقتضی الرجوع علی الآذن، إلّا مع تحقّقالضمان والوفاء به خارجاً، والمفروض فی المقام أنّ الضامن یُنکِر الضمان، ویعترفبأنّ ما اُخذ منه إنّما اُخذ ظلماً، ومعه کیف یکون استحقاقه الرجوع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لابأس بالرجوع علی المضمون عنه مقاصّةً لِما اُخذ منه قهراً بإذنٍ من الحاکمالشرعیّ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مقاصّةً، لا وفاءً بشیء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غایة الأمر أنّه یقول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ذلک للإذن فی الأداء، والمضمون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للإذن فی الضمان، فهو، کما لو ادّعی علی شخصٍ أنّه یطلب منه عشرة قرانات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ریالات، وهی أقلّ عملةٍ إیرانیّةٍ متداولةٍ رسمیّاً 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والمدّعی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اُضیفت لأجل 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القرض،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یطلبه من باب ثمن المبیع، فأصل الطلب معلوم ولو لم یعترف</w:t>
      </w:r>
      <w:r>
        <w:rPr>
          <w:rStyle w:val="FootnoteAnchor"/>
          <w:rtl w:val="true"/>
        </w:rPr>
        <w:footnoteReference w:id="357"/>
      </w:r>
      <w:r>
        <w:rPr>
          <w:rFonts w:ascii="IRNazanin" w:hAnsi="IRNazanin" w:eastAsia="IRNazanin"/>
          <w:color w:val="111111"/>
          <w:sz w:val="28"/>
          <w:sz w:val="28"/>
          <w:szCs w:val="28"/>
          <w:rtl w:val="true"/>
          <w:lang w:bidi="fa-IR"/>
        </w:rPr>
        <w:t> المضمون عنه بالضمان، أو الإذن فیه،</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وثبت علیه ذلک بالبیّنة فکذلک</w:t>
      </w:r>
      <w:r>
        <w:rPr>
          <w:rStyle w:val="FootnoteAnchor"/>
          <w:rtl w:val="true"/>
        </w:rPr>
        <w:footnoteReference w:id="358"/>
      </w:r>
      <w:r>
        <w:rPr>
          <w:rFonts w:ascii="IRNazanin" w:hAnsi="IRNazanin" w:eastAsia="IRNazanin"/>
          <w:color w:val="111111"/>
          <w:sz w:val="28"/>
          <w:sz w:val="28"/>
          <w:szCs w:val="28"/>
          <w:rtl w:val="true"/>
          <w:lang w:bidi="fa-IR"/>
        </w:rPr>
        <w:t> یجوز له الرجوع علیه مقاصّةً</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أتحقّق معنی المقاصّة فی المقام؛ لأنّه إن أذن له وأدّاه بقصد أداء دَینه فهوضامن له، ولا مورد للتقاصّ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یأذن أو لم یقصد الضامن أداءه فلا حقّ له علیهحتّی یتحقّق موضوع التقاصّ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یقصد حین استیفاء الحق منه أداء دَین المضمون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اُخذ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یجوز للشاهدَین علی الإذن فی الضمان حینئذٍ أن یشهدا بالإذن</w:t>
      </w:r>
      <w:r>
        <w:rPr>
          <w:rStyle w:val="FootnoteAnchor"/>
          <w:rtl w:val="true"/>
        </w:rPr>
        <w:footnoteReference w:id="3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بیان کونه الإذن فی الضمان، أو کونه الإذن فی الأداء؟ الظاهر</w:t>
      </w:r>
      <w:r>
        <w:rPr>
          <w:rStyle w:val="FootnoteAnchor"/>
          <w:rtl w:val="true"/>
        </w:rPr>
        <w:footnoteReference w:id="361"/>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الإذن فی الأداء التزاماً بالضمان الطُولیّ، بأن یکون إذنه فیالأداء استیفاءً منه عن المؤدّی مقدار ما أدّاه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للشهادة بالإذن المطلق بلا ذکر المتعلّق، ولا تأثیر للبیّنة فیه، وهذابخلاف الفرض الآتی؛ فإنّ الشهادة علی الدَین موثّرة ولو بلا ذکر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والظاهر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ویظهر وجهه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ویترتّب علیها أثرها الشرعیّ، وهو صحّة التقاصّ، ولا یلزم أن یکون المشهود بهعنواناً مستقلّاً من العناوین الخاصّة ، بل المناط ثبوت الأثر الشرعیّ للشهادة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نعم،یشکل؛ من حیث إنّ المشهود به لیس تمام ما تحمّله الشاهدان؛ لأنّ المفروض أنّهالإذن فی الضمان، وفیه تفصیل لا یَسَعُه المقام، والظاهر أنّ نظره الشریف فیالإشکال إلی هذه الجهة، وقد جزم ؛ بصحّة الشهادة فی نظیر المقام فی الشهادةعلی النجاسة 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التفصیل بین ما إذا کان لکلّ طرفٍ أثر فسماع الشاهدَین، وبین ما إذا کان الأثرمختصّاً ببعض الأطراف فعدم سماعهما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 والشهادة بالدَین لیست من نظائره؛ لأنّ الدَین له فی حدّ نفسهتحقّق وأحکام، ولا یکون متقوّماً بأسبابه، بخلاف الإذن،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وکذا فی نظائره، کما إذا ادّعی شخص علی آخر أنّه یطلب قرضاً، وبَیِّنتُه </w:t>
      </w:r>
      <w:bookmarkStart w:id="179" w:name="pg13286_153743"/>
    </w:p>
    <w:p>
      <w:pPr>
        <w:pStyle w:val="BookText"/>
        <w:rPr/>
      </w:pPr>
      <w:bookmarkEnd w:id="179"/>
      <w:r>
        <w:rPr>
          <w:rFonts w:ascii="IRNazanin" w:hAnsi="IRNazanin" w:eastAsia="IRNazanin"/>
          <w:color w:val="111111"/>
          <w:sz w:val="28"/>
          <w:sz w:val="28"/>
          <w:szCs w:val="28"/>
          <w:rtl w:val="true"/>
          <w:lang w:bidi="fa-IR"/>
        </w:rPr>
        <w:t>تشهد بأنّه یطلبه من باب ثمن المبیع لا القرض، فیجوز لهما أن یشهدا بأصل الطلب من غیر بیان أنّه للقرض، أو لثمن المبیع علی إشکال</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الشهادة علی أصل الدَین من دون ذکر السبب لا إشکال فیه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إذا لم تکن الخصوصیّات مغیِّرةً للحکم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138540_2322387425"/>
      <w:bookmarkStart w:id="181" w:name="_Toc63"/>
      <w:bookmarkEnd w:id="180"/>
      <w:r>
        <w:rPr>
          <w:rtl w:val="true"/>
        </w:rPr>
        <w:t>لو ادّعی الضامن الوفاء وأنکر المضمون له</w:t>
      </w:r>
      <w:bookmarkEnd w:id="18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ادّعی الضامن الوفاء وأنکر المضمون له، وحلف</w:t>
      </w:r>
      <w:r>
        <w:rPr>
          <w:rStyle w:val="FootnoteAnchor"/>
          <w:rtl w:val="true"/>
        </w:rPr>
        <w:footnoteReference w:id="364"/>
      </w:r>
      <w:r>
        <w:rPr>
          <w:rFonts w:ascii="IRNazanin" w:hAnsi="IRNazanin" w:eastAsia="IRNazanin"/>
          <w:color w:val="111111"/>
          <w:sz w:val="28"/>
          <w:sz w:val="28"/>
          <w:szCs w:val="28"/>
          <w:rtl w:val="true"/>
          <w:lang w:bidi="fa-IR"/>
        </w:rPr>
        <w:t> لیس له الرجوع علی المضمون عنه إذا لم یصدِّقه فی ذلک، وإن صدّقه جاز له الرجوع إذا کان بإذنه، وتقبل شهادته له بالأداء إذا لم یکن هناک مانع من تُهمةٍ أو غیرها ممّا یمنع من قبول الشهادة</w:t>
      </w:r>
      <w:r>
        <w:rPr>
          <w:rFonts w:eastAsia="IRNazanin" w:cs="IRNazanin"/>
          <w:color w:val="111111"/>
          <w:sz w:val="28"/>
          <w:szCs w:val="28"/>
          <w:rtl w:val="true"/>
          <w:lang w:bidi="fa-IR"/>
        </w:rPr>
        <w:t>.</w:t>
      </w:r>
    </w:p>
    <w:p>
      <w:pPr>
        <w:pStyle w:val="Heading3"/>
        <w:numPr>
          <w:ilvl w:val="2"/>
          <w:numId w:val="1"/>
        </w:numPr>
        <w:rPr/>
      </w:pPr>
      <w:bookmarkStart w:id="182" w:name="__RefHeading___Toc2138542_2322387425"/>
      <w:bookmarkStart w:id="183" w:name="_Toc64"/>
      <w:bookmarkEnd w:id="182"/>
      <w:r>
        <w:rPr>
          <w:rtl w:val="true"/>
        </w:rPr>
        <w:t>لو أذِن له المدین فی وفاء دینه بلا ضمان فوفی</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أذِن المدیون لغیره فی وفاء دَینه بلا ضمانٍ فوفّی جاز له الرجوع علیه</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یقیّد إذنه بالوفاء المجّانی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الوفاء وأنکر الإذن قُبِلَ قول المأذون؛ لأنّه أمین من قبله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قیّد الأداء بالإشهاد وادّعی الإشهاد وغَیبة الشاهدَین قُبِلَ قوله أیضاً، ولو علم عدم إشهاده لیس له الرجوع، نعم، لو علم أنّه وفّاه ولکن لم یشهد </w:t>
      </w:r>
    </w:p>
    <w:p>
      <w:pPr>
        <w:pStyle w:val="BookText"/>
        <w:rPr/>
      </w:pPr>
      <w:r>
        <w:rPr>
          <w:rFonts w:ascii="IRNazanin" w:hAnsi="IRNazanin" w:eastAsia="IRNazanin"/>
          <w:color w:val="111111"/>
          <w:sz w:val="28"/>
          <w:sz w:val="28"/>
          <w:szCs w:val="28"/>
          <w:rtl w:val="true"/>
          <w:lang w:bidi="fa-IR"/>
        </w:rPr>
        <w:t>یحتمل</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لا یُعَوَّل علیه بعد تقیید الإذن بالوقاء بالإشهاد، نعم، تبرأ ذمّته، ولکنلیس للمؤدّی الرجوع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الظاهر فیما لو کان الغرض من الإشهاد علم الآذن بحصول الوفاء من قبلالمأذون، وأمّا لو کان الغرض منه القدرة علی إقامة البیّنة فی مقابل الدائِن لو أنکر الوفاءفرضاً، أو کان الغرض منه کلا الأمرین فجواز الرجوع علیه فی الفرضَین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الغرض من الإشهاد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لا یکون ذلک، مثل أن یخاف من الدائن دعوی عدم الضمان، أو عدم الوفاءبعد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بحصول الوفاء</w:t>
      </w:r>
      <w:r>
        <w:rPr>
          <w:rStyle w:val="FootnoteAnchor"/>
          <w:rtl w:val="true"/>
        </w:rPr>
        <w:footnoteReference w:id="367"/>
      </w:r>
      <w:r>
        <w:rPr>
          <w:rFonts w:ascii="IRNazanin" w:hAnsi="IRNazanin" w:eastAsia="IRNazanin"/>
          <w:color w:val="111111"/>
          <w:sz w:val="28"/>
          <w:sz w:val="28"/>
          <w:szCs w:val="28"/>
          <w:rtl w:val="true"/>
          <w:lang w:bidi="fa-IR"/>
        </w:rPr>
        <w:t>، والمفروض تحقّقه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کتاب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3286_153745"/>
    </w:p>
    <w:p>
      <w:pPr>
        <w:pStyle w:val="Heading2"/>
        <w:numPr>
          <w:ilvl w:val="1"/>
          <w:numId w:val="1"/>
        </w:numPr>
        <w:rPr/>
      </w:pPr>
      <w:bookmarkStart w:id="185" w:name="__RefHeading___Toc2138544_2322387425"/>
      <w:bookmarkStart w:id="186" w:name="_Toc65"/>
      <w:bookmarkEnd w:id="184"/>
      <w:bookmarkEnd w:id="185"/>
      <w:r>
        <w:rPr>
          <w:rtl w:val="true"/>
        </w:rPr>
        <w:t>کتاب الحوالة</w:t>
      </w:r>
      <w:bookmarkEnd w:id="1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2138546_2322387425"/>
      <w:bookmarkStart w:id="188" w:name="_Toc66"/>
      <w:bookmarkEnd w:id="187"/>
      <w:r>
        <w:rPr>
          <w:rtl w:val="true"/>
        </w:rPr>
        <w:t>اشارة</w:t>
      </w:r>
      <w:bookmarkEnd w:id="1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3286_153747"/>
      <w:bookmarkStart w:id="190" w:name="pg13286_153747"/>
      <w:bookmarkEnd w:id="190"/>
    </w:p>
    <w:p>
      <w:pPr>
        <w:pStyle w:val="BookText"/>
        <w:rPr/>
      </w:pPr>
      <w:bookmarkStart w:id="191" w:name="pg13286_153747"/>
      <w:bookmarkEnd w:id="191"/>
      <w:r>
        <w:rPr>
          <w:rFonts w:ascii="Amiri" w:hAnsi="Amiri" w:eastAsia="Amiri" w:cs="Amiri"/>
          <w:color w:val="111111"/>
          <w:sz w:val="28"/>
          <w:sz w:val="28"/>
          <w:szCs w:val="28"/>
          <w:rtl w:val="true"/>
          <w:lang w:bidi="ar-SA"/>
        </w:rPr>
        <w:t>الحوالة</w:t>
      </w:r>
    </w:p>
    <w:p>
      <w:pPr>
        <w:pStyle w:val="Heading3"/>
        <w:numPr>
          <w:ilvl w:val="2"/>
          <w:numId w:val="1"/>
        </w:numPr>
        <w:rPr/>
      </w:pPr>
      <w:bookmarkStart w:id="192" w:name="__RefHeading___Toc2138548_2322387425"/>
      <w:bookmarkStart w:id="193" w:name="_Toc67"/>
      <w:bookmarkEnd w:id="192"/>
      <w:r>
        <w:rPr>
          <w:rtl w:val="true"/>
        </w:rPr>
        <w:t>تعریف الحوالة وشرائطها العامّة</w:t>
      </w:r>
      <w:bookmarkEnd w:id="193"/>
    </w:p>
    <w:p>
      <w:pPr>
        <w:pStyle w:val="BookText"/>
        <w:rPr/>
      </w:pPr>
      <w:r>
        <w:rPr>
          <w:rFonts w:ascii="IRNazanin" w:hAnsi="IRNazanin" w:eastAsia="IRNazanin"/>
          <w:color w:val="111111"/>
          <w:sz w:val="28"/>
          <w:sz w:val="28"/>
          <w:szCs w:val="28"/>
          <w:rtl w:val="true"/>
          <w:lang w:bidi="fa-IR"/>
        </w:rPr>
        <w:t>وهی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المال من ذمّةٍ إلی ذمّة، والأولی</w:t>
      </w:r>
      <w:r>
        <w:rPr>
          <w:rStyle w:val="FootnoteAnchor"/>
          <w:rtl w:val="true"/>
        </w:rPr>
        <w:footnoteReference w:id="369"/>
      </w:r>
      <w:r>
        <w:rPr>
          <w:rFonts w:ascii="IRNazanin" w:hAnsi="IRNazanin" w:eastAsia="IRNazanin"/>
          <w:color w:val="111111"/>
          <w:sz w:val="28"/>
          <w:sz w:val="28"/>
          <w:szCs w:val="28"/>
          <w:rtl w:val="true"/>
          <w:lang w:bidi="fa-IR"/>
        </w:rPr>
        <w:t>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w:t>
      </w:r>
    </w:p>
    <w:p>
      <w:pPr>
        <w:pStyle w:val="BookText"/>
        <w:rPr/>
      </w:pPr>
      <w:r>
        <w:rPr>
          <w:rFonts w:ascii="Amiri" w:hAnsi="Amiri" w:eastAsia="Amiri" w:cs="Amiri"/>
          <w:color w:val="111111"/>
          <w:sz w:val="28"/>
          <w:sz w:val="28"/>
          <w:szCs w:val="28"/>
          <w:rtl w:val="true"/>
          <w:lang w:bidi="ar-SA"/>
        </w:rPr>
        <w:t>إحالةُ المدیونِ دائنَه إلی غیره</w:t>
      </w:r>
      <w:r>
        <w:rPr>
          <w:rStyle w:val="FootnoteAnchor"/>
          <w:rtl w:val="true"/>
        </w:rPr>
        <w:footnoteReference w:id="370"/>
      </w:r>
      <w:r>
        <w:rPr>
          <w:rFonts w:ascii="Amiri" w:hAnsi="Amiri" w:eastAsia="Amiri" w:cs="Amiri"/>
          <w:color w:val="111111"/>
          <w:sz w:val="28"/>
          <w:sz w:val="28"/>
          <w:szCs w:val="28"/>
          <w:rtl w:val="true"/>
          <w:lang w:bidi="ar-SA"/>
        </w:rPr>
        <w:t>، أو إحالةُ المدیونِ دَینَه من ذمّته إلی ذمّة</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أحَلتُهُ بِدَینِه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نقلته من ذمّتک إلی غیر ذمّتک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وأحال علیه بدَینه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مصطلح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 لتحویل المال من ذمّةٍ إلی ذمّةٍ مشغولةٍ بمثله، أو غیر مشغولةٍعلی اختلافٍ فیه بشرط رضا الثلاثة، واقتُصِرَ علی رضا المُحِیل والمُحتال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ما ذکرهبعض المحقّقین علی أقسامٍ أربعة؛ لأنّ المحیل والمحال علیه إمّا أن یکونا مشغولی الذمّة، وهذههی الحوالة الحقیقیّة أو یکونا بریئَین وهذه وکالة فی إقراض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المحال علیه مشغولالذمّة خاصّةً وهذه وکالة فی استیفاء دَین أو المحیل خاصّةً وهی ملحقة بالاُولی إن لم یشترطشغل ذمّة المحال علیه، ومع الاشتراط فهی بالضمان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مادةحول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ینتقض طرده بالضمان؛ فإنّه وإن کان تحویلاً من الضامن للدَین من ذمّة المضمون عنه إلی ذمّته إلّا أنّه لیس فیه الإحالة المذکورة</w:t>
      </w:r>
      <w:r>
        <w:rPr>
          <w:rStyle w:val="FootnoteAnchor"/>
          <w:rtl w:val="true"/>
        </w:rPr>
        <w:footnoteReference w:id="37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خصوصاً إذا لم یکن بسوالٍ من المضمون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فیها مضافاً إلی البلوغ</w:t>
      </w:r>
      <w:r>
        <w:rPr>
          <w:rStyle w:val="FootnoteAnchor"/>
          <w:rtl w:val="true"/>
        </w:rPr>
        <w:footnoteReference w:id="372"/>
      </w:r>
      <w:r>
        <w:rPr>
          <w:rFonts w:ascii="IRNazanin" w:hAnsi="IRNazanin" w:eastAsia="IRNazanin"/>
          <w:color w:val="111111"/>
          <w:sz w:val="28"/>
          <w:sz w:val="28"/>
          <w:szCs w:val="28"/>
          <w:rtl w:val="true"/>
          <w:lang w:bidi="fa-IR"/>
        </w:rPr>
        <w:t>، والعقل، والاختیار</w:t>
      </w:r>
      <w:r>
        <w:rPr>
          <w:rStyle w:val="FootnoteAnchor"/>
          <w:rtl w:val="true"/>
        </w:rPr>
        <w:footnoteReference w:id="373"/>
      </w:r>
      <w:r>
        <w:rPr>
          <w:rFonts w:ascii="IRNazanin" w:hAnsi="IRNazanin" w:eastAsia="IRNazanin"/>
          <w:color w:val="111111"/>
          <w:sz w:val="28"/>
          <w:sz w:val="28"/>
          <w:szCs w:val="28"/>
          <w:rtl w:val="true"/>
          <w:lang w:bidi="fa-IR"/>
        </w:rPr>
        <w:t>، وعدم</w:t>
      </w:r>
    </w:p>
    <w:p>
      <w:pPr>
        <w:pStyle w:val="BookText"/>
        <w:rPr/>
      </w:pPr>
      <w:r>
        <w:rPr>
          <w:rFonts w:ascii="Amiri" w:hAnsi="Amiri" w:eastAsia="Amiri" w:cs="Amiri"/>
          <w:color w:val="111111"/>
          <w:sz w:val="28"/>
          <w:sz w:val="28"/>
          <w:szCs w:val="28"/>
          <w:rtl w:val="true"/>
          <w:lang w:bidi="ar-SA"/>
        </w:rPr>
        <w:t>السَفَه فی الثلاثة</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رضا المحال علیه مطلقاً، أو فی خصوص البریء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سفاهة المحیل إذا کانت الحوالة علی البریء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المُحِیل والمحتال والمُحال علیه، وعدم</w:t>
      </w:r>
    </w:p>
    <w:p>
      <w:pPr>
        <w:pStyle w:val="BookText"/>
        <w:rPr/>
      </w:pPr>
      <w:r>
        <w:rPr>
          <w:rFonts w:ascii="Amiri" w:hAnsi="Amiri" w:eastAsia="Amiri" w:cs="Amiri"/>
          <w:color w:val="111111"/>
          <w:sz w:val="28"/>
          <w:sz w:val="28"/>
          <w:szCs w:val="28"/>
          <w:rtl w:val="true"/>
          <w:lang w:bidi="ar-SA"/>
        </w:rPr>
        <w:t>الحَجر</w:t>
      </w:r>
      <w:r>
        <w:rPr>
          <w:rStyle w:val="FootnoteAnchor"/>
          <w:rtl w:val="true"/>
        </w:rPr>
        <w:footnoteReference w:id="375"/>
      </w:r>
      <w:r>
        <w:rPr>
          <w:rFonts w:ascii="Amiri" w:hAnsi="Amiri" w:eastAsia="Amiri" w:cs="Amiri"/>
          <w:color w:val="111111"/>
          <w:sz w:val="28"/>
          <w:sz w:val="28"/>
          <w:szCs w:val="28"/>
          <w:rtl w:val="true"/>
          <w:lang w:bidi="ar-SA"/>
        </w:rPr>
        <w:t> بالسَفَه</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کأنّه سهو من قلمه الشریف، أو من النُسّاخ،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الحَجر بالفَلَس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فی النسخ،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الحَجر بالفَلَس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اعتبار عدم السَفَه فی الثلاثة، فلعلّ العبارة کانت عدم الحَجر بالفَلَس وصارسهواً من قلم النُسّاخ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بالفَلَس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بالفَلَس، والظاهر اشتباه النسخة، وإنّما یعتبر عدم الحَجر بالفَلَس فی المحتالوکذا فی المحیل، إلّا علی البریء، وأمّا فی المحال علیه فلا یعتبر وإن کان محجوراًعلیه فی أمواله الموجودة قبل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نسخةٍ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بالفَلَس، وهو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من سهو القلم أو غلط النُسّاخ، وصحیحها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بالفَلَس؛ حیث إنّ عدم السَفَه مرّ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القلم،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والصحیح عدم الحَجْر بالفَلَس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اشتباه النسخ، والصواب بالفَلَس، کما أنّ الظاهر اتّحاد حکم السَفَه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فی المحتال</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بالفَلَس والجنون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والمحال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فی النسخ،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الحَجر بالفَلَس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الاشتراط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یُعلم وجهٌ لمنع حَجر المحال علیه عن الحوالة علیه؛ لعدم کونه تصرّفاً فیالمال الخارجی، بل هی نقل لذمّته المشغولة بدَین المحیل إلی المحتال فصارتمشغولة بدَینه، فإن قلنا بأنّه عین الدَین السابق فالمحتال شریک للغرماء، وإن قلنابأنّ هذا دَین حادث فالمحتال لم یکن شریکاً لهم، مثل سائر الدیون الحادثة بعدالحَجر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لاعتبار عدم الفَلَس بالإضافة إلی المحال علیه، والحَجر علیه فی أموالهالموجودة لا یستلزم الحَجر علیه فی الحوالة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والمحیل، إلّا إذا کانت</w:t>
      </w:r>
      <w:bookmarkStart w:id="194" w:name="pg13286_153750"/>
    </w:p>
    <w:p>
      <w:pPr>
        <w:pStyle w:val="BookText"/>
        <w:rPr/>
      </w:pPr>
      <w:bookmarkEnd w:id="194"/>
      <w:r>
        <w:rPr>
          <w:rFonts w:ascii="IRNazanin" w:hAnsi="IRNazanin" w:eastAsia="IRNazanin"/>
          <w:color w:val="111111"/>
          <w:sz w:val="28"/>
          <w:sz w:val="28"/>
          <w:szCs w:val="28"/>
          <w:rtl w:val="true"/>
          <w:lang w:bidi="fa-IR"/>
        </w:rPr>
        <w:t>الحوالة علی البریء</w:t>
      </w:r>
      <w:r>
        <w:rPr>
          <w:rStyle w:val="FootnoteAnchor"/>
          <w:rtl w:val="true"/>
        </w:rPr>
        <w:footnoteReference w:id="378"/>
      </w:r>
      <w:r>
        <w:rPr>
          <w:rFonts w:ascii="IRNazanin" w:hAnsi="IRNazanin" w:eastAsia="IRNazanin"/>
          <w:color w:val="111111"/>
          <w:sz w:val="28"/>
          <w:sz w:val="28"/>
          <w:szCs w:val="28"/>
          <w:rtl w:val="true"/>
          <w:lang w:bidi="fa-IR"/>
        </w:rPr>
        <w:t> ـ فإنّه لا بأس به</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المحیل مفلَّساً أم المحال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أن یکون المحیل مفلَّساً، أو المحال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نظیر الاقتراض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معاملات السَفیه کلّها باطلة شرعاً اقتراضاً أو غیره، ویکفی إطلاق الآیة الشریفة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5" w:name="__RefHeading___Toc2138550_2322387425"/>
      <w:bookmarkStart w:id="196" w:name="_Toc68"/>
      <w:bookmarkEnd w:id="195"/>
      <w:r>
        <w:rPr>
          <w:rtl w:val="true"/>
        </w:rPr>
        <w:t>الشرائط المعتبرة فی الحوالة</w:t>
      </w:r>
      <w:bookmarkEnd w:id="196"/>
    </w:p>
    <w:p>
      <w:pPr>
        <w:pStyle w:val="Heading4"/>
        <w:numPr>
          <w:ilvl w:val="3"/>
          <w:numId w:val="1"/>
        </w:numPr>
        <w:rPr/>
      </w:pPr>
      <w:bookmarkStart w:id="197" w:name="__RefHeading___Toc2138552_2322387425"/>
      <w:bookmarkStart w:id="198" w:name="_Toc69"/>
      <w:bookmarkEnd w:id="197"/>
      <w:r>
        <w:rPr>
          <w:rtl w:val="true"/>
        </w:rPr>
        <w:t>الأوّل</w:t>
      </w:r>
      <w:r>
        <w:rPr>
          <w:rtl w:val="true"/>
        </w:rPr>
        <w:t xml:space="preserve">: </w:t>
      </w:r>
      <w:r>
        <w:rPr>
          <w:rtl w:val="true"/>
        </w:rPr>
        <w:t>الإیجاب والقبول</w:t>
      </w:r>
      <w:bookmarkEnd w:id="198"/>
    </w:p>
    <w:p>
      <w:pPr>
        <w:pStyle w:val="BookText"/>
        <w:rPr/>
      </w:pPr>
      <w:r>
        <w:rPr>
          <w:rFonts w:ascii="Amiri" w:hAnsi="Amiri" w:eastAsia="Amiri" w:cs="Amiri"/>
          <w:color w:val="111111"/>
          <w:sz w:val="28"/>
          <w:sz w:val="28"/>
          <w:szCs w:val="28"/>
          <w:rtl w:val="true"/>
          <w:lang w:bidi="ar-SA"/>
        </w:rPr>
        <w:t xml:space="preserve">منه ـ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والقبول علی ما هو المشهور</w:t>
      </w:r>
      <w:r>
        <w:rPr>
          <w:rStyle w:val="FootnoteAnchor"/>
          <w:rtl w:val="true"/>
        </w:rPr>
        <w:footnoteReference w:id="380"/>
      </w:r>
      <w:r>
        <w:rPr>
          <w:rFonts w:ascii="IRNazanin" w:hAnsi="IRNazanin" w:eastAsia="IRNazanin"/>
          <w:color w:val="111111"/>
          <w:sz w:val="28"/>
          <w:sz w:val="28"/>
          <w:szCs w:val="28"/>
          <w:rtl w:val="true"/>
          <w:lang w:bidi="fa-IR"/>
        </w:rPr>
        <w:t>بینهم؛</w:t>
      </w:r>
    </w:p>
    <w:p>
      <w:pPr>
        <w:pStyle w:val="BookText"/>
        <w:rPr/>
      </w:pPr>
      <w:r>
        <w:rPr>
          <w:rFonts w:ascii="IRNazanin" w:hAnsi="IRNazanin" w:eastAsia="IRNazanin"/>
          <w:color w:val="111111"/>
          <w:sz w:val="28"/>
          <w:sz w:val="28"/>
          <w:szCs w:val="28"/>
          <w:rtl w:val="true"/>
          <w:lang w:bidi="fa-IR"/>
        </w:rPr>
        <w:t>حیث عدّوها من العقود اللازمة، فالإیجاب من المُحیل والقبول من</w:t>
      </w:r>
    </w:p>
    <w:p>
      <w:pPr>
        <w:pStyle w:val="BookText"/>
        <w:rPr/>
      </w:pP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المُحال علیه فلیس من أرکان العقد، وإن اعتبرنا رضاه</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مقارناً أو متراخیاً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أو إذا کان بریئاً؛ فإنّ مجرّد اشتراط الرضا منه لا یدلّ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کونه طرفاً ورکناً للمعاملة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ذلک فی الحوالة علی البریء، أو الحوالة بغیر جنس ما علی المحالعلیه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فی غایة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فی الحوالة بغیر الجنس، أو علی البریء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رضاه إلّا إذا کان بریئاً؛ لأنّ الحوالة علی البریء عبارة عنالاستیفاء بالضمان الطُولیّ، فالبریء المحال علیه یصیر برضاه ضامناً لِما فی ذمّةالمحیل، وحیث إنّ هذا الضمان إنّما هو بإذنٍ من المضمون عنه المستفاد من حوالتهفیکون ضامناً للمحال علیه بعد أدائه ما ضمنه وبمقداره، ومن هذا البیان ظهر أنّالعقد أبداً مرکّب من إیجابٍ وقبول، نعم، ربّما تکون قضیّة واحدة فی المعاملاتالدارجة تنحلّ إلی قضیّتین، فیتوهّم أنّ هناک إیجاباً وقبولَین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اعتباره فی الحوالة علی البریء، أو بغیر جنس ما علی المحال علیه،والأحوط اعتباره فی غیرهما أیضاً، لکن لا یبعد عدم اعتبار عدم الفصل المعتبر فیالقبول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فیکون العقد مرکّباً من الإیجاب والقبولَین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منحلّاً إلی عقدَین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ویصحّ التحلیل إلی العقدَین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ذکروه</w:t>
      </w:r>
    </w:p>
    <w:p>
      <w:pPr>
        <w:pStyle w:val="BookText"/>
        <w:rPr/>
      </w:pPr>
      <w:r>
        <w:rPr>
          <w:rFonts w:ascii="IRNazanin" w:hAnsi="IRNazanin" w:eastAsia="IRNazanin"/>
          <w:color w:val="111111"/>
          <w:sz w:val="28"/>
          <w:sz w:val="28"/>
          <w:szCs w:val="28"/>
          <w:rtl w:val="true"/>
          <w:lang w:bidi="fa-IR"/>
        </w:rPr>
        <w:t>یشترط فیها ما یشترط فی العقود</w:t>
      </w:r>
      <w:r>
        <w:rPr>
          <w:rStyle w:val="FootnoteAnchor"/>
          <w:rtl w:val="true"/>
        </w:rPr>
        <w:footnoteReference w:id="384"/>
      </w:r>
      <w:r>
        <w:rPr>
          <w:rFonts w:ascii="Amiri" w:hAnsi="Amiri" w:eastAsia="Amiri" w:cs="Amiri"/>
          <w:color w:val="111111"/>
          <w:sz w:val="28"/>
          <w:sz w:val="28"/>
          <w:szCs w:val="28"/>
          <w:rtl w:val="true"/>
          <w:lang w:bidi="ar-SA"/>
        </w:rPr>
        <w:t> اللازمة، من الموالاة</w:t>
      </w:r>
      <w:r>
        <w:rPr>
          <w:rStyle w:val="FootnoteAnchor"/>
          <w:rtl w:val="true"/>
        </w:rPr>
        <w:footnoteReference w:id="385"/>
      </w:r>
      <w:r>
        <w:rPr>
          <w:rFonts w:ascii="IRNazanin" w:hAnsi="IRNazanin" w:eastAsia="IRNazanin"/>
          <w:color w:val="111111"/>
          <w:sz w:val="28"/>
          <w:sz w:val="28"/>
          <w:szCs w:val="28"/>
          <w:rtl w:val="true"/>
          <w:lang w:bidi="fa-IR"/>
        </w:rPr>
        <w:t> بین الإیجاب  </w:t>
      </w:r>
    </w:p>
    <w:p>
      <w:pPr>
        <w:pStyle w:val="BookText"/>
        <w:rPr/>
      </w:pPr>
      <w:r>
        <w:rPr>
          <w:rFonts w:ascii="IRNazanin" w:hAnsi="IRNazanin" w:eastAsia="IRNazanin"/>
          <w:color w:val="111111"/>
          <w:sz w:val="28"/>
          <w:sz w:val="28"/>
          <w:szCs w:val="28"/>
          <w:rtl w:val="true"/>
          <w:lang w:bidi="fa-IR"/>
        </w:rPr>
        <w:t>والقبول ونحوها، فلا تصحّ مع غَیبة</w:t>
      </w:r>
      <w:r>
        <w:rPr>
          <w:rStyle w:val="FootnoteAnchor"/>
          <w:rtl w:val="true"/>
        </w:rPr>
        <w:footnoteReference w:id="386"/>
      </w:r>
      <w:r>
        <w:rPr>
          <w:rFonts w:ascii="IRNazanin" w:hAnsi="IRNazanin" w:eastAsia="IRNazanin"/>
          <w:color w:val="111111"/>
          <w:sz w:val="28"/>
          <w:sz w:val="28"/>
          <w:szCs w:val="28"/>
          <w:rtl w:val="true"/>
          <w:lang w:bidi="fa-IR"/>
        </w:rPr>
        <w:t> المحتال أو المحال علیه</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 من أرکان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کلیهما</w:t>
      </w:r>
    </w:p>
    <w:p>
      <w:pPr>
        <w:pStyle w:val="BookText"/>
        <w:rPr/>
      </w:pPr>
      <w:r>
        <w:rPr>
          <w:rFonts w:ascii="IRNazanin" w:hAnsi="IRNazanin" w:eastAsia="IRNazanin"/>
          <w:color w:val="111111"/>
          <w:sz w:val="28"/>
          <w:sz w:val="28"/>
          <w:szCs w:val="28"/>
          <w:rtl w:val="true"/>
          <w:lang w:bidi="fa-IR"/>
        </w:rPr>
        <w:t>بأن أوقع الحوالة بالکتابة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الّذی یقوی</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کونها عقداً، وهکذا الضمان والوکالة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قوّاه  قدّس سرّه فی غایة الضعف، والحقّ أنّها والضمان والوکالة من العقود، وما استدلّوعلّل لإثبات دعواه فی غایة الضعف؛ إذ الحوالة نقل الدَین اختیاراً من ذمّةٍ إلی ذمّةٍاُخری، وهذا المعنی نحو تصرّفٍ فی ملک الغیر وفی ذمّته، فیحتاج إلی القبول، فأینهو 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الأمر فی اُختَیها، بل فیهما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عندی</w:t>
      </w:r>
      <w:r>
        <w:rPr>
          <w:rStyle w:val="FootnoteAnchor"/>
          <w:rtl w:val="true"/>
        </w:rPr>
        <w:footnoteReference w:id="390"/>
      </w:r>
      <w:r>
        <w:rPr>
          <w:rFonts w:ascii="IRNazanin" w:hAnsi="IRNazanin" w:eastAsia="IRNazanin"/>
          <w:color w:val="111111"/>
          <w:sz w:val="28"/>
          <w:sz w:val="28"/>
          <w:szCs w:val="28"/>
          <w:rtl w:val="true"/>
          <w:lang w:bidi="fa-IR"/>
        </w:rPr>
        <w:t> کونها</w:t>
      </w:r>
      <w:r>
        <w:rPr>
          <w:rStyle w:val="FootnoteAnchor"/>
          <w:rtl w:val="true"/>
        </w:rPr>
        <w:footnoteReference w:id="391"/>
      </w:r>
      <w:r>
        <w:rPr>
          <w:rFonts w:ascii="IRNazanin" w:hAnsi="IRNazanin" w:eastAsia="IRNazanin"/>
          <w:color w:val="111111"/>
          <w:sz w:val="28"/>
          <w:sz w:val="28"/>
          <w:szCs w:val="28"/>
          <w:rtl w:val="true"/>
          <w:lang w:bidi="fa-IR"/>
        </w:rPr>
        <w:t> من الإیقاع</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ضعف هذه الدعوی فی الحوالة، وکذا فی الضمان أیضاً والوکالةوانعقادها بالکتابة، ومع عدم التوالی بین الإیجاب والقبول لا یوجب أن تکون منالإیقاع، ولتوضیح الفرق بینها وبین سائر العقود اللازمة فی ذلک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الّذی یقوی کونه عقداً بین المحیل والمحتال، وکذا الضمان والوکالة، نعم،الظاهر صدق هذه المقالة فی الجعالة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ضعیف جدّاً، وما استدلّ به علیه أضعف منه؛ إذ الوفاء هو تأدیة الدَین إلیمالکه، والمدیون هو السلطان علیها بعد حلوله، ولیس لصاحبه الامتناع منه،والمحیل لا یودّی ما فی ذمّته إلی مالکه، بل ینقله إلی ذمّةٍ اُخری، وهو تصرّف فیملک الغیر وفی ذمّة الغیر بلا سلطنة منه علیهما، فلا یصحّ بدون قبولهما، فظهر بهذااحتیاج الضمان أیضاً إلی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کون الحوالة والضمان والوکالة من العقود، ولا ینافیه عدم اعتبار ما ذکرهفیها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کونها عقداً، وکذلک الأمر فی الضمان والوکالة، والفرق بین الإذن فیبیع الدار والوکالة فیه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أنّها من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ملازمة بین کون الحوالة من العقود وبین اعتبار جمیع ما اعتبروه فی العقوداللازمة فیها؛ لعدم التسلیم بالنسبة إلی جملةٍ منها أوّلاً، وعدم دلیل علی التعمیمثانیاً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غایة الضعف فی المقام، وکذا فی الضمان والوکالة، ولا إشکال فی أنّکلّها من العقود وفیها میزانها المقوّم لها، وأمّا الإذن فهو إیقاع، والفرق بینه وبینالوکالة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کما أنّ الأمر کذلک فی الضمان والوکالة، نعم، لا یبعد جوازالاکتفاء فی جمیعها بالکتابة، وعدم اعتبار الموالاة بین الإیجاب والقبول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حقیقة الحوالة نقل من المحیل ما فی ذمّته للمحتال إلی ذمّة المحالعلیه، وبهذا الاعتبار تکون عقداً، وحصول الإیفاء والاستیفاء فی خصوص الحوالةعلی المدیون أمر خارج عن حقیقة العقد، کما فی بیع الدَین علی المدیون؛ ولذاتصحّ الحوالة علی البریء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کونها عقداً، وکذا الضمان والوکالة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ضعیفة جدّاً، وکذا فی الضمان والوکالة، وانعقاد هذه العقود بالکتابة،ومع عدم التوالی بین الإیجاب والقبول وإن کان صحیحاً إلّا أنّه لا یوجب کونها منالإیقاع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بل الأقوی خلافه، وما ذکره من التعلیل علیل؛ إذ الفرق بینه وبینسائر أنواع وفاء الدَین ما أشار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توجب انتقال الدَین منذمّته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فالأظهر أنّها من العقود، ومتقوّمة بالإیجاب من المحیل، والقبولمن المحتال، ولا ینافیه عدم اعتبار ما ذکره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الحوالة وکذا الضمان والوکالة کلّها من العقود، أمّا الحوالة فلأنّ حقیقتهالا ترجع إلی الوفاء، بل هی عبارة عن نقل المحیل ما فی ذمّته للمحتال إلی المحالعلیه، فهو تصرّف فی ملک الغیر من جهة، وفی ذمّة الغیر من جهةٍ اُخری، ولا یعقلتحقّقها بدون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الضمان فکذلک؛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الوکالة فلأنّها تغایر مجرّدالإذن؛ لأنّ حقیقتها النیابة المضافة إلیهما، ولیس لأحدهما الاستقلال فیها،والمفروض أنّه موضوع فی الشرع والعرف لآثارٍ خاصّة، وهذا بخلاف الإذن الّذیهو مجرّد ترخیص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غایة الأمر اعتبار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الرضا</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المبرز اللفظیّ أو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المحتال، أو منه ومن المحال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ومجرّد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یصیّره</w:t>
      </w:r>
    </w:p>
    <w:p>
      <w:pPr>
        <w:pStyle w:val="BookText"/>
        <w:rPr/>
      </w:pPr>
      <w:r>
        <w:rPr>
          <w:rFonts w:ascii="IRNazanin" w:hAnsi="IRNazanin" w:eastAsia="IRNazanin"/>
          <w:color w:val="111111"/>
          <w:sz w:val="28"/>
          <w:sz w:val="28"/>
          <w:szCs w:val="28"/>
          <w:rtl w:val="true"/>
          <w:lang w:bidi="fa-IR"/>
        </w:rPr>
        <w:t>عقداً؛ وذلک لأنّها نوع من وفاء الدَین</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إفادة العقد فائدة الإیقاع لا یصیّره إیقاعاً، کما أنّ إفادة عقدِ فائدةِ عقدٍ آخر بذلکالعقد وإفادة المکاتبة فائدة العتق لا یصیّرها إیقاعاً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الصلح فائدة الإجارة أوبیعاً لا یخرجه عن کونه صلحاً وحقیقةً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أنت مأذون ببیع داریفلیست هی إیقاعاً ولا عقداً، بل هی إباحة ورخصة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فائدته فائدة الوکالة لا یقتضی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ردّ الإذن جاز لهالبیع، بخلاف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الغریب قوله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ومجرّد هذا لا یصیّره 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لانعرف ضابطةً تمتاز بها العقود من الإیقاعات، سوی أنّ المسبّبات الشرعیّة إذاتوقّفت أسبابها علی طرفَین فهی عقود، وإذا کفی فی تحقّقها طرف واحد فهی إیقاع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ولیته ـ طاب ثراه ـ ذکر لنا غیر هذه الضابطة، ولو سلّمنا أنّ الحوالة والضمان إیقاع ـولکنّ الإیقاعات کلّها لا تصحّ، ولا تقع إلّا باللفظ والصیغة الخاصّة، ولا یصحّ شیءمنها بالکتابة وحدها، کالطلاق والعتق ونحوهما ـ فما ذکره  قدّس سرّه ممنوع صغریوکبری، وسَبک مجازٍ بمجاز، ولو اعتبرنا الرضا شرطاً أمکن ذلک فی جمیع العقود،ولا یبقی مائز، ولا فرق بین العقد والإیقاع أصلاً، فتدبّره جیّداً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نمنع کون هذا النوع إیقاعاً، کما أشار إلی الفرق بینه وبین غیره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وإنکانت توجب انتقال الدَین من ذمّته إلی ذمّة المحال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وإن کان فی بعض أنحاء وفاء الدَین احتیاج إلی قبول الدائن، وهوفیما إذا أراد المدیون أداء الدَین من غیر جنس الدَین، کأداء التومان فی مقام وفاءالدینار، إلّا أنّه فی مقام الإسقاط، لا فی مقام الإثبات، بخلاف الحوالة والضمانفإنّهما بحسب الظاهر فی مقام الإثبات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توجب انتقال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الدَین</w:t>
      </w:r>
      <w:r>
        <w:rPr>
          <w:rStyle w:val="FootnoteAnchor"/>
          <w:rtl w:val="true"/>
        </w:rPr>
        <w:footnoteReference w:id="395"/>
      </w:r>
      <w:r>
        <w:rPr>
          <w:rFonts w:ascii="IRNazanin" w:hAnsi="IRNazanin" w:eastAsia="IRNazanin"/>
          <w:color w:val="111111"/>
          <w:sz w:val="28"/>
          <w:sz w:val="28"/>
          <w:szCs w:val="28"/>
          <w:rtl w:val="true"/>
          <w:lang w:bidi="fa-IR"/>
        </w:rPr>
        <w:t xml:space="preserve"> من ذمّته إلی ذمّة المحال علیه، فهذا النقل والانتقال </w:t>
      </w:r>
    </w:p>
    <w:p>
      <w:pPr>
        <w:pStyle w:val="BookText"/>
        <w:rPr/>
      </w:pPr>
      <w:r>
        <w:rPr>
          <w:rFonts w:ascii="IRNazanin" w:hAnsi="IRNazanin" w:eastAsia="IRNazanin"/>
          <w:color w:val="111111"/>
          <w:sz w:val="28"/>
          <w:sz w:val="28"/>
          <w:szCs w:val="28"/>
          <w:rtl w:val="true"/>
          <w:lang w:bidi="fa-IR"/>
        </w:rPr>
        <w:t>نوع من الوفاء</w:t>
      </w:r>
      <w:r>
        <w:rPr>
          <w:rStyle w:val="FootnoteAnchor"/>
          <w:rtl w:val="true"/>
        </w:rPr>
        <w:footnoteReference w:id="396"/>
      </w:r>
      <w:r>
        <w:rPr>
          <w:rFonts w:ascii="IRNazanin" w:hAnsi="IRNazanin" w:eastAsia="IRNazanin"/>
          <w:color w:val="111111"/>
          <w:sz w:val="28"/>
          <w:sz w:val="28"/>
          <w:szCs w:val="28"/>
          <w:rtl w:val="true"/>
          <w:lang w:bidi="fa-IR"/>
        </w:rPr>
        <w:t>، وهو لا یکون عقداً</w:t>
      </w:r>
      <w:r>
        <w:rPr>
          <w:rStyle w:val="FootnoteAnchor"/>
          <w:rtl w:val="true"/>
        </w:rPr>
        <w:footnoteReference w:id="397"/>
      </w:r>
      <w:r>
        <w:rPr>
          <w:rFonts w:ascii="IRNazanin" w:hAnsi="IRNazanin" w:eastAsia="IRNazanin"/>
          <w:color w:val="111111"/>
          <w:sz w:val="28"/>
          <w:sz w:val="28"/>
          <w:szCs w:val="28"/>
          <w:rtl w:val="true"/>
          <w:lang w:bidi="fa-IR"/>
        </w:rPr>
        <w:t> وإن احتاج إلی الرضا من الآخر،</w:t>
      </w:r>
    </w:p>
    <w:p>
      <w:pPr>
        <w:pStyle w:val="BookText"/>
        <w:rPr/>
      </w:pPr>
      <w:r>
        <w:rPr>
          <w:rFonts w:ascii="IRNazanin" w:hAnsi="IRNazanin" w:eastAsia="IRNazanin"/>
          <w:color w:val="111111"/>
          <w:sz w:val="28"/>
          <w:sz w:val="28"/>
          <w:szCs w:val="28"/>
          <w:rtl w:val="true"/>
          <w:lang w:bidi="fa-IR"/>
        </w:rPr>
        <w:t>کما فی الوفاء بغیر الجنس فإنّه یعتبر فیه رضا الدائن ومع ذلک</w:t>
      </w:r>
    </w:p>
    <w:p>
      <w:pPr>
        <w:pStyle w:val="BookText"/>
        <w:rPr/>
      </w:pPr>
      <w:r>
        <w:rPr>
          <w:rFonts w:ascii="IRNazanin" w:hAnsi="IRNazanin" w:eastAsia="IRNazanin"/>
          <w:color w:val="111111"/>
          <w:sz w:val="28"/>
          <w:sz w:val="28"/>
          <w:szCs w:val="28"/>
          <w:rtl w:val="true"/>
          <w:lang w:bidi="fa-IR"/>
        </w:rPr>
        <w:t>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w:t>
      </w:r>
      <w:r>
        <w:rPr>
          <w:rStyle w:val="FootnoteAnchor"/>
          <w:rtl w:val="true"/>
        </w:rPr>
        <w:footnoteReference w:id="398"/>
      </w:r>
      <w:r>
        <w:rPr>
          <w:rFonts w:ascii="IRNazanin" w:hAnsi="IRNazanin" w:eastAsia="IRNazanin"/>
          <w:color w:val="111111"/>
          <w:sz w:val="28"/>
          <w:sz w:val="28"/>
          <w:szCs w:val="28"/>
          <w:rtl w:val="true"/>
          <w:lang w:bidi="fa-IR"/>
        </w:rPr>
        <w:t> أنّ الضمان أیضاً من الإیقاع؛ فإنّه نوع من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یعتبر فیها شیء ممّا یعتبر فی العقود اللازمة، ویتحقّقان</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بالکتابة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دعوی أنّ الوکالة أیضاً کذلک</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أنّ الوکالة تارةً بالعقد، وهو الفرد الحقیقی منها، وتارةً بالإذن والإجازة،ولا یحتاج إلی قبول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اُضیفت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یحتاج فی العمل به کونه من قبلالمجیز، فالفرق بینهما واضح، والإذن إعطاء السلطنة، ولها 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الوکالة من العقود الإذنیّة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الوکالة أیضاً عقد، وله آثار عند العرف، والمعتبر فیها إضافةمخصوصة بین الوکیل والموکّل، من آثارها سلطنة الوکیل علی الموکول إلیه سلطنةًمخصوصةً لیست هی فی المأذون فیه، وفی الجعالة کلام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الجُعالة کذلک، وإن    </w:t>
      </w:r>
    </w:p>
    <w:p>
      <w:pPr>
        <w:pStyle w:val="BookText"/>
        <w:rPr/>
      </w:pPr>
      <w:r>
        <w:rPr>
          <w:rFonts w:ascii="IRNazanin" w:hAnsi="IRNazanin" w:eastAsia="IRNazanin"/>
          <w:color w:val="111111"/>
          <w:sz w:val="28"/>
          <w:sz w:val="28"/>
          <w:szCs w:val="28"/>
          <w:rtl w:val="true"/>
          <w:lang w:bidi="fa-IR"/>
        </w:rPr>
        <w:t>کان یعتبر فیها الرضا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لا فرق</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ترتّب آثار الوکالة من نفوذ تصرّفاته قبل بلوغ العزل علی مجرّد الإذن نظروإشکال؛ وحینئذٍ لا یکون ذلک شاهد الإیقاعیّة، وإن أمکن دعوی السیرة علی عدماعتبار ما اعتُبِر فی سائر العقود فیها، کما لا یخفی، وحینئذٍ فمن الممکن أن تکونهذه الموارد من قبیل الوصیّة شبه إیقاعٍ مشروطٍ بالقبول، ولا یکفی مجرّد الرضاالباطنیّ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بینهما فی غایة الوضوح؛ حیث إنّ الأوّل مجرّد الرخصة والإباحة ورفعالمنع، بخلاف الثانی فإنّه تفویض وإعطاء سلطنة، وهو شیء لا یتمّ إلّا بقبول الطرفالمقابل، کقبوله للملکیّة ونحوها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الفرق بینهما واضح؛ فإنّ فی الوکالة جعل نیابةٍ للوکیل من طرف الموکّل،وتعویض وإعطاء سلطنته، ولها إضافة إلیهما وقائمة بهما، فهی لا تتمّ إلّا بقبولالطرف الآخر، کقبوله للملکیّة ونحوها، وهذا بخلاف صرف الإذن فإنّه قائم بشخصالإذن، ولا یحتاج تحقّقه إلی قبول الآخر، بل ینتزع المأذونیّة للاخر بمجرّد صدورالإذن من الآذن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من فرقٍ بینهما؛ إذ الإذن صرف رخصة، بخلاف الوکالة فإنّها إعطاء سلطةٍللوکیل، فمن ثمّ یجوز عزل الوکیل نفسه عن الوکالة، بخلاف المأذون، وغیره منالفروق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ظاهر؛ فإنّ الإذن فی بیع الدار مثلاً لیس إلّا ترخیصاً محضاً، وأمّا الوکالةفهی إعطاء سلطنةٍ علی التصرّف، وله آثار خاصّة لا تترتّب علی مجرّد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تحقّق الفرق عرفاً فیها، فتنزّل علیه الأدلّة الشرعیّة، فإنّ فی الأخیر نحوسلطنةٍ من الموکِّل علی الوکیل، بخلاف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واضح؛ إذ الإذن فی البیع ترخیص محض، والوکالة جعل نیابةٍ وسلطنةٍللوکیل، ولها آثار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     .     .     .     .     .</w:t>
      </w:r>
      <w:bookmarkStart w:id="199" w:name="pg13286_153759"/>
    </w:p>
    <w:p>
      <w:pPr>
        <w:pStyle w:val="BookText"/>
        <w:rPr/>
      </w:pPr>
      <w:bookmarkEnd w:id="199"/>
      <w:r>
        <w:rPr>
          <w:rFonts w:ascii="IRNazanin" w:hAnsi="IRNazanin" w:eastAsia="IRNazanin"/>
          <w:color w:val="111111"/>
          <w:sz w:val="28"/>
          <w:sz w:val="28"/>
          <w:szCs w:val="28"/>
          <w:rtl w:val="true"/>
          <w:lang w:bidi="fa-IR"/>
        </w:rPr>
        <w:t>أن</w:t>
      </w:r>
      <w:r>
        <w:rPr>
          <w:rStyle w:val="FootnoteAnchor"/>
          <w:rtl w:val="true"/>
        </w:rPr>
        <w:footnoteReference w:id="402"/>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مأذون فی بیع داری،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وکیل، مع أنّ الأوّل من  </w:t>
      </w:r>
    </w:p>
    <w:p>
      <w:pPr>
        <w:pStyle w:val="BookText"/>
        <w:rPr/>
      </w:pPr>
      <w:r>
        <w:rPr>
          <w:rFonts w:ascii="IRNazanin" w:hAnsi="IRNazanin" w:eastAsia="IRNazanin"/>
          <w:color w:val="111111"/>
          <w:sz w:val="28"/>
          <w:sz w:val="28"/>
          <w:szCs w:val="28"/>
          <w:rtl w:val="true"/>
          <w:lang w:bidi="fa-IR"/>
        </w:rPr>
        <w:t>الإیقاع</w:t>
      </w:r>
      <w:r>
        <w:rPr>
          <w:rStyle w:val="FootnoteAnchor"/>
          <w:rtl w:val="true"/>
        </w:rPr>
        <w:footnoteReference w:id="403"/>
      </w:r>
      <w:r>
        <w:rPr>
          <w:rFonts w:ascii="Amiri" w:hAnsi="Amiri" w:eastAsia="Amiri" w:cs="Amiri"/>
          <w:color w:val="111111"/>
          <w:sz w:val="28"/>
          <w:sz w:val="28"/>
          <w:szCs w:val="28"/>
          <w:rtl w:val="true"/>
          <w:lang w:bidi="ar-SA"/>
        </w:rPr>
        <w:t> قطعاً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138554_2322387425"/>
      <w:bookmarkStart w:id="201" w:name="_Toc70"/>
      <w:bookmarkEnd w:id="200"/>
      <w:r>
        <w:rPr>
          <w:rtl w:val="true"/>
        </w:rPr>
        <w:t>الثانی</w:t>
      </w:r>
      <w:r>
        <w:rPr>
          <w:rtl w:val="true"/>
        </w:rPr>
        <w:t xml:space="preserve">: </w:t>
      </w:r>
      <w:r>
        <w:rPr>
          <w:rtl w:val="true"/>
        </w:rPr>
        <w:t>التنجیز</w:t>
      </w:r>
      <w:bookmarkEnd w:id="2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w:t>
      </w:r>
      <w:r>
        <w:rPr>
          <w:rStyle w:val="FootnoteAnchor"/>
          <w:rtl w:val="true"/>
        </w:rPr>
        <w:footnoteReference w:id="404"/>
      </w:r>
      <w:r>
        <w:rPr>
          <w:rFonts w:ascii="IRNazanin" w:hAnsi="IRNazanin" w:eastAsia="IRNazanin"/>
          <w:color w:val="111111"/>
          <w:sz w:val="28"/>
          <w:sz w:val="28"/>
          <w:szCs w:val="28"/>
          <w:rtl w:val="true"/>
          <w:lang w:bidi="fa-IR"/>
        </w:rPr>
        <w:t xml:space="preserve">، فلا تصحّ مع التعلیق علی شرطٍ أو وصف، </w:t>
      </w:r>
      <w:bookmarkStart w:id="202" w:name="pg13286_153760"/>
    </w:p>
    <w:p>
      <w:pPr>
        <w:pStyle w:val="BookText"/>
        <w:rPr/>
      </w:pPr>
      <w:bookmarkEnd w:id="202"/>
      <w:r>
        <w:rPr>
          <w:rFonts w:ascii="IRNazanin" w:hAnsi="IRNazanin" w:eastAsia="IRNazanin"/>
          <w:color w:val="111111"/>
          <w:sz w:val="28"/>
          <w:sz w:val="28"/>
          <w:szCs w:val="28"/>
          <w:rtl w:val="true"/>
          <w:lang w:bidi="fa-IR"/>
        </w:rPr>
        <w:t>کما هو ظاهر المشهور</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للإجماع علی بطلان التعلیق فی العقود، وقد تقدّم أنّه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للاتّفاق الّذی خُیِّلَ أنّه إجماع، وقد تقدّم مراراً أنّه أعمّ منه، وفی ما نحن فیه تریفتواهم بالاشتراط مستندةً إلی وجوهٍ مذکورةٍ فی المبسوطات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برعایة ما علیه المشهور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اعتباره، کما مال إلیه</w:t>
      </w:r>
    </w:p>
    <w:p>
      <w:pPr>
        <w:pStyle w:val="BookText"/>
        <w:rPr/>
      </w:pP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للمحقّق الأردبیلی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9/307</w:t>
      </w:r>
      <w:r>
        <w:rPr>
          <w:rFonts w:ascii="Amiri" w:hAnsi="Amiri" w:eastAsia="Amiri" w:cs="Amiri"/>
          <w:color w:val="111111"/>
          <w:sz w:val="28"/>
          <w:sz w:val="28"/>
          <w:szCs w:val="28"/>
          <w:rtl w:val="true"/>
          <w:lang w:bidi="ar-SA"/>
        </w:rPr>
        <w:t xml:space="preserve">، وراجع مهذّب الأحکام للمحقّق السبزواری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متأخِّرِی المتأخِّرِین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138556_2322387425"/>
      <w:bookmarkStart w:id="204" w:name="_Toc71"/>
      <w:bookmarkEnd w:id="203"/>
      <w:r>
        <w:rPr>
          <w:rtl w:val="true"/>
        </w:rPr>
        <w:t>الثالث</w:t>
      </w:r>
      <w:r>
        <w:rPr>
          <w:rtl w:val="true"/>
        </w:rPr>
        <w:t xml:space="preserve">: </w:t>
      </w:r>
      <w:r>
        <w:rPr>
          <w:rtl w:val="true"/>
        </w:rPr>
        <w:t>الرضا من المحیل والمحتال</w:t>
      </w:r>
      <w:bookmarkEnd w:id="20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من المحیل والمحتال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w:t>
      </w:r>
      <w:r>
        <w:rPr>
          <w:rFonts w:eastAsia="IRNazanin" w:cs="IRNazanin"/>
          <w:color w:val="111111"/>
          <w:sz w:val="28"/>
          <w:szCs w:val="28"/>
          <w:lang w:bidi="fa-IR"/>
        </w:rPr>
        <w:t>14/442</w:t>
      </w:r>
      <w:r>
        <w:rPr>
          <w:rFonts w:ascii="IRNazanin" w:hAnsi="IRNazanin" w:eastAsia="IRNazanin"/>
          <w:color w:val="111111"/>
          <w:sz w:val="28"/>
          <w:sz w:val="28"/>
          <w:szCs w:val="28"/>
          <w:rtl w:val="true"/>
          <w:lang w:bidi="fa-IR"/>
        </w:rPr>
        <w:t>، 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ascii="IRNazanin" w:hAnsi="IRNazanin" w:eastAsia="IRNazanin"/>
          <w:color w:val="111111"/>
          <w:sz w:val="28"/>
          <w:sz w:val="28"/>
          <w:szCs w:val="28"/>
          <w:rtl w:val="true"/>
          <w:lang w:bidi="fa-IR"/>
        </w:rPr>
        <w:t>، حاشیةمجمع الفائدة والبرهان للبهبهانی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ریاض المسائل للطباطبائی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8/590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w:t>
      </w:r>
      <w:r>
        <w:rPr>
          <w:rStyle w:val="FootnoteAnchor"/>
          <w:rtl w:val="true"/>
        </w:rPr>
        <w:footnoteReference w:id="406"/>
      </w:r>
      <w:r>
        <w:rPr>
          <w:rFonts w:ascii="IRNazanin" w:hAnsi="IRNazanin" w:eastAsia="IRNazanin"/>
          <w:color w:val="111111"/>
          <w:sz w:val="28"/>
          <w:sz w:val="28"/>
          <w:szCs w:val="28"/>
          <w:rtl w:val="true"/>
          <w:lang w:bidi="fa-IR"/>
        </w:rPr>
        <w:t xml:space="preserve"> رضا المحیل فیما لو تبرّع المحال علیه بالوفاء، بأن قال </w:t>
      </w:r>
    </w:p>
    <w:p>
      <w:pPr>
        <w:pStyle w:val="BookText"/>
        <w:rPr/>
      </w:pPr>
      <w:r>
        <w:rPr>
          <w:rFonts w:ascii="IRNazanin" w:hAnsi="IRNazanin" w:eastAsia="IRNazanin"/>
          <w:color w:val="111111"/>
          <w:sz w:val="28"/>
          <w:sz w:val="28"/>
          <w:szCs w:val="28"/>
          <w:rtl w:val="true"/>
          <w:lang w:bidi="fa-IR"/>
        </w:rPr>
        <w:t>للمحتال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بالدَین الّذی لک علی فلان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فیشترط رضا المحتال والمحال علیه دون المحیل لا وجه له؛ إذ المفروض لا یکون من الحوالة، بل هو من الضمان</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المحال</w:t>
      </w:r>
      <w:r>
        <w:rPr>
          <w:rStyle w:val="FootnoteAnchor"/>
          <w:rtl w:val="true"/>
        </w:rPr>
        <w:footnoteReference w:id="408"/>
      </w:r>
      <w:r>
        <w:rPr>
          <w:rFonts w:ascii="IRNazanin" w:hAnsi="IRNazanin" w:eastAsia="IRNazanin"/>
          <w:color w:val="111111"/>
          <w:sz w:val="28"/>
          <w:sz w:val="28"/>
          <w:szCs w:val="28"/>
          <w:rtl w:val="true"/>
          <w:lang w:bidi="fa-IR"/>
        </w:rPr>
        <w:t> علیه إذا کان بریئاً، أو</w:t>
      </w:r>
    </w:p>
    <w:p>
      <w:pPr>
        <w:pStyle w:val="BookText"/>
        <w:rPr/>
      </w:pPr>
      <w:r>
        <w:rPr>
          <w:rFonts w:ascii="IRNazanin" w:hAnsi="IRNazanin" w:eastAsia="IRNazanin"/>
          <w:color w:val="111111"/>
          <w:sz w:val="28"/>
          <w:sz w:val="28"/>
          <w:szCs w:val="28"/>
          <w:rtl w:val="true"/>
          <w:lang w:bidi="fa-IR"/>
        </w:rPr>
        <w:t>کانت الحوالة بغیر جنس 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بمثل ما علیه ففیه خلاف</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ما یحکی عن المشهور من اعتباره لکان عدم اعتباره قویّاً جدّاً؛ لأنّ ما فیذمّته ملک للمحیل، وهو مسلّط علی ملکه یتصرّف فیه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رضاه، ولا مُحَصِّلَ لهذا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اعتباره، والتفصیل الّذی ذکره لا محصّل له، وتنزیله بمنزلة الوکیللیس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اعتبار رضاه، ولا محصّل للتفصیل المذکور فی المتن، کما یظهربأدنی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اعتباره، بل اعتبار قبوله،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اعتباره بعد کون ما علی المحال علیه مِلکاً للمحیل، فلو أحالهعلیه لمقام سلطته فقد أحاله بملکه، سواء رضی المدیون، أم لا، وسواء اُفید المحالبه،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الاعتبار، والتفصیل لا محصّل له، والتوکیل خارج عن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المنصور اشتراط رضاه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الاعتبار من غیر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الاعتبار، والتفصیل لا محصّل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التفصیل</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رضاه أیضاً، کما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التفصیل لا محصّل له، والتوکیل لا ربط له بالحوالة، وهو لیس إلّا علی نحوٍواحد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بعد أن کانت الحوالة عقداً بین المحیل والمحتال، نعم، ربّما یشترطالمحتال صریحاً أو ضمناً قبول المحوّل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التفصیل؛ فإنّه إذا کان للمحیل علی المحال علیه عشرة دنانیروأحال زیداً علیه بعشرة دنانیر فقد أحاله بما یملکه علیه فی ذمّته، سواء قیّده بکونهله فی ذمّته، أو أطلقه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التفصیل، والوکالة غیر الحوالة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له، فإنّ الحوالة علی المدیون بنحو ما علی البریء لا محصّل لها، ولاربط بین باب الحوالة والوکالة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ممنوع، والتوکیل لا ربط له بالمقام، فعدم اعتبار رضاه مطلقاً متعیّن،وسبیل الاحتیاط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التفصیل؛ لعدم الفرق بین الحوالَتین وکونهما بنحوٍ واحد،والأحوط اعتبار رضاه، بل قبوله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أن یحوّله علیه بماله علیه ـ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من الحقّ الّذی لی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رضاه؛ فإنّه بمنزلة الوکیل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فکم من فرقٍ بین المنزَّل والمنزَّل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الوکالة غیر عنوان الحوالة، ومع ما ذکره من الفرق الواضح بینهما کیفیمکن الحکم بأنّهما من وادٍ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وفاء دَینه،</w:t>
      </w:r>
      <w:bookmarkStart w:id="205" w:name="pg13286_153763"/>
    </w:p>
    <w:p>
      <w:pPr>
        <w:pStyle w:val="BookText"/>
        <w:rPr/>
      </w:pPr>
      <w:bookmarkEnd w:id="205"/>
      <w:r>
        <w:rPr>
          <w:rFonts w:ascii="IRNazanin" w:hAnsi="IRNazanin" w:eastAsia="IRNazanin"/>
          <w:color w:val="111111"/>
          <w:sz w:val="28"/>
          <w:sz w:val="28"/>
          <w:szCs w:val="28"/>
          <w:rtl w:val="true"/>
          <w:lang w:bidi="fa-IR"/>
        </w:rPr>
        <w:t>وإن کان بنحو اشتغال ذمّته للمحتال وبراءة ذمّة المحیل بمجرّد الحوالة، بخلاف ما إذا</w:t>
      </w:r>
      <w:r>
        <w:rPr>
          <w:rStyle w:val="FootnoteAnchor"/>
          <w:rtl w:val="true"/>
        </w:rPr>
        <w:footnoteReference w:id="411"/>
      </w:r>
      <w:r>
        <w:rPr>
          <w:rFonts w:ascii="Amiri" w:hAnsi="Amiri" w:eastAsia="Amiri" w:cs="Amiri"/>
          <w:color w:val="111111"/>
          <w:sz w:val="28"/>
          <w:sz w:val="28"/>
          <w:szCs w:val="28"/>
          <w:rtl w:val="true"/>
          <w:lang w:bidi="ar-SA"/>
        </w:rPr>
        <w:t> وکّله</w:t>
      </w:r>
      <w:r>
        <w:rPr>
          <w:rStyle w:val="FootnoteAnchor"/>
          <w:rtl w:val="true"/>
        </w:rPr>
        <w:footnoteReference w:id="412"/>
      </w:r>
      <w:r>
        <w:rPr>
          <w:rFonts w:ascii="IRNazanin" w:hAnsi="IRNazanin" w:eastAsia="IRNazanin"/>
          <w:color w:val="111111"/>
          <w:sz w:val="28"/>
          <w:sz w:val="28"/>
          <w:szCs w:val="28"/>
          <w:rtl w:val="true"/>
          <w:lang w:bidi="fa-IR"/>
        </w:rPr>
        <w:t> فإنّ ذمّة المحیل مشغولة إلی حین الأداء ـ وبین أن  </w:t>
      </w:r>
    </w:p>
    <w:p>
      <w:pPr>
        <w:pStyle w:val="BookText"/>
        <w:rPr/>
      </w:pPr>
      <w:r>
        <w:rPr>
          <w:rFonts w:ascii="IRNazanin" w:hAnsi="IRNazanin" w:eastAsia="IRNazanin"/>
          <w:color w:val="111111"/>
          <w:sz w:val="28"/>
          <w:sz w:val="28"/>
          <w:szCs w:val="28"/>
          <w:rtl w:val="true"/>
          <w:lang w:bidi="fa-IR"/>
        </w:rPr>
        <w:t>یحوّله علیه من غیر نظرٍ إلی الحقّ الّذی له علیه علی نحو الحوالة</w:t>
      </w:r>
      <w:r>
        <w:rPr>
          <w:rStyle w:val="FootnoteAnchor"/>
          <w:rtl w:val="true"/>
        </w:rPr>
        <w:footnoteReference w:id="413"/>
      </w:r>
      <w:r>
        <w:rPr>
          <w:rFonts w:ascii="IRNazanin" w:hAnsi="IRNazanin" w:eastAsia="IRNazanin"/>
          <w:color w:val="111111"/>
          <w:sz w:val="28"/>
          <w:sz w:val="28"/>
          <w:szCs w:val="28"/>
          <w:rtl w:val="true"/>
          <w:lang w:bidi="fa-IR"/>
        </w:rPr>
        <w:t> علی   </w:t>
      </w:r>
    </w:p>
    <w:p>
      <w:pPr>
        <w:pStyle w:val="BookText"/>
        <w:rPr/>
      </w:pPr>
      <w:r>
        <w:rPr>
          <w:rFonts w:ascii="IRNazanin" w:hAnsi="IRNazanin" w:eastAsia="IRNazanin"/>
          <w:color w:val="111111"/>
          <w:sz w:val="28"/>
          <w:sz w:val="28"/>
          <w:szCs w:val="28"/>
          <w:rtl w:val="true"/>
          <w:lang w:bidi="fa-IR"/>
        </w:rPr>
        <w:t>البریء، فیعتبر رضاه؛ لأنّ شغل ذمّته بغیر رضاه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یُعلَّل باختلاف الناس فی الاقتضاء فلابدّ من رضاه، ولا یخفی ضعفه، کیف، وإلّا لزم عدم جواز بیع دَینه علی غیره مع أنّه لا إشکال فیه؟</w:t>
      </w:r>
      <w:r>
        <w:rPr>
          <w:rFonts w:eastAsia="IRNazanin" w:cs="IRNazanin"/>
          <w:color w:val="111111"/>
          <w:sz w:val="28"/>
          <w:szCs w:val="28"/>
          <w:rtl w:val="true"/>
          <w:lang w:bidi="fa-IR"/>
        </w:rPr>
        <w:t>!</w:t>
      </w:r>
    </w:p>
    <w:p>
      <w:pPr>
        <w:pStyle w:val="Heading4"/>
        <w:numPr>
          <w:ilvl w:val="3"/>
          <w:numId w:val="1"/>
        </w:numPr>
        <w:rPr/>
      </w:pPr>
      <w:bookmarkStart w:id="206" w:name="__RefHeading___Toc2138558_2322387425"/>
      <w:bookmarkStart w:id="207" w:name="_Toc72"/>
      <w:bookmarkEnd w:id="206"/>
      <w:r>
        <w:rPr>
          <w:rtl w:val="true"/>
        </w:rPr>
        <w:t>الرابع</w:t>
      </w:r>
      <w:r>
        <w:rPr>
          <w:rtl w:val="true"/>
        </w:rPr>
        <w:t xml:space="preserve">: </w:t>
      </w:r>
      <w:r>
        <w:rPr>
          <w:rtl w:val="true"/>
        </w:rPr>
        <w:t>کون المحال به ثابتاً فی ذمّة المحیل</w:t>
      </w:r>
      <w:bookmarkEnd w:id="207"/>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المحال به ثابتاً فی ذمّة المحیل، سواء کان مستقرّاً أو متزلزلاً، فلا تصحّ فی غیر الثابت، سواء وجد سببه کمال الجعالة قبل العمل، ومال السبق والرمایة قبل حصول السبق أم لم یوجد سببه أیضاً، کالحوالة بما یستقرضه، هذا ما هو المشهور</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 وربّما تکون الحوالة بما یستقرضه من الحوالة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فلا تصحّ فی ما ذکره من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الموافق لحقیقة الحوالة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 بل الأقوی عدم الصحّة فی الفرع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 إذ النقل بالفعل یقتضی وجود المنقول بالفعل، والنقل بالنسبة إلیما یوجد تعلیقی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کما مرّ فی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باب الضمان أنّه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والأقوی 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وکذا فی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نسخةٍ اُخری منه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والاحتیاط لا یُترک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إقدام العرف والعقلاء علیه؛ حتّی لا یکون شمول العمومات له من التمسّکبالعامّ فی الشبهة المصداقیّة، ثمّ إنّه لو لم تصدق الحوالة وشملته العمومات یصحّ بناءًعلی مبناه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حصول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السبب</w:t>
      </w:r>
      <w:r>
        <w:rPr>
          <w:rStyle w:val="FootnoteAnchor"/>
          <w:rtl w:val="true"/>
        </w:rPr>
        <w:footnoteReference w:id="416"/>
      </w:r>
      <w:r>
        <w:rPr>
          <w:rFonts w:ascii="IRNazanin" w:hAnsi="IRNazanin" w:eastAsia="IRNazanin"/>
          <w:color w:val="111111"/>
          <w:sz w:val="28"/>
          <w:sz w:val="28"/>
          <w:szCs w:val="28"/>
          <w:rtl w:val="true"/>
          <w:lang w:bidi="fa-IR"/>
        </w:rPr>
        <w:t>، کما ذکرنا فی الضمان</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الأقوی اشتراط الثبوت فیه أیضاً، فما لا ثبوت للمضمون فیه لیسبضمانٍ مصطلحٍ وإن کان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أقرِضنی کذا وخُذ عِوَضه</w:t>
      </w:r>
      <w:r>
        <w:rPr>
          <w:rStyle w:val="FootnoteAnchor"/>
          <w:rtl w:val="true"/>
        </w:rPr>
        <w:footnoteReference w:id="418"/>
      </w:r>
      <w:r>
        <w:rPr>
          <w:rFonts w:ascii="IRNazanin" w:hAnsi="IRNazanin" w:eastAsia="IRNazanin"/>
          <w:color w:val="111111"/>
          <w:sz w:val="28"/>
          <w:sz w:val="28"/>
          <w:szCs w:val="28"/>
          <w:rtl w:val="true"/>
          <w:lang w:bidi="fa-IR"/>
        </w:rPr>
        <w:t>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ورضی زید أیضاً؛</w:t>
      </w:r>
    </w:p>
    <w:p>
      <w:pPr>
        <w:pStyle w:val="BookText"/>
        <w:rPr/>
      </w:pPr>
      <w:r>
        <w:rPr>
          <w:rFonts w:ascii="Amiri" w:hAnsi="Amiri" w:eastAsia="Amiri" w:cs="Amiri"/>
          <w:color w:val="111111"/>
          <w:sz w:val="28"/>
          <w:sz w:val="28"/>
          <w:szCs w:val="28"/>
          <w:rtl w:val="true"/>
          <w:lang w:bidi="ar-SA"/>
        </w:rPr>
        <w:t>لصدق الحوالة</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صدقها فی محلّ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الحوالة بالمعنی المصطلح علیه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الحوالة ممنوع، ولو قلنا بصحّته فهو داخل فی عنوانٍ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إذ لا یُستفاد منه علی فرض الصحّة النقل إلی الذمّة الّذی هو المعیار فیباب الحوالة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الصدق، کما أنّ الأقوی عدم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w:t>
      </w:r>
      <w:bookmarkStart w:id="208" w:name="pg13286_153766"/>
    </w:p>
    <w:p>
      <w:pPr>
        <w:pStyle w:val="BookText"/>
        <w:rPr/>
      </w:pPr>
      <w:bookmarkEnd w:id="208"/>
      <w:r>
        <w:rPr>
          <w:rFonts w:ascii="IRNazanin" w:hAnsi="IRNazanin" w:eastAsia="IRNazanin"/>
          <w:color w:val="111111"/>
          <w:sz w:val="28"/>
          <w:sz w:val="28"/>
          <w:szCs w:val="28"/>
          <w:rtl w:val="true"/>
          <w:lang w:bidi="fa-IR"/>
        </w:rPr>
        <w:t>وشمول</w:t>
      </w:r>
      <w:r>
        <w:rPr>
          <w:rStyle w:val="FootnoteAnchor"/>
          <w:rtl w:val="true"/>
        </w:rPr>
        <w:footnoteReference w:id="420"/>
      </w:r>
      <w:r>
        <w:rPr>
          <w:rFonts w:ascii="IRNazanin" w:hAnsi="IRNazanin" w:eastAsia="IRNazanin"/>
          <w:color w:val="111111"/>
          <w:sz w:val="28"/>
          <w:sz w:val="28"/>
          <w:szCs w:val="28"/>
          <w:rtl w:val="true"/>
          <w:lang w:bidi="fa-IR"/>
        </w:rPr>
        <w:t> العمومات</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فتفرغ ذمّة المحیل، وتشتغل ذمّة المحال بعد العمل</w:t>
      </w:r>
    </w:p>
    <w:p>
      <w:pPr>
        <w:pStyle w:val="BookText"/>
        <w:rPr/>
      </w:pPr>
      <w:r>
        <w:rPr>
          <w:rFonts w:ascii="IRNazanin" w:hAnsi="IRNazanin" w:eastAsia="IRNazanin"/>
          <w:color w:val="111111"/>
          <w:sz w:val="28"/>
          <w:sz w:val="28"/>
          <w:szCs w:val="28"/>
          <w:rtl w:val="true"/>
          <w:lang w:bidi="fa-IR"/>
        </w:rPr>
        <w:t>وبعد الاقتراض</w:t>
      </w:r>
      <w:r>
        <w:rPr>
          <w:rFonts w:eastAsia="IRNazanin" w:cs="IRNazanin"/>
          <w:color w:val="111111"/>
          <w:sz w:val="28"/>
          <w:szCs w:val="28"/>
          <w:rtl w:val="true"/>
          <w:lang w:bidi="fa-IR"/>
        </w:rPr>
        <w:t>.</w:t>
      </w:r>
    </w:p>
    <w:p>
      <w:pPr>
        <w:pStyle w:val="Heading4"/>
        <w:numPr>
          <w:ilvl w:val="3"/>
          <w:numId w:val="1"/>
        </w:numPr>
        <w:rPr/>
      </w:pPr>
      <w:bookmarkStart w:id="209" w:name="__RefHeading___Toc2138560_2322387425"/>
      <w:bookmarkStart w:id="210" w:name="_Toc73"/>
      <w:bookmarkEnd w:id="209"/>
      <w:r>
        <w:rPr>
          <w:rtl w:val="true"/>
        </w:rPr>
        <w:t>الخامس</w:t>
      </w:r>
      <w:r>
        <w:rPr>
          <w:rtl w:val="true"/>
        </w:rPr>
        <w:t xml:space="preserve">: </w:t>
      </w:r>
      <w:r>
        <w:rPr>
          <w:rtl w:val="true"/>
        </w:rPr>
        <w:t>کون المحال به معلوماً جنساً وقدراً لهما</w:t>
      </w:r>
      <w:bookmarkEnd w:id="210"/>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 المحال به معلوماً جنساً وقدراً للمحیل والمحتال، فلا تصحّ الحوالة بالمجهول علی المشهور</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الجدیر بالقبول إن سُلِّمَ عدم اختصاص الغَرر بالبیع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w:t>
      </w:r>
    </w:p>
    <w:p>
      <w:pPr>
        <w:pStyle w:val="BookText"/>
        <w:rPr/>
      </w:pPr>
      <w:r>
        <w:rPr>
          <w:rFonts w:ascii="IRNazanin" w:hAnsi="IRNazanin" w:eastAsia="IRNazanin"/>
          <w:color w:val="111111"/>
          <w:sz w:val="28"/>
          <w:sz w:val="28"/>
          <w:szCs w:val="28"/>
          <w:rtl w:val="true"/>
          <w:lang w:bidi="fa-IR"/>
        </w:rPr>
        <w:t>أن یقال بصحّته</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العلم بأصل الدَین، والجهل بمقداره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أصل الدَین معلوماً وکان الجهل بالمقدار، وإلّا فمشکل، کما مرّ فیالضمان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إذا کان</w:t>
      </w:r>
      <w:r>
        <w:rPr>
          <w:rStyle w:val="FootnoteAnchor"/>
          <w:rtl w:val="true"/>
        </w:rPr>
        <w:footnoteReference w:id="424"/>
      </w:r>
      <w:r>
        <w:rPr>
          <w:rFonts w:ascii="Amiri" w:hAnsi="Amiri" w:eastAsia="Amiri" w:cs="Amiri"/>
          <w:color w:val="111111"/>
          <w:sz w:val="28"/>
          <w:sz w:val="28"/>
          <w:szCs w:val="28"/>
          <w:rtl w:val="true"/>
          <w:lang w:bidi="ar-SA"/>
        </w:rPr>
        <w:t> آئِلاً إلی العلم، کما إذا کان ثابتاً فی دفتره علی حدّ ما مرّ</w:t>
      </w:r>
    </w:p>
    <w:p>
      <w:pPr>
        <w:pStyle w:val="BookText"/>
        <w:rPr/>
      </w:pPr>
      <w:r>
        <w:rPr>
          <w:rFonts w:ascii="IRNazanin" w:hAnsi="IRNazanin" w:eastAsia="IRNazanin"/>
          <w:color w:val="111111"/>
          <w:sz w:val="28"/>
          <w:sz w:val="28"/>
          <w:szCs w:val="28"/>
          <w:rtl w:val="true"/>
          <w:lang w:bidi="fa-IR"/>
        </w:rPr>
        <w:t>فی الضمان من صحّته مع الجهل بالدَین، بل لا یبعد</w:t>
      </w:r>
      <w:r>
        <w:rPr>
          <w:rStyle w:val="FootnoteAnchor"/>
          <w:rtl w:val="true"/>
        </w:rPr>
        <w:footnoteReference w:id="425"/>
      </w:r>
      <w:r>
        <w:rPr>
          <w:rFonts w:ascii="IRNazanin" w:hAnsi="IRNazanin" w:eastAsia="IRNazanin"/>
          <w:color w:val="111111"/>
          <w:sz w:val="28"/>
          <w:sz w:val="28"/>
          <w:szCs w:val="28"/>
          <w:rtl w:val="true"/>
          <w:lang w:bidi="fa-IR"/>
        </w:rPr>
        <w:t> الجواز</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یؤول، ولا یُفضی، ولا یرجع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بعد إمکان الأخذ بالقدر المتیقّن، بل وکذا</w:t>
      </w:r>
      <w:r>
        <w:rPr>
          <w:rStyle w:val="FootnoteAnchor"/>
          <w:rtl w:val="true"/>
        </w:rPr>
        <w:footnoteReference w:id="427"/>
      </w:r>
      <w:r>
        <w:rPr>
          <w:rFonts w:ascii="Amiri" w:hAnsi="Amiri" w:eastAsia="Amiri" w:cs="Amiri"/>
          <w:color w:val="111111"/>
          <w:sz w:val="28"/>
          <w:sz w:val="28"/>
          <w:szCs w:val="28"/>
          <w:rtl w:val="true"/>
          <w:lang w:bidi="ar-SA"/>
        </w:rPr>
        <w:t xml:space="preserve"> لوقال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ماشهدت به البیّنة وثبت خُذْهُ من فلان، نعم، لو کان مُبهَماً، کما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الدَینَین اللذَین لک عَلَیَّ خُذْ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وکذا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شیئاً</w:t>
      </w:r>
    </w:p>
    <w:p>
      <w:pPr>
        <w:pStyle w:val="BookText"/>
        <w:rPr/>
      </w:pPr>
      <w:r>
        <w:rPr>
          <w:rFonts w:ascii="IRNazanin" w:hAnsi="IRNazanin" w:eastAsia="IRNazanin"/>
          <w:color w:val="111111"/>
          <w:sz w:val="28"/>
          <w:sz w:val="28"/>
          <w:szCs w:val="28"/>
          <w:rtl w:val="true"/>
          <w:lang w:bidi="fa-IR"/>
        </w:rPr>
        <w:t>من دَینک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أحال</w:t>
      </w:r>
      <w:r>
        <w:rPr>
          <w:rStyle w:val="FootnoteAnchor"/>
          <w:rtl w:val="true"/>
        </w:rPr>
        <w:footnoteReference w:id="428"/>
      </w:r>
      <w:r>
        <w:rPr>
          <w:rFonts w:ascii="Amiri" w:hAnsi="Amiri" w:eastAsia="Amiri" w:cs="Amiri"/>
          <w:color w:val="111111"/>
          <w:sz w:val="28"/>
          <w:sz w:val="28"/>
          <w:szCs w:val="28"/>
          <w:rtl w:val="true"/>
          <w:lang w:bidi="ar-SA"/>
        </w:rPr>
        <w:t> الدَینَین</w:t>
      </w:r>
      <w:r>
        <w:rPr>
          <w:rStyle w:val="FootnoteAnchor"/>
          <w:rtl w:val="true"/>
        </w:rPr>
        <w:footnoteReference w:id="429"/>
      </w:r>
      <w:r>
        <w:rPr>
          <w:rFonts w:ascii="IRNazanin" w:hAnsi="IRNazanin" w:eastAsia="IRNazanin"/>
          <w:color w:val="111111"/>
          <w:sz w:val="28"/>
          <w:sz w:val="28"/>
          <w:szCs w:val="28"/>
          <w:rtl w:val="true"/>
          <w:lang w:bidi="fa-IR"/>
        </w:rPr>
        <w:t> علی نحو الواجب التخییریّ</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ولم یعلم الفرق بینها وبین الصورة الّتی صرّح ببطلانها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تکون الحوالة متعلّقةً بالدَینَین کلیهما، ولکن بحیث سقط الکلّ بإیفاءأحدهما، وهذا بخلاف الحوالة المتعلّقة بهما مردّدة؛ إذ لا واقع للمردّد بما هو مردّد،وهذا هو الفارق بین الفرض الأخیر وبین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أمکن</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الفرق بینه وبین الفرض السابق الّذی صرّح فیه بالبطلان، إلّا إذافرض تساوی الدَینَین هنا من جمیع الجهات دون ذلک الفرض، أو کانالغرض هناک ما کان معیّناً فی قصده وإن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کون هذه الصورةأولی بالصحّة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یصحّ ذلک؛ لأنّه إبهام لا محالة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کالسابق فی البطلان، بل لم یعلم الفرق بین الفرعَین وإن کان المقصودفی الفرع الأوّل ما إذا کان معیّناً فی قصده مع عدم ذکره حین الحوالة، بل یخبر بهحین الأخذ؛ فهو أولی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 الإبهام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إنّما یتمّ فیما إذا تساوی الدَینان کمّاً وکیفاً، وإلّا فهو عین الفرض الّذی حکمفیه بالبطلان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w:t>
      </w:r>
      <w:bookmarkStart w:id="211" w:name="pg13286_153769"/>
    </w:p>
    <w:p>
      <w:pPr>
        <w:pStyle w:val="BookText"/>
        <w:rPr/>
      </w:pPr>
      <w:bookmarkEnd w:id="211"/>
      <w:r>
        <w:rPr>
          <w:rFonts w:ascii="Amiri" w:hAnsi="Amiri" w:eastAsia="Amiri" w:cs="Amiri"/>
          <w:color w:val="111111"/>
          <w:sz w:val="28"/>
          <w:sz w:val="28"/>
          <w:szCs w:val="28"/>
          <w:rtl w:val="true"/>
          <w:lang w:bidi="ar-SA"/>
        </w:rPr>
        <w:t>فیه حینئذٍ</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2138562_2322387425"/>
      <w:bookmarkStart w:id="213" w:name="_Toc74"/>
      <w:bookmarkEnd w:id="212"/>
      <w:r>
        <w:rPr>
          <w:rtl w:val="true"/>
        </w:rPr>
        <w:t>السادس</w:t>
      </w:r>
      <w:r>
        <w:rPr>
          <w:rtl w:val="true"/>
        </w:rPr>
        <w:t xml:space="preserve">: </w:t>
      </w:r>
      <w:r>
        <w:rPr>
          <w:rtl w:val="true"/>
        </w:rPr>
        <w:t>تساوی المالین المحال به والمحال علیه</w:t>
      </w:r>
      <w:bookmarkEnd w:id="213"/>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المالَین</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واعتبار هذا الشرط واضح بعد اشتراط ثبوت المحال به فی ذمّة المحیل ولو لمیقم علیه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المحال به والمحال علیه جنساً ونوعاً  </w:t>
      </w:r>
    </w:p>
    <w:p>
      <w:pPr>
        <w:pStyle w:val="BookText"/>
        <w:rPr/>
      </w:pPr>
      <w:r>
        <w:rPr>
          <w:rFonts w:ascii="IRNazanin" w:hAnsi="IRNazanin" w:eastAsia="IRNazanin"/>
          <w:color w:val="111111"/>
          <w:sz w:val="28"/>
          <w:sz w:val="28"/>
          <w:szCs w:val="28"/>
          <w:rtl w:val="true"/>
          <w:lang w:bidi="fa-IR"/>
        </w:rPr>
        <w:t>ووصفاً علی 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ascii="IRNazanin" w:hAnsi="IRNazanin" w:eastAsia="IRNazanin"/>
          <w:color w:val="111111"/>
          <w:sz w:val="28"/>
          <w:sz w:val="28"/>
          <w:szCs w:val="28"/>
          <w:rtl w:val="true"/>
          <w:lang w:bidi="fa-IR"/>
        </w:rPr>
        <w:t>، الشرح الکبیر لأبوالبرکات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 لآخرین، وهذا العنوان وإن کان عامّاً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مرادهم بقرینة التعلیل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تفصّیاً من التسلّط علی المحال علیه بما لم تشتغل ذمّته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إذ لا یجب علیه أن یدفع إلّا مثل ما علیه ـ فیما کانت الحوالة</w:t>
      </w:r>
      <w:r>
        <w:rPr>
          <w:rStyle w:val="FootnoteAnchor"/>
          <w:rtl w:val="true"/>
        </w:rPr>
        <w:footnoteReference w:id="435"/>
      </w:r>
      <w:r>
        <w:rPr>
          <w:rFonts w:ascii="IRNazanin" w:hAnsi="IRNazanin" w:eastAsia="IRNazanin"/>
          <w:color w:val="111111"/>
          <w:sz w:val="28"/>
          <w:sz w:val="28"/>
          <w:szCs w:val="28"/>
          <w:rtl w:val="true"/>
          <w:lang w:bidi="fa-IR"/>
        </w:rPr>
        <w:t> علی مشغول الذمّة</w:t>
      </w:r>
      <w:r>
        <w:rPr>
          <w:rStyle w:val="FootnoteAnchor"/>
          <w:rtl w:val="true"/>
        </w:rPr>
        <w:footnoteReference w:id="436"/>
      </w:r>
      <w:r>
        <w:rPr>
          <w:rFonts w:ascii="IRNazanin" w:hAnsi="IRNazanin" w:eastAsia="IRNazanin"/>
          <w:color w:val="111111"/>
          <w:sz w:val="28"/>
          <w:sz w:val="28"/>
          <w:szCs w:val="28"/>
          <w:rtl w:val="true"/>
          <w:lang w:bidi="fa-IR"/>
        </w:rPr>
        <w:t xml:space="preserve"> بغیر ما هو مشغول الذمّة به، کأن یُحِیل مَن له علیه دراهم علی مَن له علیه دنانیر بأن یدفع بدل الدنانیر دراهم، </w:t>
      </w:r>
    </w:p>
    <w:p>
      <w:pPr>
        <w:pStyle w:val="BookText"/>
        <w:rPr/>
      </w:pPr>
      <w:r>
        <w:rPr>
          <w:rFonts w:ascii="IRNazanin" w:hAnsi="IRNazanin" w:eastAsia="IRNazanin"/>
          <w:color w:val="111111"/>
          <w:sz w:val="28"/>
          <w:sz w:val="28"/>
          <w:szCs w:val="28"/>
          <w:rtl w:val="true"/>
          <w:lang w:bidi="fa-IR"/>
        </w:rPr>
        <w:t>فلا یشمل</w:t>
      </w:r>
      <w:r>
        <w:rPr>
          <w:rStyle w:val="FootnoteAnchor"/>
          <w:rtl w:val="true"/>
        </w:rPr>
        <w:footnoteReference w:id="437"/>
      </w:r>
      <w:r>
        <w:rPr>
          <w:rFonts w:ascii="IRNazanin" w:hAnsi="IRNazanin" w:eastAsia="IRNazanin"/>
          <w:color w:val="111111"/>
          <w:sz w:val="28"/>
          <w:sz w:val="28"/>
          <w:szCs w:val="28"/>
          <w:rtl w:val="true"/>
          <w:lang w:bidi="fa-IR"/>
        </w:rPr>
        <w:t> ما إذا أحال مَن له علیه الدراهم علی البریء بأن یدفع الدنانیر، أو علی مشغول الذمّة</w:t>
      </w:r>
      <w:r>
        <w:rPr>
          <w:rStyle w:val="FootnoteAnchor"/>
          <w:rtl w:val="true"/>
        </w:rPr>
        <w:footnoteReference w:id="438"/>
      </w:r>
      <w:r>
        <w:rPr>
          <w:rFonts w:ascii="IRNazanin" w:hAnsi="IRNazanin" w:eastAsia="IRNazanin"/>
          <w:color w:val="111111"/>
          <w:sz w:val="28"/>
          <w:sz w:val="28"/>
          <w:szCs w:val="28"/>
          <w:rtl w:val="true"/>
          <w:lang w:bidi="fa-IR"/>
        </w:rPr>
        <w:t> بالدنانیر بأن یدفع الدراهم، ولعلّه لأنّه</w:t>
      </w:r>
      <w:r>
        <w:rPr>
          <w:rStyle w:val="FootnoteAnchor"/>
          <w:rtl w:val="true"/>
        </w:rPr>
        <w:footnoteReference w:id="439"/>
      </w:r>
      <w:r>
        <w:rPr>
          <w:rFonts w:ascii="IRNazanin" w:hAnsi="IRNazanin" w:eastAsia="IRNazanin"/>
          <w:color w:val="111111"/>
          <w:sz w:val="28"/>
          <w:sz w:val="28"/>
          <w:szCs w:val="28"/>
          <w:rtl w:val="true"/>
          <w:lang w:bidi="fa-IR"/>
        </w:rPr>
        <w:t> وفاء بغیرالجنس</w:t>
      </w:r>
      <w:r>
        <w:rPr>
          <w:rStyle w:val="FootnoteAnchor"/>
          <w:rtl w:val="true"/>
        </w:rPr>
        <w:footnoteReference w:id="440"/>
      </w:r>
      <w:r>
        <w:rPr>
          <w:rFonts w:ascii="IRNazanin" w:hAnsi="IRNazanin" w:eastAsia="IRNazanin"/>
          <w:color w:val="111111"/>
          <w:sz w:val="28"/>
          <w:sz w:val="28"/>
          <w:szCs w:val="28"/>
          <w:rtl w:val="true"/>
          <w:lang w:bidi="fa-IR"/>
        </w:rPr>
        <w:t> برضا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الخلاف ما إذا أحال علی مَن علیه جنس بغیر 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اُشیر إلیه من أنّه لا یجب علیه أن یدفع إلّا مثل ما علیه، وأیضاً الحکم علی خلاف القاعدة، ولا إطلاق فی نصوص الباب، ولا سیرة کاشفة، والعمومات منصرفة إلی العقود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یکون أنّه مثل الوفاء بغیر الجنس</w:t>
      </w:r>
      <w:r>
        <w:rPr>
          <w:rStyle w:val="FootnoteAnchor"/>
          <w:rtl w:val="true"/>
        </w:rPr>
        <w:footnoteReference w:id="441"/>
      </w:r>
      <w:r>
        <w:rPr>
          <w:rFonts w:ascii="IRNazanin" w:hAnsi="IRNazanin" w:eastAsia="IRNazanin"/>
          <w:color w:val="111111"/>
          <w:sz w:val="28"/>
          <w:sz w:val="28"/>
          <w:szCs w:val="28"/>
          <w:rtl w:val="true"/>
          <w:lang w:bidi="fa-IR"/>
        </w:rPr>
        <w:t>، ولا بأس به</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رضا المحال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السبزواری،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رضی المحال علیه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رضا الطرفَین، ولکنّ الأحوط قلب ما علی المحال علیه بناقلٍ شرعیٍّبالجنس، ثمّ الحوالة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بأس، فالأحوط المبادلة أوّلاً برضا المحال علیه، ثمّ الحوالة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أنّه یعتبر حینئذٍ رضا المحال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الأمر أنّه قد مرّ اعتبار رضا المحال علیه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وهذا هو الأقوی</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رضی المحال علیه، وإلّا ففیه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رضا المحال علیه، کما مرّ فی 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رضی المحال علیه بأن یؤدّی دَینه من غیر جنس ما علیه، ولعلّه ظاهرالفرض 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رضی به المحال علیه،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یخفی أنّ الإشکال إنّما هو فیما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ممّا لی عَلیکَ</w:t>
      </w:r>
    </w:p>
    <w:p>
      <w:pPr>
        <w:pStyle w:val="BookText"/>
        <w:rPr/>
      </w:pPr>
      <w:r>
        <w:rPr>
          <w:rFonts w:ascii="IRNazanin" w:hAnsi="IRNazanin" w:eastAsia="IRNazanin"/>
          <w:color w:val="111111"/>
          <w:sz w:val="28"/>
          <w:sz w:val="28"/>
          <w:szCs w:val="28"/>
          <w:rtl w:val="true"/>
          <w:lang w:bidi="fa-IR"/>
        </w:rPr>
        <w:t>من الدنانیر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أحال علیه بالدراهم من الدنانیر الّتی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IRNazanin" w:hAnsi="IRNazanin" w:eastAsia="IRNazanin"/>
          <w:color w:val="111111"/>
          <w:sz w:val="28"/>
          <w:sz w:val="28"/>
          <w:szCs w:val="28"/>
          <w:rtl w:val="true"/>
          <w:lang w:bidi="fa-IR"/>
        </w:rPr>
        <w:t>إذا أحال علیه بالدراهم من غیر نظرٍ إلی ما علیه من الدنانیر</w:t>
      </w:r>
    </w:p>
    <w:p>
      <w:pPr>
        <w:pStyle w:val="BookText"/>
        <w:rPr/>
      </w:pPr>
      <w:r>
        <w:rPr>
          <w:rFonts w:ascii="IRNazanin" w:hAnsi="IRNazanin" w:eastAsia="IRNazanin"/>
          <w:color w:val="111111"/>
          <w:sz w:val="28"/>
          <w:sz w:val="28"/>
          <w:szCs w:val="28"/>
          <w:rtl w:val="true"/>
          <w:lang w:bidi="fa-IR"/>
        </w:rPr>
        <w:t>فلا ینبغی الإشکال فیه؛ إذ هو نظیر إحالة مَن له الدراهم علی البریء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یدفع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فتفرغ ذمّة المحیل من الدراهم وتشتغل</w:t>
      </w:r>
      <w:r>
        <w:rPr>
          <w:rStyle w:val="FootnoteAnchor"/>
          <w:rtl w:val="true"/>
        </w:rPr>
        <w:footnoteReference w:id="444"/>
      </w:r>
      <w:r>
        <w:rPr>
          <w:rFonts w:ascii="Amiri" w:hAnsi="Amiri" w:eastAsia="Amiri" w:cs="Amiri"/>
          <w:color w:val="111111"/>
          <w:sz w:val="28"/>
          <w:sz w:val="28"/>
          <w:szCs w:val="28"/>
          <w:rtl w:val="true"/>
          <w:lang w:bidi="ar-SA"/>
        </w:rPr>
        <w:t xml:space="preserve"> ذمّة </w:t>
      </w:r>
      <w:bookmarkStart w:id="214" w:name="pg13286_153772"/>
    </w:p>
    <w:p>
      <w:pPr>
        <w:pStyle w:val="BookText"/>
        <w:rPr/>
      </w:pPr>
      <w:bookmarkEnd w:id="214"/>
      <w:r>
        <w:rPr>
          <w:rFonts w:ascii="IRNazanin" w:hAnsi="IRNazanin" w:eastAsia="IRNazanin"/>
          <w:color w:val="111111"/>
          <w:sz w:val="28"/>
          <w:sz w:val="28"/>
          <w:szCs w:val="28"/>
          <w:rtl w:val="true"/>
          <w:lang w:bidi="fa-IR"/>
        </w:rPr>
        <w:t>المحال علیه</w:t>
      </w:r>
      <w:r>
        <w:rPr>
          <w:rStyle w:val="FootnoteAnchor"/>
          <w:rtl w:val="true"/>
        </w:rPr>
        <w:footnoteReference w:id="445"/>
      </w:r>
      <w:r>
        <w:rPr>
          <w:rFonts w:ascii="IRNazanin" w:hAnsi="IRNazanin" w:eastAsia="IRNazanin"/>
          <w:color w:val="111111"/>
          <w:sz w:val="28"/>
          <w:sz w:val="28"/>
          <w:szCs w:val="28"/>
          <w:rtl w:val="true"/>
          <w:lang w:bidi="fa-IR"/>
        </w:rPr>
        <w:t> بها، وتبقی ذمّة المحال علیه</w:t>
      </w:r>
      <w:r>
        <w:rPr>
          <w:rStyle w:val="FootnoteAnchor"/>
          <w:rtl w:val="true"/>
        </w:rPr>
        <w:footnoteReference w:id="446"/>
      </w:r>
      <w:r>
        <w:rPr>
          <w:rFonts w:ascii="IRNazanin" w:hAnsi="IRNazanin" w:eastAsia="IRNazanin"/>
          <w:color w:val="111111"/>
          <w:sz w:val="28"/>
          <w:sz w:val="28"/>
          <w:szCs w:val="28"/>
          <w:rtl w:val="true"/>
          <w:lang w:bidi="fa-IR"/>
        </w:rPr>
        <w:t> مشغولةً بالدنانیر، وتشتغل</w:t>
      </w:r>
    </w:p>
    <w:p>
      <w:pPr>
        <w:pStyle w:val="BookText"/>
        <w:rPr/>
      </w:pPr>
      <w:r>
        <w:rPr>
          <w:rFonts w:ascii="IRNazanin" w:hAnsi="IRNazanin" w:eastAsia="IRNazanin"/>
          <w:color w:val="111111"/>
          <w:sz w:val="28"/>
          <w:sz w:val="28"/>
          <w:szCs w:val="28"/>
          <w:rtl w:val="true"/>
          <w:lang w:bidi="fa-IR"/>
        </w:rPr>
        <w:t>ذمّة المحیل له بالدراهم</w:t>
      </w:r>
      <w:r>
        <w:rPr>
          <w:rStyle w:val="FootnoteAnchor"/>
          <w:rtl w:val="true"/>
        </w:rPr>
        <w:footnoteReference w:id="447"/>
      </w:r>
      <w:r>
        <w:rPr>
          <w:rFonts w:ascii="IRNazanin" w:hAnsi="IRNazanin" w:eastAsia="IRNazanin"/>
          <w:color w:val="111111"/>
          <w:sz w:val="28"/>
          <w:sz w:val="28"/>
          <w:szCs w:val="28"/>
          <w:rtl w:val="true"/>
          <w:lang w:bidi="fa-IR"/>
        </w:rPr>
        <w:t>، فیتحاسبان</w:t>
      </w:r>
      <w:r>
        <w:rPr>
          <w:rStyle w:val="FootnoteAnchor"/>
          <w:rtl w:val="true"/>
        </w:rPr>
        <w:footnoteReference w:id="448"/>
      </w:r>
      <w:r>
        <w:rPr>
          <w:rFonts w:ascii="IRNazanin" w:hAnsi="IRNazanin" w:eastAsia="IRNazanin"/>
          <w:color w:val="111111"/>
          <w:sz w:val="28"/>
          <w:sz w:val="28"/>
          <w:szCs w:val="28"/>
          <w:rtl w:val="true"/>
          <w:lang w:bidi="fa-IR"/>
        </w:rPr>
        <w:t>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الخلاف أیضاً مختصّ بالصورة الاُولی، لا ما یشمل</w:t>
      </w:r>
      <w:r>
        <w:rPr>
          <w:rStyle w:val="FootnoteAnchor"/>
          <w:rtl w:val="true"/>
        </w:rPr>
        <w:footnoteReference w:id="449"/>
      </w:r>
      <w:r>
        <w:rPr>
          <w:rFonts w:ascii="Amiri" w:hAnsi="Amiri" w:eastAsia="Amiri" w:cs="Amiri"/>
          <w:color w:val="111111"/>
          <w:sz w:val="28"/>
          <w:sz w:val="28"/>
          <w:szCs w:val="28"/>
          <w:rtl w:val="true"/>
          <w:lang w:bidi="ar-SA"/>
        </w:rPr>
        <w:t> هذه الصورة</w:t>
      </w:r>
    </w:p>
    <w:p>
      <w:pPr>
        <w:pStyle w:val="BookText"/>
        <w:rPr/>
      </w:pPr>
      <w:r>
        <w:rPr>
          <w:rFonts w:ascii="IRNazanin" w:hAnsi="IRNazanin" w:eastAsia="IRNazanin"/>
          <w:color w:val="111111"/>
          <w:sz w:val="28"/>
          <w:sz w:val="28"/>
          <w:szCs w:val="28"/>
          <w:rtl w:val="true"/>
          <w:lang w:bidi="fa-IR"/>
        </w:rPr>
        <w:t>أیضاً؛ وعلی هذا فیختصّ الخلاف بصورةٍ واحدة،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الحوالة علی مشغول الذمّة بأن یدفع من طرف ما علیه من الحقّ بغیر جنسه، کأن یدفع من الدنانیر الّتی علیه دراهم</w:t>
      </w:r>
      <w:r>
        <w:rPr>
          <w:rFonts w:eastAsia="IRNazanin" w:cs="IRNazanin"/>
          <w:color w:val="111111"/>
          <w:sz w:val="28"/>
          <w:szCs w:val="28"/>
          <w:rtl w:val="true"/>
          <w:lang w:bidi="fa-IR"/>
        </w:rPr>
        <w:t>.</w:t>
      </w:r>
    </w:p>
    <w:p>
      <w:pPr>
        <w:pStyle w:val="Heading3"/>
        <w:numPr>
          <w:ilvl w:val="2"/>
          <w:numId w:val="1"/>
        </w:numPr>
        <w:rPr/>
      </w:pPr>
      <w:bookmarkStart w:id="215" w:name="__RefHeading___Toc2138564_2322387425"/>
      <w:bookmarkStart w:id="216" w:name="_Toc75"/>
      <w:bookmarkEnd w:id="215"/>
      <w:r>
        <w:rPr>
          <w:rtl w:val="true"/>
        </w:rPr>
        <w:t>حکم الحوالة بالمنفعة والعمل</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المال المحال به أن یکون عیناً فی الذمّة، أو منفعةً أو عملاً لا یعتبر فیه المباشرة، ولو مثل</w:t>
      </w:r>
      <w:r>
        <w:rPr>
          <w:rStyle w:val="FootnoteAnchor"/>
          <w:rtl w:val="true"/>
        </w:rPr>
        <w:footnoteReference w:id="450"/>
      </w:r>
      <w:r>
        <w:rPr>
          <w:rFonts w:ascii="Amiri" w:hAnsi="Amiri" w:eastAsia="Amiri" w:cs="Amiri"/>
          <w:color w:val="111111"/>
          <w:sz w:val="28"/>
          <w:sz w:val="28"/>
          <w:szCs w:val="28"/>
          <w:rtl w:val="true"/>
          <w:lang w:bidi="ar-SA"/>
        </w:rPr>
        <w:t> الصلاة والصوم والحجّ</w:t>
      </w:r>
    </w:p>
    <w:p>
      <w:pPr>
        <w:pStyle w:val="BookText"/>
        <w:rPr/>
      </w:pPr>
      <w:r>
        <w:rPr>
          <w:rFonts w:ascii="IRNazanin" w:hAnsi="IRNazanin" w:eastAsia="IRNazanin"/>
          <w:color w:val="111111"/>
          <w:sz w:val="28"/>
          <w:sz w:val="28"/>
          <w:szCs w:val="28"/>
          <w:rtl w:val="true"/>
          <w:lang w:bidi="fa-IR"/>
        </w:rPr>
        <w:t>والزیارة والقراءة، سواء کانت علی بریء</w:t>
      </w:r>
      <w:r>
        <w:rPr>
          <w:rStyle w:val="FootnoteAnchor"/>
          <w:rtl w:val="true"/>
        </w:rPr>
        <w:footnoteReference w:id="451"/>
      </w:r>
      <w:r>
        <w:rPr>
          <w:rFonts w:ascii="IRNazanin" w:hAnsi="IRNazanin" w:eastAsia="IRNazanin"/>
          <w:color w:val="111111"/>
          <w:sz w:val="28"/>
          <w:sz w:val="28"/>
          <w:szCs w:val="28"/>
          <w:rtl w:val="true"/>
          <w:lang w:bidi="fa-IR"/>
        </w:rPr>
        <w:t>، أم علی مشغول الذمّة بمثلها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لا فرق بین أن یکون مِثلیّاً کالطعام، أو قیمیّاً کالعبد والثوب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الصحّة فی القِیمیّ للجهالة ضعیف، والجهالة مرتفعة</w:t>
      </w:r>
      <w:r>
        <w:rPr>
          <w:rStyle w:val="FootnoteAnchor"/>
          <w:rtl w:val="true"/>
        </w:rPr>
        <w:footnoteReference w:id="452"/>
      </w:r>
      <w:r>
        <w:rPr>
          <w:rFonts w:ascii="IRNazanin" w:hAnsi="IRNazanin" w:eastAsia="IRNazanin"/>
          <w:color w:val="111111"/>
          <w:sz w:val="28"/>
          <w:sz w:val="28"/>
          <w:szCs w:val="28"/>
          <w:rtl w:val="true"/>
          <w:lang w:bidi="fa-IR"/>
        </w:rPr>
        <w:t> بالوصف الرافع لها</w:t>
      </w:r>
      <w:r>
        <w:rPr>
          <w:rFonts w:eastAsia="IRNazanin" w:cs="IRNazanin"/>
          <w:color w:val="111111"/>
          <w:sz w:val="28"/>
          <w:szCs w:val="28"/>
          <w:rtl w:val="true"/>
          <w:lang w:bidi="fa-IR"/>
        </w:rPr>
        <w:t xml:space="preserve">. </w:t>
      </w:r>
      <w:bookmarkStart w:id="217" w:name="pg13286_153773"/>
    </w:p>
    <w:p>
      <w:pPr>
        <w:pStyle w:val="Heading3"/>
        <w:numPr>
          <w:ilvl w:val="2"/>
          <w:numId w:val="1"/>
        </w:numPr>
        <w:rPr/>
      </w:pPr>
      <w:bookmarkStart w:id="218" w:name="__RefHeading___Toc2138566_2322387425"/>
      <w:bookmarkStart w:id="219" w:name="_Toc76"/>
      <w:bookmarkEnd w:id="217"/>
      <w:bookmarkEnd w:id="218"/>
      <w:r>
        <w:rPr>
          <w:rtl w:val="true"/>
        </w:rPr>
        <w:t>براءة ذمّة المحیل بمجرّد تحقّق الحوالة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تحقّقت الحوالة برئت ذمّة المحیل وإن لم یُبرِئه المحتال، والقول بالتوقّف علی إبرائه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الدالّ</w:t>
      </w:r>
      <w:r>
        <w:rPr>
          <w:rStyle w:val="FootnoteAnchor"/>
          <w:rtl w:val="true"/>
        </w:rPr>
        <w:footnoteReference w:id="453"/>
      </w:r>
      <w:r>
        <w:rPr>
          <w:rFonts w:ascii="IRNazanin" w:hAnsi="IRNazanin" w:eastAsia="IRNazanin"/>
          <w:color w:val="111111"/>
          <w:sz w:val="28"/>
          <w:sz w:val="28"/>
          <w:szCs w:val="28"/>
          <w:rtl w:val="true"/>
          <w:lang w:bidi="fa-IR"/>
        </w:rPr>
        <w:t> علی تقیید عدم الرجوع</w:t>
      </w:r>
    </w:p>
    <w:p>
      <w:pPr>
        <w:pStyle w:val="BookText"/>
        <w:rPr/>
      </w:pPr>
      <w:r>
        <w:rPr>
          <w:rFonts w:ascii="IRNazanin" w:hAnsi="IRNazanin" w:eastAsia="IRNazanin"/>
          <w:color w:val="111111"/>
          <w:sz w:val="28"/>
          <w:sz w:val="28"/>
          <w:szCs w:val="28"/>
          <w:rtl w:val="true"/>
          <w:lang w:bidi="fa-IR"/>
        </w:rPr>
        <w:t>علی المحیل بالإبراء من المحتال المراد منه القبول</w:t>
      </w:r>
      <w:r>
        <w:rPr>
          <w:rStyle w:val="FootnoteAnchor"/>
          <w:rtl w:val="true"/>
        </w:rPr>
        <w:footnoteReference w:id="454"/>
      </w:r>
      <w:r>
        <w:rPr>
          <w:rFonts w:ascii="IRNazanin" w:hAnsi="IRNazanin" w:eastAsia="IRNazanin"/>
          <w:color w:val="111111"/>
          <w:sz w:val="28"/>
          <w:sz w:val="28"/>
          <w:szCs w:val="28"/>
          <w:rtl w:val="true"/>
          <w:lang w:bidi="fa-IR"/>
        </w:rPr>
        <w:t>، لا اعتبارها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وتشتغل ذمّة المحال علیه للمحتال، فینتقل الدَین</w:t>
      </w:r>
      <w:r>
        <w:rPr>
          <w:rStyle w:val="FootnoteAnchor"/>
          <w:rtl w:val="true"/>
        </w:rPr>
        <w:footnoteReference w:id="455"/>
      </w:r>
      <w:r>
        <w:rPr>
          <w:rFonts w:ascii="Amiri" w:hAnsi="Amiri" w:eastAsia="Amiri" w:cs="Amiri"/>
          <w:color w:val="111111"/>
          <w:sz w:val="28"/>
          <w:sz w:val="28"/>
          <w:szCs w:val="28"/>
          <w:rtl w:val="true"/>
          <w:lang w:bidi="ar-SA"/>
        </w:rPr>
        <w:t> إلی ذمّته، وتبرأ ذمّة  </w:t>
      </w:r>
    </w:p>
    <w:p>
      <w:pPr>
        <w:pStyle w:val="BookText"/>
        <w:rPr/>
      </w:pPr>
      <w:r>
        <w:rPr>
          <w:rFonts w:ascii="IRNazanin" w:hAnsi="IRNazanin" w:eastAsia="IRNazanin"/>
          <w:color w:val="111111"/>
          <w:sz w:val="28"/>
          <w:sz w:val="28"/>
          <w:szCs w:val="28"/>
          <w:rtl w:val="true"/>
          <w:lang w:bidi="fa-IR"/>
        </w:rPr>
        <w:t>المحال علیه للمحیل إن کانت الحوالة بالمثل بقدر المال المحال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وتشتغل ذمّة المحیل</w:t>
      </w:r>
      <w:r>
        <w:rPr>
          <w:rStyle w:val="FootnoteAnchor"/>
          <w:rtl w:val="true"/>
        </w:rPr>
        <w:footnoteReference w:id="456"/>
      </w:r>
      <w:r>
        <w:rPr>
          <w:rFonts w:ascii="IRNazanin" w:hAnsi="IRNazanin" w:eastAsia="IRNazanin"/>
          <w:color w:val="111111"/>
          <w:sz w:val="28"/>
          <w:sz w:val="28"/>
          <w:szCs w:val="28"/>
          <w:rtl w:val="true"/>
          <w:lang w:bidi="fa-IR"/>
        </w:rPr>
        <w:t> للمحال علیه إن کانت علی بریء، أو کانت بغیر المثل،    </w:t>
      </w:r>
    </w:p>
    <w:p>
      <w:pPr>
        <w:pStyle w:val="BookText"/>
        <w:rPr/>
      </w:pPr>
      <w:r>
        <w:rPr>
          <w:rFonts w:ascii="IRNazanin" w:hAnsi="IRNazanin" w:eastAsia="IRNazanin"/>
          <w:color w:val="111111"/>
          <w:sz w:val="28"/>
          <w:sz w:val="28"/>
          <w:szCs w:val="28"/>
          <w:rtl w:val="true"/>
          <w:lang w:bidi="fa-IR"/>
        </w:rPr>
        <w:t>ویتحاسبان</w:t>
      </w:r>
      <w:r>
        <w:rPr>
          <w:rStyle w:val="FootnoteAnchor"/>
          <w:rtl w:val="true"/>
        </w:rPr>
        <w:footnoteReference w:id="457"/>
      </w:r>
      <w:r>
        <w:rPr>
          <w:rFonts w:ascii="IRNazanin" w:hAnsi="IRNazanin" w:eastAsia="IRNazanin"/>
          <w:color w:val="111111"/>
          <w:sz w:val="28"/>
          <w:sz w:val="28"/>
          <w:szCs w:val="28"/>
          <w:rtl w:val="true"/>
          <w:lang w:bidi="fa-IR"/>
        </w:rPr>
        <w:t> بعد ذلک</w:t>
      </w:r>
      <w:r>
        <w:rPr>
          <w:rFonts w:eastAsia="IRNazanin" w:cs="IRNazanin"/>
          <w:color w:val="111111"/>
          <w:sz w:val="28"/>
          <w:szCs w:val="28"/>
          <w:rtl w:val="true"/>
          <w:lang w:bidi="fa-IR"/>
        </w:rPr>
        <w:t>.</w:t>
      </w:r>
    </w:p>
    <w:p>
      <w:pPr>
        <w:pStyle w:val="Heading3"/>
        <w:numPr>
          <w:ilvl w:val="2"/>
          <w:numId w:val="1"/>
        </w:numPr>
        <w:rPr/>
      </w:pPr>
      <w:bookmarkStart w:id="220" w:name="__RefHeading___Toc2138568_2322387425"/>
      <w:bookmarkStart w:id="221" w:name="_Toc77"/>
      <w:bookmarkEnd w:id="220"/>
      <w:r>
        <w:rPr>
          <w:rtl w:val="true"/>
        </w:rPr>
        <w:t>عدم وجوب قبول الحوالة</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المحتال قبول الحوالة وإن کانت علی مَلِیء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2138570_2322387425"/>
      <w:bookmarkStart w:id="223" w:name="_Toc78"/>
      <w:bookmarkEnd w:id="222"/>
      <w:r>
        <w:rPr>
          <w:rtl w:val="true"/>
        </w:rPr>
        <w:t>لزوم الحوالة ما لم تکن علی معسر</w:t>
      </w:r>
      <w:bookmarkEnd w:id="2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الحوالة لازمة، فلا یجوز فسخها بالنسبة إلی کلٍّ من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علی معسرٍ مع جهل المحتال بإعساره یجوز له الفسخ والرجوع </w:t>
      </w:r>
      <w:bookmarkStart w:id="224" w:name="pg13286_153774"/>
    </w:p>
    <w:p>
      <w:pPr>
        <w:pStyle w:val="BookText"/>
        <w:rPr/>
      </w:pPr>
      <w:bookmarkEnd w:id="224"/>
      <w:r>
        <w:rPr>
          <w:rFonts w:ascii="IRNazanin" w:hAnsi="IRNazanin" w:eastAsia="IRNazanin"/>
          <w:color w:val="111111"/>
          <w:sz w:val="28"/>
          <w:sz w:val="28"/>
          <w:szCs w:val="28"/>
          <w:rtl w:val="true"/>
          <w:lang w:bidi="fa-IR"/>
        </w:rPr>
        <w:t>علی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له ما یوفّی دَینه زائداً علی مستثنیات الدَین، وهو المراد من الفقر فی کلام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فیه کونه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والمناط الإعسار والیسار حال الحوالة وتمامیّتها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الفور فی جواز الفسخ</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إمکان الاقتراض والبناء علیه یسقط</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الخیار؛ للانصراف علی</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وجود المتبرّع أو إمکان القرض لا یوجب سقوط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لدعوی الانصراف، والأظهر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مَنشَؤُه إطلاق الأخبار، وعدم وجهٍ للانصراف، وإن کان فهو بَدویّ، فالأقوی عدمالسقوط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السقوط؛ إذ صرف إمکان الاقتراض ووجود المتبرّع لا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سقوط الخیار، والانصراف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عدم السقوط، وکذا مع وجود المتبرّع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مع وجود المتبرّع</w:t>
      </w:r>
      <w:r>
        <w:rPr>
          <w:rFonts w:eastAsia="IRNazanin" w:cs="IRNazanin"/>
          <w:color w:val="111111"/>
          <w:sz w:val="28"/>
          <w:szCs w:val="28"/>
          <w:rtl w:val="true"/>
          <w:lang w:bidi="fa-IR"/>
        </w:rPr>
        <w:t>.</w:t>
      </w:r>
    </w:p>
    <w:p>
      <w:pPr>
        <w:pStyle w:val="Heading3"/>
        <w:numPr>
          <w:ilvl w:val="2"/>
          <w:numId w:val="1"/>
        </w:numPr>
        <w:rPr/>
      </w:pPr>
      <w:bookmarkStart w:id="225" w:name="__RefHeading___Toc2138572_2322387425"/>
      <w:bookmarkStart w:id="226" w:name="_Toc79"/>
      <w:bookmarkEnd w:id="225"/>
      <w:r>
        <w:rPr>
          <w:rtl w:val="true"/>
        </w:rPr>
        <w:t>الحوالة‌علی البریء</w:t>
      </w:r>
      <w:bookmarkEnd w:id="2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w:t>
      </w:r>
      <w:r>
        <w:rPr>
          <w:rStyle w:val="FootnoteAnchor"/>
          <w:rtl w:val="true"/>
        </w:rPr>
        <w:footnoteReference w:id="462"/>
      </w:r>
      <w:r>
        <w:rPr>
          <w:rFonts w:ascii="IRNazanin" w:hAnsi="IRNazanin" w:eastAsia="IRNazanin"/>
          <w:color w:val="111111"/>
          <w:sz w:val="28"/>
          <w:sz w:val="28"/>
          <w:szCs w:val="28"/>
          <w:rtl w:val="true"/>
          <w:lang w:bidi="fa-IR"/>
        </w:rPr>
        <w:t xml:space="preserve"> الحوالة علی البریء، ولا یکون </w:t>
      </w:r>
      <w:bookmarkStart w:id="227" w:name="pg13286_153775"/>
    </w:p>
    <w:p>
      <w:pPr>
        <w:pStyle w:val="BookText"/>
        <w:rPr/>
      </w:pPr>
      <w:bookmarkEnd w:id="227"/>
      <w:r>
        <w:rPr>
          <w:rFonts w:ascii="IRNazanin" w:hAnsi="IRNazanin" w:eastAsia="IRNazanin"/>
          <w:color w:val="111111"/>
          <w:sz w:val="28"/>
          <w:sz w:val="28"/>
          <w:szCs w:val="28"/>
          <w:rtl w:val="true"/>
          <w:lang w:bidi="fa-IR"/>
        </w:rPr>
        <w:t>داخلاً فی الضمان</w:t>
      </w:r>
      <w:r>
        <w:rPr>
          <w:rFonts w:eastAsia="IRNazanin" w:cs="IRNazanin"/>
          <w:color w:val="111111"/>
          <w:sz w:val="28"/>
          <w:szCs w:val="28"/>
          <w:rtl w:val="true"/>
          <w:lang w:bidi="fa-IR"/>
        </w:rPr>
        <w:t>.</w:t>
      </w:r>
    </w:p>
    <w:p>
      <w:pPr>
        <w:pStyle w:val="Heading3"/>
        <w:numPr>
          <w:ilvl w:val="2"/>
          <w:numId w:val="1"/>
        </w:numPr>
        <w:rPr/>
      </w:pPr>
      <w:bookmarkStart w:id="228" w:name="__RefHeading___Toc2138574_2322387425"/>
      <w:bookmarkStart w:id="229" w:name="_Toc80"/>
      <w:bookmarkEnd w:id="228"/>
      <w:r>
        <w:rPr>
          <w:rtl w:val="true"/>
        </w:rPr>
        <w:t>اشتراط خیار الفسخ</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اشتراط خیار الفسخ لکلٍّ من الثلاثة</w:t>
      </w:r>
      <w:r>
        <w:rPr>
          <w:rFonts w:eastAsia="IRNazanin" w:cs="IRNazanin"/>
          <w:color w:val="111111"/>
          <w:sz w:val="28"/>
          <w:szCs w:val="28"/>
          <w:rtl w:val="true"/>
          <w:lang w:bidi="fa-IR"/>
        </w:rPr>
        <w:t>.</w:t>
      </w:r>
    </w:p>
    <w:p>
      <w:pPr>
        <w:pStyle w:val="Heading3"/>
        <w:numPr>
          <w:ilvl w:val="2"/>
          <w:numId w:val="1"/>
        </w:numPr>
        <w:rPr/>
      </w:pPr>
      <w:bookmarkStart w:id="230" w:name="__RefHeading___Toc2138576_2322387425"/>
      <w:bookmarkStart w:id="231" w:name="_Toc81"/>
      <w:bookmarkEnd w:id="230"/>
      <w:r>
        <w:rPr>
          <w:rtl w:val="true"/>
        </w:rPr>
        <w:t>جواز الدور والترامی فی الحوالة</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الدَور فی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الترامی بتعدّد المُحال علیه واتّحاد المحتال، أو بتعدّد المحتال واتّحاد المحال علیه</w:t>
      </w:r>
      <w:r>
        <w:rPr>
          <w:rFonts w:eastAsia="IRNazanin" w:cs="IRNazanin"/>
          <w:color w:val="111111"/>
          <w:sz w:val="28"/>
          <w:szCs w:val="28"/>
          <w:rtl w:val="true"/>
          <w:lang w:bidi="fa-IR"/>
        </w:rPr>
        <w:t>.</w:t>
      </w:r>
    </w:p>
    <w:p>
      <w:pPr>
        <w:pStyle w:val="Heading3"/>
        <w:numPr>
          <w:ilvl w:val="2"/>
          <w:numId w:val="1"/>
        </w:numPr>
        <w:rPr/>
      </w:pPr>
      <w:bookmarkStart w:id="232" w:name="__RefHeading___Toc2138578_2322387425"/>
      <w:bookmarkStart w:id="233" w:name="_Toc82"/>
      <w:bookmarkEnd w:id="232"/>
      <w:r>
        <w:rPr>
          <w:rtl w:val="true"/>
        </w:rPr>
        <w:t>جواز التبرّع عن الغیر</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تبرّع أجنبیّ عن المحال علیه برئت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ضمن عنه ضامن برضا المحتال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تبرّع المحیل عنه</w:t>
      </w:r>
      <w:r>
        <w:rPr>
          <w:rFonts w:eastAsia="IRNazanin" w:cs="IRNazanin"/>
          <w:color w:val="111111"/>
          <w:sz w:val="28"/>
          <w:szCs w:val="28"/>
          <w:rtl w:val="true"/>
          <w:lang w:bidi="fa-IR"/>
        </w:rPr>
        <w:t>.</w:t>
      </w:r>
    </w:p>
    <w:p>
      <w:pPr>
        <w:pStyle w:val="Heading3"/>
        <w:numPr>
          <w:ilvl w:val="2"/>
          <w:numId w:val="1"/>
        </w:numPr>
        <w:rPr/>
      </w:pPr>
      <w:bookmarkStart w:id="234" w:name="__RefHeading___Toc2138580_2322387425"/>
      <w:bookmarkStart w:id="235" w:name="_Toc83"/>
      <w:bookmarkEnd w:id="234"/>
      <w:r>
        <w:rPr>
          <w:rtl w:val="true"/>
        </w:rPr>
        <w:t>لو ادّعی المحیل علی المحال علیه مالاً فأنکره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أحال فقبل وأدّی ثمّ طالب المحیل بما أدّاه، فادّعی أنّه کان له علیه مال وأنکر المحال علیه فالقول قوله</w:t>
      </w:r>
      <w:r>
        <w:rPr>
          <w:rStyle w:val="FootnoteAnchor"/>
          <w:rtl w:val="true"/>
        </w:rPr>
        <w:footnoteReference w:id="463"/>
      </w:r>
      <w:r>
        <w:rPr>
          <w:rFonts w:ascii="IRNazanin" w:hAnsi="IRNazanin" w:eastAsia="IRNazanin"/>
          <w:color w:val="111111"/>
          <w:sz w:val="28"/>
          <w:sz w:val="28"/>
          <w:szCs w:val="28"/>
          <w:rtl w:val="true"/>
          <w:lang w:bidi="fa-IR"/>
        </w:rPr>
        <w:t> مع عدم البیّنة، فیحلف  </w:t>
      </w:r>
    </w:p>
    <w:p>
      <w:pPr>
        <w:pStyle w:val="BookText"/>
        <w:rPr/>
      </w:pPr>
      <w:r>
        <w:rPr>
          <w:rFonts w:ascii="IRNazanin" w:hAnsi="IRNazanin" w:eastAsia="IRNazanin"/>
          <w:color w:val="111111"/>
          <w:sz w:val="28"/>
          <w:sz w:val="28"/>
          <w:szCs w:val="28"/>
          <w:rtl w:val="true"/>
          <w:lang w:bidi="fa-IR"/>
        </w:rPr>
        <w:t>علی براءته، ویطالب عوض ما أدّاه؛ لأصالة البراءة</w:t>
      </w:r>
      <w:r>
        <w:rPr>
          <w:rStyle w:val="FootnoteAnchor"/>
          <w:rtl w:val="true"/>
        </w:rPr>
        <w:footnoteReference w:id="464"/>
      </w:r>
      <w:r>
        <w:rPr>
          <w:rFonts w:ascii="IRNazanin" w:hAnsi="IRNazanin" w:eastAsia="IRNazanin"/>
          <w:color w:val="111111"/>
          <w:sz w:val="28"/>
          <w:sz w:val="28"/>
          <w:szCs w:val="28"/>
          <w:rtl w:val="true"/>
          <w:lang w:bidi="fa-IR"/>
        </w:rPr>
        <w:t> من شغل ذمّته للمحیل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الأصل أیضاً عدم اشتغال ذمّة المحیل بهذا الأداء مدفوعة</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الدفع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بأنّ الشکّ فی حصول اشتغال ذمّته وعدمه مسبّب عن الشکّ فی اشتغال ذمّة المحال علیه وعدمه، وبعد جریان أصالة براءة ذمّته</w:t>
      </w:r>
      <w:r>
        <w:rPr>
          <w:rStyle w:val="FootnoteAnchor"/>
          <w:rtl w:val="true"/>
        </w:rPr>
        <w:footnoteReference w:id="466"/>
      </w:r>
      <w:r>
        <w:rPr>
          <w:rFonts w:ascii="Amiri" w:hAnsi="Amiri" w:eastAsia="Amiri" w:cs="Amiri"/>
          <w:color w:val="111111"/>
          <w:sz w:val="28"/>
          <w:sz w:val="28"/>
          <w:szCs w:val="28"/>
          <w:rtl w:val="true"/>
          <w:lang w:bidi="ar-SA"/>
        </w:rPr>
        <w:t> یرتفع الشکّ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علی المختار</w:t>
      </w:r>
      <w:r>
        <w:rPr>
          <w:rStyle w:val="FootnoteAnchor"/>
          <w:rtl w:val="true"/>
        </w:rPr>
        <w:footnoteReference w:id="467"/>
      </w:r>
      <w:r>
        <w:rPr>
          <w:rFonts w:ascii="IRNazanin" w:hAnsi="IRNazanin" w:eastAsia="IRNazanin"/>
          <w:color w:val="111111"/>
          <w:sz w:val="28"/>
          <w:sz w:val="28"/>
          <w:szCs w:val="28"/>
          <w:rtl w:val="true"/>
          <w:lang w:bidi="fa-IR"/>
        </w:rPr>
        <w:t xml:space="preserve"> من صحّة الحوالة علی البریء، وأمّا علی القول بعدم </w:t>
      </w:r>
    </w:p>
    <w:p>
      <w:pPr>
        <w:pStyle w:val="BookText"/>
        <w:rPr/>
      </w:pPr>
      <w:r>
        <w:rPr>
          <w:rFonts w:ascii="Amiri" w:hAnsi="Amiri" w:eastAsia="Amiri" w:cs="Amiri"/>
          <w:color w:val="111111"/>
          <w:sz w:val="28"/>
          <w:sz w:val="28"/>
          <w:szCs w:val="28"/>
          <w:rtl w:val="true"/>
          <w:lang w:bidi="ar-SA"/>
        </w:rPr>
        <w:t>صحّتها فیُقَدَّم قول المحیل</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اقتضاء أصالة الصحّة؛ لاشتغال ذمّة المحیل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مرجع الخلاف إلی صحّة الحوالة وعدمها،  </w:t>
      </w:r>
    </w:p>
    <w:p>
      <w:pPr>
        <w:pStyle w:val="BookText"/>
        <w:rPr/>
      </w:pPr>
      <w:r>
        <w:rPr>
          <w:rFonts w:ascii="Amiri" w:hAnsi="Amiri" w:eastAsia="Amiri" w:cs="Amiri"/>
          <w:color w:val="111111"/>
          <w:sz w:val="28"/>
          <w:sz w:val="28"/>
          <w:szCs w:val="28"/>
          <w:rtl w:val="true"/>
          <w:lang w:bidi="ar-SA"/>
        </w:rPr>
        <w:t>ومع اعتراف المحال علیه بالحوالة یُقَدَّم قول مدّعی الصحّة</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الدَین بإجراء أصالة صحّة الحوالة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لأنّ المعیار فی المرافعات مَصَبّ الدعوی، لا ما یَؤُول إلیه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تقدیم قول مدّعی الصحّة إنّما هو إذا کان النزاع بین المتعاقدین، وهما فی الحوالة المحیل والمحتال، وأمّا المحال علیه فلیس طرفاً وإن اعتبر رضاه فی صحّتها مدفوعة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کونه طرفاً؛ فإنّ الحوالة مرکّبة من إیجاب وقبولَین</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الحوالة علی غیر البریء إیجاب من المحیل، وقبول من المحتال، وعلی البریءضمان من البریء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وقبول لذلک من المضمون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والحوالةحینئذٍ استیفاء بالعوض من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أنّها لیست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3286_153777"/>
    </w:p>
    <w:p>
      <w:pPr>
        <w:pStyle w:val="BookText"/>
        <w:rPr/>
      </w:pPr>
      <w:bookmarkEnd w:id="236"/>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اعتبار رضاه فی الصحّة فی جعل اعترافه بتحقّق المعاملة حجّةً علیه بالحمل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یعترف بالحوالة، بل ادّعی أنّه أذِن له فی أداء دَینه یُقَدَّم قوله؛ لأصالة البراءة من شغل ذمّته، فبإذنه فی أداء دَینه له مطالبة عوضه، ولم تتحقّق هنا حوالة بالنسبة إلیه حتّی تُحمَل علی الصحّة، وإن تحقّق بالنسبة إلی المحیل والمحتال لاعترافهما بها</w:t>
      </w:r>
      <w:r>
        <w:rPr>
          <w:rFonts w:eastAsia="IRNazanin" w:cs="IRNazanin"/>
          <w:color w:val="111111"/>
          <w:sz w:val="28"/>
          <w:szCs w:val="28"/>
          <w:rtl w:val="true"/>
          <w:lang w:bidi="fa-IR"/>
        </w:rPr>
        <w:t>.</w:t>
      </w:r>
    </w:p>
    <w:p>
      <w:pPr>
        <w:pStyle w:val="Heading3"/>
        <w:numPr>
          <w:ilvl w:val="2"/>
          <w:numId w:val="1"/>
        </w:numPr>
        <w:rPr/>
      </w:pPr>
      <w:bookmarkStart w:id="237" w:name="__RefHeading___Toc2138582_2322387425"/>
      <w:bookmarkStart w:id="238" w:name="_Toc84"/>
      <w:bookmarkEnd w:id="237"/>
      <w:r>
        <w:rPr>
          <w:rtl w:val="true"/>
        </w:rPr>
        <w:t>اشتغال ذمّة المحیل للبریء عند الحوالة أو الأداء</w:t>
      </w:r>
      <w:bookmarkEnd w:id="23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یُستفاد من عنوان المسألة السابقة ـ حیث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علیه فقبل وأدّی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محلّ الخلاف ما إذا کان النزاع بعد الأداء ـ أنّ حال الحوالة حال الضمان</w:t>
      </w:r>
      <w:r>
        <w:rPr>
          <w:rStyle w:val="FootnoteAnchor"/>
          <w:rtl w:val="true"/>
        </w:rPr>
        <w:footnoteReference w:id="471"/>
      </w:r>
      <w:r>
        <w:rPr>
          <w:rFonts w:ascii="IRNazanin" w:hAnsi="IRNazanin" w:eastAsia="IRNazanin"/>
          <w:color w:val="111111"/>
          <w:sz w:val="28"/>
          <w:sz w:val="28"/>
          <w:szCs w:val="28"/>
          <w:rtl w:val="true"/>
          <w:lang w:bidi="fa-IR"/>
        </w:rPr>
        <w:t> فی عدم جواز مطالبة العوض، إلّا بعد الأداء</w:t>
      </w:r>
      <w:r>
        <w:rPr>
          <w:rStyle w:val="FootnoteAnchor"/>
          <w:rtl w:val="true"/>
        </w:rPr>
        <w:footnoteReference w:id="472"/>
      </w:r>
      <w:r>
        <w:rPr>
          <w:rFonts w:ascii="IRNazanin" w:hAnsi="IRNazanin" w:eastAsia="IRNazanin"/>
          <w:color w:val="111111"/>
          <w:sz w:val="28"/>
          <w:sz w:val="28"/>
          <w:szCs w:val="28"/>
          <w:rtl w:val="true"/>
          <w:lang w:bidi="fa-IR"/>
        </w:rPr>
        <w:t>فقبله، وإن حصل الوفاء بالنسبة إلی المحیل لکنّ ذمّة المحیل لا تشتغل</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للمحال علیه البریء إلّا بعد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حصوله إلّا بالأداء، وحالها حال الضمان فیه، وفی سائر ما ذکرفی المسألة مثل الإبراء والوفاء بالأقلّ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العدم، والظاهر أنّها کالضمان فی کلّ ما أشار إلیه قدّس سرّه ، وقد یُحتَملالفرق بین اشتغال ذمّة المحال علیه للمحیل والمضمون عنه للضامن، بخلاف براءةذمّتهما فإنّها تحصل بمجرّد قبول المحال علیه والضامن، ولکنّه لا یخلو من إشکال،وقد تقدّم الکلام فی الإجماع المدّعی وخبر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توقّف تحقّق الشغل علی الأداء، کما قد عرفت فی الضمان، ومرّ هناکأنّ قیام الإجماع والخبر علی خلاف ما تقتضیه القاعدة من تأخّر الاشتغال ممنوع؛وعلیه فحالها حاله فی جمیع الجهات المذکورة فی المتن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اشتغال ذمّة المحیل إلّا بعد الأداء بمقدار الأداء، کما مرّ فیالضمان، والحکم فیهما علی وفق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w:t>
      </w:r>
    </w:p>
    <w:p>
      <w:pPr>
        <w:pStyle w:val="BookText"/>
        <w:rPr/>
      </w:pPr>
      <w:r>
        <w:rPr>
          <w:rFonts w:ascii="IRNazanin" w:hAnsi="IRNazanin" w:eastAsia="IRNazanin"/>
          <w:color w:val="111111"/>
          <w:sz w:val="28"/>
          <w:sz w:val="28"/>
          <w:szCs w:val="28"/>
          <w:rtl w:val="true"/>
          <w:lang w:bidi="fa-IR"/>
        </w:rPr>
        <w:t>إلی المحیل</w:t>
      </w:r>
      <w:r>
        <w:rPr>
          <w:rStyle w:val="FootnoteAnchor"/>
          <w:rtl w:val="true"/>
        </w:rPr>
        <w:footnoteReference w:id="475"/>
      </w:r>
      <w:r>
        <w:rPr>
          <w:rFonts w:ascii="IRNazanin" w:hAnsi="IRNazanin" w:eastAsia="IRNazanin"/>
          <w:color w:val="111111"/>
          <w:sz w:val="28"/>
          <w:sz w:val="28"/>
          <w:szCs w:val="28"/>
          <w:rtl w:val="true"/>
          <w:lang w:bidi="fa-IR"/>
        </w:rPr>
        <w:t> بمجرّد قبول المحال علیه</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فی الضمان أنّه لا تشتغل ذمّة المضمون عنه إلّا بعد الأداء، وهکذا الأمرهاهنا لا تشتغل ذمّة المحیل إلّا بعد أداء المحال علیه إذا کان بریئاً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کما یحصل به الوفاء بالنسبة   </w:t>
      </w:r>
    </w:p>
    <w:p>
      <w:pPr>
        <w:pStyle w:val="BookText"/>
        <w:rPr/>
      </w:pPr>
      <w:r>
        <w:rPr>
          <w:rFonts w:ascii="IRNazanin" w:hAnsi="IRNazanin" w:eastAsia="IRNazanin"/>
          <w:color w:val="111111"/>
          <w:sz w:val="28"/>
          <w:sz w:val="28"/>
          <w:szCs w:val="28"/>
          <w:rtl w:val="true"/>
          <w:lang w:bidi="fa-IR"/>
        </w:rPr>
        <w:t>إلی دَین المحیل بمجرّده فکذا فی حصوله بالنسبة إلی دَین المحال علیه للمحیل إذا کان مدیوناً له، وحصول شغل ذمّة المحیل له إذا کان بریئاً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 فی الضمان</w:t>
      </w:r>
      <w:r>
        <w:rPr>
          <w:rStyle w:val="FootnoteAnchor"/>
          <w:rtl w:val="true"/>
        </w:rPr>
        <w:footnoteReference w:id="477"/>
      </w:r>
      <w:r>
        <w:rPr>
          <w:rFonts w:ascii="IRNazanin" w:hAnsi="IRNazanin" w:eastAsia="IRNazanin"/>
          <w:color w:val="111111"/>
          <w:sz w:val="28"/>
          <w:sz w:val="28"/>
          <w:szCs w:val="28"/>
          <w:rtl w:val="true"/>
          <w:lang w:bidi="fa-IR"/>
        </w:rPr>
        <w:t> أیضاً تحقّق شغل المضمون عنه للضامن</w:t>
      </w:r>
    </w:p>
    <w:p>
      <w:pPr>
        <w:pStyle w:val="BookText"/>
        <w:rPr/>
      </w:pPr>
      <w:r>
        <w:rPr>
          <w:rFonts w:ascii="Amiri" w:hAnsi="Amiri" w:eastAsia="Amiri" w:cs="Amiri"/>
          <w:color w:val="111111"/>
          <w:sz w:val="28"/>
          <w:sz w:val="28"/>
          <w:szCs w:val="28"/>
          <w:rtl w:val="true"/>
          <w:lang w:bidi="ar-SA"/>
        </w:rPr>
        <w:t>بمجرّد ضمانه، إلّا أنّ الإجماع</w:t>
      </w:r>
      <w:r>
        <w:rPr>
          <w:rStyle w:val="FootnoteAnchor"/>
          <w:rtl w:val="true"/>
        </w:rPr>
        <w:footnoteReference w:id="478"/>
      </w:r>
      <w:r>
        <w:rPr>
          <w:rFonts w:ascii="IRNazanin" w:hAnsi="IRNazanin" w:eastAsia="IRNazanin"/>
          <w:color w:val="111111"/>
          <w:sz w:val="28"/>
          <w:sz w:val="28"/>
          <w:szCs w:val="28"/>
          <w:rtl w:val="true"/>
          <w:lang w:bidi="fa-IR"/>
        </w:rPr>
        <w:t> وخبر الصلح</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الضمان أنّ الأقوی هو العمل بالقاعدة، وأنّ مورد الإجماع وخبرالصلح هو عدم استحقاقه الزائد علی ما صُولِح علیه، لا کون الاستحقاقبعد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 علی التوقّف علی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الأداء فیه، وفی المقام لا إجماع ولا خبر</w:t>
      </w:r>
      <w:r>
        <w:rPr>
          <w:rStyle w:val="FootnoteAnchor"/>
          <w:rtl w:val="true"/>
        </w:rPr>
        <w:footnoteReference w:id="480"/>
      </w:r>
      <w:r>
        <w:rPr>
          <w:rFonts w:ascii="IRNazanin" w:hAnsi="IRNazanin" w:eastAsia="IRNazanin"/>
          <w:color w:val="111111"/>
          <w:sz w:val="28"/>
          <w:sz w:val="28"/>
          <w:szCs w:val="28"/>
          <w:rtl w:val="true"/>
          <w:lang w:bidi="fa-IR"/>
        </w:rPr>
        <w:t xml:space="preserve">، بل لم یتعرّضوا لهذه المسألة؛   </w:t>
      </w:r>
      <w:bookmarkStart w:id="239" w:name="pg13286_153780"/>
    </w:p>
    <w:p>
      <w:pPr>
        <w:pStyle w:val="BookText"/>
        <w:rPr/>
      </w:pPr>
      <w:bookmarkEnd w:id="239"/>
      <w:r>
        <w:rPr>
          <w:rFonts w:ascii="IRNazanin" w:hAnsi="IRNazanin" w:eastAsia="IRNazanin"/>
          <w:color w:val="111111"/>
          <w:sz w:val="28"/>
          <w:sz w:val="28"/>
          <w:szCs w:val="28"/>
          <w:rtl w:val="true"/>
          <w:lang w:bidi="fa-IR"/>
        </w:rPr>
        <w:t>وعلی هذا فله الرجوع علی المحیل</w:t>
      </w:r>
      <w:r>
        <w:rPr>
          <w:rStyle w:val="FootnoteAnchor"/>
          <w:rtl w:val="true"/>
        </w:rPr>
        <w:footnoteReference w:id="481"/>
      </w:r>
      <w:r>
        <w:rPr>
          <w:rFonts w:ascii="IRNazanin" w:hAnsi="IRNazanin" w:eastAsia="IRNazanin"/>
          <w:color w:val="111111"/>
          <w:sz w:val="28"/>
          <w:sz w:val="28"/>
          <w:szCs w:val="28"/>
          <w:rtl w:val="true"/>
          <w:lang w:bidi="fa-IR"/>
        </w:rPr>
        <w:t> ولو قبل الأداء، بل وکذا لو أبرأه</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المحتال أو وفّاه بالأقلّ، أو صالحه بالأقلّ</w:t>
      </w:r>
      <w:r>
        <w:rPr>
          <w:rStyle w:val="FootnoteAnchor"/>
          <w:rtl w:val="true"/>
        </w:rPr>
        <w:footnoteReference w:id="483"/>
      </w:r>
      <w:r>
        <w:rPr>
          <w:rFonts w:ascii="IRNazanin" w:hAnsi="IRNazanin" w:eastAsia="IRNazanin"/>
          <w:color w:val="111111"/>
          <w:sz w:val="28"/>
          <w:sz w:val="28"/>
          <w:szCs w:val="28"/>
          <w:rtl w:val="true"/>
          <w:lang w:bidi="fa-IR"/>
        </w:rPr>
        <w:t> فله عوض ما أحاله علیه بتمامه   </w:t>
      </w:r>
    </w:p>
    <w:p>
      <w:pPr>
        <w:pStyle w:val="BookText"/>
        <w:rPr/>
      </w:pPr>
      <w:r>
        <w:rPr>
          <w:rFonts w:ascii="Amiri" w:hAnsi="Amiri" w:eastAsia="Amiri" w:cs="Amiri"/>
          <w:color w:val="111111"/>
          <w:sz w:val="28"/>
          <w:sz w:val="28"/>
          <w:szCs w:val="28"/>
          <w:rtl w:val="true"/>
          <w:lang w:bidi="ar-SA"/>
        </w:rPr>
        <w:t>مطلقاً إذا کان بریئاً</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138584_2322387425"/>
      <w:bookmarkStart w:id="241" w:name="_Toc85"/>
      <w:bookmarkEnd w:id="240"/>
      <w:r>
        <w:rPr>
          <w:rtl w:val="true"/>
        </w:rPr>
        <w:t>حوالة السیّد علی مکاتبه بمال الکتابة وفروع فی المقام</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أحال السیّد</w:t>
      </w:r>
      <w:r>
        <w:rPr>
          <w:rStyle w:val="FootnoteAnchor"/>
          <w:rtl w:val="true"/>
        </w:rPr>
        <w:footnoteReference w:id="484"/>
      </w:r>
      <w:r>
        <w:rPr>
          <w:rFonts w:ascii="Amiri" w:hAnsi="Amiri" w:eastAsia="Amiri" w:cs="Amiri"/>
          <w:color w:val="111111"/>
          <w:sz w:val="28"/>
          <w:sz w:val="28"/>
          <w:szCs w:val="28"/>
          <w:rtl w:val="true"/>
          <w:lang w:bidi="ar-SA"/>
        </w:rPr>
        <w:t> بدَینه</w:t>
      </w:r>
      <w:r>
        <w:rPr>
          <w:rStyle w:val="FootnoteAnchor"/>
          <w:rtl w:val="true"/>
        </w:rPr>
        <w:footnoteReference w:id="485"/>
      </w:r>
      <w:r>
        <w:rPr>
          <w:rFonts w:ascii="IRNazanin" w:hAnsi="IRNazanin" w:eastAsia="IRNazanin"/>
          <w:color w:val="111111"/>
          <w:sz w:val="28"/>
          <w:sz w:val="28"/>
          <w:szCs w:val="28"/>
          <w:rtl w:val="true"/>
          <w:lang w:bidi="fa-IR"/>
        </w:rPr>
        <w:t> علی مکاتَبِه بمال الکتابة</w:t>
      </w:r>
    </w:p>
    <w:p>
      <w:pPr>
        <w:pStyle w:val="BookText"/>
        <w:rPr/>
      </w:pPr>
      <w:r>
        <w:rPr>
          <w:rFonts w:ascii="IRNazanin" w:hAnsi="IRNazanin" w:eastAsia="IRNazanin"/>
          <w:color w:val="111111"/>
          <w:sz w:val="28"/>
          <w:sz w:val="28"/>
          <w:szCs w:val="28"/>
          <w:rtl w:val="true"/>
          <w:lang w:bidi="fa-IR"/>
        </w:rPr>
        <w:t>المشروطة أو المطلقة صحّ، سواء کان قبل حلول النجم أم بعده؛ لثبوته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بعدم صحّته قبل الحلول لجواز تعجیز نفسه ضعیف؛ إذ غایة ما یکون کونه متزلزلاً فیکون کالحوالة علی المشتری بالثمن فی زمان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عدم اشتغال ذمّة العبد لعدم ثبوت ذمّةٍ اختیاریّةٍ له فیکون وجوب الأداء تکلیفیّاً،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العبد بقبول الحوالة</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بنفسها وإن لم یقبل؛ إذ لا تتوقّف الحوالة علیه علی قبوله بعد کونه عبداًمدیوناً للمولی، کما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لحصول وفاء</w:t>
      </w:r>
      <w:r>
        <w:rPr>
          <w:rStyle w:val="FootnoteAnchor"/>
          <w:rtl w:val="true"/>
        </w:rPr>
        <w:footnoteReference w:id="487"/>
      </w:r>
      <w:r>
        <w:rPr>
          <w:rFonts w:ascii="IRNazanin" w:hAnsi="IRNazanin" w:eastAsia="IRNazanin"/>
          <w:color w:val="111111"/>
          <w:sz w:val="28"/>
          <w:sz w:val="28"/>
          <w:szCs w:val="28"/>
          <w:rtl w:val="true"/>
          <w:lang w:bidi="fa-IR"/>
        </w:rPr>
        <w:t> مال الکتابة بالحوالة ولو لم یحصل</w:t>
      </w:r>
      <w:r>
        <w:rPr>
          <w:rStyle w:val="FootnoteAnchor"/>
          <w:rtl w:val="true"/>
        </w:rPr>
        <w:footnoteReference w:id="488"/>
      </w:r>
      <w:r>
        <w:rPr>
          <w:rFonts w:ascii="IRNazanin" w:hAnsi="IRNazanin" w:eastAsia="IRNazanin"/>
          <w:color w:val="111111"/>
          <w:sz w:val="28"/>
          <w:sz w:val="28"/>
          <w:szCs w:val="28"/>
          <w:rtl w:val="true"/>
          <w:lang w:bidi="fa-IR"/>
        </w:rPr>
        <w:t> الأداء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أعتقه المولی قبل الأداء</w:t>
      </w:r>
      <w:r>
        <w:rPr>
          <w:rStyle w:val="FootnoteAnchor"/>
          <w:rtl w:val="true"/>
        </w:rPr>
        <w:footnoteReference w:id="489"/>
      </w:r>
      <w:r>
        <w:rPr>
          <w:rFonts w:ascii="IRNazanin" w:hAnsi="IRNazanin" w:eastAsia="IRNazanin"/>
          <w:color w:val="111111"/>
          <w:sz w:val="28"/>
          <w:sz w:val="28"/>
          <w:szCs w:val="28"/>
          <w:rtl w:val="true"/>
          <w:lang w:bidi="fa-IR"/>
        </w:rPr>
        <w:t> بطل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حصول الانعتاق قبل الأداء ـ لأنّ</w:t>
      </w:r>
    </w:p>
    <w:p>
      <w:pPr>
        <w:pStyle w:val="BookText"/>
        <w:rPr/>
      </w:pPr>
      <w:r>
        <w:rPr>
          <w:rFonts w:ascii="IRNazanin" w:hAnsi="IRNazanin" w:eastAsia="IRNazanin"/>
          <w:color w:val="111111"/>
          <w:sz w:val="28"/>
          <w:sz w:val="28"/>
          <w:szCs w:val="28"/>
          <w:rtl w:val="true"/>
          <w:lang w:bidi="fa-IR"/>
        </w:rPr>
        <w:t>الحوالة لیست فی حکم الأداء، بل فی حکم التوکیل؛ وعلی هذا إذا</w:t>
      </w:r>
    </w:p>
    <w:p>
      <w:pPr>
        <w:pStyle w:val="BookText"/>
        <w:rPr/>
      </w:pPr>
      <w:r>
        <w:rPr>
          <w:rFonts w:ascii="IRNazanin" w:hAnsi="IRNazanin" w:eastAsia="IRNazanin"/>
          <w:color w:val="111111"/>
          <w:sz w:val="28"/>
          <w:sz w:val="28"/>
          <w:szCs w:val="28"/>
          <w:rtl w:val="true"/>
          <w:lang w:bidi="fa-IR"/>
        </w:rPr>
        <w:t>أعتقه المولی صحّ وبطلت الکتابة، ولم یسقط عن المکاتب مال الحوالة؛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صار لازماً للمحتال، ولا یضمن السیّد ما یغرمه من مال الحوالة ـ </w:t>
      </w:r>
    </w:p>
    <w:p>
      <w:pPr>
        <w:pStyle w:val="BookText"/>
        <w:rPr/>
      </w:pPr>
      <w:r>
        <w:rPr>
          <w:rFonts w:ascii="IRNazanin" w:hAnsi="IRNazanin" w:eastAsia="IRNazanin"/>
          <w:color w:val="111111"/>
          <w:sz w:val="28"/>
          <w:sz w:val="28"/>
          <w:szCs w:val="28"/>
          <w:rtl w:val="true"/>
          <w:lang w:bidi="fa-IR"/>
        </w:rPr>
        <w:t>فیه نظر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دعواه</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تکون دعواه مبنیّةً علی ما قلناه، أو علی ما عن الشیخ من أنّ مالالکتابة لیس بثابت؛ لأنّ للمکاتَب إسقاطه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الحوالة لیست فی حکم الأداء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بالنظر إلی ما مرّ</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 المسالک وإن کان غیر صحیح إلّا أنّ عدم ابتنائه علی ذلک بمکانٍ منالوضوح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مورد ما مرّ هو الحوالة علی البریء، لا المدیون، إلّا أن یقال بکون المقام أیضاً کذلک؛ لأنّه لا یعقل أن یکون العبد مدیوناً للمولی؛ لأنّه یلزم أن یکون المولیمدیوناً لنفسه، ولکنّه،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دعوی توقّف شغل ذمّة المحیل للمحال</w:t>
      </w:r>
    </w:p>
    <w:p>
      <w:pPr>
        <w:pStyle w:val="BookText"/>
        <w:rPr/>
      </w:pPr>
      <w:r>
        <w:rPr>
          <w:rFonts w:ascii="IRNazanin" w:hAnsi="IRNazanin" w:eastAsia="IRNazanin"/>
          <w:color w:val="111111"/>
          <w:sz w:val="28"/>
          <w:sz w:val="28"/>
          <w:szCs w:val="28"/>
          <w:rtl w:val="true"/>
          <w:lang w:bidi="fa-IR"/>
        </w:rPr>
        <w:t>علیه علی الأداء، کما فی الضمان فهی وإن کانت کالأداء بالنسبة إلی المحیل والمحتال، فبمجرّدها یحصل الوفاء وتبرأ ذمّة المحیل لکن بالنسبة إلی المحال علیه والمحیل لیس کذلک، وفیه منع التوقّف</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حرّیّة العبد معلول لوصول مال الکتابة إلی مولاه، وقد فرضنا وصول ذلکبالحوالة وقبولها، ولازم ذلک حرّیّة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صحّة التوقّف فی الضمان، وأنّه لا تشتغل ذمّة المضمون عنه إلّا بعدالأداء، ولکنّ الحوالة علی المدیون توجب براءة ذمّة المحیل، ولا تتوقّف علیالأداء، بخلاف الحوالة علی البریء فإنّها تتوقّف علی الأداء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انعتاق العبد مترتّب علی استیفاء المولی مال الکتابة، وهو یتحقّق بالحوالة إیجاباًوقبولاً، فالحرّیّة حاصلة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عرفت، فلا فرق بین المقامَین فی کون الحوالة کالأداء فیتحقّق بها الوفاء</w:t>
      </w:r>
      <w:r>
        <w:rPr>
          <w:rFonts w:eastAsia="IRNazanin" w:cs="IRNazanin"/>
          <w:color w:val="111111"/>
          <w:sz w:val="28"/>
          <w:szCs w:val="28"/>
          <w:rtl w:val="true"/>
          <w:lang w:bidi="fa-IR"/>
        </w:rPr>
        <w:t>.</w:t>
      </w:r>
      <w:bookmarkStart w:id="242" w:name="pg13286_153784"/>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باع السیّد مکاتَبَه سلعةً فأحاله بثمنها</w:t>
      </w:r>
      <w:r>
        <w:rPr>
          <w:rStyle w:val="FootnoteAnchor"/>
          <w:rtl w:val="true"/>
        </w:rPr>
        <w:footnoteReference w:id="493"/>
      </w:r>
      <w:r>
        <w:rPr>
          <w:rFonts w:ascii="Amiri" w:hAnsi="Amiri" w:eastAsia="Amiri" w:cs="Amiri"/>
          <w:color w:val="111111"/>
          <w:sz w:val="28"/>
          <w:sz w:val="28"/>
          <w:szCs w:val="28"/>
          <w:rtl w:val="true"/>
          <w:lang w:bidi="ar-SA"/>
        </w:rPr>
        <w:t> صحّ؛ لأنّ حاله حال  </w:t>
      </w:r>
    </w:p>
    <w:p>
      <w:pPr>
        <w:pStyle w:val="BookText"/>
        <w:rPr/>
      </w:pPr>
      <w:r>
        <w:rPr>
          <w:rFonts w:ascii="IRNazanin" w:hAnsi="IRNazanin" w:eastAsia="IRNazanin"/>
          <w:color w:val="111111"/>
          <w:sz w:val="28"/>
          <w:sz w:val="28"/>
          <w:szCs w:val="28"/>
          <w:rtl w:val="true"/>
          <w:lang w:bidi="fa-IR"/>
        </w:rPr>
        <w:t>الأحرار، من غیرفرقٍ بین سیّده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الشیخ</w:t>
      </w:r>
      <w:r>
        <w:rPr>
          <w:rStyle w:val="FootnoteAnchor"/>
          <w:rtl w:val="true"/>
        </w:rPr>
        <w:footnoteReference w:id="494"/>
      </w:r>
      <w:r>
        <w:rPr>
          <w:rFonts w:ascii="IRNazanin" w:hAnsi="IRNazanin" w:eastAsia="IRNazanin"/>
          <w:color w:val="111111"/>
          <w:sz w:val="28"/>
          <w:sz w:val="28"/>
          <w:szCs w:val="28"/>
          <w:rtl w:val="true"/>
          <w:lang w:bidi="fa-IR"/>
        </w:rPr>
        <w:t> من المنع</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یمنع الشیخ عن ذلک علی سبیل الجزم،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منعه هوإحالة السیّد غریمه علی المکاتَب بمال المکاتَبة، واستدلّ علیه بعدم ثبوته؛ لجوازإسقاطه بتعجیز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للمکاتَب دَین علی أجنبیّ فأحال سیّده علیه من مال الکتابة صحّ، فیجب علیه تسلیمه للسیّد، ویکون موجباً لانعتاقه</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ثبوت مال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أدّی المحال علیه المال للسیّد، أم لا</w:t>
      </w:r>
      <w:r>
        <w:rPr>
          <w:rFonts w:eastAsia="IRNazanin" w:cs="IRNazanin"/>
          <w:color w:val="111111"/>
          <w:sz w:val="28"/>
          <w:szCs w:val="28"/>
          <w:rtl w:val="true"/>
          <w:lang w:bidi="fa-IR"/>
        </w:rPr>
        <w:t>.</w:t>
      </w:r>
    </w:p>
    <w:p>
      <w:pPr>
        <w:pStyle w:val="Heading3"/>
        <w:numPr>
          <w:ilvl w:val="2"/>
          <w:numId w:val="1"/>
        </w:numPr>
        <w:rPr/>
      </w:pPr>
      <w:bookmarkStart w:id="243" w:name="__RefHeading___Toc2138586_2322387425"/>
      <w:bookmarkStart w:id="244" w:name="_Toc86"/>
      <w:bookmarkEnd w:id="243"/>
      <w:r>
        <w:rPr>
          <w:rtl w:val="true"/>
        </w:rPr>
        <w:t>الاختلاف فی کون الواقع حوالة أو وکالة</w:t>
      </w:r>
      <w:bookmarkEnd w:id="24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اختلفا</w:t>
      </w:r>
      <w:r>
        <w:rPr>
          <w:rStyle w:val="FootnoteAnchor"/>
          <w:rtl w:val="true"/>
        </w:rPr>
        <w:footnoteReference w:id="497"/>
      </w:r>
      <w:r>
        <w:rPr>
          <w:rFonts w:ascii="IRNazanin" w:hAnsi="IRNazanin" w:eastAsia="IRNazanin"/>
          <w:color w:val="111111"/>
          <w:sz w:val="28"/>
          <w:sz w:val="28"/>
          <w:szCs w:val="28"/>
          <w:rtl w:val="true"/>
          <w:lang w:bidi="fa-IR"/>
        </w:rPr>
        <w:t xml:space="preserve"> فی أنّ الواقع منهما کانت حوالةً أو وکالةً فمع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البیّنة یُقَدَّم قول مُنکِر</w:t>
      </w:r>
      <w:r>
        <w:rPr>
          <w:rStyle w:val="FootnoteAnchor"/>
          <w:rtl w:val="true"/>
        </w:rPr>
        <w:footnoteReference w:id="498"/>
      </w:r>
      <w:r>
        <w:rPr>
          <w:rFonts w:ascii="Amiri" w:hAnsi="Amiri" w:eastAsia="Amiri" w:cs="Amiri"/>
          <w:color w:val="111111"/>
          <w:sz w:val="28"/>
          <w:sz w:val="28"/>
          <w:szCs w:val="28"/>
          <w:rtl w:val="true"/>
          <w:lang w:bidi="ar-SA"/>
        </w:rPr>
        <w:t> الحوالة</w:t>
      </w:r>
      <w:r>
        <w:rPr>
          <w:rStyle w:val="FootnoteAnchor"/>
          <w:rtl w:val="true"/>
        </w:rPr>
        <w:footnoteReference w:id="499"/>
      </w:r>
      <w:r>
        <w:rPr>
          <w:rFonts w:ascii="IRNazanin" w:hAnsi="IRNazanin" w:eastAsia="IRNazanin"/>
          <w:color w:val="111111"/>
          <w:sz w:val="28"/>
          <w:sz w:val="28"/>
          <w:szCs w:val="28"/>
          <w:rtl w:val="true"/>
          <w:lang w:bidi="fa-IR"/>
        </w:rPr>
        <w:t>، سواء کان هو المحیل أم المحتال،وسواء کان ذلک قبل القبض من المحال علیه أم بعده</w:t>
      </w:r>
      <w:r>
        <w:rPr>
          <w:rStyle w:val="FootnoteAnchor"/>
          <w:rtl w:val="true"/>
        </w:rPr>
        <w:footnoteReference w:id="500"/>
      </w:r>
      <w:r>
        <w:rPr>
          <w:rFonts w:ascii="IRNazanin" w:hAnsi="IRNazanin" w:eastAsia="IRNazanin"/>
          <w:color w:val="111111"/>
          <w:sz w:val="28"/>
          <w:sz w:val="28"/>
          <w:szCs w:val="28"/>
          <w:rtl w:val="true"/>
          <w:lang w:bidi="fa-IR"/>
        </w:rPr>
        <w:t>؛ وذلک لأصالة</w:t>
      </w:r>
      <w:r>
        <w:rPr>
          <w:rStyle w:val="FootnoteAnchor"/>
          <w:rtl w:val="true"/>
        </w:rPr>
        <w:footnoteReference w:id="501"/>
      </w:r>
      <w:r>
        <w:rPr>
          <w:rFonts w:ascii="IRNazanin" w:hAnsi="IRNazanin" w:eastAsia="IRNazanin"/>
          <w:color w:val="111111"/>
          <w:sz w:val="28"/>
          <w:sz w:val="28"/>
          <w:szCs w:val="28"/>
          <w:rtl w:val="true"/>
          <w:lang w:bidi="fa-IR"/>
        </w:rPr>
        <w:t xml:space="preserve"> بقاء اشتغال ذمّة المحیل للمحتال، وبقاء اشتغال ذمّة المحال علیه </w:t>
      </w:r>
    </w:p>
    <w:p>
      <w:pPr>
        <w:pStyle w:val="BookText"/>
        <w:rPr/>
      </w:pPr>
      <w:r>
        <w:rPr>
          <w:rFonts w:ascii="IRNazanin" w:hAnsi="IRNazanin" w:eastAsia="IRNazanin"/>
          <w:color w:val="111111"/>
          <w:sz w:val="28"/>
          <w:sz w:val="28"/>
          <w:szCs w:val="28"/>
          <w:rtl w:val="true"/>
          <w:lang w:bidi="fa-IR"/>
        </w:rPr>
        <w:t>للمحیل، وأصالة عدم ملکیّة المال المحال به للمحتال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إذا کان بعد القبض یکون مقتضی الید ملکیّة المحال، فیکون المُنکِر للحوالة مدّعیاً، فیکون القول قول المحتال فی هذه الصورة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مثل هذه الید لا یکون أمارةً</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علی ملکیّة</w:t>
      </w:r>
      <w:r>
        <w:rPr>
          <w:rStyle w:val="FootnoteAnchor"/>
          <w:rtl w:val="true"/>
        </w:rPr>
        <w:footnoteReference w:id="503"/>
      </w:r>
      <w:r>
        <w:rPr>
          <w:rFonts w:ascii="Amiri" w:hAnsi="Amiri" w:eastAsia="Amiri" w:cs="Amiri"/>
          <w:color w:val="111111"/>
          <w:sz w:val="28"/>
          <w:sz w:val="28"/>
          <w:szCs w:val="28"/>
          <w:rtl w:val="true"/>
          <w:lang w:bidi="ar-SA"/>
        </w:rPr>
        <w:t> ذِیها، فهو نظیر ما إذا دفع شخصٍ ماله إلی شخصٍ وادّعی أنّه   </w:t>
      </w:r>
    </w:p>
    <w:p>
      <w:pPr>
        <w:pStyle w:val="BookText"/>
        <w:rPr/>
      </w:pPr>
      <w:r>
        <w:rPr>
          <w:rFonts w:ascii="Amiri" w:hAnsi="Amiri" w:eastAsia="Amiri" w:cs="Amiri"/>
          <w:color w:val="111111"/>
          <w:sz w:val="28"/>
          <w:sz w:val="28"/>
          <w:szCs w:val="28"/>
          <w:rtl w:val="true"/>
          <w:lang w:bidi="ar-SA"/>
        </w:rPr>
        <w:t>دفعه أمانة، 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دَفَعَتنی هِبةً أو قرضاً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یُقَدَّم قول ذی الید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إذا لم یعلم اللفظ الصادر منهما، وأمّا إذا علم وکان ظاهراً فی الحوالة أو فی الوکالة فهو المتّبع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أحلتک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اختلفا فی أنّه حوالة أو وکالة فربّما یقال</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یُقدَّم قول مدّعی الحوالة</w:t>
      </w:r>
      <w:r>
        <w:rPr>
          <w:rStyle w:val="FootnoteAnchor"/>
          <w:rtl w:val="true"/>
        </w:rPr>
        <w:footnoteReference w:id="505"/>
      </w:r>
      <w:r>
        <w:rPr>
          <w:rFonts w:ascii="Amiri" w:hAnsi="Amiri" w:eastAsia="Amiri" w:cs="Amiri"/>
          <w:color w:val="111111"/>
          <w:sz w:val="28"/>
          <w:sz w:val="28"/>
          <w:szCs w:val="28"/>
          <w:rtl w:val="true"/>
          <w:lang w:bidi="ar-SA"/>
        </w:rPr>
        <w:t xml:space="preserve">،لأنّ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الحوالة المصطَلَحَة، واستعماله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الوکالة مجاز، فیُحمَل علی الحوالة، وفیه منع</w:t>
      </w:r>
      <w:r>
        <w:rPr>
          <w:rStyle w:val="FootnoteAnchor"/>
          <w:rtl w:val="true"/>
        </w:rPr>
        <w:footnoteReference w:id="506"/>
      </w:r>
      <w:r>
        <w:rPr>
          <w:rFonts w:ascii="IRNazanin" w:hAnsi="IRNazanin" w:eastAsia="IRNazanin"/>
          <w:color w:val="111111"/>
          <w:sz w:val="28"/>
          <w:sz w:val="28"/>
          <w:szCs w:val="28"/>
          <w:rtl w:val="true"/>
          <w:lang w:bidi="fa-IR"/>
        </w:rPr>
        <w:t> الظهور</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ظهوره فی الحوالة المصطلحة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المبدأ فی المشتقّات ظاهراً فی مفهومٍ تکون المشتقّات أیضاً ظاهرةً فیه،علی اختلاف الخصوصیّات المستفادة من الهیئات، ولا یمکن التفکیکبحسب القانون المحاوریّ فی مبداً واحدٍ من حیث المفهوم بلحاظ الهیئاتالاشتقاقیّة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فی الحوالة المصطَلَحَة، وأمّا ما یُشتقّ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 فیها ممنوع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منع الظهور فیما إذا صدر هذا اللفظ من المدیون مخاطباً لدائنهلإرجاعه إلی مدیونه أو إلی بریء لا یخلو من تعسّف، وتقدیم قول مدّعیه لا یخلومن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لفظ</w:t>
      </w:r>
      <w:bookmarkStart w:id="245" w:name="pg13286_153789"/>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الوصیّة المصطلحة، 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فتقدیم قول مدّعی الحوالة</w:t>
      </w:r>
      <w:r>
        <w:rPr>
          <w:rStyle w:val="FootnoteAnchor"/>
          <w:rtl w:val="true"/>
        </w:rPr>
        <w:footnoteReference w:id="508"/>
      </w:r>
      <w:r>
        <w:rPr>
          <w:rFonts w:ascii="IRNazanin" w:hAnsi="IRNazanin" w:eastAsia="IRNazanin"/>
          <w:color w:val="111111"/>
          <w:sz w:val="28"/>
          <w:sz w:val="28"/>
          <w:szCs w:val="28"/>
          <w:rtl w:val="true"/>
          <w:lang w:bidi="fa-IR"/>
        </w:rPr>
        <w:t> فی الصورة المفروضة</w:t>
      </w:r>
    </w:p>
    <w:p>
      <w:pPr>
        <w:pStyle w:val="BookText"/>
        <w:rPr/>
      </w:pPr>
      <w:r>
        <w:rPr>
          <w:rFonts w:ascii="Amiri" w:hAnsi="Amiri" w:eastAsia="Amiri" w:cs="Amiri"/>
          <w:color w:val="111111"/>
          <w:sz w:val="28"/>
          <w:sz w:val="28"/>
          <w:szCs w:val="28"/>
          <w:rtl w:val="true"/>
          <w:lang w:bidi="ar-SA"/>
        </w:rPr>
        <w:t>محلّ منع</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المنع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2138588_2322387425"/>
      <w:bookmarkStart w:id="247" w:name="_Toc87"/>
      <w:bookmarkEnd w:id="246"/>
      <w:r>
        <w:rPr>
          <w:rtl w:val="true"/>
        </w:rPr>
        <w:t>إذا وقعت الحوالة علی المشتری وبالعکس وتبیّن بطلان البیع</w:t>
      </w:r>
      <w:bookmarkEnd w:id="24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أحال البائع مَن له علیه دَین علی المشتری بالثمن، أو أحال المشتری البائع بالثمن علی أجنبیٍّ بریءٍ أو مدیونٍ للمشتری، ثمّ بان بطلان البیع بطلت الحوالة فی الصورتَین؛ لظهور عدم اشتغال ذمّة المشتری للبائع، واللازم اشتغال ذمّة</w:t>
      </w:r>
      <w:r>
        <w:rPr>
          <w:rStyle w:val="FootnoteAnchor"/>
          <w:rtl w:val="true"/>
        </w:rPr>
        <w:footnoteReference w:id="510"/>
      </w:r>
      <w:r>
        <w:rPr>
          <w:rFonts w:ascii="IRNazanin" w:hAnsi="IRNazanin" w:eastAsia="IRNazanin"/>
          <w:color w:val="111111"/>
          <w:sz w:val="28"/>
          <w:sz w:val="28"/>
          <w:szCs w:val="28"/>
          <w:rtl w:val="true"/>
          <w:lang w:bidi="fa-IR"/>
        </w:rPr>
        <w:t> المحیل للمحتال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الصورة الاُولی وإن کان المشتری مُحالاً علیه ویجوز الحوالة علی البریء</w:t>
      </w:r>
      <w:r>
        <w:rPr>
          <w:rStyle w:val="FootnoteAnchor"/>
          <w:rtl w:val="true"/>
        </w:rPr>
        <w:footnoteReference w:id="511"/>
      </w:r>
      <w:r>
        <w:rPr>
          <w:rFonts w:ascii="IRNazanin" w:hAnsi="IRNazanin" w:eastAsia="IRNazanin"/>
          <w:color w:val="111111"/>
          <w:sz w:val="28"/>
          <w:sz w:val="28"/>
          <w:szCs w:val="28"/>
          <w:rtl w:val="true"/>
          <w:lang w:bidi="fa-IR"/>
        </w:rPr>
        <w:t> إلّا أنّ المفروض إرادة الحوالة علیه من حیث</w:t>
      </w:r>
      <w:r>
        <w:rPr>
          <w:rStyle w:val="FootnoteAnchor"/>
          <w:rtl w:val="true"/>
        </w:rPr>
        <w:footnoteReference w:id="512"/>
      </w:r>
      <w:r>
        <w:rPr>
          <w:rFonts w:ascii="IRNazanin" w:hAnsi="IRNazanin" w:eastAsia="IRNazanin"/>
          <w:color w:val="111111"/>
          <w:sz w:val="28"/>
          <w:sz w:val="28"/>
          <w:szCs w:val="28"/>
          <w:rtl w:val="true"/>
          <w:lang w:bidi="fa-IR"/>
        </w:rPr>
        <w:t> ثبوت</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کانت الحوالة علیه بنحو التقیید، وأمّا إذا کانت بنحوٍ یکون ثبوت الثمنفی ذمّته من باب الداعی فتکون من الحوالة علی البریء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الثمن</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 قبیل تخلّف الداعی حتّی یندرج فی عنوان الحوالة علی البریء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بنحو تخلّف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فهی فی الحقیقة حوالة علی ما فی ذمّته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للحوالة علی ما فی الذمّة؛ لأنّها نقل ذمّةٍ إلی ذمّة، غایة الأمر فیالمشغول یلازم استیفاء الدَین بخلافها فی البریء، ومع تحقّق الحوالة لا یضرّ عدمالاستیفاء، نظیر تخلّف الداعی، إلّا مع تقیّد رضاه بالحوالة بکونه مدیوناً بالثمنفتکون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معنی للحوالة علی ما فی ذمّته، بل الحوالة هنا علی الشخص بما فی ذمّته، فإنکان ذلک بنحو الداعی صحّت الحوالة وتکون علی البریء، وإن کان بنحو التقیّدبطلت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بین أن یکون انکشاف البطلان قبل القبض، أو بعده، فإذا کان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القبض یکون المقبوض باقیاً</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خصوص الصورة الاُولی، ویؤیّده التعبیر بالبقاء، وأمّا الصورة الثانیةبکلا شقّیها فالمأخوذ باقٍ علی ملک الأجنبیّ فیها، أمّا الشِقّ الأوّل فواضح،وأمّا الثانی فلأنّه لم یکن فی البَین ما یوجب خروجه عن ملک الأجنبیّ إلّاالحوالة، والأداء عقیبها بتخیّل صحّتها وقد انکشف الخلاف، فالمأخوذ باقٍ علیملکه، ومنه یظهر أنّه مع التلف یکون الراجع هو الأجنبیّ فی الصورة الثانیة،والظاهر جواز رجوعه إلی المحتال وإلی المحیل الّذی هو المشتری، نعم، له الرجوععلیه لو رجع علیه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الصورة الاُولی، وأمّا فی الصورة الثانیة فذلک إن أحال المشتری البائععلی مَن هو مدیونه، وأمّا إن أحاله علی البریء فیکون المقبوض باقیاً علی ملکالبریء، یرجع به إلی المحتال أو ببدله بعد تلفه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إحالة المشتری للبائع بالثمن علی الأجنبیّ البریء، وأمّا فیها فهوباقٍ علی ملک البریء یأخذه منه مع بقائه وبدله مع تلفه، وإن تعذّر أخذ عینه أو بدلهمنه کان له الرجوع علی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ما إذا أحال المشتری البائع علی البریء، وأمّا فیه فالمقبوض باقٍعلی ملک البریء فله الرجوع به، ومع تلفه جاز له الرجوع علی المحیل وعلیالمحتال، فإن رجع علی المحیل جاز له الرجوع علی المحتال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الصورة الاُولی علی فرض البطلان، وأمّا علی فرض الصحّة فالمقبوضملک للمحال علیه، وعلی المحیل غرامته، وفی الصورة الثانیة فالمقبوض باقٍ علیملک المأخوذ منه یردّه علیه مع بقائه، ویردّ بدله مع التلف؛ لأنّ الحوالة باطلة، ولامملّک غیرها للمشتری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ما إذا أحال المشتری البائع علی الأجنبیّ البریء، وأمّا فی ذلکالمورد فهو باقٍ علی ملک البریء یأخذه منه مع بقائه، ومع تلفه یأخذ منه أو منالمحیل بدله، وإن أخذ من المحیل یرجع هو علی المحتال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فله الرجوع به،</w:t>
      </w:r>
      <w:bookmarkStart w:id="248" w:name="pg13286_153792"/>
    </w:p>
    <w:p>
      <w:pPr>
        <w:pStyle w:val="BookText"/>
        <w:rPr/>
      </w:pPr>
      <w:bookmarkEnd w:id="248"/>
      <w:r>
        <w:rPr>
          <w:rFonts w:ascii="IRNazanin" w:hAnsi="IRNazanin" w:eastAsia="IRNazanin"/>
          <w:color w:val="111111"/>
          <w:sz w:val="28"/>
          <w:sz w:val="28"/>
          <w:szCs w:val="28"/>
          <w:rtl w:val="true"/>
          <w:lang w:bidi="fa-IR"/>
        </w:rPr>
        <w:t>ومع تلفه یرجع علی المحتال فی الصورة الاُولی، وعلی البائع فی الثانیة</w:t>
      </w:r>
      <w:r>
        <w:rPr>
          <w:rFonts w:eastAsia="IRNazanin" w:cs="IRNazanin"/>
          <w:color w:val="111111"/>
          <w:sz w:val="28"/>
          <w:szCs w:val="28"/>
          <w:rtl w:val="true"/>
          <w:lang w:bidi="fa-IR"/>
        </w:rPr>
        <w:t>.</w:t>
      </w:r>
    </w:p>
    <w:p>
      <w:pPr>
        <w:pStyle w:val="Heading3"/>
        <w:numPr>
          <w:ilvl w:val="2"/>
          <w:numId w:val="1"/>
        </w:numPr>
        <w:rPr/>
      </w:pPr>
      <w:bookmarkStart w:id="249" w:name="__RefHeading___Toc2138590_2322387425"/>
      <w:bookmarkStart w:id="250" w:name="_Toc88"/>
      <w:bookmarkEnd w:id="249"/>
      <w:r>
        <w:rPr>
          <w:rtl w:val="true"/>
        </w:rPr>
        <w:t>إذا وقعت الحوالة بأحد الوجهین</w:t>
      </w:r>
      <w:bookmarkEnd w:id="25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وقعت الحوالة بأحد الوجهَین ثمّ انفسخ البیع بالإقالة أو بأحد الخیارات فالحوالة صحیحة</w:t>
      </w:r>
      <w:r>
        <w:rPr>
          <w:rStyle w:val="FootnoteAnchor"/>
          <w:rtl w:val="true"/>
        </w:rPr>
        <w:footnoteReference w:id="516"/>
      </w:r>
      <w:r>
        <w:rPr>
          <w:rFonts w:ascii="IRNazanin" w:hAnsi="IRNazanin" w:eastAsia="IRNazanin"/>
          <w:color w:val="111111"/>
          <w:sz w:val="28"/>
          <w:sz w:val="28"/>
          <w:szCs w:val="28"/>
          <w:rtl w:val="true"/>
          <w:lang w:bidi="fa-IR"/>
        </w:rPr>
        <w:t>؛ لوقوعها فی حال اشتغال</w:t>
      </w:r>
      <w:r>
        <w:rPr>
          <w:rStyle w:val="FootnoteAnchor"/>
          <w:rtl w:val="true"/>
        </w:rPr>
        <w:footnoteReference w:id="517"/>
      </w:r>
      <w:r>
        <w:rPr>
          <w:rFonts w:ascii="IRNazanin" w:hAnsi="IRNazanin" w:eastAsia="IRNazanin"/>
          <w:color w:val="111111"/>
          <w:sz w:val="28"/>
          <w:sz w:val="28"/>
          <w:szCs w:val="28"/>
          <w:rtl w:val="true"/>
          <w:lang w:bidi="fa-IR"/>
        </w:rPr>
        <w:t> ذمّة المشتری بالثمن، فیکون، کما لو تصرّف أحد المتبایعَین فی ما انتقل إلیه ثمّ حصل الفسخ فإنّ التصرّف لا یبطل بفسخ البیع</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أن یکون </w:t>
      </w:r>
    </w:p>
    <w:p>
      <w:pPr>
        <w:pStyle w:val="BookText"/>
        <w:rPr/>
      </w:pPr>
      <w:r>
        <w:rPr>
          <w:rFonts w:ascii="IRNazanin" w:hAnsi="IRNazanin" w:eastAsia="IRNazanin"/>
          <w:color w:val="111111"/>
          <w:sz w:val="28"/>
          <w:sz w:val="28"/>
          <w:szCs w:val="28"/>
          <w:rtl w:val="true"/>
          <w:lang w:bidi="fa-IR"/>
        </w:rPr>
        <w:t>الفسخ قبل قبض مال الحوالة أو بعده، فهی تبقی بحالها، ویرجع البائع علی المشتری</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فی العبارة اشتباه، والصحیح یرجع المشتری علی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والصحیح، ویرجع المشتری علی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المشتری علی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 للسرخسی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البحر الرائق لابن نجیم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،الانصاف للمرداوی</w:t>
      </w:r>
      <w:r>
        <w:rPr>
          <w:rFonts w:eastAsia="IRNazanin" w:cs="IRNazanin"/>
          <w:color w:val="111111"/>
          <w:sz w:val="28"/>
          <w:szCs w:val="28"/>
          <w:rtl w:val="true"/>
          <w:lang w:bidi="fa-IR"/>
        </w:rPr>
        <w:t xml:space="preserve">: </w:t>
      </w:r>
      <w:r>
        <w:rPr>
          <w:rFonts w:eastAsia="IRNazanin" w:cs="IRNazanin"/>
          <w:color w:val="111111"/>
          <w:sz w:val="28"/>
          <w:szCs w:val="28"/>
          <w:lang w:bidi="fa-IR"/>
        </w:rPr>
        <w:t>5/229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الفرق</w:t>
      </w:r>
      <w:r>
        <w:rPr>
          <w:rStyle w:val="FootnoteAnchor"/>
          <w:rtl w:val="true"/>
        </w:rPr>
        <w:footnoteReference w:id="520"/>
      </w:r>
      <w:r>
        <w:rPr>
          <w:rFonts w:ascii="IRNazanin" w:hAnsi="IRNazanin" w:eastAsia="IRNazanin"/>
          <w:color w:val="111111"/>
          <w:sz w:val="28"/>
          <w:sz w:val="28"/>
          <w:szCs w:val="28"/>
          <w:rtl w:val="true"/>
          <w:lang w:bidi="fa-IR"/>
        </w:rPr>
        <w:t> بین الصورتَین والحکم    </w:t>
      </w:r>
    </w:p>
    <w:p>
      <w:pPr>
        <w:pStyle w:val="BookText"/>
        <w:rPr/>
      </w:pPr>
      <w:r>
        <w:rPr>
          <w:rFonts w:ascii="IRNazanin" w:hAnsi="IRNazanin" w:eastAsia="IRNazanin"/>
          <w:color w:val="111111"/>
          <w:sz w:val="28"/>
          <w:sz w:val="28"/>
          <w:szCs w:val="28"/>
          <w:rtl w:val="true"/>
          <w:lang w:bidi="fa-IR"/>
        </w:rPr>
        <w:t>بالبطلان فی الصورة الثانیة</w:t>
      </w:r>
      <w:r>
        <w:rPr>
          <w:rStyle w:val="FootnoteAnchor"/>
          <w:rtl w:val="true"/>
        </w:rPr>
        <w:footnoteReference w:id="521"/>
      </w:r>
      <w:r>
        <w:rPr>
          <w:rFonts w:ascii="IRNazanin" w:hAnsi="IRNazanin" w:eastAsia="IRNazanin"/>
          <w:color w:val="111111"/>
          <w:sz w:val="28"/>
          <w:sz w:val="28"/>
          <w:szCs w:val="28"/>
          <w:rtl w:val="true"/>
          <w:lang w:bidi="fa-IR"/>
        </w:rPr>
        <w:t> ـ وهی ما إذا أحال المشتری البائع بالثمن علی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أجنبیّ؛ لأنّها تتبع البیع فی هذه الصورة؛ حیث إنّها بین المتبایعَین ـ بخلاف الصورة الاُولی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والتبعیّة فی الفسخ وعدمه ممنوعة، نعم</w:t>
      </w:r>
      <w:r>
        <w:rPr>
          <w:rStyle w:val="FootnoteAnchor"/>
          <w:rtl w:val="true"/>
        </w:rPr>
        <w:footnoteReference w:id="522"/>
      </w:r>
      <w:r>
        <w:rPr>
          <w:rFonts w:ascii="IRNazanin" w:hAnsi="IRNazanin" w:eastAsia="IRNazanin"/>
          <w:color w:val="111111"/>
          <w:sz w:val="28"/>
          <w:sz w:val="28"/>
          <w:szCs w:val="28"/>
          <w:rtl w:val="true"/>
          <w:lang w:bidi="fa-IR"/>
        </w:rPr>
        <w:t xml:space="preserve">، هی تبع </w:t>
      </w:r>
    </w:p>
    <w:p>
      <w:pPr>
        <w:pStyle w:val="BookText"/>
        <w:rPr/>
      </w:pPr>
      <w:r>
        <w:rPr>
          <w:rFonts w:ascii="IRNazanin" w:hAnsi="IRNazanin" w:eastAsia="IRNazanin"/>
          <w:color w:val="111111"/>
          <w:sz w:val="28"/>
          <w:sz w:val="28"/>
          <w:szCs w:val="28"/>
          <w:rtl w:val="true"/>
          <w:lang w:bidi="fa-IR"/>
        </w:rPr>
        <w:t>للبیع؛ حیث إنّها واقعة علی الثمن</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وقوعه من البائع فی الاُولی، ومن المشتری فی الثانیة، ولکن مع هذا لا یخلوعدم الفرق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لا 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ببطلانها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استیفاء، وتبقی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اعتیاض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البقاء وإن قلنا إنّها استیفاء؛ لأنّها</w:t>
      </w:r>
      <w:r>
        <w:rPr>
          <w:rStyle w:val="FootnoteAnchor"/>
          <w:rtl w:val="true"/>
        </w:rPr>
        <w:footnoteReference w:id="524"/>
      </w:r>
      <w:r>
        <w:rPr>
          <w:rFonts w:ascii="Amiri" w:hAnsi="Amiri" w:eastAsia="Amiri" w:cs="Amiri"/>
          <w:color w:val="111111"/>
          <w:sz w:val="28"/>
          <w:sz w:val="28"/>
          <w:szCs w:val="28"/>
          <w:rtl w:val="true"/>
          <w:lang w:bidi="ar-SA"/>
        </w:rPr>
        <w:t> معاملة</w:t>
      </w:r>
      <w:r>
        <w:rPr>
          <w:rStyle w:val="FootnoteAnchor"/>
          <w:rtl w:val="true"/>
        </w:rPr>
        <w:footnoteReference w:id="525"/>
      </w:r>
      <w:r>
        <w:rPr>
          <w:rFonts w:ascii="Amiri" w:hAnsi="Amiri" w:eastAsia="Amiri" w:cs="Amiri"/>
          <w:color w:val="111111"/>
          <w:sz w:val="28"/>
          <w:sz w:val="28"/>
          <w:szCs w:val="28"/>
          <w:rtl w:val="true"/>
          <w:lang w:bidi="ar-SA"/>
        </w:rPr>
        <w:t> مستقلّة</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الحقیق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لازمة لا  تنفسخ بانفساخ البیع، ولیس حالها حال الوفاء بغیر معاملةٍ لازمة، کما إذا اشتری شیئاً بدراهمَ مکسّرةٍ فدفع إلی البائع الصِحاح، أو دفع بدلها شیئاً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وفاءً؛ حیث إنّه إذا انفسخ البیع یرجع إلیه ما دفع من الصحاح أو الشیء الآخر، لا الدارهم المکسّرة؛ فإنّ الوفاء بهذا النحو لیس معاملةً</w:t>
      </w:r>
      <w:bookmarkStart w:id="251" w:name="pg13286_153795"/>
    </w:p>
    <w:p>
      <w:pPr>
        <w:pStyle w:val="BookText"/>
        <w:rPr/>
      </w:pPr>
      <w:bookmarkEnd w:id="251"/>
      <w:r>
        <w:rPr>
          <w:rFonts w:ascii="Amiri" w:hAnsi="Amiri" w:eastAsia="Amiri" w:cs="Amiri"/>
          <w:color w:val="111111"/>
          <w:sz w:val="28"/>
          <w:sz w:val="28"/>
          <w:szCs w:val="28"/>
          <w:rtl w:val="true"/>
          <w:lang w:bidi="ar-SA"/>
        </w:rPr>
        <w:t>لازمة</w:t>
      </w:r>
      <w:r>
        <w:rPr>
          <w:rStyle w:val="FootnoteAnchor"/>
          <w:rtl w:val="true"/>
        </w:rPr>
        <w:footnoteReference w:id="527"/>
      </w:r>
      <w:r>
        <w:rPr>
          <w:rFonts w:ascii="IRNazanin" w:hAnsi="IRNazanin" w:eastAsia="IRNazanin"/>
          <w:color w:val="111111"/>
          <w:sz w:val="28"/>
          <w:sz w:val="28"/>
          <w:szCs w:val="28"/>
          <w:rtl w:val="true"/>
          <w:lang w:bidi="fa-IR"/>
        </w:rPr>
        <w:t>، بل یتبع البیع فی الانفساخ، بخلاف ما نحن فیه؛ حیث إنّ الحوالة</w:t>
      </w:r>
    </w:p>
    <w:p>
      <w:pPr>
        <w:pStyle w:val="BookText"/>
        <w:rPr/>
      </w:pPr>
      <w:r>
        <w:rPr>
          <w:rFonts w:ascii="IRNazanin" w:hAnsi="IRNazanin" w:eastAsia="IRNazanin"/>
          <w:color w:val="111111"/>
          <w:sz w:val="28"/>
          <w:sz w:val="28"/>
          <w:szCs w:val="28"/>
          <w:rtl w:val="true"/>
          <w:lang w:bidi="fa-IR"/>
        </w:rPr>
        <w:t>عقد لازم وإن کان نوعاً من الاستیفاء</w:t>
      </w:r>
      <w:r>
        <w:rPr>
          <w:rFonts w:eastAsia="IRNazanin" w:cs="IRNazanin"/>
          <w:color w:val="111111"/>
          <w:sz w:val="28"/>
          <w:szCs w:val="28"/>
          <w:rtl w:val="true"/>
          <w:lang w:bidi="fa-IR"/>
        </w:rPr>
        <w:t>.</w:t>
      </w:r>
    </w:p>
    <w:p>
      <w:pPr>
        <w:pStyle w:val="Heading3"/>
        <w:numPr>
          <w:ilvl w:val="2"/>
          <w:numId w:val="1"/>
        </w:numPr>
        <w:rPr/>
      </w:pPr>
      <w:bookmarkStart w:id="252" w:name="__RefHeading___Toc2138592_2322387425"/>
      <w:bookmarkStart w:id="253" w:name="_Toc89"/>
      <w:bookmarkEnd w:id="252"/>
      <w:r>
        <w:rPr>
          <w:rtl w:val="true"/>
        </w:rPr>
        <w:t>إذا أحال علی وکیله بمال شخصی فی یده</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عند وکیله أو أمینه مالٍ معیّنٍ خارجیّ فأحال دائِنه علیه لیدفع إلیه بما عنده فقبل المحتال</w:t>
      </w:r>
      <w:r>
        <w:rPr>
          <w:rStyle w:val="FootnoteAnchor"/>
          <w:rtl w:val="true"/>
        </w:rPr>
        <w:footnoteReference w:id="528"/>
      </w:r>
      <w:r>
        <w:rPr>
          <w:rFonts w:ascii="IRNazanin" w:hAnsi="IRNazanin" w:eastAsia="IRNazanin"/>
          <w:color w:val="111111"/>
          <w:sz w:val="28"/>
          <w:sz w:val="28"/>
          <w:szCs w:val="28"/>
          <w:rtl w:val="true"/>
          <w:lang w:bidi="fa-IR"/>
        </w:rPr>
        <w:t> والمحال علیه</w:t>
      </w:r>
      <w:r>
        <w:rPr>
          <w:rStyle w:val="FootnoteAnchor"/>
          <w:rtl w:val="true"/>
        </w:rPr>
        <w:footnoteReference w:id="529"/>
      </w:r>
      <w:r>
        <w:rPr>
          <w:rFonts w:ascii="IRNazanin" w:hAnsi="IRNazanin" w:eastAsia="IRNazanin"/>
          <w:color w:val="111111"/>
          <w:sz w:val="28"/>
          <w:sz w:val="28"/>
          <w:szCs w:val="28"/>
          <w:rtl w:val="true"/>
          <w:lang w:bidi="fa-IR"/>
        </w:rPr>
        <w:t> وجب علیه الدفع إلیه وإن لم یکن من الحوالة</w:t>
      </w:r>
      <w:r>
        <w:rPr>
          <w:rStyle w:val="FootnoteAnchor"/>
          <w:rtl w:val="true"/>
        </w:rPr>
        <w:footnoteReference w:id="530"/>
      </w:r>
      <w:r>
        <w:rPr>
          <w:rFonts w:ascii="Amiri" w:hAnsi="Amiri" w:eastAsia="Amiri" w:cs="Amiri"/>
          <w:color w:val="111111"/>
          <w:sz w:val="28"/>
          <w:sz w:val="28"/>
          <w:szCs w:val="28"/>
          <w:rtl w:val="true"/>
          <w:lang w:bidi="ar-SA"/>
        </w:rPr>
        <w:t> المصطَلَحَة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لم یدفع له الرجوع علی المحیل؛ لبقاء شغل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 الاستیفاء منه ضمن</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الوکیل</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لضمانه؛ إذ لا مجری لقاعدة الغَرور بعد بقاء الدَین فی ذمّة المدیون،وعدم احتساب امتناعه عن الأداء خسارة، وعلی فرض تسلیم الخسارة فهیمستندة إلی المدیون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لقبول المحال علیه فی الحکم، أی وجوب الدفع، نعم، له أثر فی الضمانلأجل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ضمانه للمالک لا کلام فیه؛ إذ بعد التخلّف عن أمر المالک تکون یده ید ضمان،وأمّا ضمانه للمحتال فلم یظهر وجهه، والتمسّک بقاعدة الغَرور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الخسارة الواردة علیه مستنداً إلیه للغَرور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کتاب الحوالة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3286_153797"/>
    </w:p>
    <w:p>
      <w:pPr>
        <w:pStyle w:val="Heading2"/>
        <w:numPr>
          <w:ilvl w:val="1"/>
          <w:numId w:val="1"/>
        </w:numPr>
        <w:rPr/>
      </w:pPr>
      <w:bookmarkStart w:id="255" w:name="__RefHeading___Toc2138594_2322387425"/>
      <w:bookmarkStart w:id="256" w:name="_Toc90"/>
      <w:bookmarkEnd w:id="254"/>
      <w:bookmarkEnd w:id="255"/>
      <w:r>
        <w:rPr>
          <w:rtl w:val="true"/>
        </w:rPr>
        <w:t>کتاب النکاح</w:t>
      </w:r>
      <w:bookmarkEnd w:id="2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2138596_2322387425"/>
      <w:bookmarkStart w:id="258" w:name="_Toc91"/>
      <w:bookmarkEnd w:id="257"/>
      <w:r>
        <w:rPr>
          <w:rtl w:val="true"/>
        </w:rPr>
        <w:t>اشارة</w:t>
      </w:r>
      <w:bookmarkEnd w:id="2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3286_153799"/>
      <w:bookmarkStart w:id="260" w:name="pg13286_153799"/>
      <w:bookmarkEnd w:id="260"/>
    </w:p>
    <w:p>
      <w:pPr>
        <w:pStyle w:val="BookText"/>
        <w:rPr/>
      </w:pPr>
      <w:bookmarkStart w:id="261" w:name="pg13286_153799"/>
      <w:bookmarkEnd w:id="261"/>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ولَهُ الحمدُ والمِنَّة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کتاب النکاح          </w:t>
      </w:r>
    </w:p>
    <w:p>
      <w:pPr>
        <w:pStyle w:val="Heading3"/>
        <w:numPr>
          <w:ilvl w:val="2"/>
          <w:numId w:val="1"/>
        </w:numPr>
        <w:rPr/>
      </w:pPr>
      <w:bookmarkStart w:id="262" w:name="__RefHeading___Toc2138598_2322387425"/>
      <w:bookmarkStart w:id="263" w:name="_Toc92"/>
      <w:bookmarkEnd w:id="262"/>
      <w:r>
        <w:rPr>
          <w:rtl w:val="true"/>
        </w:rPr>
        <w:t xml:space="preserve">فصل </w:t>
      </w:r>
      <w:r>
        <w:rPr>
          <w:rtl w:val="true"/>
        </w:rPr>
        <w:t>[</w:t>
      </w:r>
      <w:r>
        <w:rPr>
          <w:rtl w:val="true"/>
        </w:rPr>
        <w:t>فی فضل النکاح وآدابه</w:t>
      </w:r>
      <w:r>
        <w:rPr>
          <w:rtl w:val="true"/>
        </w:rPr>
        <w:t>]</w:t>
      </w:r>
      <w:bookmarkEnd w:id="263"/>
    </w:p>
    <w:p>
      <w:pPr>
        <w:pStyle w:val="Heading4"/>
        <w:numPr>
          <w:ilvl w:val="3"/>
          <w:numId w:val="1"/>
        </w:numPr>
        <w:rPr/>
      </w:pPr>
      <w:bookmarkStart w:id="264" w:name="__RefHeading___Toc2138600_2322387425"/>
      <w:bookmarkStart w:id="265" w:name="_Toc93"/>
      <w:bookmarkEnd w:id="264"/>
      <w:r>
        <w:rPr>
          <w:rtl w:val="true"/>
        </w:rPr>
        <w:t>التزوّج بالنساء وحبهنّ من سنن الإسلام المؤکّدة</w:t>
      </w:r>
      <w:bookmarkEnd w:id="265"/>
    </w:p>
    <w:p>
      <w:pPr>
        <w:pStyle w:val="BookText"/>
        <w:rPr/>
      </w:pPr>
      <w:r>
        <w:rPr>
          <w:rFonts w:ascii="Amiri" w:hAnsi="Amiri" w:eastAsia="Amiri" w:cs="Amiri"/>
          <w:color w:val="111111"/>
          <w:sz w:val="28"/>
          <w:sz w:val="28"/>
          <w:szCs w:val="28"/>
          <w:rtl w:val="true"/>
          <w:lang w:bidi="ar-SA"/>
        </w:rPr>
        <w:t>النِکاح مستحبّ فی حدّ نفسه بالإجماع والکتاب والسُنّة المستفیضة، بل المتواترة،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وَأَنکِحُوا آلاَْیَامَی مِنکُمْ وَآلصَّالِحِینَ مِنْ عِبَادِکُمْ وَإِمَائِکُمْ إِن یَکُونُوا فُقَرَاءَ یُغْنِهِمُ آللهُ مِن فَضْلِهِ وَآللهُ وَاسِعٌ عَلِیمٌ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وفی النبویّ المرویّ بین الفریقین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سُنَّتی فَمَنْ رَغِبَ عَنْ سُنَّتِی فَلَیْسَ مِنِّی</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وعن الصادق علیه السّلام عن أمیرالمومنین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فَإنَّ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یتّبِع سُنَّتی فَإنّ مِن سُنّتی التزویج</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بُنِیَ بِناء أَحَبُّ إلی اللهِ تَعالی مِن التزویج</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دینه، فَلیتّقِ اللهَ فی النصفِ الآخَر</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یُستفاد من جملةٍ من الأخبار استحباب حبّ النساء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الخبر،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 حُبّ النساء</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آخر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رجلاً یزداد فی هذا الأمر خیراً إلّا ازداد حبّاً للنساء</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الآیة وبعض الأخبار أنّه موجب لسعة الرزق</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ما وعده الله تعالی شأنه عباده من إغناء الفقراء بالنکاح وأرشد نبیّه صلی الله علیه و آله ذا الحاجة إلیه أمر إرشادیّ محسوس بحسب العادة فإنّ الرجل مالم یلتزم علی نفسه مونة العیال لا داعی له فی السعی فی طلب المال ویفنی عمرهبالتسویف والإهمال وأمّا إذا رأی نفسه متعهّداً لتأمین حوائج العیال فلا محالةیسعی ویجدّ فی الطلب ویتحمّل المشقّة والتعب، وکذلک المرأة حیث تجد نفسهامدیرةً للعائلة والأولاد تستعدّ لإعانة الزوج فی التحصیل والحفظ فالزواج جزءمعظم لسیاسة المدن، وتسهیل لإدارة المعاش لمعظم الناس، مضافاً إلی ما فیه منکسر الشهوة ودفع مفاسدها، وبقاء النسل وتکثیره، ومن هذا یظهر صحّة القول بمحبوبیّته حتّی لمن لم یکن له اشتیاق إلیه، بل للمریض والعِنّین إذا لم تترتّب علیه مفسدة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خبر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یرویه الناس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أتی النبیّ صلی الله علیه و آله فشکا إلیه الحاجة، فأمره بالتزویج، حتّی أمره ثلاث مرّات، 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مَعَ النساء والعیال</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266" w:name="pg13286_153801"/>
    </w:p>
    <w:p>
      <w:pPr>
        <w:pStyle w:val="Heading4"/>
        <w:numPr>
          <w:ilvl w:val="3"/>
          <w:numId w:val="1"/>
        </w:numPr>
        <w:rPr/>
      </w:pPr>
      <w:bookmarkStart w:id="267" w:name="__RefHeading___Toc2138602_2322387425"/>
      <w:bookmarkStart w:id="268" w:name="_Toc94"/>
      <w:bookmarkEnd w:id="266"/>
      <w:bookmarkEnd w:id="267"/>
      <w:r>
        <w:rPr>
          <w:rtl w:val="true"/>
        </w:rPr>
        <w:t>کراهة العزوبة وثبوت الاستحباب للنکاح من غیر اختصاص بواحدة أو بنوع</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یُستفاد من بعض الأخبار کراهة العُزُوبة، فعن النبیّ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رِذَالُ موتاکم العُزّاب</w:t>
      </w:r>
      <w:r>
        <w:rPr>
          <w:rFonts w:eastAsia="Amiri" w:cs="Amiri" w:ascii="Amiri" w:hAnsi="Amiri"/>
          <w:color w:val="111111"/>
          <w:sz w:val="28"/>
          <w:szCs w:val="28"/>
          <w:rtl w:val="true"/>
          <w:lang w:bidi="ar-SA"/>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علی الأقوی فی استحباب النکاح بین من اشتاقت نفسه ومَن لم تَشتَق؛ لإطلاق الأخبار، ولأنّ فائدته</w:t>
      </w:r>
      <w:r>
        <w:rPr>
          <w:rStyle w:val="FootnoteAnchor"/>
          <w:rtl w:val="true"/>
        </w:rPr>
        <w:footnoteReference w:id="544"/>
      </w:r>
      <w:r>
        <w:rPr>
          <w:rFonts w:ascii="Amiri" w:hAnsi="Amiri" w:eastAsia="Amiri" w:cs="Amiri"/>
          <w:color w:val="111111"/>
          <w:sz w:val="28"/>
          <w:sz w:val="28"/>
          <w:szCs w:val="28"/>
          <w:rtl w:val="true"/>
          <w:lang w:bidi="ar-SA"/>
        </w:rPr>
        <w:t> لا تُحصر فی   </w:t>
      </w:r>
    </w:p>
    <w:p>
      <w:pPr>
        <w:pStyle w:val="BookText"/>
        <w:rPr/>
      </w:pPr>
      <w:r>
        <w:rPr>
          <w:rFonts w:ascii="IRNazanin" w:hAnsi="IRNazanin" w:eastAsia="IRNazanin"/>
          <w:color w:val="111111"/>
          <w:sz w:val="28"/>
          <w:sz w:val="28"/>
          <w:szCs w:val="28"/>
          <w:rtl w:val="true"/>
          <w:lang w:bidi="fa-IR"/>
        </w:rPr>
        <w:t>کسر الشهوة</w:t>
      </w:r>
      <w:r>
        <w:rPr>
          <w:rStyle w:val="FootnoteAnchor"/>
          <w:rtl w:val="true"/>
        </w:rPr>
        <w:footnoteReference w:id="545"/>
      </w:r>
      <w:r>
        <w:rPr>
          <w:rFonts w:ascii="IRNazanin" w:hAnsi="IRNazanin" w:eastAsia="IRNazanin"/>
          <w:color w:val="111111"/>
          <w:sz w:val="28"/>
          <w:sz w:val="28"/>
          <w:szCs w:val="28"/>
          <w:rtl w:val="true"/>
          <w:lang w:bidi="fa-IR"/>
        </w:rPr>
        <w:t>، بل له فوائد،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النسل، وکثرة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المومن أن یتّخذ أهلاً، لعلّ الله أن یرزقه نسمةً تُثقِل الأرضَ بلا إله إلّا الله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وآدابه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الاستحباب لا یزول بالواحدة، بل التعدّد مستحبّ</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احتاج إلیه ولغیره أن تُعَنوَن بعنوانٍ آخر راجح، والآیة الکریمة فی مقامأصل التشریع فی الجملة، لا فی بیان استحباب التعدّد مطلقاً، واستحباب التسرّیمطلقاً أیضاً فیه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w:t>
      </w:r>
      <w:bookmarkStart w:id="269" w:name="pg13286_153802"/>
    </w:p>
    <w:p>
      <w:pPr>
        <w:pStyle w:val="BookText"/>
        <w:rPr/>
      </w:pPr>
      <w:bookmarkEnd w:id="269"/>
      <w:r>
        <w:rPr>
          <w:rFonts w:ascii="IRNazanin" w:hAnsi="IRNazanin" w:eastAsia="IRNazanin"/>
          <w:color w:val="111111"/>
          <w:sz w:val="28"/>
          <w:sz w:val="28"/>
          <w:szCs w:val="28"/>
          <w:rtl w:val="true"/>
          <w:lang w:bidi="fa-IR"/>
        </w:rPr>
        <w:t>قال تعالی</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آلنِّسَاءِ مَثْنَی وَثُلاَثَ وَرُبَاعَ</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p>
    <w:p>
      <w:pPr>
        <w:pStyle w:val="BookText"/>
        <w:rPr/>
      </w:pPr>
      <w:r>
        <w:rPr>
          <w:rFonts w:ascii="IRNazanin" w:hAnsi="IRNazanin" w:eastAsia="IRNazanin"/>
          <w:color w:val="111111"/>
          <w:sz w:val="28"/>
          <w:sz w:val="28"/>
          <w:szCs w:val="28"/>
          <w:rtl w:val="true"/>
          <w:lang w:bidi="fa-IR"/>
        </w:rPr>
        <w:t>عدم اختصاص</w:t>
      </w:r>
      <w:r>
        <w:rPr>
          <w:rStyle w:val="FootnoteAnchor"/>
          <w:rtl w:val="true"/>
        </w:rPr>
        <w:footnoteReference w:id="550"/>
      </w:r>
      <w:r>
        <w:rPr>
          <w:rFonts w:ascii="IRNazanin" w:hAnsi="IRNazanin" w:eastAsia="IRNazanin"/>
          <w:color w:val="111111"/>
          <w:sz w:val="28"/>
          <w:sz w:val="28"/>
          <w:szCs w:val="28"/>
          <w:rtl w:val="true"/>
          <w:lang w:bidi="fa-IR"/>
        </w:rPr>
        <w:t> الاستحباب بالنکاح الدائم أو المنقطع، بل المستحبّ أعمّ  </w:t>
      </w:r>
    </w:p>
    <w:p>
      <w:pPr>
        <w:pStyle w:val="BookText"/>
        <w:rPr/>
      </w:pPr>
      <w:r>
        <w:rPr>
          <w:rFonts w:ascii="Amiri" w:hAnsi="Amiri" w:eastAsia="Amiri" w:cs="Amiri"/>
          <w:color w:val="111111"/>
          <w:sz w:val="28"/>
          <w:sz w:val="28"/>
          <w:szCs w:val="28"/>
          <w:rtl w:val="true"/>
          <w:lang w:bidi="ar-SA"/>
        </w:rPr>
        <w:t>منهما ومن التَسَرِّی بالإماء</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138604_2322387425"/>
      <w:bookmarkStart w:id="271" w:name="_Toc95"/>
      <w:bookmarkEnd w:id="270"/>
      <w:r>
        <w:rPr>
          <w:rtl w:val="true"/>
        </w:rPr>
        <w:t>حکم النکاح بالنظر إلی الطبیعة والطوارئ</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المستحبّ هو الطبیعة، أعمّ من أن یقصد به القربة، أو لا، نعم عبادیّته</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یصیر عملُ عبادةٍ بمجرّد قصد القربة به، ففرق بین کون العمل طاعةً للمولیوبین کونه عبادةً وطاعةَ غیر الله فی مثل المباحات جائزة، ولکنّ عبادة غیره تعالیمحرّمة، بل شرک، فالعبادیّة معنیً خاصّ، ولیس النکاح داخلاً فیها، نعم، لا بأسبإطلاق العبادة علیه تجوّزاً أو بالمعنی الأعمّ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الأعمّ المصطلح لدی المتشرّعة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إطاعة أمره تعالی وامتثاله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وترتّب الثواب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الثواب غیر محتاجٍ إلی قصد القربة؛ إذ کیف یکون الاستحباب مطلقاً، معتقیید ترتّب الثواب، نعم، العبادیّة متوقّفة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موقوفة علی 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النکاح إنّما هو بالنظر إلی نفسه وطبیعته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بالنظر إلی الطوارئ فینقسم بانقسام الأحکام الخمسة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یجب بالنذر</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بعنوانه الأوّلیّ الّذی هو النکاح؛ فإنّ الوجوب الآتی من قبل النذر وشبههیکون متعلّقه الوفاء بالنذر واُختیه، ولا یسری منه إلی العناوین الأوّلیّة المتعلّقة للنذرونحوه، وهکذا الحال فی مقدِّمة الواجب وسائر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الحلف، وفیما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مقدّمةً 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کان فی ترکه مظنّة</w:t>
      </w:r>
    </w:p>
    <w:p>
      <w:pPr>
        <w:pStyle w:val="BookText"/>
        <w:rPr/>
      </w:pPr>
      <w:r>
        <w:rPr>
          <w:rFonts w:ascii="IRNazanin" w:hAnsi="IRNazanin" w:eastAsia="IRNazanin"/>
          <w:color w:val="111111"/>
          <w:sz w:val="28"/>
          <w:sz w:val="28"/>
          <w:szCs w:val="28"/>
          <w:rtl w:val="true"/>
          <w:lang w:bidi="fa-IR"/>
        </w:rPr>
        <w:t>الضرر</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الضرر البالغ الّذی یحرم تحمّله لا مطلقاً، وفی مثله یکفی خوف الضررالشامل لبعض مراتب الوهم بالشکّ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الوقوع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الزِنا أو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یَحرُم</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ما ذکرناه فی النذر وشبهه هنا أیضاً، وکذا فی المکروه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أفضی إلی الإخلال بواجبٍ من تحصیل علم واجب، أو ترک حقٍّ من الحقوق الواجبة، وکالزیادة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کَعَدِّ المحرّمات الأبدیّة من أمثلة المحرّم بالطوارئ ممنوع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الزیادة علی الأربع وسائر المحرّمات عیناً وجمعاً ممّن لا یصحّ نکاحها لیستفی عداد ما ذکر قبل ذلک ممّن یحرم نکاحها تکلیفاً، وکذا فی المنکوحة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الزیادة علی الأربع لا یقع نکاحها، لا أنّه یقع ویکون محرّماً، کما فی سائرالأمثلة، وکذا نکاح 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 الزائد علی الأربع فاسد فی نفسه، ولا یحرم إلّا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الزیادة علی الأربع لا یقع نکاحها، لا أنّه یقع ویکون محرّماً، کما فی سائرالأمثلة، وکذا نکاح المحرّمات، نعم، یحرم کلّها بالتشریع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علی الخامسة بما هو أمر إنشائیّ لیس بحرامٍ تکلیفاً، نعم، هو فاسد، فترتیب أثرالزوجیّة علی هذا العقد حرام تکلیفاً؛ لکونها أجنبیّة ولو بعد العقد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یقع فاسداً، فحرمتها وضعیة، ولیس من قبیل ما یعرض الحرمةبالعنوان الثانوی، بمعنی وقوعه صحیحاً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أن یکون هذا مثالاً لأصل بطلان النکاح، لا الحرمة التکلیفیّة، کما هو؛فی مقام بیانها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مسامحة؛ فإنّ الزائدة علی الأربع یکون نکاحها باطلاً، لا أنیصحّ ویکون محرّماً، وکذلک نکاح المحرّمات عیناً أو جمعاً، وکذا بالنسبةإلی المنکوحة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ترتیب آثار النکاح علیها، وإلّا تکون الحرمة حرمةً وضعیّة، لا تکلیفیّة، وکذابالنسبة إلی المنکوحة جمعاً أو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الزیادة علی الأربع من المحرّمات الوضعیّة، ومعناها عدم وقوعالنکاح، لا وقوعه محرّماً، وکذا فی نکاح المحرّمات عیناً أو جمعاً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یُکرَه، کما إذا کان فعله موجباً للوقوع فی مکروه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مباحاً، کما إذا کان فی ترکه مصلحة</w:t>
      </w:r>
      <w:r>
        <w:rPr>
          <w:rStyle w:val="FootnoteAnchor"/>
          <w:rtl w:val="true"/>
        </w:rPr>
        <w:footnoteReference w:id="555"/>
      </w:r>
      <w:bookmarkStart w:id="272" w:name="pg13286_153806"/>
    </w:p>
    <w:p>
      <w:pPr>
        <w:pStyle w:val="BookText"/>
        <w:rPr/>
      </w:pPr>
      <w:bookmarkEnd w:id="272"/>
      <w:r>
        <w:rPr>
          <w:rFonts w:ascii="Amiri" w:hAnsi="Amiri" w:eastAsia="Amiri" w:cs="Amiri"/>
          <w:color w:val="111111"/>
          <w:sz w:val="28"/>
          <w:sz w:val="28"/>
          <w:szCs w:val="28"/>
          <w:rtl w:val="true"/>
          <w:lang w:bidi="ar-SA"/>
        </w:rPr>
        <w:t>معارضة</w:t>
      </w:r>
      <w:r>
        <w:rPr>
          <w:rStyle w:val="FootnoteAnchor"/>
          <w:rtl w:val="true"/>
        </w:rPr>
        <w:footnoteReference w:id="556"/>
      </w:r>
      <w:r>
        <w:rPr>
          <w:rFonts w:ascii="IRNazanin" w:hAnsi="IRNazanin" w:eastAsia="IRNazanin"/>
          <w:color w:val="111111"/>
          <w:sz w:val="28"/>
          <w:sz w:val="28"/>
          <w:szCs w:val="28"/>
          <w:rtl w:val="true"/>
          <w:lang w:bidi="fa-IR"/>
        </w:rPr>
        <w:t> لمصلحة فعله مساویة</w:t>
      </w:r>
      <w:r>
        <w:rPr>
          <w:rStyle w:val="FootnoteAnchor"/>
          <w:rtl w:val="true"/>
        </w:rPr>
        <w:footnoteReference w:id="557"/>
      </w:r>
      <w:r>
        <w:rPr>
          <w:rFonts w:ascii="IRNazanin" w:hAnsi="IRNazanin" w:eastAsia="IRNazanin"/>
          <w:color w:val="111111"/>
          <w:sz w:val="28"/>
          <w:sz w:val="28"/>
          <w:szCs w:val="28"/>
          <w:rtl w:val="true"/>
          <w:lang w:bidi="fa-IR"/>
        </w:rPr>
        <w:t>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إلی المنکوحة أیضاً ینقسم إلی الأقسام الخمسة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w:t>
      </w:r>
      <w:r>
        <w:rPr>
          <w:rStyle w:val="FootnoteAnchor"/>
          <w:rtl w:val="true"/>
        </w:rPr>
        <w:footnoteReference w:id="558"/>
      </w:r>
      <w:r>
        <w:rPr>
          <w:rFonts w:ascii="IRNazanin" w:hAnsi="IRNazanin" w:eastAsia="IRNazanin"/>
          <w:color w:val="111111"/>
          <w:sz w:val="28"/>
          <w:sz w:val="28"/>
          <w:szCs w:val="28"/>
          <w:rtl w:val="true"/>
          <w:lang w:bidi="fa-IR"/>
        </w:rPr>
        <w:t> کمن یقع فی الضرر لو لم یتزوّجها، أو یبتلی بالزِنا معها لولا</w:t>
      </w:r>
    </w:p>
    <w:p>
      <w:pPr>
        <w:pStyle w:val="BookText"/>
        <w:rPr/>
      </w:pP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والمحرَّم نکاح المحرَّمات</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نکاح المحرّمات فاسد، ولا یحرم العقد علیهنّ إلّا تشریعاً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بحسب الحکم الوضعیّ، أی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أیضاً من المحرّمات الوضعیّة دون التکلیفیّة، إلّا إذا کان بنحو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أو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والمستحبّ المستجمع للصفات المحمودة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والمکروه النکاح المستجمع للأوصاف المذمومة فی النساء، ونکاح القابلة المربّیة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والمباح</w:t>
      </w:r>
      <w:r>
        <w:rPr>
          <w:rStyle w:val="FootnoteAnchor"/>
          <w:rtl w:val="true"/>
        </w:rPr>
        <w:footnoteReference w:id="560"/>
      </w:r>
      <w:r>
        <w:rPr>
          <w:rFonts w:ascii="IRNazanin" w:hAnsi="IRNazanin" w:eastAsia="IRNazanin"/>
          <w:color w:val="111111"/>
          <w:sz w:val="28"/>
          <w:sz w:val="28"/>
          <w:szCs w:val="28"/>
          <w:rtl w:val="true"/>
          <w:lang w:bidi="fa-IR"/>
        </w:rPr>
        <w:t> ما عدا ذلک</w:t>
      </w:r>
      <w:r>
        <w:rPr>
          <w:rFonts w:eastAsia="IRNazanin" w:cs="IRNazanin"/>
          <w:color w:val="111111"/>
          <w:sz w:val="28"/>
          <w:szCs w:val="28"/>
          <w:rtl w:val="true"/>
          <w:lang w:bidi="fa-IR"/>
        </w:rPr>
        <w:t>.</w:t>
      </w:r>
    </w:p>
    <w:p>
      <w:pPr>
        <w:pStyle w:val="Heading4"/>
        <w:numPr>
          <w:ilvl w:val="3"/>
          <w:numId w:val="1"/>
        </w:numPr>
        <w:rPr/>
      </w:pPr>
      <w:bookmarkStart w:id="273" w:name="__RefHeading___Toc2138606_2322387425"/>
      <w:bookmarkStart w:id="274" w:name="_Toc96"/>
      <w:bookmarkEnd w:id="273"/>
      <w:r>
        <w:rPr>
          <w:rtl w:val="true"/>
        </w:rPr>
        <w:t>مستحبات من أراد التزویج</w:t>
      </w:r>
      <w:bookmarkEnd w:id="27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w:t>
      </w:r>
      <w:r>
        <w:rPr>
          <w:rStyle w:val="FootnoteAnchor"/>
          <w:rtl w:val="true"/>
        </w:rPr>
        <w:footnoteReference w:id="561"/>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 . </w:t>
      </w:r>
    </w:p>
    <w:p>
      <w:pPr>
        <w:pStyle w:val="BookText"/>
        <w:rPr/>
      </w:pPr>
      <w:r>
        <w:rPr>
          <w:rFonts w:ascii="IRNazanin" w:hAnsi="IRNazanin" w:eastAsia="IRNazanin"/>
          <w:color w:val="111111"/>
          <w:sz w:val="28"/>
          <w:sz w:val="28"/>
          <w:szCs w:val="28"/>
          <w:rtl w:val="true"/>
          <w:lang w:bidi="fa-IR"/>
        </w:rPr>
        <w:t>عند</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بعض ما ذکر فی هذه المسألة وفی المسائل الآتیة، وکذا کراهة ما ذُکِرفی المسائل الآتیة محلّ تأمّل یُؤتی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التزویج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تسامحاً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563"/>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رکعتین عند إرادة التزویج قبل تعیین المرأة وخطبتها، والدعاء بعدها بالمأثور،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اُرید أن أتزوّج، فقدِّر لی من النساء </w:t>
      </w:r>
    </w:p>
    <w:p>
      <w:pPr>
        <w:pStyle w:val="BookText"/>
        <w:rPr/>
      </w:pPr>
      <w:r>
        <w:rPr>
          <w:rFonts w:ascii="Amiri" w:hAnsi="Amiri" w:eastAsia="Amiri" w:cs="Amiri"/>
          <w:color w:val="111111"/>
          <w:sz w:val="28"/>
          <w:sz w:val="28"/>
          <w:szCs w:val="28"/>
          <w:rtl w:val="true"/>
          <w:lang w:bidi="ar-SA"/>
        </w:rPr>
        <w:t>أعفّهنَّ فرجاً، وأحفظهنَّ لی فی نفسها ومالی، وأوسعهنَّ رزقاً، وأعظمهنَّ برکة،</w:t>
      </w:r>
    </w:p>
    <w:p>
      <w:pPr>
        <w:pStyle w:val="BookText"/>
        <w:rPr/>
      </w:pPr>
      <w:r>
        <w:rPr>
          <w:rFonts w:ascii="Amiri" w:hAnsi="Amiri" w:eastAsia="Amiri" w:cs="Amiri"/>
          <w:color w:val="111111"/>
          <w:sz w:val="28"/>
          <w:sz w:val="28"/>
          <w:szCs w:val="28"/>
          <w:rtl w:val="true"/>
          <w:lang w:bidi="ar-SA"/>
        </w:rPr>
        <w:t>وقدِّر لی ولداً طیّباً تجعله خلفاً صالحاً فی حیاتی وبعد موتی</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أیضاً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بالّذی أخذ الله إمساک بمعروف أو تسریح بإحسان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 یوماً أو یومین لا أزید؛ فإنّه مکروه، ودعاء المومنین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کونهم فقراء، ولا بأس بالأغنیاء، خصوصاً عشیرته وجیرانه وأهل حرفته، ویستحبّ إجابتهم</w:t>
      </w:r>
      <w:r>
        <w:rPr>
          <w:rStyle w:val="FootnoteAnchor"/>
          <w:rtl w:val="true"/>
        </w:rPr>
        <w:footnoteReference w:id="568"/>
      </w:r>
      <w:r>
        <w:rPr>
          <w:rFonts w:ascii="IRNazanin" w:hAnsi="IRNazanin" w:eastAsia="IRNazanin"/>
          <w:color w:val="111111"/>
          <w:sz w:val="28"/>
          <w:sz w:val="28"/>
          <w:szCs w:val="28"/>
          <w:rtl w:val="true"/>
          <w:lang w:bidi="fa-IR"/>
        </w:rPr>
        <w:t> وأکلهم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ووقتها بعد العقد، أو عند الزفاف لیلاً أو نهاراً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ولیمة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w:t>
      </w:r>
      <w:r>
        <w:rPr>
          <w:rStyle w:val="FootnoteAnchor"/>
          <w:rtl w:val="true"/>
        </w:rPr>
        <w:footnoteReference w:id="569"/>
      </w:r>
      <w:r>
        <w:rPr>
          <w:rFonts w:ascii="Amiri" w:hAnsi="Amiri" w:eastAsia="Amiri" w:cs="Amiri"/>
          <w:color w:val="111111"/>
          <w:sz w:val="28"/>
          <w:sz w:val="28"/>
          <w:szCs w:val="28"/>
          <w:rtl w:val="true"/>
          <w:lang w:bidi="ar-SA"/>
        </w:rPr>
        <w:t>، أو خُرْسٍ</w:t>
      </w:r>
      <w:r>
        <w:rPr>
          <w:rStyle w:val="FootnoteAnchor"/>
          <w:rtl w:val="true"/>
        </w:rPr>
        <w:footnoteReference w:id="570"/>
      </w:r>
      <w:r>
        <w:rPr>
          <w:rFonts w:ascii="Amiri" w:hAnsi="Amiri" w:eastAsia="Amiri" w:cs="Amiri"/>
          <w:color w:val="111111"/>
          <w:sz w:val="28"/>
          <w:sz w:val="28"/>
          <w:szCs w:val="28"/>
          <w:rtl w:val="true"/>
          <w:lang w:bidi="ar-SA"/>
        </w:rPr>
        <w:t>، أو عِذارٍ</w:t>
      </w:r>
      <w:r>
        <w:rPr>
          <w:rStyle w:val="FootnoteAnchor"/>
          <w:rtl w:val="true"/>
        </w:rPr>
        <w:footnoteReference w:id="571"/>
      </w:r>
      <w:r>
        <w:rPr>
          <w:rFonts w:ascii="IRNazanin" w:hAnsi="IRNazanin" w:eastAsia="IRNazanin"/>
          <w:color w:val="111111"/>
          <w:sz w:val="28"/>
          <w:sz w:val="28"/>
          <w:szCs w:val="28"/>
          <w:rtl w:val="true"/>
          <w:lang w:bidi="fa-IR"/>
        </w:rPr>
        <w:t xml:space="preserve">، أو </w:t>
      </w:r>
      <w:bookmarkStart w:id="275" w:name="pg13286_153809"/>
    </w:p>
    <w:p>
      <w:pPr>
        <w:pStyle w:val="BookText"/>
        <w:rPr/>
      </w:pPr>
      <w:bookmarkEnd w:id="275"/>
      <w:r>
        <w:rPr>
          <w:rFonts w:ascii="Amiri" w:hAnsi="Amiri" w:eastAsia="Amiri" w:cs="Amiri"/>
          <w:color w:val="111111"/>
          <w:sz w:val="28"/>
          <w:sz w:val="28"/>
          <w:szCs w:val="28"/>
          <w:rtl w:val="true"/>
          <w:lang w:bidi="ar-SA"/>
        </w:rPr>
        <w:t>وِکارٍ، أو رِکاز</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التزویج،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والعِذار</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w:t>
      </w:r>
    </w:p>
    <w:p>
      <w:pPr>
        <w:pStyle w:val="BookText"/>
        <w:rPr/>
      </w:pPr>
      <w:r>
        <w:rPr>
          <w:rFonts w:ascii="Amiri" w:hAnsi="Amiri" w:eastAsia="Amiri" w:cs="Amiri"/>
          <w:color w:val="111111"/>
          <w:sz w:val="28"/>
          <w:sz w:val="28"/>
          <w:szCs w:val="28"/>
          <w:rtl w:val="true"/>
          <w:lang w:bidi="ar-SA"/>
        </w:rPr>
        <w:t>والوِکار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الدار، والرِکاز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من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أمام العقد بما یشتمل علی الحمد والشهادتین والصلاة علی النبیِّ صلی الله علیه و آله </w:t>
      </w:r>
      <w:r>
        <w:rPr>
          <w:rStyle w:val="FootnoteAnchor"/>
          <w:rtl w:val="true"/>
        </w:rPr>
        <w:footnoteReference w:id="574"/>
      </w:r>
      <w:r>
        <w:rPr>
          <w:rFonts w:ascii="IRNazanin" w:hAnsi="IRNazanin" w:eastAsia="IRNazanin"/>
          <w:color w:val="111111"/>
          <w:sz w:val="28"/>
          <w:sz w:val="28"/>
          <w:szCs w:val="28"/>
          <w:rtl w:val="true"/>
          <w:lang w:bidi="fa-IR"/>
        </w:rPr>
        <w:t>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والوصیّة بالتقوی، والدعاء للزوجَین، والظاهر</w:t>
      </w:r>
    </w:p>
    <w:p>
      <w:pPr>
        <w:pStyle w:val="BookText"/>
        <w:rPr/>
      </w:pPr>
      <w:r>
        <w:rPr>
          <w:rFonts w:ascii="IRNazanin" w:hAnsi="IRNazanin" w:eastAsia="IRNazanin"/>
          <w:color w:val="111111"/>
          <w:sz w:val="28"/>
          <w:sz w:val="28"/>
          <w:szCs w:val="28"/>
          <w:rtl w:val="true"/>
          <w:lang w:bidi="fa-IR"/>
        </w:rPr>
        <w:t>کفایة اشتمالها علی الحمد والصلاة علی النبیّ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استحبابها أمام الخِطبة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الإشهاد</w:t>
      </w:r>
      <w:r>
        <w:rPr>
          <w:rStyle w:val="FootnoteAnchor"/>
          <w:rtl w:val="true"/>
        </w:rPr>
        <w:footnoteReference w:id="575"/>
      </w:r>
      <w:r>
        <w:rPr>
          <w:rFonts w:ascii="IRNazanin" w:hAnsi="IRNazanin" w:eastAsia="IRNazanin"/>
          <w:color w:val="111111"/>
          <w:sz w:val="28"/>
          <w:sz w:val="28"/>
          <w:szCs w:val="28"/>
          <w:rtl w:val="true"/>
          <w:lang w:bidi="fa-IR"/>
        </w:rPr>
        <w:t> فی الدائم والإعلان به، ولا یُشترط فی صحّة العقد</w:t>
      </w:r>
    </w:p>
    <w:p>
      <w:pPr>
        <w:pStyle w:val="BookText"/>
        <w:rPr/>
      </w:pP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العقد لیلاً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138608_2322387425"/>
      <w:bookmarkStart w:id="277" w:name="_Toc97"/>
      <w:bookmarkEnd w:id="276"/>
      <w:r>
        <w:rPr>
          <w:rtl w:val="true"/>
        </w:rPr>
        <w:t>المکروه عند إیقاع العقد</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یُکرَه عند التزویج اُمور</w:t>
      </w:r>
      <w:r>
        <w:rPr>
          <w:rStyle w:val="FootnoteAnchor"/>
          <w:rtl w:val="true"/>
        </w:rPr>
        <w:footnoteReference w:id="577"/>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العقد والقمر فی العقرب، أی فی برجها، لا المنازل المنسوبة إلیها،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والإکلیل والزبانا والشولة</w:t>
      </w:r>
      <w:r>
        <w:rPr>
          <w:rFonts w:eastAsia="IRNazanin" w:cs="IRNazanin"/>
          <w:color w:val="111111"/>
          <w:sz w:val="28"/>
          <w:szCs w:val="28"/>
          <w:rtl w:val="true"/>
          <w:lang w:bidi="fa-IR"/>
        </w:rPr>
        <w:t xml:space="preserve">. </w:t>
      </w:r>
      <w:bookmarkStart w:id="278" w:name="pg13286_153810"/>
    </w:p>
    <w:p>
      <w:pPr>
        <w:pStyle w:val="BookText"/>
        <w:rPr/>
      </w:pPr>
      <w:bookmarkEnd w:id="27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یوم الأربعاء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فی أحد الأیّام</w:t>
      </w:r>
      <w:r>
        <w:rPr>
          <w:rStyle w:val="FootnoteAnchor"/>
          <w:rtl w:val="true"/>
        </w:rPr>
        <w:footnoteReference w:id="579"/>
      </w:r>
      <w:r>
        <w:rPr>
          <w:rFonts w:ascii="Amiri" w:hAnsi="Amiri" w:eastAsia="Amiri" w:cs="Amiri"/>
          <w:color w:val="111111"/>
          <w:sz w:val="28"/>
          <w:sz w:val="28"/>
          <w:szCs w:val="28"/>
          <w:rtl w:val="true"/>
          <w:lang w:bidi="ar-SA"/>
        </w:rPr>
        <w:t> المنحوسة</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مُعتدٌّ به علی ذلک، وإن نسب إلی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یُعتدّ به علی الکراهة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الشهر، وهی الثالث،</w:t>
      </w:r>
    </w:p>
    <w:p>
      <w:pPr>
        <w:pStyle w:val="BookText"/>
        <w:rPr/>
      </w:pPr>
      <w:r>
        <w:rPr>
          <w:rFonts w:ascii="IRNazanin" w:hAnsi="IRNazanin" w:eastAsia="IRNazanin"/>
          <w:color w:val="111111"/>
          <w:sz w:val="28"/>
          <w:sz w:val="28"/>
          <w:szCs w:val="28"/>
          <w:rtl w:val="true"/>
          <w:lang w:bidi="fa-IR"/>
        </w:rPr>
        <w:t>والخامس، والثالث عشر، والسادس عشر، والحادی والعشرون، والرابع والعشرون، والخامس والعشرون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 فی محاق الشهر، وهو اللیلتان</w:t>
      </w:r>
      <w:r>
        <w:rPr>
          <w:rStyle w:val="FootnoteAnchor"/>
          <w:rtl w:val="true"/>
        </w:rPr>
        <w:footnoteReference w:id="581"/>
      </w:r>
      <w:r>
        <w:rPr>
          <w:rFonts w:ascii="IRNazanin" w:hAnsi="IRNazanin" w:eastAsia="IRNazanin"/>
          <w:color w:val="111111"/>
          <w:sz w:val="28"/>
          <w:sz w:val="28"/>
          <w:szCs w:val="28"/>
          <w:rtl w:val="true"/>
          <w:lang w:bidi="fa-IR"/>
        </w:rPr>
        <w:t> أو الثلاث</w:t>
      </w:r>
      <w:r>
        <w:rPr>
          <w:rStyle w:val="FootnoteAnchor"/>
          <w:rtl w:val="true"/>
        </w:rPr>
        <w:footnoteReference w:id="582"/>
      </w:r>
      <w:r>
        <w:rPr>
          <w:rFonts w:ascii="IRNazanin" w:hAnsi="IRNazanin" w:eastAsia="IRNazanin"/>
          <w:color w:val="111111"/>
          <w:sz w:val="28"/>
          <w:sz w:val="28"/>
          <w:szCs w:val="28"/>
          <w:rtl w:val="true"/>
          <w:lang w:bidi="fa-IR"/>
        </w:rPr>
        <w:t> من آخر الشهر</w:t>
      </w:r>
      <w:r>
        <w:rPr>
          <w:rFonts w:eastAsia="IRNazanin" w:cs="IRNazanin"/>
          <w:color w:val="111111"/>
          <w:sz w:val="28"/>
          <w:szCs w:val="28"/>
          <w:rtl w:val="true"/>
          <w:lang w:bidi="fa-IR"/>
        </w:rPr>
        <w:t>.</w:t>
      </w:r>
    </w:p>
    <w:p>
      <w:pPr>
        <w:pStyle w:val="Heading4"/>
        <w:numPr>
          <w:ilvl w:val="3"/>
          <w:numId w:val="1"/>
        </w:numPr>
        <w:rPr/>
      </w:pPr>
      <w:bookmarkStart w:id="279" w:name="__RefHeading___Toc2138610_2322387425"/>
      <w:bookmarkStart w:id="280" w:name="_Toc98"/>
      <w:bookmarkEnd w:id="279"/>
      <w:r>
        <w:rPr>
          <w:rtl w:val="true"/>
        </w:rPr>
        <w:t>ترجیح جملة صفات للتزویج</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یُستحبّ</w:t>
      </w:r>
      <w:r>
        <w:rPr>
          <w:rStyle w:val="FootnoteAnchor"/>
          <w:rtl w:val="true"/>
        </w:rPr>
        <w:footnoteReference w:id="583"/>
      </w:r>
      <w:r>
        <w:rPr>
          <w:rFonts w:ascii="IRNazanin" w:hAnsi="IRNazanin" w:eastAsia="IRNazanin"/>
          <w:color w:val="111111"/>
          <w:sz w:val="28"/>
          <w:sz w:val="28"/>
          <w:szCs w:val="28"/>
          <w:rtl w:val="true"/>
          <w:lang w:bidi="fa-IR"/>
        </w:rPr>
        <w:t> اختیار امرأةٍ تجمع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بِکراً،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وَلُوداً، وَدُوداً</w:t>
      </w:r>
      <w:r>
        <w:rPr>
          <w:rStyle w:val="FootnoteAnchor"/>
          <w:rtl w:val="true"/>
        </w:rPr>
        <w:footnoteReference w:id="584"/>
      </w:r>
      <w:r>
        <w:rPr>
          <w:rFonts w:ascii="IRNazanin" w:hAnsi="IRNazanin" w:eastAsia="IRNazanin"/>
          <w:color w:val="111111"/>
          <w:sz w:val="28"/>
          <w:sz w:val="28"/>
          <w:szCs w:val="28"/>
          <w:rtl w:val="true"/>
          <w:lang w:bidi="fa-IR"/>
        </w:rPr>
        <w:t xml:space="preserve">، عفیفة، کریمة الأصل، بأن لا تکون من زِناً أو حیضٍ أو </w:t>
      </w:r>
    </w:p>
    <w:p>
      <w:pPr>
        <w:pStyle w:val="BookText"/>
        <w:rPr/>
      </w:pPr>
      <w:r>
        <w:rPr>
          <w:rFonts w:ascii="Amiri" w:hAnsi="Amiri" w:eastAsia="Amiri" w:cs="Amiri"/>
          <w:color w:val="111111"/>
          <w:sz w:val="28"/>
          <w:sz w:val="28"/>
          <w:szCs w:val="28"/>
          <w:rtl w:val="true"/>
          <w:lang w:bidi="ar-SA"/>
        </w:rPr>
        <w:t>شبهة، أو ممّن تنال الألسن آباءَها أو اُمّهاتها، أو مسّهم رقٌّ أو</w:t>
      </w:r>
      <w:r>
        <w:rPr>
          <w:rStyle w:val="FootnoteAnchor"/>
          <w:rtl w:val="true"/>
        </w:rPr>
        <w:footnoteReference w:id="585"/>
      </w:r>
      <w:r>
        <w:rPr>
          <w:rFonts w:ascii="IRNazanin" w:hAnsi="IRNazanin" w:eastAsia="IRNazanin"/>
          <w:color w:val="111111"/>
          <w:sz w:val="28"/>
          <w:sz w:val="28"/>
          <w:szCs w:val="28"/>
          <w:rtl w:val="true"/>
          <w:lang w:bidi="fa-IR"/>
        </w:rPr>
        <w:t> کفر أو فسق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تکون سَمراءَ</w:t>
      </w:r>
      <w:r>
        <w:rPr>
          <w:rStyle w:val="FootnoteAnchor"/>
          <w:rtl w:val="true"/>
        </w:rPr>
        <w:footnoteReference w:id="586"/>
      </w:r>
      <w:r>
        <w:rPr>
          <w:rFonts w:ascii="Amiri" w:hAnsi="Amiri" w:eastAsia="Amiri" w:cs="Amiri"/>
          <w:color w:val="111111"/>
          <w:sz w:val="28"/>
          <w:sz w:val="28"/>
          <w:szCs w:val="28"/>
          <w:rtl w:val="true"/>
          <w:lang w:bidi="ar-SA"/>
        </w:rPr>
        <w:t> عَیناءَ</w:t>
      </w:r>
      <w:r>
        <w:rPr>
          <w:rStyle w:val="FootnoteAnchor"/>
          <w:rtl w:val="true"/>
        </w:rPr>
        <w:footnoteReference w:id="587"/>
      </w:r>
      <w:r>
        <w:rPr>
          <w:rFonts w:ascii="Amiri" w:hAnsi="Amiri" w:eastAsia="Amiri" w:cs="Amiri"/>
          <w:color w:val="111111"/>
          <w:sz w:val="28"/>
          <w:sz w:val="28"/>
          <w:szCs w:val="28"/>
          <w:rtl w:val="true"/>
          <w:lang w:bidi="ar-SA"/>
        </w:rPr>
        <w:t> عَجزاءَ</w:t>
      </w:r>
      <w:r>
        <w:rPr>
          <w:rStyle w:val="FootnoteAnchor"/>
          <w:rtl w:val="true"/>
        </w:rPr>
        <w:footnoteReference w:id="588"/>
      </w:r>
      <w:r>
        <w:rPr>
          <w:rFonts w:ascii="Amiri" w:hAnsi="Amiri" w:eastAsia="Amiri" w:cs="Amiri"/>
          <w:color w:val="111111"/>
          <w:sz w:val="28"/>
          <w:sz w:val="28"/>
          <w:szCs w:val="28"/>
          <w:rtl w:val="true"/>
          <w:lang w:bidi="ar-SA"/>
        </w:rPr>
        <w:t> مربوعةً</w:t>
      </w:r>
      <w:r>
        <w:rPr>
          <w:rStyle w:val="FootnoteAnchor"/>
          <w:rtl w:val="true"/>
        </w:rPr>
        <w:footnoteReference w:id="589"/>
      </w:r>
      <w:r>
        <w:rPr>
          <w:rFonts w:ascii="Amiri" w:hAnsi="Amiri" w:eastAsia="Amiri" w:cs="Amiri"/>
          <w:color w:val="111111"/>
          <w:sz w:val="28"/>
          <w:sz w:val="28"/>
          <w:szCs w:val="28"/>
          <w:rtl w:val="true"/>
          <w:lang w:bidi="ar-SA"/>
        </w:rPr>
        <w:t>، طیّبةَ الریح،</w:t>
      </w:r>
    </w:p>
    <w:p>
      <w:pPr>
        <w:pStyle w:val="BookText"/>
        <w:rPr/>
      </w:pPr>
      <w:r>
        <w:rPr>
          <w:rFonts w:ascii="Amiri" w:hAnsi="Amiri" w:eastAsia="Amiri" w:cs="Amiri"/>
          <w:color w:val="111111"/>
          <w:sz w:val="28"/>
          <w:sz w:val="28"/>
          <w:szCs w:val="28"/>
          <w:rtl w:val="true"/>
          <w:lang w:bidi="ar-SA"/>
        </w:rPr>
        <w:t>ورِمةَ الکعب</w:t>
      </w:r>
      <w:r>
        <w:rPr>
          <w:rStyle w:val="FootnoteAnchor"/>
          <w:rtl w:val="true"/>
        </w:rPr>
        <w:footnoteReference w:id="590"/>
      </w:r>
      <w:r>
        <w:rPr>
          <w:rFonts w:ascii="Amiri" w:hAnsi="Amiri" w:eastAsia="Amiri" w:cs="Amiri"/>
          <w:color w:val="111111"/>
          <w:sz w:val="28"/>
          <w:sz w:val="28"/>
          <w:szCs w:val="28"/>
          <w:rtl w:val="true"/>
          <w:lang w:bidi="ar-SA"/>
        </w:rPr>
        <w:t>، جمیلةً ذاتَ شَعْر، صالحةً تُعِین زوجها علی الدنیا والآخرة،    </w:t>
      </w:r>
    </w:p>
    <w:p>
      <w:pPr>
        <w:pStyle w:val="BookText"/>
        <w:rPr/>
      </w:pPr>
      <w:r>
        <w:rPr>
          <w:rFonts w:ascii="Amiri" w:hAnsi="Amiri" w:eastAsia="Amiri" w:cs="Amiri"/>
          <w:color w:val="111111"/>
          <w:sz w:val="28"/>
          <w:sz w:val="28"/>
          <w:szCs w:val="28"/>
          <w:rtl w:val="true"/>
          <w:lang w:bidi="ar-SA"/>
        </w:rPr>
        <w:t>عزیزةً فی أهلها، ذلیلةً مع بعلها، متبرّجةً مع زوجها، حَصاناً مع غیره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الوَلود الوَدود، العفیفة العزیزة فی أهلها، الذلیلة مع بعلها، المتبرّجة مع زوجها، الحِصان علی غیره، الّتی تسمع قولَه وتُطیع أمره، وإذا خلا بها بذلت له ما یُرید منها، ولم تبذّل</w:t>
      </w:r>
      <w:r>
        <w:rPr>
          <w:rStyle w:val="FootnoteAnchor"/>
          <w:rtl w:val="true"/>
        </w:rPr>
        <w:footnoteReference w:id="591"/>
      </w:r>
      <w:r>
        <w:rPr>
          <w:rFonts w:ascii="IRNazanin" w:hAnsi="IRNazanin" w:eastAsia="IRNazanin"/>
          <w:color w:val="111111"/>
          <w:sz w:val="28"/>
          <w:sz w:val="28"/>
          <w:szCs w:val="28"/>
          <w:rtl w:val="true"/>
          <w:lang w:bidi="fa-IR"/>
        </w:rPr>
        <w:t> کتبذّل الرجل</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281" w:name="pg13286_153812"/>
    </w:p>
    <w:p>
      <w:pPr>
        <w:pStyle w:val="BookText"/>
        <w:rPr/>
      </w:pPr>
      <w:bookmarkEnd w:id="281"/>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اُخبرکم بشِرار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الذلیلة فی أهلها، العزیزة مع بعلها، العقیم الحَقُود، الّتی لا تدرع</w:t>
      </w:r>
      <w:r>
        <w:rPr>
          <w:rStyle w:val="FootnoteAnchor"/>
          <w:rtl w:val="true"/>
        </w:rPr>
        <w:footnoteReference w:id="593"/>
      </w:r>
      <w:r>
        <w:rPr>
          <w:rFonts w:ascii="Amiri" w:hAnsi="Amiri" w:eastAsia="Amiri" w:cs="Amiri"/>
          <w:color w:val="111111"/>
          <w:sz w:val="28"/>
          <w:sz w:val="28"/>
          <w:szCs w:val="28"/>
          <w:rtl w:val="true"/>
          <w:lang w:bidi="ar-SA"/>
        </w:rPr>
        <w:t> من قبیح، المتبرِّجة</w:t>
      </w:r>
      <w:r>
        <w:rPr>
          <w:rStyle w:val="FootnoteAnchor"/>
          <w:rtl w:val="true"/>
        </w:rPr>
        <w:footnoteReference w:id="594"/>
      </w:r>
      <w:r>
        <w:rPr>
          <w:rFonts w:ascii="IRNazanin" w:hAnsi="IRNazanin" w:eastAsia="IRNazanin"/>
          <w:color w:val="111111"/>
          <w:sz w:val="28"/>
          <w:sz w:val="28"/>
          <w:szCs w:val="28"/>
          <w:rtl w:val="true"/>
          <w:lang w:bidi="fa-IR"/>
        </w:rPr>
        <w:t> إذا غاب عنها بعلها، الحَصان معه إذا حضر، لا تسمع قوله، ولا تُطیع أمره، وإذا خلا بها بعلها تمنّعت منه، کما تمنع الصعبة عن رکوبها، لا تقبل منه عُذراً، ولا تغفر له ذنباً</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2138612_2322387425"/>
      <w:bookmarkStart w:id="283" w:name="_Toc99"/>
      <w:bookmarkEnd w:id="282"/>
      <w:r>
        <w:rPr>
          <w:rtl w:val="true"/>
        </w:rPr>
        <w:t>الأخبار فی کراهة تزویج جملة من الرجال وما تحمل علیه</w:t>
      </w:r>
      <w:bookmarkEnd w:id="283"/>
    </w:p>
    <w:p>
      <w:pPr>
        <w:pStyle w:val="BookText"/>
        <w:rPr/>
      </w:pPr>
      <w:r>
        <w:rPr>
          <w:rFonts w:ascii="IRNazanin" w:hAnsi="IRNazanin" w:eastAsia="IRNazanin"/>
          <w:color w:val="111111"/>
          <w:sz w:val="28"/>
          <w:sz w:val="28"/>
          <w:szCs w:val="28"/>
          <w:rtl w:val="true"/>
          <w:lang w:bidi="fa-IR"/>
        </w:rPr>
        <w:t>ویکره اختیار العقیم، ومَن تضمّنته الخبر المذکور من ذات الصفات المذکورة الّتی یجمعها</w:t>
      </w:r>
      <w:r>
        <w:rPr>
          <w:rStyle w:val="FootnoteAnchor"/>
          <w:rtl w:val="true"/>
        </w:rPr>
        <w:footnoteReference w:id="596"/>
      </w:r>
      <w:r>
        <w:rPr>
          <w:rFonts w:ascii="IRNazanin" w:hAnsi="IRNazanin" w:eastAsia="IRNazanin"/>
          <w:color w:val="111111"/>
          <w:sz w:val="28"/>
          <w:sz w:val="28"/>
          <w:szCs w:val="28"/>
          <w:rtl w:val="true"/>
          <w:lang w:bidi="fa-IR"/>
        </w:rPr>
        <w:t> عدم کونها نجیبة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الاقتصار علی الجمال والثروة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ویکره تزویج جملةٍ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w:t>
      </w:r>
      <w:r>
        <w:rPr>
          <w:rStyle w:val="FootnoteAnchor"/>
          <w:rtl w:val="true"/>
        </w:rPr>
        <w:footnoteReference w:id="597"/>
      </w:r>
      <w:r>
        <w:rPr>
          <w:rFonts w:ascii="IRNazanin" w:hAnsi="IRNazanin" w:eastAsia="IRNazanin"/>
          <w:color w:val="111111"/>
          <w:sz w:val="28"/>
          <w:sz w:val="28"/>
          <w:szCs w:val="28"/>
          <w:rtl w:val="true"/>
          <w:lang w:bidi="fa-IR"/>
        </w:rPr>
        <w:t> وابنتها للمولود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تزویج ضُرّةٍ کانت لاُمّه مع غیر أبیه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یتزوّج اُخت أخیه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المتولّدة من الزنا</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284" w:name="pg13286_153813"/>
    </w:p>
    <w:p>
      <w:pPr>
        <w:pStyle w:val="BookText"/>
        <w:rPr/>
      </w:pPr>
      <w:bookmarkEnd w:id="284"/>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معلِنةً لا یجوز تزویجها إلّا مع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الحمقاء، أو العجوزة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تزویج سَیِّئ الخلق، والمُخنَّث، والزِنج، والأکراد</w:t>
      </w:r>
      <w:r>
        <w:rPr>
          <w:rStyle w:val="FootnoteAnchor"/>
          <w:rtl w:val="true"/>
        </w:rPr>
        <w:footnoteReference w:id="601"/>
      </w:r>
      <w:r>
        <w:rPr>
          <w:rFonts w:ascii="Amiri" w:hAnsi="Amiri" w:eastAsia="Amiri" w:cs="Amiri"/>
          <w:color w:val="111111"/>
          <w:sz w:val="28"/>
          <w:sz w:val="28"/>
          <w:szCs w:val="28"/>
          <w:rtl w:val="true"/>
          <w:lang w:bidi="ar-SA"/>
        </w:rPr>
        <w:t>، والخَزَر، والأعرابیّ</w:t>
      </w:r>
      <w:r>
        <w:rPr>
          <w:rStyle w:val="FootnoteAnchor"/>
          <w:rtl w:val="true"/>
        </w:rPr>
        <w:footnoteReference w:id="602"/>
      </w:r>
      <w:r>
        <w:rPr>
          <w:rFonts w:ascii="IRNazanin" w:hAnsi="IRNazanin" w:eastAsia="IRNazanin"/>
          <w:color w:val="111111"/>
          <w:sz w:val="28"/>
          <w:sz w:val="28"/>
          <w:szCs w:val="28"/>
          <w:rtl w:val="true"/>
          <w:lang w:bidi="fa-IR"/>
        </w:rPr>
        <w:t>، والفاسق، وشارب الخمر</w:t>
      </w:r>
      <w:r>
        <w:rPr>
          <w:rFonts w:eastAsia="IRNazanin" w:cs="IRNazanin"/>
          <w:color w:val="111111"/>
          <w:sz w:val="28"/>
          <w:szCs w:val="28"/>
          <w:rtl w:val="true"/>
          <w:lang w:bidi="fa-IR"/>
        </w:rPr>
        <w:t>.</w:t>
      </w:r>
    </w:p>
    <w:p>
      <w:pPr>
        <w:pStyle w:val="Heading4"/>
        <w:numPr>
          <w:ilvl w:val="3"/>
          <w:numId w:val="1"/>
        </w:numPr>
        <w:rPr/>
      </w:pPr>
      <w:bookmarkStart w:id="285" w:name="__RefHeading___Toc2138614_2322387425"/>
      <w:bookmarkStart w:id="286" w:name="_Toc100"/>
      <w:bookmarkEnd w:id="285"/>
      <w:r>
        <w:rPr>
          <w:rtl w:val="true"/>
        </w:rPr>
        <w:t>مستحبّات الدخول علی الزوجة</w:t>
      </w:r>
      <w:bookmarkEnd w:id="286"/>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مستحبّات الدخول</w:t>
      </w:r>
      <w:r>
        <w:rPr>
          <w:rStyle w:val="FootnoteAnchor"/>
          <w:rtl w:val="true"/>
        </w:rPr>
        <w:footnoteReference w:id="603"/>
      </w:r>
      <w:r>
        <w:rPr>
          <w:rFonts w:ascii="IRNazanin" w:hAnsi="IRNazanin" w:eastAsia="IRNazanin"/>
          <w:color w:val="111111"/>
          <w:sz w:val="28"/>
          <w:sz w:val="28"/>
          <w:szCs w:val="28"/>
          <w:rtl w:val="true"/>
          <w:lang w:bidi="fa-IR"/>
        </w:rPr>
        <w:t xml:space="preserve"> علی الزوجة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w:t>
      </w:r>
      <w:r>
        <w:rPr>
          <w:rStyle w:val="FootnoteAnchor"/>
          <w:rtl w:val="true"/>
        </w:rPr>
        <w:footnoteReference w:id="604"/>
      </w:r>
      <w:r>
        <w:rPr>
          <w:rFonts w:ascii="IRNazanin" w:hAnsi="IRNazanin" w:eastAsia="IRNazanin"/>
          <w:color w:val="111111"/>
          <w:sz w:val="28"/>
          <w:sz w:val="28"/>
          <w:szCs w:val="28"/>
          <w:rtl w:val="true"/>
          <w:lang w:bidi="fa-IR"/>
        </w:rPr>
        <w:t> قبله أو بعده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لیلاً؛ لأنّه أوفق بالسَتر والحیاء، ولقوله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زُفّوا عرائِسَکم لیلاً، وأطعِمُوا ضُحیً</w:t>
      </w:r>
      <w:r>
        <w:rPr>
          <w:rFonts w:eastAsia="Amiri" w:cs="Amiri" w:ascii="Amiri" w:hAnsi="Amiri"/>
          <w:color w:val="111111"/>
          <w:sz w:val="28"/>
          <w:szCs w:val="28"/>
          <w:rtl w:val="true"/>
          <w:lang w:bidi="ar-SA"/>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استحباب الستر المکانی أیضاً</w:t>
      </w:r>
      <w:r>
        <w:rPr>
          <w:rFonts w:eastAsia="IRNazanin" w:cs="IRNazanin"/>
          <w:color w:val="111111"/>
          <w:sz w:val="28"/>
          <w:szCs w:val="28"/>
          <w:rtl w:val="true"/>
          <w:lang w:bidi="fa-IR"/>
        </w:rPr>
        <w:t xml:space="preserve">. </w:t>
      </w:r>
      <w:bookmarkStart w:id="287" w:name="pg13286_153814"/>
    </w:p>
    <w:p>
      <w:pPr>
        <w:pStyle w:val="BookText"/>
        <w:rPr/>
      </w:pPr>
      <w:bookmarkEnd w:id="28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رکعتین، والدعاء بعد الصلاة ـ بعد الحمد والصلاة علیمحمّدٍ وآله ـ بالاُلفة وحسن الاجتماع بینهما، والأولی المأثور،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اُلفتها وودّها ورضاها بی، وأرضنی بها، واجمع بیننا بأحسن اجتماع وأنفس ائتلاف، فإنّک تحبّ الحلال وتکره الحرام</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بالوضوء والصلاة، أو أمر من یأمرها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کان معها بالتأمین علی دعائه ودعائها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یده علی ناصیتها مستقبل القبلة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بأمانتک أخذتها، وبکلماتک استحللتُها، فإن قضیتَ لی منها ولداً فاجعله مبارکاً تقیّاً من شیعة آل محمّد صلی الله علیه و آله ، ولا تجعل للشیطان فیه شِرکاً ولا نصیباً</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تزوَّجتها، وفی أمانتک أخذتها، وبکلماتک استحللت فرجها، فإن قضیت فی رحمها شیئاً فاجعله مُسلِماً سویّاً، ولا تجعله شِرکَ شیطان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ویکره الدخول لیلة الأربعاء</w:t>
      </w:r>
      <w:r>
        <w:rPr>
          <w:rFonts w:eastAsia="IRNazanin" w:cs="IRNazanin"/>
          <w:color w:val="111111"/>
          <w:sz w:val="28"/>
          <w:szCs w:val="28"/>
          <w:rtl w:val="true"/>
          <w:lang w:bidi="fa-IR"/>
        </w:rPr>
        <w:t>.</w:t>
      </w:r>
    </w:p>
    <w:p>
      <w:pPr>
        <w:pStyle w:val="Heading4"/>
        <w:numPr>
          <w:ilvl w:val="3"/>
          <w:numId w:val="1"/>
        </w:numPr>
        <w:rPr/>
      </w:pPr>
      <w:bookmarkStart w:id="288" w:name="__RefHeading___Toc2138616_2322387425"/>
      <w:bookmarkStart w:id="289" w:name="_Toc101"/>
      <w:bookmarkEnd w:id="288"/>
      <w:r>
        <w:rPr>
          <w:rtl w:val="true"/>
        </w:rPr>
        <w:t>أکل ما ینثر فی الأعراس</w:t>
      </w:r>
      <w:bookmarkEnd w:id="2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أکل ما یُنثَر فی الأعراس مع الإذن ولو بشاهد الحال، </w:t>
      </w:r>
    </w:p>
    <w:p>
      <w:pPr>
        <w:pStyle w:val="BookText"/>
        <w:rPr/>
      </w:pPr>
      <w:r>
        <w:rPr>
          <w:rFonts w:ascii="IRNazanin" w:hAnsi="IRNazanin" w:eastAsia="IRNazanin"/>
          <w:color w:val="111111"/>
          <w:sz w:val="28"/>
          <w:sz w:val="28"/>
          <w:szCs w:val="28"/>
          <w:rtl w:val="true"/>
          <w:lang w:bidi="fa-IR"/>
        </w:rPr>
        <w:t>إن کان عامّاً فللعموم، وإن کان خاصّاً فللمخصوصین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w:t>
      </w:r>
      <w:r>
        <w:rPr>
          <w:rStyle w:val="FootnoteAnchor"/>
          <w:rtl w:val="true"/>
        </w:rPr>
        <w:footnoteReference w:id="609"/>
      </w:r>
      <w:r>
        <w:rPr>
          <w:rFonts w:ascii="IRNazanin" w:hAnsi="IRNazanin" w:eastAsia="IRNazanin"/>
          <w:color w:val="111111"/>
          <w:sz w:val="28"/>
          <w:sz w:val="28"/>
          <w:szCs w:val="28"/>
          <w:rtl w:val="true"/>
          <w:lang w:bidi="fa-IR"/>
        </w:rPr>
        <w:t> تملّکه مع الإذن فیه</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بشاهد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شاهد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الإذن فی التملّک لیس من المملکات شرعاً، فلا اعتبار به إلّا أن یرجع إلی نحوٍمن التملیک، أو إلی الإعراض، کما هو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بعد الإعراض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کون الإعراض عن الشیء مُخرِجاً له من الملک، کما لا یبعد؛وعلیه فیصحّ التملّک للعموم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التملّک بمجرّد الإعراض بلا إذنٍ فیه، وکذا عدم جواز الرجوع علی فرض صحّةالتملّک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فیُملَک، ولیس لمالکه الرجوع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عینه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لهما</w:t>
      </w:r>
      <w:bookmarkStart w:id="290" w:name="pg13286_153816"/>
    </w:p>
    <w:p>
      <w:pPr>
        <w:pStyle w:val="BookText"/>
        <w:rPr/>
      </w:pPr>
      <w:bookmarkEnd w:id="290"/>
      <w:r>
        <w:rPr>
          <w:rFonts w:ascii="IRNazanin" w:hAnsi="IRNazanin" w:eastAsia="IRNazanin"/>
          <w:color w:val="111111"/>
          <w:sz w:val="28"/>
          <w:sz w:val="28"/>
          <w:szCs w:val="28"/>
          <w:rtl w:val="true"/>
          <w:lang w:bidi="fa-IR"/>
        </w:rPr>
        <w:t>مراعاة الاحتیاط</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2138618_2322387425"/>
      <w:bookmarkStart w:id="292" w:name="_Toc102"/>
      <w:bookmarkEnd w:id="291"/>
      <w:r>
        <w:rPr>
          <w:rtl w:val="true"/>
        </w:rPr>
        <w:t>مستحبّات ومکروهات الجماع</w:t>
      </w:r>
      <w:bookmarkEnd w:id="292"/>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عند الجماع الوضوء، والاستعاذة، والتسمیة، وطلب الولد الصالح السویّ، والدعاء بالمأثور،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اللهمَّ جنّبنی الشیطان، وجنّب الشیطان ما رزقتنی</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بأمانتک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 السابق،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الّذی لا إله إلّا هو، بدیعُ السماوات والأرض، اللهمّ إن قضیتَ منّی فی هذه اللیلة خلیفةً فلا تجعل للشیطان فیه شرکاً ولا نصیباً ولا حظّاً، واجعله مومناً مخلِصاً مصفّیً من الشیطان ورجزه، جلَّ ثناوک</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یکون فی مکانٍ مستور</w:t>
      </w:r>
      <w:r>
        <w:rPr>
          <w:rFonts w:eastAsia="IRNazanin" w:cs="IRNazanin"/>
          <w:color w:val="111111"/>
          <w:sz w:val="28"/>
          <w:szCs w:val="28"/>
          <w:rtl w:val="true"/>
          <w:lang w:bidi="fa-IR"/>
        </w:rPr>
        <w:t>.</w:t>
      </w:r>
    </w:p>
    <w:p>
      <w:pPr>
        <w:pStyle w:val="Heading4"/>
        <w:numPr>
          <w:ilvl w:val="3"/>
          <w:numId w:val="1"/>
        </w:numPr>
        <w:rPr/>
      </w:pPr>
      <w:bookmarkStart w:id="293" w:name="__RefHeading___Toc2138620_2322387425"/>
      <w:bookmarkStart w:id="294" w:name="_Toc103"/>
      <w:bookmarkEnd w:id="293"/>
      <w:r>
        <w:rPr>
          <w:rtl w:val="true"/>
        </w:rPr>
        <w:t>أوقات کراهة الجماع</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یُکرَه</w:t>
      </w:r>
      <w:r>
        <w:rPr>
          <w:rStyle w:val="FootnoteAnchor"/>
          <w:rtl w:val="true"/>
        </w:rPr>
        <w:footnoteReference w:id="614"/>
      </w:r>
      <w:r>
        <w:rPr>
          <w:rFonts w:ascii="IRNazanin" w:hAnsi="IRNazanin" w:eastAsia="IRNazanin"/>
          <w:color w:val="111111"/>
          <w:sz w:val="28"/>
          <w:sz w:val="28"/>
          <w:szCs w:val="28"/>
          <w:rtl w:val="true"/>
          <w:lang w:bidi="fa-IR"/>
        </w:rPr>
        <w:t>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خسوف القمر، ویوم کسوف الشمس،  </w:t>
      </w:r>
    </w:p>
    <w:p>
      <w:pPr>
        <w:pStyle w:val="BookText"/>
        <w:rPr/>
      </w:pPr>
      <w:r>
        <w:rPr>
          <w:rFonts w:ascii="IRNazanin" w:hAnsi="IRNazanin" w:eastAsia="IRNazanin"/>
          <w:color w:val="111111"/>
          <w:sz w:val="28"/>
          <w:sz w:val="28"/>
          <w:szCs w:val="28"/>
          <w:rtl w:val="true"/>
          <w:lang w:bidi="fa-IR"/>
        </w:rPr>
        <w:t>وفی اللیلة والیوم اللذَین یکون فیهما الریح السوداء والصفراء والحمراء، والیوم الّذی فیه الزلزلة، بل فی کلّ یومٍ أو لیلةٍ حَدَثَ فیه آیة مخوفة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یُکره عند الزوال، وعند غروب الشمس حتّی یذهب الشَفَق، وفی </w:t>
      </w:r>
      <w:bookmarkStart w:id="295" w:name="pg13286_153817"/>
    </w:p>
    <w:p>
      <w:pPr>
        <w:pStyle w:val="BookText"/>
        <w:rPr/>
      </w:pPr>
      <w:bookmarkEnd w:id="295"/>
      <w:r>
        <w:rPr>
          <w:rFonts w:ascii="IRNazanin" w:hAnsi="IRNazanin" w:eastAsia="IRNazanin"/>
          <w:color w:val="111111"/>
          <w:sz w:val="28"/>
          <w:sz w:val="28"/>
          <w:szCs w:val="28"/>
          <w:rtl w:val="true"/>
          <w:lang w:bidi="fa-IR"/>
        </w:rPr>
        <w:t>المَحاق، وبعد طلوع الفجر إلی طلوع الشمس، وفی أوّل لیلةٍ من کلّ شهر، إلّا فی اللیلة الاُولی من شهر رمضان فإنّه یُستحبّ فیها، وفی النصف من کلّ شهر، وفی السفر إذا لم یکن عنده الماء للاغتسال، وبین الأذان والإقامة، وفی لیلة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فی السفینة، ومستقبِل القبلة ومستدبِرها، وعلی ظهر الطریق، والجماع وهو عُریان، وعقیب الاحتلام قبل الغُسل أو الوضوء</w:t>
      </w:r>
      <w:r>
        <w:rPr>
          <w:rStyle w:val="FootnoteAnchor"/>
          <w:rtl w:val="true"/>
        </w:rPr>
        <w:footnoteReference w:id="615"/>
      </w:r>
      <w:r>
        <w:rPr>
          <w:rFonts w:ascii="IRNazanin" w:hAnsi="IRNazanin" w:eastAsia="IRNazanin"/>
          <w:color w:val="111111"/>
          <w:sz w:val="28"/>
          <w:sz w:val="28"/>
          <w:szCs w:val="28"/>
          <w:rtl w:val="true"/>
          <w:lang w:bidi="fa-IR"/>
        </w:rPr>
        <w:t>، والجماع  </w:t>
      </w:r>
    </w:p>
    <w:p>
      <w:pPr>
        <w:pStyle w:val="BookText"/>
        <w:rPr/>
      </w:pPr>
      <w:r>
        <w:rPr>
          <w:rFonts w:ascii="IRNazanin" w:hAnsi="IRNazanin" w:eastAsia="IRNazanin"/>
          <w:color w:val="111111"/>
          <w:sz w:val="28"/>
          <w:sz w:val="28"/>
          <w:szCs w:val="28"/>
          <w:rtl w:val="true"/>
          <w:lang w:bidi="fa-IR"/>
        </w:rPr>
        <w:t>وهو مختضِب أو هی مختضِبة، وعلی الامتلاء، والجماع قائماً، وتحت الشجرة المثمِرة، وعلی سُقُوف البُنیان، وفی وجه الشمس إلّا مع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أن یجامع وعنده مَن ینظر إلیه ولو الصبیّ الغیر الممیّز، وأن ینظر إلی فرج الامرأة حال الجماع، والکلام عند الجماع إلّا بذکر الله تعالی، وأن یکون معه خاتم فیه ذکر الله أو شیء من القرآن</w:t>
      </w:r>
      <w:r>
        <w:rPr>
          <w:rFonts w:eastAsia="IRNazanin" w:cs="IRNazanin"/>
          <w:color w:val="111111"/>
          <w:sz w:val="28"/>
          <w:szCs w:val="28"/>
          <w:rtl w:val="true"/>
          <w:lang w:bidi="fa-IR"/>
        </w:rPr>
        <w:t>.</w:t>
      </w:r>
    </w:p>
    <w:p>
      <w:pPr>
        <w:pStyle w:val="Heading4"/>
        <w:numPr>
          <w:ilvl w:val="3"/>
          <w:numId w:val="1"/>
        </w:numPr>
        <w:rPr/>
      </w:pPr>
      <w:bookmarkStart w:id="296" w:name="__RefHeading___Toc2138622_2322387425"/>
      <w:bookmarkStart w:id="297" w:name="_Toc104"/>
      <w:bookmarkEnd w:id="296"/>
      <w:r>
        <w:rPr>
          <w:rtl w:val="true"/>
        </w:rPr>
        <w:t>جملة من سنن النکاح وآدابه</w:t>
      </w:r>
      <w:bookmarkEnd w:id="297"/>
    </w:p>
    <w:p>
      <w:pPr>
        <w:pStyle w:val="BookText"/>
        <w:rPr/>
      </w:pPr>
      <w:r>
        <w:rPr>
          <w:rFonts w:ascii="IRNazanin" w:hAnsi="IRNazanin" w:eastAsia="IRNazanin"/>
          <w:color w:val="111111"/>
          <w:sz w:val="28"/>
          <w:sz w:val="28"/>
          <w:szCs w:val="28"/>
          <w:rtl w:val="true"/>
          <w:lang w:bidi="fa-IR"/>
        </w:rPr>
        <w:t>ویُستحبّ الجماع لیلة الاثنین والثلاثاء والخمیس والجمعة، ویوم الخمیس عند الزوال</w:t>
      </w:r>
      <w:r>
        <w:rPr>
          <w:rStyle w:val="FootnoteAnchor"/>
          <w:rtl w:val="true"/>
        </w:rPr>
        <w:footnoteReference w:id="616"/>
      </w:r>
      <w:r>
        <w:rPr>
          <w:rFonts w:ascii="IRNazanin" w:hAnsi="IRNazanin" w:eastAsia="IRNazanin"/>
          <w:color w:val="111111"/>
          <w:sz w:val="28"/>
          <w:sz w:val="28"/>
          <w:szCs w:val="28"/>
          <w:rtl w:val="true"/>
          <w:lang w:bidi="fa-IR"/>
        </w:rPr>
        <w:t>، ویوم الجمعة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عند مَیلِ الزوجة</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یُکره للمسافر أن یَطرُقَ أهله لیلاً</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الإعلام بذلک، أو الاطّلاع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السعی فی التزویج والشفاعة فیه بإرضاء الطرَفَین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تعجیل تزویج البنت وتحصینها بالزوج عند بلوغها، فعن أبی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أن لا تَطمُثَ ابنته فی بیته</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حبس المرأة</w:t>
      </w:r>
      <w:r>
        <w:rPr>
          <w:rStyle w:val="FootnoteAnchor"/>
          <w:rtl w:val="true"/>
        </w:rPr>
        <w:footnoteReference w:id="619"/>
      </w:r>
      <w:r>
        <w:rPr>
          <w:rFonts w:ascii="IRNazanin" w:hAnsi="IRNazanin" w:eastAsia="IRNazanin"/>
          <w:color w:val="111111"/>
          <w:sz w:val="28"/>
          <w:sz w:val="28"/>
          <w:szCs w:val="28"/>
          <w:rtl w:val="true"/>
          <w:lang w:bidi="fa-IR"/>
        </w:rPr>
        <w:t> فی البیت فلا تخرج إلّا لضرورة،  </w:t>
      </w:r>
    </w:p>
    <w:p>
      <w:pPr>
        <w:pStyle w:val="BookText"/>
        <w:rPr/>
      </w:pPr>
      <w:r>
        <w:rPr>
          <w:rFonts w:ascii="IRNazanin" w:hAnsi="IRNazanin" w:eastAsia="IRNazanin"/>
          <w:color w:val="111111"/>
          <w:sz w:val="28"/>
          <w:sz w:val="28"/>
          <w:szCs w:val="28"/>
          <w:rtl w:val="true"/>
          <w:lang w:bidi="fa-IR"/>
        </w:rPr>
        <w:t>ولا یدخل علیها أحد من الرجال</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تزویج الصغار قبل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تخفیف موونة التزویج وتقلیل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ملاعبة الزوجة قبل المواقعة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للرجل تقبیل أیّ جزءٍ من جسد زوجته، ومسّ أیّ جزءٍ من بدنه ببدنها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اللبث وترک التعجیل عند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المجامعة تحت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إکثار الصوم، وتوفیر الشعر لمن لا یقدر علی التزویج مع مَیله وعدم طَوله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خلع خفّ العَروس إذا دخلت البیت، وغسل رجلیها، وصبّ الماء من باب الدار، إلی آخرها</w:t>
      </w:r>
      <w:r>
        <w:rPr>
          <w:rFonts w:eastAsia="IRNazanin" w:cs="IRNazanin"/>
          <w:color w:val="111111"/>
          <w:sz w:val="28"/>
          <w:szCs w:val="28"/>
          <w:rtl w:val="true"/>
          <w:lang w:bidi="fa-IR"/>
        </w:rPr>
        <w:t xml:space="preserve">. </w:t>
      </w:r>
      <w:bookmarkStart w:id="298" w:name="pg13286_153819"/>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یُستحبّ</w:t>
      </w:r>
      <w:r>
        <w:rPr>
          <w:rStyle w:val="FootnoteAnchor"/>
          <w:rtl w:val="true"/>
        </w:rPr>
        <w:footnoteReference w:id="621"/>
      </w:r>
      <w:r>
        <w:rPr>
          <w:rFonts w:ascii="IRNazanin" w:hAnsi="IRNazanin" w:eastAsia="IRNazanin"/>
          <w:color w:val="111111"/>
          <w:sz w:val="28"/>
          <w:sz w:val="28"/>
          <w:szCs w:val="28"/>
          <w:rtl w:val="true"/>
          <w:lang w:bidi="fa-IR"/>
        </w:rPr>
        <w:t> منع</w:t>
      </w:r>
      <w:r>
        <w:rPr>
          <w:rStyle w:val="FootnoteAnchor"/>
          <w:rtl w:val="true"/>
        </w:rPr>
        <w:footnoteReference w:id="622"/>
      </w:r>
      <w:r>
        <w:rPr>
          <w:rFonts w:ascii="Amiri" w:hAnsi="Amiri" w:eastAsia="Amiri" w:cs="Amiri"/>
          <w:color w:val="111111"/>
          <w:sz w:val="28"/>
          <w:sz w:val="28"/>
          <w:szCs w:val="28"/>
          <w:rtl w:val="true"/>
          <w:lang w:bidi="ar-SA"/>
        </w:rPr>
        <w:t> العَروس</w:t>
      </w:r>
      <w:r>
        <w:rPr>
          <w:rStyle w:val="FootnoteAnchor"/>
          <w:rtl w:val="true"/>
        </w:rPr>
        <w:footnoteReference w:id="623"/>
      </w:r>
      <w:r>
        <w:rPr>
          <w:rFonts w:ascii="Amiri" w:hAnsi="Amiri" w:eastAsia="Amiri" w:cs="Amiri"/>
          <w:color w:val="111111"/>
          <w:sz w:val="28"/>
          <w:sz w:val="28"/>
          <w:szCs w:val="28"/>
          <w:rtl w:val="true"/>
          <w:lang w:bidi="ar-SA"/>
        </w:rPr>
        <w:t> فی اُسبوع العرس من الألبان والخَلّ والکَزبرة والتُفّاح الحامض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اتّحاد خرقة الزوج والزوجة عند الفراغ من الجماع</w:t>
      </w:r>
      <w:r>
        <w:rPr>
          <w:rFonts w:eastAsia="IRNazanin" w:cs="IRNazanin"/>
          <w:color w:val="111111"/>
          <w:sz w:val="28"/>
          <w:szCs w:val="28"/>
          <w:rtl w:val="true"/>
          <w:lang w:bidi="fa-IR"/>
        </w:rPr>
        <w:t>.</w:t>
      </w:r>
    </w:p>
    <w:p>
      <w:pPr>
        <w:pStyle w:val="Heading4"/>
        <w:numPr>
          <w:ilvl w:val="3"/>
          <w:numId w:val="1"/>
        </w:numPr>
        <w:rPr/>
      </w:pPr>
      <w:bookmarkStart w:id="299" w:name="__RefHeading___Toc2138624_2322387425"/>
      <w:bookmarkStart w:id="300" w:name="_Toc105"/>
      <w:bookmarkEnd w:id="299"/>
      <w:r>
        <w:rPr>
          <w:rtl w:val="true"/>
        </w:rPr>
        <w:t>النظر إلی المرأة لمن یرید تزویجها</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یرید تزویج امرأةٍ</w:t>
      </w:r>
      <w:r>
        <w:rPr>
          <w:rStyle w:val="FootnoteAnchor"/>
          <w:rtl w:val="true"/>
        </w:rPr>
        <w:footnoteReference w:id="624"/>
      </w:r>
      <w:r>
        <w:rPr>
          <w:rFonts w:ascii="IRNazanin" w:hAnsi="IRNazanin" w:eastAsia="IRNazanin"/>
          <w:color w:val="111111"/>
          <w:sz w:val="28"/>
          <w:sz w:val="28"/>
          <w:szCs w:val="28"/>
          <w:rtl w:val="true"/>
          <w:lang w:bidi="fa-IR"/>
        </w:rPr>
        <w:t> أن ینظر إلی وجهها وکفیّها</w:t>
      </w:r>
    </w:p>
    <w:p>
      <w:pPr>
        <w:pStyle w:val="BookText"/>
        <w:rPr/>
      </w:pPr>
      <w:r>
        <w:rPr>
          <w:rFonts w:ascii="IRNazanin" w:hAnsi="IRNazanin" w:eastAsia="IRNazanin"/>
          <w:color w:val="111111"/>
          <w:sz w:val="28"/>
          <w:sz w:val="28"/>
          <w:szCs w:val="28"/>
          <w:rtl w:val="true"/>
          <w:lang w:bidi="fa-IR"/>
        </w:rPr>
        <w:t>وشعرها</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الاقتصار علی الوجه والکفّین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ومحاسنها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اختصاص جواز النظر بالوجه والیدین، بما فیهما المِعصَم والشَعَروالساقَین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النظر إلی سائر جسدها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محیص للفقیه الّذی کشف الله تعالی عن بصیرته عن القولبجواز النظر إلی جمیع جسدها، وهو 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ماعدا عورتها، وإن کان الأحوط خلافه</w:t>
      </w:r>
      <w:r>
        <w:rPr>
          <w:rStyle w:val="FootnoteAnchor"/>
          <w:rtl w:val="true"/>
        </w:rPr>
        <w:footnoteReference w:id="6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لعدم تمامیّة المستند فی قبال عمومات حرمة النظر إلی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 أحادیث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 الإصطهباناتی، 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أن یکون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بإذنها ورضاها، نعم، یشترط</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 یشترط أیضاً خُلُوّ المرأة عن المانع، فلا یجوز النظر إلی المرأة ذات البَعلوالمعتدّة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بقصد التلذّذ وإن علم أنّه یحصل بنظرها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تکرار النظر إذا لم یحصل الغرض، وهو الاطّلاع علی حالها بالنظر الأوّل، ویشترط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مسبوقاً بحالها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یحتمل اختیارها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فلا یجوز</w:t>
      </w:r>
      <w:r>
        <w:rPr>
          <w:rFonts w:eastAsia="IRNazanin" w:cs="IRNazanin"/>
          <w:color w:val="111111"/>
          <w:sz w:val="28"/>
          <w:szCs w:val="28"/>
          <w:rtl w:val="true"/>
          <w:lang w:bidi="fa-IR"/>
        </w:rPr>
        <w:t>.</w:t>
      </w:r>
      <w:bookmarkStart w:id="301" w:name="pg13286_153821"/>
    </w:p>
    <w:p>
      <w:pPr>
        <w:pStyle w:val="BookText"/>
        <w:rPr/>
      </w:pPr>
      <w:bookmarkEnd w:id="301"/>
      <w:r>
        <w:rPr>
          <w:rFonts w:ascii="IRNazanin" w:hAnsi="IRNazanin" w:eastAsia="IRNazanin"/>
          <w:color w:val="111111"/>
          <w:sz w:val="28"/>
          <w:sz w:val="28"/>
          <w:szCs w:val="28"/>
          <w:rtl w:val="true"/>
          <w:lang w:bidi="fa-IR"/>
        </w:rPr>
        <w:t>ولا فرق بین أن یکون قاصداً لتزویجها</w:t>
      </w:r>
      <w:r>
        <w:rPr>
          <w:rStyle w:val="FootnoteAnchor"/>
          <w:rtl w:val="true"/>
        </w:rPr>
        <w:footnoteReference w:id="628"/>
      </w:r>
      <w:r>
        <w:rPr>
          <w:rFonts w:ascii="IRNazanin" w:hAnsi="IRNazanin" w:eastAsia="IRNazanin"/>
          <w:color w:val="111111"/>
          <w:sz w:val="28"/>
          <w:sz w:val="28"/>
          <w:szCs w:val="28"/>
          <w:rtl w:val="true"/>
          <w:lang w:bidi="fa-IR"/>
        </w:rPr>
        <w:t> بالخصوص، أو کان قاصداً</w:t>
      </w:r>
    </w:p>
    <w:p>
      <w:pPr>
        <w:pStyle w:val="BookText"/>
        <w:rPr/>
      </w:pPr>
      <w:r>
        <w:rPr>
          <w:rFonts w:ascii="IRNazanin" w:hAnsi="IRNazanin" w:eastAsia="IRNazanin"/>
          <w:color w:val="111111"/>
          <w:sz w:val="28"/>
          <w:sz w:val="28"/>
          <w:szCs w:val="28"/>
          <w:rtl w:val="true"/>
          <w:lang w:bidi="fa-IR"/>
        </w:rPr>
        <w:t>لمطلق التزویج، وکان بصدد تعیین الزوجة بهذا الاختبار</w:t>
      </w:r>
      <w:r>
        <w:rPr>
          <w:rStyle w:val="FootnoteAnchor"/>
          <w:rtl w:val="true"/>
        </w:rPr>
        <w:footnoteReference w:id="629"/>
      </w: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630"/>
      </w:r>
      <w:r>
        <w:rPr>
          <w:rFonts w:ascii="IRNazanin" w:hAnsi="IRNazanin" w:eastAsia="IRNazanin"/>
          <w:color w:val="111111"/>
          <w:sz w:val="28"/>
          <w:sz w:val="28"/>
          <w:szCs w:val="28"/>
          <w:rtl w:val="true"/>
          <w:lang w:bidi="fa-IR"/>
        </w:rPr>
        <w:t> الاقتصار</w:t>
      </w:r>
      <w:r>
        <w:rPr>
          <w:rStyle w:val="FootnoteAnchor"/>
          <w:rtl w:val="true"/>
        </w:rPr>
        <w:footnoteReference w:id="6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لأنّ الإذن ورد فی الروایات بالنسبة إلی الّتی أرادتزویجها، لا الّتی إذا اختارها یتزوّجها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لا فرق بین أن یمکن المعرفة بحالها بوجهٍ آخر من توکیل امرأةٍ تنظر إلیها وتُخبِره أو لا؟ وإن کان الأحوط الاقتصار</w:t>
      </w:r>
      <w:r>
        <w:rPr>
          <w:rStyle w:val="FootnoteAnchor"/>
          <w:rtl w:val="true"/>
        </w:rPr>
        <w:footnoteReference w:id="632"/>
      </w:r>
      <w:r>
        <w:rPr>
          <w:rFonts w:ascii="IRNazanin" w:hAnsi="IRNazanin" w:eastAsia="IRNazanin"/>
          <w:color w:val="111111"/>
          <w:sz w:val="28"/>
          <w:sz w:val="28"/>
          <w:szCs w:val="28"/>
          <w:rtl w:val="true"/>
          <w:lang w:bidi="fa-IR"/>
        </w:rPr>
        <w:t> علی الثانی</w:t>
      </w:r>
      <w:r>
        <w:rPr>
          <w:rFonts w:eastAsia="IRNazanin" w:cs="IRNazanin"/>
          <w:color w:val="111111"/>
          <w:sz w:val="28"/>
          <w:szCs w:val="28"/>
          <w:rtl w:val="true"/>
          <w:lang w:bidi="fa-IR"/>
        </w:rPr>
        <w:t>.</w:t>
      </w:r>
    </w:p>
    <w:p>
      <w:pPr>
        <w:pStyle w:val="Heading4"/>
        <w:numPr>
          <w:ilvl w:val="3"/>
          <w:numId w:val="1"/>
        </w:numPr>
        <w:rPr/>
      </w:pPr>
      <w:bookmarkStart w:id="302" w:name="__RefHeading___Toc2138626_2322387425"/>
      <w:bookmarkStart w:id="303" w:name="_Toc106"/>
      <w:bookmarkEnd w:id="302"/>
      <w:r>
        <w:rPr>
          <w:rtl w:val="true"/>
        </w:rPr>
        <w:t>نظر المرأة إلی الرجل الّذی یرید تزویجها</w:t>
      </w:r>
      <w:bookmarkEnd w:id="30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جواز نظر</w:t>
      </w:r>
      <w:r>
        <w:rPr>
          <w:rStyle w:val="FootnoteAnchor"/>
          <w:rtl w:val="true"/>
        </w:rPr>
        <w:footnoteReference w:id="63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bookmarkStart w:id="304" w:name="pg13286_153822"/>
    </w:p>
    <w:p>
      <w:pPr>
        <w:pStyle w:val="BookText"/>
        <w:rPr/>
      </w:pPr>
      <w:bookmarkEnd w:id="304"/>
      <w:r>
        <w:rPr>
          <w:rFonts w:ascii="Amiri" w:hAnsi="Amiri" w:eastAsia="Amiri" w:cs="Amiri"/>
          <w:color w:val="111111"/>
          <w:sz w:val="28"/>
          <w:sz w:val="28"/>
          <w:szCs w:val="28"/>
          <w:rtl w:val="true"/>
          <w:lang w:bidi="ar-SA"/>
        </w:rPr>
        <w:t>المرأة</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موضع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الرجل الّذی یرید تزویجها، ولکن لا یُترک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یجوز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یجوز النظر إلی جاریةٍ یرید شراءَها وإن کان بغیر إذن سیّدها، والظاهر اختصاص ذلک بالمشتری لنفسه، فلا یشمل الوکیل</w:t>
      </w:r>
      <w:r>
        <w:rPr>
          <w:rStyle w:val="FootnoteAnchor"/>
          <w:rtl w:val="true"/>
        </w:rPr>
        <w:footnoteReference w:id="635"/>
      </w:r>
      <w:r>
        <w:rPr>
          <w:rFonts w:ascii="Amiri" w:hAnsi="Amiri" w:eastAsia="Amiri" w:cs="Amiri"/>
          <w:color w:val="111111"/>
          <w:sz w:val="28"/>
          <w:sz w:val="28"/>
          <w:szCs w:val="28"/>
          <w:rtl w:val="true"/>
          <w:lang w:bidi="ar-SA"/>
        </w:rPr>
        <w:t> والولیّ</w:t>
      </w:r>
    </w:p>
    <w:p>
      <w:pPr>
        <w:pStyle w:val="BookText"/>
        <w:rPr/>
      </w:pPr>
      <w:r>
        <w:rPr>
          <w:rFonts w:ascii="IRNazanin" w:hAnsi="IRNazanin" w:eastAsia="IRNazanin"/>
          <w:color w:val="111111"/>
          <w:sz w:val="28"/>
          <w:sz w:val="28"/>
          <w:szCs w:val="28"/>
          <w:rtl w:val="true"/>
          <w:lang w:bidi="fa-IR"/>
        </w:rPr>
        <w:t>والفضولیّ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الزوجة فالمقطوع هو الاختصاص</w:t>
      </w:r>
      <w:r>
        <w:rPr>
          <w:rFonts w:eastAsia="IRNazanin" w:cs="IRNazanin"/>
          <w:color w:val="111111"/>
          <w:sz w:val="28"/>
          <w:szCs w:val="28"/>
          <w:rtl w:val="true"/>
          <w:lang w:bidi="fa-IR"/>
        </w:rPr>
        <w:t>.</w:t>
      </w:r>
    </w:p>
    <w:p>
      <w:pPr>
        <w:pStyle w:val="Heading4"/>
        <w:numPr>
          <w:ilvl w:val="3"/>
          <w:numId w:val="1"/>
        </w:numPr>
        <w:rPr/>
      </w:pPr>
      <w:bookmarkStart w:id="305" w:name="__RefHeading___Toc2138628_2322387425"/>
      <w:bookmarkStart w:id="306" w:name="_Toc107"/>
      <w:bookmarkEnd w:id="305"/>
      <w:r>
        <w:rPr>
          <w:rtl w:val="true"/>
        </w:rPr>
        <w:t>النظر إلی نساء أهل الذمّة وسائر الکفّار</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النظر إلی نساء أهل الذمّة</w:t>
      </w:r>
      <w:r>
        <w:rPr>
          <w:rStyle w:val="FootnoteAnchor"/>
          <w:rtl w:val="true"/>
        </w:rPr>
        <w:footnoteReference w:id="636"/>
      </w:r>
      <w:r>
        <w:rPr>
          <w:rFonts w:ascii="IRNazanin" w:hAnsi="IRNazanin" w:eastAsia="IRNazanin"/>
          <w:color w:val="111111"/>
          <w:sz w:val="28"/>
          <w:sz w:val="28"/>
          <w:szCs w:val="28"/>
          <w:rtl w:val="true"/>
          <w:lang w:bidi="fa-IR"/>
        </w:rPr>
        <w:t>، بل مطلق الکفّار مع</w:t>
      </w:r>
      <w:r>
        <w:rPr>
          <w:rStyle w:val="FootnoteAnchor"/>
          <w:rtl w:val="true"/>
        </w:rPr>
        <w:footnoteReference w:id="637"/>
      </w:r>
      <w:r>
        <w:rPr>
          <w:rFonts w:ascii="IRNazanin" w:hAnsi="IRNazanin" w:eastAsia="IRNazanin"/>
          <w:color w:val="111111"/>
          <w:sz w:val="28"/>
          <w:sz w:val="28"/>
          <w:szCs w:val="28"/>
          <w:rtl w:val="true"/>
          <w:lang w:bidi="fa-IR"/>
        </w:rPr>
        <w:t> عدم التلذّذ والریبة</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وخوف الافتتان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خوف الوقوع فی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الاقتصار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علی المقدار الّذی جرت</w:t>
      </w:r>
      <w:r>
        <w:rPr>
          <w:rStyle w:val="FootnoteAnchor"/>
          <w:rtl w:val="true"/>
        </w:rPr>
        <w:footnoteReference w:id="639"/>
      </w:r>
      <w:r>
        <w:rPr>
          <w:rFonts w:ascii="Amiri" w:hAnsi="Amiri" w:eastAsia="Amiri" w:cs="Amiri"/>
          <w:color w:val="111111"/>
          <w:sz w:val="28"/>
          <w:sz w:val="28"/>
          <w:szCs w:val="28"/>
          <w:rtl w:val="true"/>
          <w:lang w:bidi="ar-SA"/>
        </w:rPr>
        <w:t> عادتهنّ</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زمان صدور النصوص إذا اُحرز، وفی صورة الشکّ لا یُترک الاحتیاط بالترک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والأحوط الاقتصار علی ما کانت عادتهنّ علی عدم سَتره فی زمان النبی صلی الله علیه و آله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ما استُحدِث فی زماننا من عدم سَتر المحاسن فالأحوط ترکالنظر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علی عادة ذوات العفّة والنجابة فی الأزمنة القدیمة، لا عادة المتبرّجاتمطلقاً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الزمان السابق ـ قبل هذا القرن ـ من مقدار الوجه والکفّین وبعض الذراعین،وبعض الشعر والقدَمَین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ستره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یلحق بهم نساء أهل البوادی والقُری من الأعراب وغیرهم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الأظهر جواز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الظاهر عدم حرمة التردّد فی الأسواق ونحوها مع العلم بوقوع</w:t>
      </w:r>
      <w:r>
        <w:rPr>
          <w:rStyle w:val="FootnoteAnchor"/>
          <w:rtl w:val="true"/>
        </w:rPr>
        <w:footnoteReference w:id="641"/>
      </w:r>
      <w:bookmarkStart w:id="307" w:name="pg13286_153824"/>
    </w:p>
    <w:p>
      <w:pPr>
        <w:pStyle w:val="BookText"/>
        <w:rPr/>
      </w:pPr>
      <w:bookmarkEnd w:id="307"/>
      <w:r>
        <w:rPr>
          <w:rFonts w:ascii="IRNazanin" w:hAnsi="IRNazanin" w:eastAsia="IRNazanin"/>
          <w:color w:val="111111"/>
          <w:sz w:val="28"/>
          <w:sz w:val="28"/>
          <w:szCs w:val="28"/>
          <w:rtl w:val="true"/>
          <w:lang w:bidi="fa-IR"/>
        </w:rPr>
        <w:t>النظر</w:t>
      </w:r>
      <w:r>
        <w:rPr>
          <w:rStyle w:val="FootnoteAnchor"/>
          <w:rtl w:val="true"/>
        </w:rPr>
        <w:footnoteReference w:id="642"/>
      </w:r>
      <w:r>
        <w:rPr>
          <w:rFonts w:ascii="Amiri" w:hAnsi="Amiri" w:eastAsia="Amiri" w:cs="Amiri"/>
          <w:color w:val="111111"/>
          <w:sz w:val="28"/>
          <w:sz w:val="28"/>
          <w:szCs w:val="28"/>
          <w:rtl w:val="true"/>
          <w:lang w:bidi="ar-SA"/>
        </w:rPr>
        <w:t>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یجب غضّ البصر</w:t>
      </w:r>
      <w:r>
        <w:rPr>
          <w:rStyle w:val="FootnoteAnchor"/>
          <w:rtl w:val="true"/>
        </w:rPr>
        <w:footnoteReference w:id="6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إذا کان عالماً بوقوع النظر علیهنّ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التعمّد فی مقدّمات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هناک خوف افتتان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138630_2322387425"/>
      <w:bookmarkStart w:id="309" w:name="_Toc108"/>
      <w:bookmarkEnd w:id="308"/>
      <w:r>
        <w:rPr>
          <w:rtl w:val="true"/>
        </w:rPr>
        <w:t>نظر کلّ من الرجل والمرأة لمماثله</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لکلٍّ من الرجل والمرأة النظر إلی ما عدا العورة من مماثله، شیخاً أو شابّاً، حسن الصورة أو قبیحها، ما لم یکن بتلذّذٍ أو ریبة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یکره کشف المسلمة بین یَدَی الیهودیّة والنصرانیّة، بل مطلق الکافرة</w:t>
      </w:r>
      <w:r>
        <w:rPr>
          <w:rStyle w:val="FootnoteAnchor"/>
          <w:rtl w:val="true"/>
        </w:rPr>
        <w:footnoteReference w:id="645"/>
      </w:r>
      <w:r>
        <w:rPr>
          <w:rFonts w:ascii="IRNazanin" w:hAnsi="IRNazanin" w:eastAsia="IRNazanin"/>
          <w:color w:val="111111"/>
          <w:sz w:val="28"/>
          <w:sz w:val="28"/>
          <w:szCs w:val="28"/>
          <w:rtl w:val="true"/>
          <w:lang w:bidi="fa-IR"/>
        </w:rPr>
        <w:t>، فإنّهنّ یصفن ذلک لأزواجهنّ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بالحرمة للایة، حیث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w:t>
      </w:r>
      <w:r>
        <w:rPr>
          <w:rStyle w:val="FootnoteAnchor"/>
          <w:rtl w:val="true"/>
        </w:rPr>
        <w:footnoteReference w:id="646"/>
      </w:r>
      <w:r>
        <w:rPr>
          <w:rFonts w:ascii="IRNazanin" w:hAnsi="IRNazanin" w:eastAsia="IRNazanin"/>
          <w:color w:val="111111"/>
          <w:sz w:val="28"/>
          <w:sz w:val="28"/>
          <w:szCs w:val="28"/>
          <w:rtl w:val="true"/>
          <w:lang w:bidi="fa-IR"/>
        </w:rPr>
        <w:t>، فخصّ بالمسلمات ضعیف؛ لاحتمال کون</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الاحتمال ضعیف جدّاً؛ إذ الظاهر أنّ المراد من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 بقرینة 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نسائهنّ الجواری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مطلق النساء أو الأرحام مثل العمّة والخالة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والخدم لهنّ من الحرائر</w:t>
      </w:r>
      <w:r>
        <w:rPr>
          <w:rFonts w:eastAsia="IRNazanin" w:cs="IRNazanin"/>
          <w:color w:val="111111"/>
          <w:sz w:val="28"/>
          <w:szCs w:val="28"/>
          <w:rtl w:val="true"/>
          <w:lang w:bidi="fa-IR"/>
        </w:rPr>
        <w:t>.</w:t>
      </w:r>
      <w:bookmarkStart w:id="310" w:name="pg13286_153825"/>
    </w:p>
    <w:p>
      <w:pPr>
        <w:pStyle w:val="Heading4"/>
        <w:numPr>
          <w:ilvl w:val="3"/>
          <w:numId w:val="1"/>
        </w:numPr>
        <w:rPr/>
      </w:pPr>
      <w:bookmarkStart w:id="311" w:name="__RefHeading___Toc2138632_2322387425"/>
      <w:bookmarkStart w:id="312" w:name="_Toc109"/>
      <w:bookmarkEnd w:id="310"/>
      <w:bookmarkEnd w:id="311"/>
      <w:r>
        <w:rPr>
          <w:rtl w:val="true"/>
        </w:rPr>
        <w:t>حلّیّة کلّ المرأة لزوجها والرجل لزوجته</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لکلٍّ من الزوج والزوجة النظر إلی جسد الآخر حتّی العورة، مع التلذُّذ وبدونه، بل یجوز لکلٍّ منهما مسّ الآخر</w:t>
      </w:r>
      <w:r>
        <w:rPr>
          <w:rStyle w:val="FootnoteAnchor"/>
          <w:rtl w:val="true"/>
        </w:rPr>
        <w:footnoteReference w:id="648"/>
      </w:r>
      <w:r>
        <w:rPr>
          <w:rFonts w:ascii="Amiri" w:hAnsi="Amiri" w:eastAsia="Amiri" w:cs="Amiri"/>
          <w:color w:val="111111"/>
          <w:sz w:val="28"/>
          <w:sz w:val="28"/>
          <w:szCs w:val="28"/>
          <w:rtl w:val="true"/>
          <w:lang w:bidi="ar-SA"/>
        </w:rPr>
        <w:t> بکلّ عضوٍ منه</w:t>
      </w:r>
    </w:p>
    <w:p>
      <w:pPr>
        <w:pStyle w:val="BookText"/>
        <w:rPr/>
      </w:pPr>
      <w:r>
        <w:rPr>
          <w:rFonts w:ascii="Amiri" w:hAnsi="Amiri" w:eastAsia="Amiri" w:cs="Amiri"/>
          <w:color w:val="111111"/>
          <w:sz w:val="28"/>
          <w:sz w:val="28"/>
          <w:szCs w:val="28"/>
          <w:rtl w:val="true"/>
          <w:lang w:bidi="ar-SA"/>
        </w:rPr>
        <w:t>کلّ عضوٍ من الآخر مع التلذّذ وبدونه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138634_2322387425"/>
      <w:bookmarkStart w:id="314" w:name="_Toc110"/>
      <w:bookmarkEnd w:id="313"/>
      <w:r>
        <w:rPr>
          <w:rtl w:val="true"/>
        </w:rPr>
        <w:t>نظر الخنثی إلی الذکر وبالعکس</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الخنثی</w:t>
      </w:r>
      <w:r>
        <w:rPr>
          <w:rStyle w:val="FootnoteAnchor"/>
          <w:rtl w:val="true"/>
        </w:rPr>
        <w:footnoteReference w:id="649"/>
      </w:r>
      <w:r>
        <w:rPr>
          <w:rFonts w:ascii="Amiri" w:hAnsi="Amiri" w:eastAsia="Amiri" w:cs="Amiri"/>
          <w:color w:val="111111"/>
          <w:sz w:val="28"/>
          <w:sz w:val="28"/>
          <w:szCs w:val="28"/>
          <w:rtl w:val="true"/>
          <w:lang w:bidi="ar-SA"/>
        </w:rPr>
        <w:t> مع الاُنثی</w:t>
      </w:r>
      <w:r>
        <w:rPr>
          <w:rStyle w:val="FootnoteAnchor"/>
          <w:rtl w:val="true"/>
        </w:rPr>
        <w:footnoteReference w:id="650"/>
      </w:r>
      <w:r>
        <w:rPr>
          <w:rFonts w:ascii="IRNazanin" w:hAnsi="IRNazanin" w:eastAsia="IRNazanin"/>
          <w:color w:val="111111"/>
          <w:sz w:val="28"/>
          <w:sz w:val="28"/>
          <w:szCs w:val="28"/>
          <w:rtl w:val="true"/>
          <w:lang w:bidi="fa-IR"/>
        </w:rPr>
        <w:t> کالذکر</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کون العلم الإجمالیّ منجّزاً 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ومع الذکر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کالاُنثی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معها کمماثلهما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138636_2322387425"/>
      <w:bookmarkStart w:id="316" w:name="_Toc111"/>
      <w:bookmarkEnd w:id="315"/>
      <w:r>
        <w:rPr>
          <w:rtl w:val="true"/>
        </w:rPr>
        <w:t>حکم النظر إلی الأجنبیّة وهی إلی الأجنبی وحکم الوجه والکفّین</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النظر إلی الأجنبیّة، ولا للمرأة النظر إلی الأجنبیّ</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جواز نظرها إلی مثل الرأس، والوجه، والرقبة، والیدین إلی الذراع،والساقین من الرجل؛ للسیرة المتشرّعیّة القطعیّة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ضرورة، واستثنی</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653"/>
      </w:r>
      <w:r>
        <w:rPr>
          <w:rFonts w:ascii="IRNazanin" w:hAnsi="IRNazanin" w:eastAsia="IRNazanin"/>
          <w:color w:val="111111"/>
          <w:sz w:val="28"/>
          <w:sz w:val="28"/>
          <w:szCs w:val="28"/>
          <w:rtl w:val="true"/>
          <w:lang w:bidi="fa-IR"/>
        </w:rPr>
        <w:t>الوجه والکفّین، فقالوا بالجواز فیهما</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بحسب الدلیل، والأظهر عدم وجوب التستّر علیها بالنسبة إلیهماأیضاً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الضمیر راجع إلی الوجه والکفّین دون الرجل والمرأة، وإن کان القائل بالجوازمطلقاً أو فی الجملة لم یفرِّق بینهما، وظاهر العبارة أیضاً یُعطِی ذلک، إلّا أنّه علیتقدیر ثبوت الاستثناء فی المرأة ـ کما هو غیر بعیدٍ ـ لا ملازمة بینها وبین الرجل،والإجماع غیر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الریبة والتلذّذ،</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655"/>
      </w:r>
      <w:r>
        <w:rPr>
          <w:rFonts w:ascii="IRNazanin" w:hAnsi="IRNazanin" w:eastAsia="IRNazanin"/>
          <w:color w:val="111111"/>
          <w:sz w:val="28"/>
          <w:sz w:val="28"/>
          <w:szCs w:val="28"/>
          <w:rtl w:val="true"/>
          <w:lang w:bidi="fa-IR"/>
        </w:rPr>
        <w:t>بالجواز فیهما مرّة، ولا یجوز تکرار النظر، والأحوط</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هذا الاحتیاط حَسَن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والتفصیل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الجواز مع عدم الریبة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لا یخلو من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الأحوط ترک نظر الأجنبیّة إلی وجه الأجنبیّ وکفّیه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موضع افتتان، أو کان فی الوجه والکفّین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تقدّم من الماتن قدّس سرّه فی أوّل السَتر والساتِر الاحتیاط الاستحبابیّ فی سَترهما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17" w:name="pg13286_153827"/>
    </w:p>
    <w:p>
      <w:pPr>
        <w:pStyle w:val="Heading4"/>
        <w:numPr>
          <w:ilvl w:val="3"/>
          <w:numId w:val="1"/>
        </w:numPr>
        <w:rPr/>
      </w:pPr>
      <w:bookmarkStart w:id="318" w:name="__RefHeading___Toc2138638_2322387425"/>
      <w:bookmarkStart w:id="319" w:name="_Toc112"/>
      <w:bookmarkEnd w:id="317"/>
      <w:bookmarkEnd w:id="318"/>
      <w:r>
        <w:rPr>
          <w:rtl w:val="true"/>
        </w:rPr>
        <w:t>النظر إلی المحارم</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النظر إلی المحارم الّتی یحرم علیه نکاحهنّ، نسباً أو رَضاعاً</w:t>
      </w:r>
      <w:r>
        <w:rPr>
          <w:rStyle w:val="FootnoteAnchor"/>
          <w:rtl w:val="true"/>
        </w:rPr>
        <w:footnoteReference w:id="657"/>
      </w:r>
      <w:r>
        <w:rPr>
          <w:rFonts w:ascii="IRNazanin" w:hAnsi="IRNazanin" w:eastAsia="IRNazanin"/>
          <w:color w:val="111111"/>
          <w:sz w:val="28"/>
          <w:sz w:val="28"/>
          <w:szCs w:val="28"/>
          <w:rtl w:val="true"/>
          <w:lang w:bidi="fa-IR"/>
        </w:rPr>
        <w:t> أو مُصاهرة، ما عدا العورة مع عدم تلذّذٍ وریبة وکذا نظرهنّ إلیه</w:t>
      </w:r>
      <w:r>
        <w:rPr>
          <w:rFonts w:eastAsia="IRNazanin" w:cs="IRNazanin"/>
          <w:color w:val="111111"/>
          <w:sz w:val="28"/>
          <w:szCs w:val="28"/>
          <w:rtl w:val="true"/>
          <w:lang w:bidi="fa-IR"/>
        </w:rPr>
        <w:t>.</w:t>
      </w:r>
    </w:p>
    <w:p>
      <w:pPr>
        <w:pStyle w:val="Heading4"/>
        <w:numPr>
          <w:ilvl w:val="3"/>
          <w:numId w:val="1"/>
        </w:numPr>
        <w:rPr/>
      </w:pPr>
      <w:bookmarkStart w:id="320" w:name="__RefHeading___Toc2138640_2322387425"/>
      <w:bookmarkStart w:id="321" w:name="_Toc113"/>
      <w:bookmarkEnd w:id="320"/>
      <w:r>
        <w:rPr>
          <w:rtl w:val="true"/>
        </w:rPr>
        <w:t>نظر السیّد إلی مملوکته</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المملوکة کالزوجة</w:t>
      </w:r>
      <w:r>
        <w:rPr>
          <w:rStyle w:val="FootnoteAnchor"/>
          <w:rtl w:val="true"/>
        </w:rPr>
        <w:footnoteReference w:id="658"/>
      </w:r>
      <w:r>
        <w:rPr>
          <w:rFonts w:ascii="IRNazanin" w:hAnsi="IRNazanin" w:eastAsia="IRNazanin"/>
          <w:color w:val="111111"/>
          <w:sz w:val="28"/>
          <w:sz w:val="28"/>
          <w:szCs w:val="28"/>
          <w:rtl w:val="true"/>
          <w:lang w:bidi="fa-IR"/>
        </w:rPr>
        <w:t> بالنسبة إلی السیّد</w:t>
      </w:r>
      <w:r>
        <w:rPr>
          <w:rStyle w:val="FootnoteAnchor"/>
          <w:rtl w:val="true"/>
        </w:rPr>
        <w:footnoteReference w:id="659"/>
      </w:r>
      <w:r>
        <w:rPr>
          <w:rFonts w:ascii="IRNazanin" w:hAnsi="IRNazanin" w:eastAsia="IRNazanin"/>
          <w:color w:val="111111"/>
          <w:sz w:val="28"/>
          <w:sz w:val="28"/>
          <w:szCs w:val="28"/>
          <w:rtl w:val="true"/>
          <w:lang w:bidi="fa-IR"/>
        </w:rPr>
        <w:t> إذا لم تکن</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المشترکة والمشرِکة والوثنیّة والمرتدّة والمکاتبة، وهو فیالزوجة لا یخلو من قوّة، وفی معناها المحلّلة، وکذا المعتدّة من وطء التزویجوالتحلیل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الاستثناءات تحتاج إلی المراجعة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الاشتراط بعدم کونها مشرکةً أو وثنیّةً أو مرتدّة، وکان اللازمالاشتراط بعدم کونها ذاتَ عِدّة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للسیّد النظر إلی أمته المشرکة والوثنیّة والمزوّجة والمکاتَبة ما لم ینعتقمنها شیء، وکذا المرتدّة، فاستثناء المذکورات إنّما یصحّ من جواز الوطء فی غیرالمکاتبة قبل انعتاق شیءٍ منها، فإنّ الظاهر فیها جواز الوطء أیضاً، وتلحق بما ذکرفی عدم جواز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المعتدّة من غیر السیّد تزویجاً أو تحلیلاً أو شبهة، وأمّاالمحلّلة قبل وطء المحلّل له فیجوز للسیّد وطوها بالرجوع من تحلیله، وأمّا بعدالوطء فهی معتدّة من غیر السیّد، وقد مرّ الحکم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الاستثناء بنحو الإجمال بالنسبة إلی الوطء صحیح، وأمّا بالنسبة إلی جواز النظربعدُ لم یظهر وجهه، نعم، اللازم الاشتراط بعدم کونها ذات عدّةٍ علی قوّة، أو علیالاحتیاط، وکذا المحلّلة بعقد التحلیل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استثناء المشرکة والوثنیّة والمرتدّة إنّما یکون من جهة ما ادّعاه جماعة منالتلازم فی الأمة بین جواز النکاح ذاتاً والنظر، وإذا لم یَجُز نکاحها ذاتاً لم یَجُز النظرإلیها، وحیث إنّه لم یدلّ دلیل علی ذلک فالأظهر عدم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     .</w:t>
      </w:r>
    </w:p>
    <w:p>
      <w:pPr>
        <w:pStyle w:val="BookText"/>
        <w:rPr/>
      </w:pPr>
      <w:r>
        <w:rPr>
          <w:rFonts w:ascii="IRNazanin" w:hAnsi="IRNazanin" w:eastAsia="IRNazanin"/>
          <w:color w:val="111111"/>
          <w:sz w:val="28"/>
          <w:sz w:val="28"/>
          <w:szCs w:val="28"/>
          <w:rtl w:val="true"/>
          <w:lang w:bidi="fa-IR"/>
        </w:rPr>
        <w:t>أو</w:t>
      </w:r>
      <w:r>
        <w:rPr>
          <w:rStyle w:val="FootnoteAnchor"/>
          <w:rtl w:val="true"/>
        </w:rPr>
        <w:footnoteReference w:id="661"/>
      </w:r>
      <w:r>
        <w:rPr>
          <w:rFonts w:ascii="Amiri" w:hAnsi="Amiri" w:eastAsia="Amiri" w:cs="Amiri"/>
          <w:color w:val="111111"/>
          <w:sz w:val="28"/>
          <w:sz w:val="28"/>
          <w:szCs w:val="28"/>
          <w:rtl w:val="true"/>
          <w:lang w:bidi="ar-SA"/>
        </w:rPr>
        <w:t> وثنیّة</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استثناوها إنّما هو من جواز الوطء، لا من جواز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الاستثناء فی هاتین بالنسبة إلی الوطء، وأمّا بالنسبة إلی جواز النظر فمحلّتأمّل، إلّا إذا کان بینهما ملازمة، کما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وطؤهما وإن جاز النظر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ذلک بالدلیل مشکل، فراجع 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والباب</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 والإماء من الوسائل، وأمّا جواز النظر إلیهما فلا إشکالفیه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Amiri" w:hAnsi="Amiri" w:eastAsia="Amiri" w:cs="Amiri"/>
          <w:color w:val="111111"/>
          <w:sz w:val="28"/>
          <w:sz w:val="28"/>
          <w:szCs w:val="28"/>
          <w:rtl w:val="true"/>
          <w:lang w:bidi="ar-SA"/>
        </w:rPr>
        <w:t>أو مزوّجة</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معتدّة بعدّة تزویجها للغیر علی الأقوی، أو محلّلة للغیر بعقد التحلیل علیالأحوط، بل وکذا المعتدّة من الوطء بالتحلیل أو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فی عدّة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محلّلة أو معتدّة بالدخول العقدیّ أو التحلیلیّ أو 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مکاتَبة، أو مرتدّة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النظر إلی الزوجة المعتدّة بوطء الشبهة وإن حرم وطوها، وکذا الأمة کذلک، وکذا إلی المطلّقة الرجعیّة ما دامت فی العِدّة ولو لم یکن بقصد</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الرجوع بمجرّد النظر المقصود به الرجوع إشکال، والأقوی عدمه فیصورة عدم التلذّذ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یتحقّق به الرجوع مع عدم التلذّذ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ترتّب الرجوع علیه مع عدم التلذّذ والشهوة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3286_153830"/>
    </w:p>
    <w:p>
      <w:pPr>
        <w:pStyle w:val="Heading4"/>
        <w:numPr>
          <w:ilvl w:val="3"/>
          <w:numId w:val="1"/>
        </w:numPr>
        <w:rPr/>
      </w:pPr>
      <w:bookmarkStart w:id="323" w:name="__RefHeading___Toc2138642_2322387425"/>
      <w:bookmarkStart w:id="324" w:name="_Toc114"/>
      <w:bookmarkEnd w:id="322"/>
      <w:bookmarkEnd w:id="323"/>
      <w:r>
        <w:rPr>
          <w:rtl w:val="true"/>
        </w:rPr>
        <w:t>موارد الاستثناء من الحرمة فی الأجنبی والأجنبیّة</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عدم جواز النظر من الأجنبیّ والأجنبیّة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المعالجة، وما یتوقّف علیه من معرفة</w:t>
      </w:r>
      <w:r>
        <w:rPr>
          <w:rStyle w:val="FootnoteAnchor"/>
          <w:rtl w:val="true"/>
        </w:rPr>
        <w:footnoteReference w:id="665"/>
      </w:r>
      <w:r>
        <w:rPr>
          <w:rFonts w:ascii="IRNazanin" w:hAnsi="IRNazanin" w:eastAsia="IRNazanin"/>
          <w:color w:val="111111"/>
          <w:sz w:val="28"/>
          <w:sz w:val="28"/>
          <w:szCs w:val="28"/>
          <w:rtl w:val="true"/>
          <w:lang w:bidi="fa-IR"/>
        </w:rPr>
        <w:t> نبض العروق</w:t>
      </w:r>
      <w:r>
        <w:rPr>
          <w:rStyle w:val="FootnoteAnchor"/>
          <w:rtl w:val="true"/>
        </w:rPr>
        <w:footnoteReference w:id="666"/>
      </w:r>
      <w:r>
        <w:rPr>
          <w:rFonts w:ascii="IRNazanin" w:hAnsi="IRNazanin" w:eastAsia="IRNazanin"/>
          <w:color w:val="111111"/>
          <w:sz w:val="28"/>
          <w:sz w:val="28"/>
          <w:szCs w:val="28"/>
          <w:rtl w:val="true"/>
          <w:lang w:bidi="fa-IR"/>
        </w:rPr>
        <w:t>، والکسر، والجرح، والفصد والحجامة، ونحو ذلک إذا لم یمکن</w:t>
      </w:r>
      <w:r>
        <w:rPr>
          <w:rStyle w:val="FootnoteAnchor"/>
          <w:rtl w:val="true"/>
        </w:rPr>
        <w:footnoteReference w:id="667"/>
      </w:r>
      <w:r>
        <w:rPr>
          <w:rFonts w:ascii="IRNazanin" w:hAnsi="IRNazanin" w:eastAsia="IRNazanin"/>
          <w:color w:val="111111"/>
          <w:sz w:val="28"/>
          <w:sz w:val="28"/>
          <w:szCs w:val="28"/>
          <w:rtl w:val="true"/>
          <w:lang w:bidi="fa-IR"/>
        </w:rPr>
        <w:t> بالمماثل</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محتاجاً إلیه بحیث یصدق علیه الاضطرار العرفیّ، کما هو کذلک فی غالبالمعاملات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یجوز المَسّ واللَمس حینئذٍ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الضرورة، کما إذا توقّف الاستنقاذ</w:t>
      </w:r>
      <w:r>
        <w:rPr>
          <w:rStyle w:val="FootnoteAnchor"/>
          <w:rtl w:val="true"/>
        </w:rPr>
        <w:footnoteReference w:id="669"/>
      </w:r>
      <w:r>
        <w:rPr>
          <w:rFonts w:ascii="Amiri" w:hAnsi="Amiri" w:eastAsia="Amiri" w:cs="Amiri"/>
          <w:color w:val="111111"/>
          <w:sz w:val="28"/>
          <w:sz w:val="28"/>
          <w:szCs w:val="28"/>
          <w:rtl w:val="true"/>
          <w:lang w:bidi="ar-SA"/>
        </w:rPr>
        <w:t> من الغَرق أو الحَرق أو  </w:t>
      </w:r>
    </w:p>
    <w:p>
      <w:pPr>
        <w:pStyle w:val="BookText"/>
        <w:rPr/>
      </w:pPr>
      <w:r>
        <w:rPr>
          <w:rFonts w:ascii="IRNazanin" w:hAnsi="IRNazanin" w:eastAsia="IRNazanin"/>
          <w:color w:val="111111"/>
          <w:sz w:val="28"/>
          <w:sz w:val="28"/>
          <w:szCs w:val="28"/>
          <w:rtl w:val="true"/>
          <w:lang w:bidi="fa-IR"/>
        </w:rPr>
        <w:t>نحوهما علیه، أو علی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کلّ ما هو أهمّ فی نظر الشارع مراعاته، من مراعاة حرمة النظر أو اللَمس</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الشهادة تحمّلاً أو أداءً مع دعاء الضرورة، ولیس منها ما عن العلّامة</w:t>
      </w:r>
      <w:r>
        <w:rPr>
          <w:rStyle w:val="FootnoteAnchor"/>
          <w:rtl w:val="true"/>
        </w:rPr>
        <w:footnoteReference w:id="670"/>
      </w:r>
      <w:r>
        <w:rPr>
          <w:rFonts w:ascii="IRNazanin" w:hAnsi="IRNazanin" w:eastAsia="IRNazanin"/>
          <w:color w:val="111111"/>
          <w:sz w:val="28"/>
          <w:sz w:val="28"/>
          <w:szCs w:val="28"/>
          <w:rtl w:val="true"/>
          <w:lang w:bidi="fa-IR"/>
        </w:rPr>
        <w:t>من جواز النظر إلی الزانیَین لتحمّل الشهادة، فالأقوی عدم</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الجواز</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لیس منها النظر إلی الفرج للشهادة علی الولادة، أو الثدی</w:t>
      </w:r>
    </w:p>
    <w:p>
      <w:pPr>
        <w:pStyle w:val="BookText"/>
        <w:rPr/>
      </w:pPr>
      <w:r>
        <w:rPr>
          <w:rFonts w:ascii="IRNazanin" w:hAnsi="IRNazanin" w:eastAsia="IRNazanin"/>
          <w:color w:val="111111"/>
          <w:sz w:val="28"/>
          <w:sz w:val="28"/>
          <w:szCs w:val="28"/>
          <w:rtl w:val="true"/>
          <w:lang w:bidi="fa-IR"/>
        </w:rPr>
        <w:t>للشهادة علی الرضاع وإن لم یمکن إثباتها بالنساء، وإن استجوده الشهید</w:t>
      </w:r>
      <w:r>
        <w:rPr>
          <w:rStyle w:val="FootnoteAnchor"/>
          <w:rtl w:val="true"/>
        </w:rPr>
        <w:footnoteReference w:id="673"/>
      </w:r>
      <w:r>
        <w:rPr>
          <w:rFonts w:ascii="IRNazanin" w:hAnsi="IRNazanin" w:eastAsia="IRNazanin"/>
          <w:color w:val="111111"/>
          <w:sz w:val="28"/>
          <w:sz w:val="28"/>
          <w:szCs w:val="28"/>
          <w:rtl w:val="true"/>
          <w:lang w:bidi="fa-IR"/>
        </w:rPr>
        <w:t>الثانی</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من النساء اللاتی لا یرجون نکاحاً</w:t>
      </w:r>
      <w:r>
        <w:rPr>
          <w:rStyle w:val="FootnoteAnchor"/>
          <w:rtl w:val="true"/>
        </w:rPr>
        <w:footnoteReference w:id="675"/>
      </w:r>
      <w:r>
        <w:rPr>
          <w:rFonts w:ascii="IRNazanin" w:hAnsi="IRNazanin" w:eastAsia="IRNazanin"/>
          <w:color w:val="111111"/>
          <w:sz w:val="28"/>
          <w:sz w:val="28"/>
          <w:szCs w:val="28"/>
          <w:rtl w:val="true"/>
          <w:lang w:bidi="fa-IR"/>
        </w:rPr>
        <w:t> بالنسبة إلی ما هو     </w:t>
      </w:r>
    </w:p>
    <w:p>
      <w:pPr>
        <w:pStyle w:val="BookText"/>
        <w:rPr/>
      </w:pPr>
      <w:r>
        <w:rPr>
          <w:rFonts w:ascii="IRNazanin" w:hAnsi="IRNazanin" w:eastAsia="IRNazanin"/>
          <w:color w:val="111111"/>
          <w:sz w:val="28"/>
          <w:sz w:val="28"/>
          <w:szCs w:val="28"/>
          <w:rtl w:val="true"/>
          <w:lang w:bidi="fa-IR"/>
        </w:rPr>
        <w:t>المعتاد له من کشف بعض الشعر</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الأخبار جواز کشف ما یستره الخمار والجلباب من الشعر والرقبةوبعض الصدر والذراع، فلا وجه للتخصیص ببعض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والذراع ونحو ذلک، لا مثل الثدی والبطن</w:t>
      </w:r>
    </w:p>
    <w:p>
      <w:pPr>
        <w:pStyle w:val="BookText"/>
        <w:rPr/>
      </w:pPr>
      <w:r>
        <w:rPr>
          <w:rFonts w:ascii="IRNazanin" w:hAnsi="IRNazanin" w:eastAsia="IRNazanin"/>
          <w:color w:val="111111"/>
          <w:sz w:val="28"/>
          <w:sz w:val="28"/>
          <w:szCs w:val="28"/>
          <w:rtl w:val="true"/>
          <w:lang w:bidi="fa-IR"/>
        </w:rPr>
        <w:t>ونحوهما ممّا یعتاد سترهنّ 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الممیّز من الصبیّ والصبیّة فإنّه یجوز النظر إلیهما، بل اللَمس، ولا یجب التستّر منهما، بل الظاهر جواز النظر</w:t>
      </w:r>
      <w:r>
        <w:rPr>
          <w:rStyle w:val="FootnoteAnchor"/>
          <w:rtl w:val="true"/>
        </w:rPr>
        <w:footnoteReference w:id="677"/>
      </w:r>
      <w:r>
        <w:rPr>
          <w:rFonts w:ascii="IRNazanin" w:hAnsi="IRNazanin" w:eastAsia="IRNazanin"/>
          <w:color w:val="111111"/>
          <w:sz w:val="28"/>
          <w:sz w:val="28"/>
          <w:szCs w:val="28"/>
          <w:rtl w:val="true"/>
          <w:lang w:bidi="fa-IR"/>
        </w:rPr>
        <w:t xml:space="preserve"> إلیهما قبل البلوغ إذا لم یبلغا </w:t>
      </w:r>
      <w:bookmarkStart w:id="325" w:name="pg13286_153832"/>
    </w:p>
    <w:p>
      <w:pPr>
        <w:pStyle w:val="BookText"/>
        <w:rPr/>
      </w:pPr>
      <w:bookmarkEnd w:id="325"/>
      <w:r>
        <w:rPr>
          <w:rFonts w:ascii="IRNazanin" w:hAnsi="IRNazanin" w:eastAsia="IRNazanin"/>
          <w:color w:val="111111"/>
          <w:sz w:val="28"/>
          <w:sz w:val="28"/>
          <w:szCs w:val="28"/>
          <w:rtl w:val="true"/>
          <w:lang w:bidi="fa-IR"/>
        </w:rPr>
        <w:t>مبلغاً یترتّب علی النظر منهما أو إلیهما ثوران</w:t>
      </w:r>
      <w:r>
        <w:rPr>
          <w:rStyle w:val="FootnoteAnchor"/>
          <w:rtl w:val="true"/>
        </w:rPr>
        <w:footnoteReference w:id="678"/>
      </w:r>
      <w:r>
        <w:rPr>
          <w:rFonts w:ascii="Amiri" w:hAnsi="Amiri" w:eastAsia="Amiri" w:cs="Amiri"/>
          <w:color w:val="111111"/>
          <w:sz w:val="28"/>
          <w:sz w:val="28"/>
          <w:szCs w:val="28"/>
          <w:rtl w:val="true"/>
          <w:lang w:bidi="ar-SA"/>
        </w:rPr>
        <w:t> الشهوة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2138644_2322387425"/>
      <w:bookmarkStart w:id="327" w:name="_Toc115"/>
      <w:bookmarkEnd w:id="326"/>
      <w:r>
        <w:rPr>
          <w:rtl w:val="true"/>
        </w:rPr>
        <w:t>حمل وتقبیل الصبیّة من غیر المحارم</w:t>
      </w:r>
      <w:bookmarkEnd w:id="32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بتقبیل الرجل الصبیّة الّتی لیست له بمحرَم، ووضعها فی حُجره قبل</w:t>
      </w:r>
      <w:r>
        <w:rPr>
          <w:rStyle w:val="FootnoteAnchor"/>
          <w:rtl w:val="true"/>
        </w:rPr>
        <w:footnoteReference w:id="680"/>
      </w:r>
      <w:r>
        <w:rPr>
          <w:rFonts w:ascii="IRNazanin" w:hAnsi="IRNazanin" w:eastAsia="IRNazanin"/>
          <w:color w:val="111111"/>
          <w:sz w:val="28"/>
          <w:sz w:val="28"/>
          <w:szCs w:val="28"/>
          <w:rtl w:val="true"/>
          <w:lang w:bidi="fa-IR"/>
        </w:rPr>
        <w:t> أن یأتی علیها ستّ سنین إذا لم یکن عن شهوة</w:t>
      </w:r>
      <w:r>
        <w:rPr>
          <w:rFonts w:eastAsia="IRNazanin" w:cs="IRNazanin"/>
          <w:color w:val="111111"/>
          <w:sz w:val="28"/>
          <w:szCs w:val="28"/>
          <w:rtl w:val="true"/>
          <w:lang w:bidi="fa-IR"/>
        </w:rPr>
        <w:t>.</w:t>
      </w:r>
    </w:p>
    <w:p>
      <w:pPr>
        <w:pStyle w:val="Heading4"/>
        <w:numPr>
          <w:ilvl w:val="3"/>
          <w:numId w:val="1"/>
        </w:numPr>
        <w:rPr/>
      </w:pPr>
      <w:bookmarkStart w:id="328" w:name="__RefHeading___Toc2138646_2322387425"/>
      <w:bookmarkStart w:id="329" w:name="_Toc116"/>
      <w:bookmarkEnd w:id="328"/>
      <w:r>
        <w:rPr>
          <w:rtl w:val="true"/>
        </w:rPr>
        <w:t>نظر المملوک والخصی لمالکتهما</w:t>
      </w:r>
      <w:bookmarkEnd w:id="32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681"/>
      </w:r>
      <w:r>
        <w:rPr>
          <w:rFonts w:ascii="IRNazanin" w:hAnsi="IRNazanin" w:eastAsia="IRNazanin"/>
          <w:color w:val="111111"/>
          <w:sz w:val="28"/>
          <w:sz w:val="28"/>
          <w:szCs w:val="28"/>
          <w:rtl w:val="true"/>
          <w:lang w:bidi="fa-IR"/>
        </w:rPr>
        <w:t> للمملوک</w:t>
      </w:r>
      <w:r>
        <w:rPr>
          <w:rStyle w:val="FootnoteAnchor"/>
          <w:rtl w:val="true"/>
        </w:rPr>
        <w:footnoteReference w:id="682"/>
      </w:r>
      <w:r>
        <w:rPr>
          <w:rFonts w:ascii="IRNazanin" w:hAnsi="IRNazanin" w:eastAsia="IRNazanin"/>
          <w:color w:val="111111"/>
          <w:sz w:val="28"/>
          <w:sz w:val="28"/>
          <w:szCs w:val="28"/>
          <w:rtl w:val="true"/>
          <w:lang w:bidi="fa-IR"/>
        </w:rPr>
        <w:t> النظر إلی مالکته، ولا للخِصِیّ النظر</w:t>
      </w:r>
    </w:p>
    <w:p>
      <w:pPr>
        <w:pStyle w:val="BookText"/>
        <w:rPr/>
      </w:pPr>
      <w:r>
        <w:rPr>
          <w:rFonts w:ascii="IRNazanin" w:hAnsi="IRNazanin" w:eastAsia="IRNazanin"/>
          <w:color w:val="111111"/>
          <w:sz w:val="28"/>
          <w:sz w:val="28"/>
          <w:szCs w:val="28"/>
          <w:rtl w:val="true"/>
          <w:lang w:bidi="fa-IR"/>
        </w:rPr>
        <w:t>إلی مالکته أو غیرها، کما لا یجوز للعِنّین والمَجبوب بلا إشکال، بل ولا لکبیر السنّ الّذی هو شبه القواعد من النساء علی الأحوط</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2138648_2322387425"/>
      <w:bookmarkStart w:id="331" w:name="_Toc117"/>
      <w:bookmarkEnd w:id="330"/>
      <w:r>
        <w:rPr>
          <w:rtl w:val="true"/>
        </w:rPr>
        <w:t>نظر المرأة للرجل الأعمی</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الأعمی کالبصیر فی حرمة نظر المرأة إلیه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2138650_2322387425"/>
      <w:bookmarkStart w:id="333" w:name="_Toc118"/>
      <w:bookmarkEnd w:id="332"/>
      <w:r>
        <w:rPr>
          <w:rtl w:val="true"/>
        </w:rPr>
        <w:t>سماع صوت الأجنبیّة</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بسماع صوت الأجنبیّة ما لم یکن تلذّذ ولا ریبة</w:t>
      </w:r>
      <w:r>
        <w:rPr>
          <w:rStyle w:val="FootnoteAnchor"/>
          <w:rtl w:val="true"/>
        </w:rPr>
        <w:footnoteReference w:id="685"/>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من غیر فرقٍ بین الأعمی والبصیر، وإن کان الأحوط</w:t>
      </w:r>
      <w:r>
        <w:rPr>
          <w:rStyle w:val="FootnoteAnchor"/>
          <w:rtl w:val="true"/>
        </w:rPr>
        <w:footnoteReference w:id="686"/>
      </w:r>
      <w:r>
        <w:rPr>
          <w:rFonts w:ascii="IRNazanin" w:hAnsi="IRNazanin" w:eastAsia="IRNazanin"/>
          <w:color w:val="111111"/>
          <w:sz w:val="28"/>
          <w:sz w:val="28"/>
          <w:szCs w:val="28"/>
          <w:rtl w:val="true"/>
          <w:lang w:bidi="fa-IR"/>
        </w:rPr>
        <w:t> الترک فی غیر مقام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علیها إسماع الصوت</w:t>
      </w:r>
      <w:r>
        <w:rPr>
          <w:rStyle w:val="FootnoteAnchor"/>
          <w:rtl w:val="true"/>
        </w:rPr>
        <w:footnoteReference w:id="687"/>
      </w:r>
      <w:r>
        <w:rPr>
          <w:rFonts w:ascii="IRNazanin" w:hAnsi="IRNazanin" w:eastAsia="IRNazanin"/>
          <w:color w:val="111111"/>
          <w:sz w:val="28"/>
          <w:sz w:val="28"/>
          <w:szCs w:val="28"/>
          <w:rtl w:val="true"/>
          <w:lang w:bidi="fa-IR"/>
        </w:rPr>
        <w:t xml:space="preserve"> الّذی فیه تهییج للسامع بتحسینه </w:t>
      </w:r>
      <w:bookmarkStart w:id="334" w:name="pg13286_153833"/>
    </w:p>
    <w:p>
      <w:pPr>
        <w:pStyle w:val="BookText"/>
        <w:rPr/>
      </w:pPr>
      <w:bookmarkEnd w:id="334"/>
      <w:r>
        <w:rPr>
          <w:rFonts w:ascii="IRNazanin" w:hAnsi="IRNazanin" w:eastAsia="IRNazanin"/>
          <w:color w:val="111111"/>
          <w:sz w:val="28"/>
          <w:sz w:val="28"/>
          <w:szCs w:val="28"/>
          <w:rtl w:val="true"/>
          <w:lang w:bidi="fa-IR"/>
        </w:rPr>
        <w:t>وترقیقه، قال</w:t>
      </w:r>
      <w:r>
        <w:rPr>
          <w:rStyle w:val="FootnoteAnchor"/>
          <w:rtl w:val="true"/>
        </w:rPr>
        <w:footnoteReference w:id="688"/>
      </w:r>
      <w:r>
        <w:rPr>
          <w:rFonts w:ascii="IRNazanin" w:hAnsi="IRNazanin" w:eastAsia="IRNazanin"/>
          <w:color w:val="111111"/>
          <w:sz w:val="28"/>
          <w:sz w:val="28"/>
          <w:szCs w:val="28"/>
          <w:rtl w:val="true"/>
          <w:lang w:bidi="fa-IR"/>
        </w:rPr>
        <w:t> تعالی</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شمول الآیة لغیر نساء النبی إشکال، ولکن لا یُترک الاحتیاط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فَیَطْمَعَ آلَّذِی فِی قَلْبِهِ  مَرَضٌ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138652_2322387425"/>
      <w:bookmarkStart w:id="336" w:name="_Toc119"/>
      <w:bookmarkEnd w:id="335"/>
      <w:r>
        <w:rPr>
          <w:rtl w:val="true"/>
        </w:rPr>
        <w:t>مصافحة الأجنبی للأجنبیّة</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مصافحة الأجنبیّة، نعم، لا بأس</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التلذّذ والریبة فیها وفی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الریبة والتلذّذ، وکذا فی ما بعده، ولا یغمز کفّ الأجنبیة لدی 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التلذّذ والریبة، وکذا فی لمس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من وراء</w:t>
      </w:r>
    </w:p>
    <w:p>
      <w:pPr>
        <w:pStyle w:val="BookText"/>
        <w:rPr/>
      </w:pPr>
      <w:r>
        <w:rPr>
          <w:rFonts w:ascii="IRNazanin" w:hAnsi="IRNazanin" w:eastAsia="IRNazanin"/>
          <w:color w:val="111111"/>
          <w:sz w:val="28"/>
          <w:sz w:val="28"/>
          <w:szCs w:val="28"/>
          <w:rtl w:val="true"/>
          <w:lang w:bidi="fa-IR"/>
        </w:rPr>
        <w:t>الثوب</w:t>
      </w:r>
      <w:r>
        <w:rPr>
          <w:rStyle w:val="FootnoteAnchor"/>
          <w:rtl w:val="true"/>
        </w:rPr>
        <w:footnoteReference w:id="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الریبة والتلذّذ،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الأمن من الریبة والتلذّذ، وکذا ما بعده، ولا یَغمز کفّ الأجنبیّة، کما فیالخبر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 وآدابه،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لذّةٍ وریبةٍ وفتنةٍ وغَمز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تلذّذ ورِیبة، کما هو الحال فی لمس المحارم، وینبغی فی مصافحةالأجنبیّة من وراء الثوب أن لا یَغمِز کفّیها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بأس بلمس المحارم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7" w:name="pg13286_153834"/>
    </w:p>
    <w:p>
      <w:pPr>
        <w:pStyle w:val="Heading4"/>
        <w:numPr>
          <w:ilvl w:val="3"/>
          <w:numId w:val="1"/>
        </w:numPr>
        <w:rPr/>
      </w:pPr>
      <w:bookmarkStart w:id="338" w:name="__RefHeading___Toc2138654_2322387425"/>
      <w:bookmarkStart w:id="339" w:name="_Toc120"/>
      <w:bookmarkEnd w:id="337"/>
      <w:bookmarkEnd w:id="338"/>
      <w:r>
        <w:rPr>
          <w:rtl w:val="true"/>
        </w:rPr>
        <w:t>السلام علی النساء من غیر المحارم</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w:t>
      </w:r>
      <w:r>
        <w:rPr>
          <w:rStyle w:val="FootnoteAnchor"/>
          <w:rtl w:val="true"/>
        </w:rPr>
        <w:footnoteReference w:id="692"/>
      </w:r>
      <w:r>
        <w:rPr>
          <w:rFonts w:ascii="IRNazanin" w:hAnsi="IRNazanin" w:eastAsia="IRNazanin"/>
          <w:color w:val="111111"/>
          <w:sz w:val="28"/>
          <w:sz w:val="28"/>
          <w:szCs w:val="28"/>
          <w:rtl w:val="true"/>
          <w:lang w:bidi="fa-IR"/>
        </w:rPr>
        <w:t> للرجل</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الکراهة فی غیر الشابّة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النساء بالسلام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ودعاوهنّ إلی  </w:t>
      </w:r>
    </w:p>
    <w:p>
      <w:pPr>
        <w:pStyle w:val="BookText"/>
        <w:rPr/>
      </w:pPr>
      <w:r>
        <w:rPr>
          <w:rFonts w:ascii="IRNazanin" w:hAnsi="IRNazanin" w:eastAsia="IRNazanin"/>
          <w:color w:val="111111"/>
          <w:sz w:val="28"/>
          <w:sz w:val="28"/>
          <w:szCs w:val="28"/>
          <w:rtl w:val="true"/>
          <w:lang w:bidi="fa-IR"/>
        </w:rPr>
        <w:t>الطعام، وتتأکّد الکراهة فی الشابّة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2138656_2322387425"/>
      <w:bookmarkStart w:id="341" w:name="_Toc121"/>
      <w:bookmarkEnd w:id="340"/>
      <w:r>
        <w:rPr>
          <w:rtl w:val="true"/>
        </w:rPr>
        <w:t>الجلوس فی مجلس المرأة قبل برده</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دلیل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فی مجلس المرأة إذا قامت عنه إلّا بعد</w:t>
      </w:r>
      <w:bookmarkStart w:id="342" w:name="pg13286_153835"/>
    </w:p>
    <w:p>
      <w:pPr>
        <w:pStyle w:val="BookText"/>
        <w:rPr/>
      </w:pPr>
      <w:bookmarkEnd w:id="342"/>
      <w:r>
        <w:rPr>
          <w:rFonts w:ascii="Amiri" w:hAnsi="Amiri" w:eastAsia="Amiri" w:cs="Amiri"/>
          <w:color w:val="111111"/>
          <w:sz w:val="28"/>
          <w:sz w:val="28"/>
          <w:szCs w:val="28"/>
          <w:rtl w:val="true"/>
          <w:lang w:bidi="ar-SA"/>
        </w:rPr>
        <w:t>بَردِه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2138658_2322387425"/>
      <w:bookmarkStart w:id="344" w:name="_Toc122"/>
      <w:bookmarkEnd w:id="343"/>
      <w:r>
        <w:rPr>
          <w:rtl w:val="true"/>
        </w:rPr>
        <w:t>الاستئذان علی الأب</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یدخل</w:t>
      </w:r>
      <w:r>
        <w:rPr>
          <w:rStyle w:val="FootnoteAnchor"/>
          <w:rtl w:val="true"/>
        </w:rPr>
        <w:footnoteReference w:id="697"/>
      </w:r>
      <w:r>
        <w:rPr>
          <w:rFonts w:ascii="IRNazanin" w:hAnsi="IRNazanin" w:eastAsia="IRNazanin"/>
          <w:color w:val="111111"/>
          <w:sz w:val="28"/>
          <w:sz w:val="28"/>
          <w:szCs w:val="28"/>
          <w:rtl w:val="true"/>
          <w:lang w:bidi="fa-IR"/>
        </w:rPr>
        <w:t> الولد</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تأذّیه منه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عنده زوجته إلّا بعد الاستئذان، ولا بأس</w:t>
      </w:r>
      <w:r>
        <w:rPr>
          <w:rStyle w:val="FootnoteAnchor"/>
          <w:rtl w:val="true"/>
        </w:rPr>
        <w:footnoteReference w:id="699"/>
      </w:r>
      <w:r>
        <w:rPr>
          <w:rFonts w:ascii="IRNazanin" w:hAnsi="IRNazanin" w:eastAsia="IRNazanin"/>
          <w:color w:val="111111"/>
          <w:sz w:val="28"/>
          <w:sz w:val="28"/>
          <w:szCs w:val="28"/>
          <w:rtl w:val="true"/>
          <w:lang w:bidi="fa-IR"/>
        </w:rPr>
        <w:t> بدخول</w:t>
      </w:r>
      <w:r>
        <w:rPr>
          <w:rStyle w:val="FootnoteAnchor"/>
          <w:rtl w:val="true"/>
        </w:rPr>
        <w:footnoteReference w:id="7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علی ابنه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إطلاق الحکم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bookmarkStart w:id="345" w:name="pg13286_153836"/>
    </w:p>
    <w:p>
      <w:pPr>
        <w:pStyle w:val="BookText"/>
        <w:rPr/>
      </w:pPr>
      <w:bookmarkEnd w:id="345"/>
      <w:r>
        <w:rPr>
          <w:rFonts w:ascii="IRNazanin" w:hAnsi="IRNazanin" w:eastAsia="IRNazanin"/>
          <w:color w:val="111111"/>
          <w:sz w:val="28"/>
          <w:sz w:val="28"/>
          <w:szCs w:val="28"/>
          <w:rtl w:val="true"/>
          <w:lang w:bidi="fa-IR"/>
        </w:rPr>
        <w:t>بغیر إذنه</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مأموناً من أن یکون فی خلوتهما ما لا یجوز له التطّلع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2138660_2322387425"/>
      <w:bookmarkStart w:id="347" w:name="_Toc123"/>
      <w:bookmarkEnd w:id="346"/>
      <w:r>
        <w:rPr>
          <w:rtl w:val="true"/>
        </w:rPr>
        <w:t>تفریق الأطفال فی المضاجع</w:t>
      </w:r>
      <w:bookmarkEnd w:id="34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یفرّق</w:t>
      </w:r>
      <w:r>
        <w:rPr>
          <w:rStyle w:val="FootnoteAnchor"/>
          <w:rtl w:val="true"/>
        </w:rPr>
        <w:footnoteReference w:id="702"/>
      </w:r>
      <w:r>
        <w:rPr>
          <w:rFonts w:ascii="IRNazanin" w:hAnsi="IRNazanin" w:eastAsia="IRNazanin"/>
          <w:color w:val="111111"/>
          <w:sz w:val="28"/>
          <w:sz w:val="28"/>
          <w:szCs w:val="28"/>
          <w:rtl w:val="true"/>
          <w:lang w:bidi="fa-IR"/>
        </w:rPr>
        <w:t> بین الأطفال</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مَثارَ الفتنة أو الرِیبة ونحوهما، وإلّا فلا یبعد بناء الحکم علی الاستحباب،والاحتیاط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المضاجع إذا بلغوا عشر سنین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بلغوا ستّ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2138662_2322387425"/>
      <w:bookmarkStart w:id="349" w:name="_Toc124"/>
      <w:bookmarkEnd w:id="348"/>
      <w:r>
        <w:rPr>
          <w:rtl w:val="true"/>
        </w:rPr>
        <w:t>النظر إلی العضو المبان من الأجنبیّ</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العضو المُبان من</w:t>
      </w:r>
      <w:bookmarkStart w:id="350" w:name="pg13286_153837"/>
    </w:p>
    <w:p>
      <w:pPr>
        <w:pStyle w:val="BookText"/>
        <w:rPr/>
      </w:pPr>
      <w:bookmarkEnd w:id="350"/>
      <w:r>
        <w:rPr>
          <w:rFonts w:ascii="Amiri" w:hAnsi="Amiri" w:eastAsia="Amiri" w:cs="Amiri"/>
          <w:color w:val="111111"/>
          <w:sz w:val="28"/>
          <w:sz w:val="28"/>
          <w:szCs w:val="28"/>
          <w:rtl w:val="true"/>
          <w:lang w:bidi="ar-SA"/>
        </w:rPr>
        <w:t>الأجنبیّ</w:t>
      </w:r>
      <w:r>
        <w:rPr>
          <w:rStyle w:val="FootnoteAnchor"/>
          <w:rtl w:val="true"/>
        </w:rPr>
        <w:footnoteReference w:id="705"/>
      </w:r>
      <w:r>
        <w:rPr>
          <w:rFonts w:ascii="IRNazanin" w:hAnsi="IRNazanin" w:eastAsia="IRNazanin"/>
          <w:color w:val="111111"/>
          <w:sz w:val="28"/>
          <w:sz w:val="28"/>
          <w:szCs w:val="28"/>
          <w:rtl w:val="true"/>
          <w:lang w:bidi="fa-IR"/>
        </w:rPr>
        <w:t>، مثل الید والأنف واللسان</w:t>
      </w:r>
      <w:r>
        <w:rPr>
          <w:rStyle w:val="FootnoteAnchor"/>
          <w:rtl w:val="true"/>
        </w:rPr>
        <w:footnoteReference w:id="706"/>
      </w:r>
      <w:r>
        <w:rPr>
          <w:rFonts w:ascii="IRNazanin" w:hAnsi="IRNazanin" w:eastAsia="IRNazanin"/>
          <w:color w:val="111111"/>
          <w:sz w:val="28"/>
          <w:sz w:val="28"/>
          <w:szCs w:val="28"/>
          <w:rtl w:val="true"/>
          <w:lang w:bidi="fa-IR"/>
        </w:rPr>
        <w:t> ونحوها، لا مثل</w:t>
      </w:r>
      <w:r>
        <w:rPr>
          <w:rStyle w:val="FootnoteAnchor"/>
          <w:rtl w:val="true"/>
        </w:rPr>
        <w:footnoteReference w:id="707"/>
      </w:r>
      <w:r>
        <w:rPr>
          <w:rFonts w:ascii="Amiri" w:hAnsi="Amiri" w:eastAsia="Amiri" w:cs="Amiri"/>
          <w:color w:val="111111"/>
          <w:sz w:val="28"/>
          <w:sz w:val="28"/>
          <w:szCs w:val="28"/>
          <w:rtl w:val="true"/>
          <w:lang w:bidi="ar-SA"/>
        </w:rPr>
        <w:t> السِنّ</w:t>
      </w:r>
      <w:r>
        <w:rPr>
          <w:rStyle w:val="FootnoteAnchor"/>
          <w:rtl w:val="true"/>
        </w:rPr>
        <w:footnoteReference w:id="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مع العلم بکونه مباناً ممّن لا یجوز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بعد خروجها عن الموضوع، وفرض حرمتها تبعیّة، وإن کانالأحوط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والظِفر والشعر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 فیه إن کان من الشعر المتعارف، ولم یکن من الفضلات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2138664_2322387425"/>
      <w:bookmarkStart w:id="352" w:name="_Toc125"/>
      <w:bookmarkEnd w:id="351"/>
      <w:r>
        <w:rPr>
          <w:rtl w:val="true"/>
        </w:rPr>
        <w:t>وصل شعر المرأة بشعر غیرها</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وصل</w:t>
      </w:r>
      <w:r>
        <w:rPr>
          <w:rStyle w:val="FootnoteAnchor"/>
          <w:rtl w:val="true"/>
        </w:rPr>
        <w:footnoteReference w:id="709"/>
      </w:r>
      <w:r>
        <w:rPr>
          <w:rFonts w:ascii="IRNazanin" w:hAnsi="IRNazanin" w:eastAsia="IRNazanin"/>
          <w:color w:val="111111"/>
          <w:sz w:val="28"/>
          <w:sz w:val="28"/>
          <w:szCs w:val="28"/>
          <w:rtl w:val="true"/>
          <w:lang w:bidi="fa-IR"/>
        </w:rPr>
        <w:t> شعر</w:t>
      </w:r>
      <w:r>
        <w:rPr>
          <w:rStyle w:val="FootnoteAnchor"/>
          <w:rtl w:val="true"/>
        </w:rPr>
        <w:footnoteReference w:id="710"/>
      </w:r>
      <w:r>
        <w:rPr>
          <w:rFonts w:ascii="IRNazanin" w:hAnsi="IRNazanin" w:eastAsia="IRNazanin"/>
          <w:color w:val="111111"/>
          <w:sz w:val="28"/>
          <w:sz w:val="28"/>
          <w:szCs w:val="28"/>
          <w:rtl w:val="true"/>
          <w:lang w:bidi="fa-IR"/>
        </w:rPr>
        <w:t> الغیر بشعرها، ویجوز لزوجها النظر</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منّا ومنه  قدّس سرّه حرمة النظر إلیه، فی المسألة الاُولی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والساتِر منکتاب الصلاة،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کراهة،     </w:t>
      </w:r>
      <w:r>
        <w:rPr>
          <w:rFonts w:eastAsia="IRNazanin" w:cs="IRNazanin"/>
          <w:color w:val="111111"/>
          <w:sz w:val="28"/>
          <w:szCs w:val="28"/>
          <w:rtl w:val="true"/>
          <w:lang w:bidi="fa-IR"/>
        </w:rPr>
        <w:t>.     .     .     .     .     .     .     .     .</w:t>
      </w:r>
      <w:bookmarkStart w:id="353" w:name="pg13286_153838"/>
    </w:p>
    <w:p>
      <w:pPr>
        <w:pStyle w:val="BookText"/>
        <w:rPr/>
      </w:pPr>
      <w:bookmarkEnd w:id="353"/>
      <w:r>
        <w:rPr>
          <w:rFonts w:ascii="IRNazanin" w:hAnsi="IRNazanin" w:eastAsia="IRNazanin"/>
          <w:color w:val="111111"/>
          <w:sz w:val="28"/>
          <w:sz w:val="28"/>
          <w:szCs w:val="28"/>
          <w:rtl w:val="true"/>
          <w:lang w:bidi="fa-IR"/>
        </w:rPr>
        <w:t>بل الأحوط</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یتوجّه علی المتن بأنّ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شعر غیر الأجنبیّة فلا إشکال فی جوازالنظر إلیه، وإن کان شعرها فقد أفتی فی المسألة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النظر إلی الشعر المُبانمن الأجنبیّ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إلّا إذا حکم العرف بسقوط إضافة الشعر إلی من أخذت منها، وصحّةإضافتها فعلاً إلی الواصلة لو علم بکونه شعر الأجنبیّة، وأمّا مع التردّد بین کونه منالأجنبیّة أو غیرها فالظاهر جواز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2138666_2322387425"/>
      <w:bookmarkStart w:id="355" w:name="_Toc126"/>
      <w:bookmarkEnd w:id="354"/>
      <w:r>
        <w:rPr>
          <w:rtl w:val="true"/>
        </w:rPr>
        <w:t>عدم اقتضاء جواز النظر جواز المسّ</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تلازم بین جواز النظر وجواز المسّ، فلو قلنا بجواز النظر إلی الوجه والکفّین من الأجنبیّة لا یجوز مسّها إلّا من وراء الثوب</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من دون تلذّذٍ ورِیبة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138668_2322387425"/>
      <w:bookmarkStart w:id="357" w:name="_Toc127"/>
      <w:bookmarkEnd w:id="356"/>
      <w:r>
        <w:rPr>
          <w:rtl w:val="true"/>
        </w:rPr>
        <w:t>اعتبار عدم التعدّی عن مقدار الضرورة</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توقّف العلاج علی النظر دون اللَمس أو اللَمس دون النظر یجب الاقتصار علی ما اضطرّ إلیه، فلا یجوز الآخر بجوازه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2138670_2322387425"/>
      <w:bookmarkStart w:id="359" w:name="_Toc128"/>
      <w:bookmarkEnd w:id="358"/>
      <w:r>
        <w:rPr>
          <w:rtl w:val="true"/>
        </w:rPr>
        <w:t>کراهة خروج النساء واختلاطهنّ بالرجال</w:t>
      </w:r>
      <w:bookmarkEnd w:id="3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اختلاط</w:t>
      </w:r>
      <w:r>
        <w:rPr>
          <w:rStyle w:val="FootnoteAnchor"/>
          <w:rtl w:val="true"/>
        </w:rPr>
        <w:footnoteReference w:id="715"/>
      </w:r>
      <w:r>
        <w:rPr>
          <w:rFonts w:ascii="IRNazanin" w:hAnsi="IRNazanin" w:eastAsia="IRNazanin"/>
          <w:color w:val="111111"/>
          <w:sz w:val="28"/>
          <w:sz w:val="28"/>
          <w:szCs w:val="28"/>
          <w:rtl w:val="true"/>
          <w:lang w:bidi="fa-IR"/>
        </w:rPr>
        <w:t xml:space="preserve"> النساء بالرجال، ویکره لهنّ حضور الجُمُعة    </w:t>
      </w:r>
      <w:bookmarkStart w:id="360" w:name="pg13286_153839"/>
    </w:p>
    <w:p>
      <w:pPr>
        <w:pStyle w:val="BookText"/>
        <w:rPr/>
      </w:pPr>
      <w:bookmarkEnd w:id="360"/>
      <w:r>
        <w:rPr>
          <w:rFonts w:ascii="IRNazanin" w:hAnsi="IRNazanin" w:eastAsia="IRNazanin"/>
          <w:color w:val="111111"/>
          <w:sz w:val="28"/>
          <w:sz w:val="28"/>
          <w:szCs w:val="28"/>
          <w:rtl w:val="true"/>
          <w:lang w:bidi="fa-IR"/>
        </w:rPr>
        <w:t>والجماعات، إلّا للعجائز</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الموجود فی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مزاحمة النساء الرجال فی الأسواق والمجتمعات،من غیر فرقٍ بین العجائز وغیرهنّ، وکراهة خروج النساء للجمعة والعیدین إلّاالعجائز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4"/>
        <w:numPr>
          <w:ilvl w:val="3"/>
          <w:numId w:val="1"/>
        </w:numPr>
        <w:rPr/>
      </w:pPr>
      <w:bookmarkStart w:id="361" w:name="__RefHeading___Toc2138672_2322387425"/>
      <w:bookmarkStart w:id="362" w:name="_Toc129"/>
      <w:bookmarkEnd w:id="361"/>
      <w:r>
        <w:rPr>
          <w:rtl w:val="true"/>
        </w:rPr>
        <w:t>اشتباه محلّل النظر والتستّر مع محرّمه بالشبهة المحصورة وغیرها</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اشتبه مَن یجوز النظر إلیه بین مَن لا یجوز بالشبهة المحصورة</w:t>
      </w:r>
      <w:r>
        <w:rPr>
          <w:rStyle w:val="FootnoteAnchor"/>
          <w:rtl w:val="true"/>
        </w:rPr>
        <w:footnoteReference w:id="717"/>
      </w:r>
      <w:r>
        <w:rPr>
          <w:rFonts w:ascii="IRNazanin" w:hAnsi="IRNazanin" w:eastAsia="IRNazanin"/>
          <w:color w:val="111111"/>
          <w:sz w:val="28"/>
          <w:sz w:val="28"/>
          <w:szCs w:val="28"/>
          <w:rtl w:val="true"/>
          <w:lang w:bidi="fa-IR"/>
        </w:rPr>
        <w:t> وجب الاجتناب</w:t>
      </w:r>
      <w:r>
        <w:rPr>
          <w:rStyle w:val="FootnoteAnchor"/>
          <w:rtl w:val="true"/>
        </w:rPr>
        <w:footnoteReference w:id="718"/>
      </w:r>
      <w:r>
        <w:rPr>
          <w:rFonts w:ascii="IRNazanin" w:hAnsi="IRNazanin" w:eastAsia="IRNazanin"/>
          <w:color w:val="111111"/>
          <w:sz w:val="28"/>
          <w:sz w:val="28"/>
          <w:szCs w:val="28"/>
          <w:rtl w:val="true"/>
          <w:lang w:bidi="fa-IR"/>
        </w:rPr>
        <w:t> عن الجمیع، وکذا بالنسبة إلی مَن یجب التستّر عنه ومَن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الشبهة غیر محصورةٍ</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المراد بالشبهة غیر المحصورة أن تکون المرأة الأجنبیّة مختلطةً بغیرهامن النساء غیر المحصورات فالحکم فیها هو عدم وجوب الاجتناب، کما فی سائرموارد الشبهة غیر المحصورة، وإن کان المراد بها العکس فالحکم فیه وإن کانوجوب الاجتناب إلّا أنّ العلّة فیه هو العلم الإجمالیّ المنجّز، لا ما استظهره منالآیة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أو بدویّة</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شکّ فی کونه مماثلاً أوْ لا، أو شکّ فی کونه من المحارم النسبیّة أوْ لا فالظاهر وجوب الاجتناب</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أصلٌ موضوعیّ فی البَین یثبت به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آیة وجوب الغضّ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جواز النظر مشروط</w:t>
      </w:r>
    </w:p>
    <w:p>
      <w:pPr>
        <w:pStyle w:val="BookText"/>
        <w:rPr/>
      </w:pPr>
      <w:r>
        <w:rPr>
          <w:rFonts w:ascii="Amiri" w:hAnsi="Amiri" w:eastAsia="Amiri" w:cs="Amiri"/>
          <w:color w:val="111111"/>
          <w:sz w:val="28"/>
          <w:sz w:val="28"/>
          <w:szCs w:val="28"/>
          <w:rtl w:val="true"/>
          <w:lang w:bidi="ar-SA"/>
        </w:rPr>
        <w:t>بأمرٍ</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نفس هذا التعلیق علی إناطة الرخصة والجواز بإحراز ذلک الأمر، وعدمجواز الاقتحام عند الشکّ فیه، ویکون من المدالیل الالتزامیّة العرفیّة، وهذا هوالوجه فی تسالمهم علی أصالة الحرمة فی جمیع ما کان من هذا القبیل؛ وعلیه یبتنیانقلاب الأصل فی النفوس والأموال والفروج فی کلٍّ من الشبهات الموضوعیّةوالحکمیّة، وکذا أصالة انفعال الماء بملاقاة النجاسة عند الشکّ فی العاصم، وغیرذلک ممّا عُلِّقَ فیه حکم ترخیص وضعیّ أو تکلیفیّ علی أمرٍ وجودیّ، ولیس شیء من ذلک مبنیّاً علی التمسّک بالعموم فی الشبهة المصداقیّة، ولا علی قاعدة المقتضی والمانع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     .     .     .     .     .     .     .     .     .     .     .     .</w:t>
      </w:r>
    </w:p>
    <w:p>
      <w:pPr>
        <w:pStyle w:val="BookText"/>
        <w:rPr/>
      </w:pPr>
      <w:r>
        <w:rPr>
          <w:rFonts w:ascii="Amiri" w:hAnsi="Amiri" w:eastAsia="Amiri" w:cs="Amiri"/>
          <w:color w:val="111111"/>
          <w:sz w:val="28"/>
          <w:sz w:val="28"/>
          <w:szCs w:val="28"/>
          <w:rtl w:val="true"/>
          <w:lang w:bidi="ar-SA"/>
        </w:rPr>
        <w:t>وجودیّ</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مُستَظهَر، بل منصرف إلیه من دلیل وجوب الغضّ، والسیاق بنظر العرف ولو لمیکن هناک دلیل خاصّ، فعند الشکّ فی تحقّقه یحکم بعدمه بالأصل؛ بناءً علیجریانه فی الأعدام الأزلیّة، وفیه إشکال ذکرناه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کونه مماثلاً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المحارم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فمع الشکّ یعمل بمقتضی        </w:t>
      </w:r>
    </w:p>
    <w:p>
      <w:pPr>
        <w:pStyle w:val="BookText"/>
        <w:rPr/>
      </w:pPr>
      <w:r>
        <w:rPr>
          <w:rFonts w:ascii="IRNazanin" w:hAnsi="IRNazanin" w:eastAsia="IRNazanin"/>
          <w:color w:val="111111"/>
          <w:sz w:val="28"/>
          <w:sz w:val="28"/>
          <w:szCs w:val="28"/>
          <w:rtl w:val="true"/>
          <w:lang w:bidi="fa-IR"/>
        </w:rPr>
        <w:t>العموم، لا من باب التمسّک بالعموم فی الشبهة المصداقیّة</w:t>
      </w:r>
      <w:r>
        <w:rPr>
          <w:rStyle w:val="FootnoteAnchor"/>
          <w:rtl w:val="true"/>
        </w:rPr>
        <w:footnoteReference w:id="724"/>
      </w:r>
      <w:r>
        <w:rPr>
          <w:rFonts w:ascii="Amiri" w:hAnsi="Amiri" w:eastAsia="Amiri" w:cs="Amiri"/>
          <w:color w:val="111111"/>
          <w:sz w:val="28"/>
          <w:sz w:val="28"/>
          <w:szCs w:val="28"/>
          <w:rtl w:val="true"/>
          <w:lang w:bidi="ar-SA"/>
        </w:rPr>
        <w:t>، بل لاستفادة</w:t>
      </w:r>
    </w:p>
    <w:p>
      <w:pPr>
        <w:pStyle w:val="BookText"/>
        <w:rPr/>
      </w:pPr>
      <w:r>
        <w:rPr>
          <w:rFonts w:ascii="IRNazanin" w:hAnsi="IRNazanin" w:eastAsia="IRNazanin"/>
          <w:color w:val="111111"/>
          <w:sz w:val="28"/>
          <w:sz w:val="28"/>
          <w:szCs w:val="28"/>
          <w:rtl w:val="true"/>
          <w:lang w:bidi="fa-IR"/>
        </w:rPr>
        <w:t>شرطیّة الجواز بالمماثلة أو المَحرَمیّة أو نحو ذلک، فلیس</w:t>
      </w:r>
      <w:r>
        <w:rPr>
          <w:rStyle w:val="FootnoteAnchor"/>
          <w:rtl w:val="true"/>
        </w:rPr>
        <w:footnoteReference w:id="725"/>
      </w:r>
      <w:r>
        <w:rPr>
          <w:rFonts w:ascii="IRNazanin" w:hAnsi="IRNazanin" w:eastAsia="IRNazanin"/>
          <w:color w:val="111111"/>
          <w:sz w:val="28"/>
          <w:sz w:val="28"/>
          <w:szCs w:val="28"/>
          <w:rtl w:val="true"/>
          <w:lang w:bidi="fa-IR"/>
        </w:rPr>
        <w:t> التخصیص فی</w:t>
      </w:r>
    </w:p>
    <w:p>
      <w:pPr>
        <w:pStyle w:val="BookText"/>
        <w:rPr/>
      </w:pPr>
      <w:r>
        <w:rPr>
          <w:rFonts w:ascii="IRNazanin" w:hAnsi="IRNazanin" w:eastAsia="IRNazanin"/>
          <w:color w:val="111111"/>
          <w:sz w:val="28"/>
          <w:sz w:val="28"/>
          <w:szCs w:val="28"/>
          <w:rtl w:val="true"/>
          <w:lang w:bidi="fa-IR"/>
        </w:rPr>
        <w:t>المقام من قبیل التنویع</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بخلاف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التخصیص یوجب التنویع لا محالة، إلّا أنّ المخصِّص فی المقام بما أنّه أمروجودیّ فعند الشکّ یحرز عدمه بالأصل؛ بناءً علی ما حقّقناه من جریانه فیالأعدام الأزلیّة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التخصیص من قبیل التنویع مطلقاً عرفاً، نعم، یمکن أن یقال فیالمقام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التأمّل فی الأدلّة أصالة عدم جواز النظر، إلّا ما خرجبالدلیل، فیکون هذا الأصل فی المقام نظیر أصالة احترام النفس والعِرض والمال،وأصالة عدم التذکیة ونحوها من الاُصول الثانویّة المعتبرة، مع أنّه بناءً علیصحّة جریان الأصل فی الأعدام الأزلیّة تجری أصالة عدم المحرّمیّة والمماثلة،فتثبت موضوع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التخصیص مطلقاً یوجب التنویع، ومع ذلک یجب الاجتناب فی المقام؛لاستصحاب عدم المماثلة، وعدم النسب؛ بناءً علی جریان الأصل فی العدم الأزلیّ،کما اخترناه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من موارد أصل البراءة، بل من قبیل</w:t>
      </w:r>
    </w:p>
    <w:p>
      <w:pPr>
        <w:pStyle w:val="BookText"/>
        <w:rPr/>
      </w:pPr>
      <w:r>
        <w:rPr>
          <w:rFonts w:ascii="IRNazanin" w:hAnsi="IRNazanin" w:eastAsia="IRNazanin"/>
          <w:color w:val="111111"/>
          <w:sz w:val="28"/>
          <w:sz w:val="28"/>
          <w:szCs w:val="28"/>
          <w:rtl w:val="true"/>
          <w:lang w:bidi="fa-IR"/>
        </w:rPr>
        <w:t>المقتضی</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عموم آیة الغضّ للمماثل وکون المخصّص عنواناً وجودیّاًفیحرز عدمه بالاستصحاب،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لشخصٍ قبل وجوده لم یکنمتّصفاً بالاُنثویّة، ونشکّ بعد وجوده فی اتّصافه بها فاصالة العدم جاریة،ویحرز عدم عنوان الخاصّ، أمّا قاعدة المقتضی والمانع لا أصل له، إلّا أن یرجعإلی 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بجعل المماثلة من قبیل المانع عن الحرمة، والنظر مقتضیاً لها، هذا بناءًعلی جعل المقتضی والمانع قاعدةً مستقلّةً غیر قاعدتَی الیقین فی الشکّالساری، والاستصحاب فی الطارئ ثابتة الحجّیّة عند العقلاء، وهو ممّااختلفت کلمات المحقّقین فی شأنه، فمنهم مَن التزم بإرجاع الثلاثة إلیمسألة المقتضی والمانع وحمل الروایات علیها، ومنهم مَن أنکرها، وحملالنصوص علی الیقین والاستصحاب، ومنهم مَن أرجع الروایات بأسرها إلیالاستصحاب، والحقّ المحقّق فی محلّه استظهار قاعدة الیقین من بعضها،والاستصحاب من بعضها الآخر، فما أفاده  قدّس سرّه فی المتن من إثبات مدّعاه بتلکالقاعدة ممنوع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کونه زوجةً أو لا فیجری ـ مضافاً إلی ما   </w:t>
      </w:r>
    </w:p>
    <w:p>
      <w:pPr>
        <w:pStyle w:val="BookText"/>
        <w:rPr/>
      </w:pPr>
      <w:r>
        <w:rPr>
          <w:rFonts w:ascii="IRNazanin" w:hAnsi="IRNazanin" w:eastAsia="IRNazanin"/>
          <w:color w:val="111111"/>
          <w:sz w:val="28"/>
          <w:sz w:val="28"/>
          <w:szCs w:val="28"/>
          <w:rtl w:val="true"/>
          <w:lang w:bidi="fa-IR"/>
        </w:rPr>
        <w:t>ذکر من رجوعه إلی الشکّ فی الشرط ـ أصالة عدم حدوث الزوجیّة، وکذا لو شکّ فی المَحرَمیّة من باب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کون المنظور إلیه أو الناظر حیواناً أو إنساناً فالظاهر عدم وجوب</w:t>
      </w:r>
      <w:r>
        <w:rPr>
          <w:rStyle w:val="FootnoteAnchor"/>
          <w:rtl w:val="true"/>
        </w:rPr>
        <w:footnoteReference w:id="728"/>
      </w:r>
      <w:r>
        <w:rPr>
          <w:rFonts w:ascii="IRNazanin" w:hAnsi="IRNazanin" w:eastAsia="IRNazanin"/>
          <w:color w:val="111111"/>
          <w:sz w:val="28"/>
          <w:sz w:val="28"/>
          <w:szCs w:val="28"/>
          <w:rtl w:val="true"/>
          <w:lang w:bidi="fa-IR"/>
        </w:rPr>
        <w:t> الاحتیاط؛ لانصراف عموم وجوب الغضّ إلی خصوص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الشکّ فی کونه بالغاً أو صبیّاً أو طفلاً ممیّزاً أو غیر ممیّز ففی وجوب الاحتیاط وجهان</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العموم</w:t>
      </w:r>
      <w:r>
        <w:rPr>
          <w:rStyle w:val="FootnoteAnchor"/>
          <w:rtl w:val="true"/>
        </w:rPr>
        <w:footnoteReference w:id="730"/>
      </w:r>
      <w:r>
        <w:rPr>
          <w:rFonts w:ascii="IRNazanin" w:hAnsi="IRNazanin" w:eastAsia="IRNazanin"/>
          <w:color w:val="111111"/>
          <w:sz w:val="28"/>
          <w:sz w:val="28"/>
          <w:szCs w:val="28"/>
          <w:rtl w:val="true"/>
          <w:lang w:bidi="fa-IR"/>
        </w:rPr>
        <w:t> علی الوجه الّذی ذکرنا، ومن</w:t>
      </w:r>
    </w:p>
    <w:p>
      <w:pPr>
        <w:pStyle w:val="BookText"/>
        <w:rPr/>
      </w:pPr>
      <w:r>
        <w:rPr>
          <w:rFonts w:ascii="IRNazanin" w:hAnsi="IRNazanin" w:eastAsia="IRNazanin"/>
          <w:color w:val="111111"/>
          <w:sz w:val="28"/>
          <w:sz w:val="28"/>
          <w:szCs w:val="28"/>
          <w:rtl w:val="true"/>
          <w:lang w:bidi="fa-IR"/>
        </w:rPr>
        <w:t>إمکان</w:t>
      </w:r>
      <w:r>
        <w:rPr>
          <w:rStyle w:val="FootnoteAnchor"/>
          <w:rtl w:val="true"/>
        </w:rPr>
        <w:footnoteReference w:id="731"/>
      </w:r>
      <w:r>
        <w:rPr>
          <w:rFonts w:ascii="IRNazanin" w:hAnsi="IRNazanin" w:eastAsia="IRNazanin"/>
          <w:color w:val="111111"/>
          <w:sz w:val="28"/>
          <w:sz w:val="28"/>
          <w:szCs w:val="28"/>
          <w:rtl w:val="true"/>
          <w:lang w:bidi="fa-IR"/>
        </w:rPr>
        <w:t> دعوی الانصراف، والأظهر الأوّل</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الظهور منع،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الثانی فی غیر الممیّز؛ لعدم الفرق بینه وبین الحیوان، مع أنّ استصحابعدم البلوغ والتمیّز لا مانع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لا للانصراف، بل للاستصحاب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3286_153846"/>
    </w:p>
    <w:p>
      <w:pPr>
        <w:pStyle w:val="Heading4"/>
        <w:numPr>
          <w:ilvl w:val="3"/>
          <w:numId w:val="1"/>
        </w:numPr>
        <w:rPr/>
      </w:pPr>
      <w:bookmarkStart w:id="364" w:name="__RefHeading___Toc2138674_2322387425"/>
      <w:bookmarkStart w:id="365" w:name="_Toc130"/>
      <w:bookmarkEnd w:id="363"/>
      <w:bookmarkEnd w:id="364"/>
      <w:r>
        <w:rPr>
          <w:rtl w:val="true"/>
        </w:rPr>
        <w:t>وجوب التستّر علی النساء وحرمة النظر علی الرجال وحکم العکس</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النساء التستّر، کما یحرم علی الرجال النظر،ولا یجب علی الرجال التستّر وإن کان یحرم علی النساء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نعم،حال الرجال بالنسبة إلی العورة حال النساء</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لا تخلو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ویجب علیهم التستّر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سَتر غیر العورة علی الرجل وإن علم بتعمّد النساء النظر إلیه،وصدق الإعانة علی الإثم بمجرّد عدم تستّره عنهنّ ممنوع، إلّا إذا قصد بذلکإیقاعهنّ فی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ستر الرجل غیر عورته من سائر بدنه عن غیر المَحرَم غیر معلوم الوجوب،وصدق الإعانة علی الإثم غیر واضحٍ إلّا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بالنسبة إلی غیر العورة، وأمّا العورة فالوجوب بالإضافة إلیهالا یکون مشروطاً بهذا الشرط المرکّب من اُمورٍ ثلاثة، بل مشروط بکونهافی معرض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 العلم</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العلم بوقوع النظر من غیر تعمّدٍ أیضاً، بل یکفی کونها فی مظانّ النظرعادةً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جرت السیرة مستمرّةً من زمان المعصوم علیه السّلام إلی زماننا علیعدم ستره ولو مع العلم بنظر النساء علیه مثل الوجه، نعم، مع العلم بنظرهنّمع الرِیبة والالتذاذ یجب التستّر علیهم من باب حرمة الإعانة، وإن کانالمتیقّن منها حکماً وموضوعاً هو مع قصد الإعانة، وأمّا بدونه فمحلّ تأمّل،نعم، التستّر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بتعمّد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الرجال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المعرضیّة العرفیّة لذلک وإن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من باب     </w:t>
      </w:r>
      <w:r>
        <w:rPr>
          <w:rFonts w:eastAsia="IRNazanin" w:cs="IRNazanin"/>
          <w:color w:val="111111"/>
          <w:sz w:val="28"/>
          <w:szCs w:val="28"/>
          <w:rtl w:val="true"/>
          <w:lang w:bidi="fa-IR"/>
        </w:rPr>
        <w:t>.     .     .</w:t>
      </w:r>
      <w:bookmarkStart w:id="366" w:name="pg13286_153848"/>
    </w:p>
    <w:p>
      <w:pPr>
        <w:pStyle w:val="BookText"/>
        <w:rPr/>
      </w:pPr>
      <w:bookmarkEnd w:id="366"/>
      <w:r>
        <w:rPr>
          <w:rFonts w:ascii="Amiri" w:hAnsi="Amiri" w:eastAsia="Amiri" w:cs="Amiri"/>
          <w:color w:val="111111"/>
          <w:sz w:val="28"/>
          <w:sz w:val="28"/>
          <w:szCs w:val="28"/>
          <w:rtl w:val="true"/>
          <w:lang w:bidi="ar-SA"/>
        </w:rPr>
        <w:t>حرمة</w:t>
      </w:r>
      <w:r>
        <w:rPr>
          <w:rStyle w:val="FootnoteAnchor"/>
          <w:rtl w:val="true"/>
        </w:rPr>
        <w:footnoteReference w:id="735"/>
      </w:r>
      <w:r>
        <w:rPr>
          <w:rFonts w:ascii="Amiri" w:hAnsi="Amiri" w:eastAsia="Amiri" w:cs="Amiri"/>
          <w:color w:val="111111"/>
          <w:sz w:val="28"/>
          <w:sz w:val="28"/>
          <w:szCs w:val="28"/>
          <w:rtl w:val="true"/>
          <w:lang w:bidi="ar-SA"/>
        </w:rPr>
        <w:t> الإعانة</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تحقّق الإعانة فی مثل المقام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الإعانة علی الإثم ممنوع، فلا یجب علیهم التستّر حتّی مع العلم بتعمّدها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المحرّم التعاون علی الإثم، أمّا الإعانة علی الإثم فإطلاق الحکم بحرمتها محلّإشکال،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2138676_2322387425"/>
      <w:bookmarkStart w:id="368" w:name="_Toc131"/>
      <w:bookmarkEnd w:id="367"/>
      <w:r>
        <w:rPr>
          <w:rtl w:val="true"/>
        </w:rPr>
        <w:t>تحدید النظر المحرّم</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المحرّم من النظر ما یکون علی وجهٍ یتمکّن من التمیّز بین الرجل والمرأة، وأنّه العضو الفلانیّ أو غیره، أو مطلقه؟ فلو رأی الأجنبیّة من بعیدٍ</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الناظر ضعیف النظر، أو 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لا یمکنه تمییزها وتمییز أعضائها، أو لا یمکنه تمییز کونها  رجلاً أو امرأة، بل أو لا یمکنه تمییز کونها إنساناً أو حیواناً أو جماداً هل هو</w:t>
      </w:r>
    </w:p>
    <w:p>
      <w:pPr>
        <w:pStyle w:val="BookText"/>
        <w:rPr/>
      </w:pPr>
      <w:r>
        <w:rPr>
          <w:rFonts w:ascii="IRNazanin" w:hAnsi="IRNazanin" w:eastAsia="IRNazanin"/>
          <w:color w:val="111111"/>
          <w:sz w:val="28"/>
          <w:sz w:val="28"/>
          <w:szCs w:val="28"/>
          <w:rtl w:val="true"/>
          <w:lang w:bidi="fa-IR"/>
        </w:rPr>
        <w:t>حرام، أوْ لا؟ وجهان، الأحوط</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والأولی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ترک هذا الاحتیاط خصوصاً فی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موجب لهذا الاحتیاط،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تری البشرة دون ما إذا یُری سواد مردّد عن بُعد؛ لانصراف أدلّةوجوب الغضّ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التفصیل بین ما لم یمیّز الرجل عن المرأة والإنسان عن الحیوان فلا یحرم،وبین ما لم یمیّز الرأس عن الرقبة بعد تمییز کونها غیر مَحرَمٍ فیحرم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3286_153850"/>
    </w:p>
    <w:p>
      <w:pPr>
        <w:pStyle w:val="Heading3"/>
        <w:numPr>
          <w:ilvl w:val="2"/>
          <w:numId w:val="1"/>
        </w:numPr>
        <w:rPr/>
      </w:pPr>
      <w:bookmarkStart w:id="370" w:name="__RefHeading___Toc2138678_2322387425"/>
      <w:bookmarkStart w:id="371" w:name="_Toc132"/>
      <w:bookmarkEnd w:id="369"/>
      <w:bookmarkEnd w:id="370"/>
      <w:r>
        <w:rPr>
          <w:rtl w:val="true"/>
        </w:rPr>
        <w:t xml:space="preserve">فصل </w:t>
      </w:r>
      <w:r>
        <w:rPr>
          <w:rtl w:val="true"/>
        </w:rPr>
        <w:t>[</w:t>
      </w:r>
      <w:r>
        <w:rPr>
          <w:rtl w:val="true"/>
        </w:rPr>
        <w:t>فی ما یتعلّق بأحکام الدخول علی الزوجة</w:t>
      </w:r>
      <w:r>
        <w:rPr>
          <w:rtl w:val="true"/>
        </w:rPr>
        <w:t>]</w:t>
      </w:r>
      <w:bookmarkEnd w:id="371"/>
    </w:p>
    <w:p>
      <w:pPr>
        <w:pStyle w:val="Heading4"/>
        <w:numPr>
          <w:ilvl w:val="3"/>
          <w:numId w:val="1"/>
        </w:numPr>
        <w:rPr/>
      </w:pPr>
      <w:bookmarkStart w:id="372" w:name="__RefHeading___Toc2138680_2322387425"/>
      <w:bookmarkStart w:id="373" w:name="_Toc133"/>
      <w:bookmarkEnd w:id="372"/>
      <w:r>
        <w:rPr>
          <w:rtl w:val="true"/>
        </w:rPr>
        <w:t>اشارة</w:t>
      </w:r>
      <w:bookmarkEnd w:id="373"/>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Heading4"/>
        <w:numPr>
          <w:ilvl w:val="3"/>
          <w:numId w:val="1"/>
        </w:numPr>
        <w:rPr/>
      </w:pPr>
      <w:bookmarkStart w:id="374" w:name="__RefHeading___Toc2138682_2322387425"/>
      <w:bookmarkStart w:id="375" w:name="_Toc134"/>
      <w:bookmarkEnd w:id="374"/>
      <w:r>
        <w:rPr>
          <w:rtl w:val="true"/>
        </w:rPr>
        <w:t>حکم وطء الزوجة والمملوکة فی الدبر</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وفاقاً للمشهور جواز وطء الزوجة والمملوکة دُبُراً علی کراهةٍ شدیدة، بل الأحوط ترکه</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عدم رضاها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مع رضاها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مع عدم رضاها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Heading4"/>
        <w:numPr>
          <w:ilvl w:val="3"/>
          <w:numId w:val="1"/>
        </w:numPr>
        <w:rPr/>
      </w:pPr>
      <w:bookmarkStart w:id="376" w:name="__RefHeading___Toc2138684_2322387425"/>
      <w:bookmarkStart w:id="377" w:name="_Toc135"/>
      <w:bookmarkEnd w:id="376"/>
      <w:r>
        <w:rPr>
          <w:rtl w:val="true"/>
        </w:rPr>
        <w:t>حکم وطء الحائض دبراً</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مرّ فی باب الحیض الإشکال</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ومقتضی القاعدة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وطء الحائض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الظاهر اتّحاد حکم الحائض مع الطاهرة فی ذلک، فراجع المسألةالثالثة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الحائض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قلنا بجوازه فی غیر حال الحیض</w:t>
      </w:r>
      <w:r>
        <w:rPr>
          <w:rFonts w:eastAsia="IRNazanin" w:cs="IRNazanin"/>
          <w:color w:val="111111"/>
          <w:sz w:val="28"/>
          <w:szCs w:val="28"/>
          <w:rtl w:val="true"/>
          <w:lang w:bidi="fa-IR"/>
        </w:rPr>
        <w:t>.</w:t>
      </w:r>
      <w:bookmarkStart w:id="378" w:name="pg13286_153851"/>
    </w:p>
    <w:p>
      <w:pPr>
        <w:pStyle w:val="Heading4"/>
        <w:numPr>
          <w:ilvl w:val="3"/>
          <w:numId w:val="1"/>
        </w:numPr>
        <w:rPr/>
      </w:pPr>
      <w:bookmarkStart w:id="379" w:name="__RefHeading___Toc2138686_2322387425"/>
      <w:bookmarkStart w:id="380" w:name="_Toc136"/>
      <w:bookmarkEnd w:id="378"/>
      <w:bookmarkEnd w:id="379"/>
      <w:r>
        <w:rPr>
          <w:rtl w:val="true"/>
        </w:rPr>
        <w:t>هل یتحقّق النشوز بعدم تمکین الزوجة من وطئها دبراً؟</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بعض الفقهاء</w:t>
      </w:r>
      <w:r>
        <w:rPr>
          <w:rStyle w:val="FootnoteAnchor"/>
          <w:rtl w:val="true"/>
        </w:rPr>
        <w:footnoteReference w:id="741"/>
      </w:r>
      <w:r>
        <w:rPr>
          <w:rFonts w:ascii="IRNazanin" w:hAnsi="IRNazanin" w:eastAsia="IRNazanin"/>
          <w:color w:val="111111"/>
          <w:sz w:val="28"/>
          <w:sz w:val="28"/>
          <w:szCs w:val="28"/>
          <w:rtl w:val="true"/>
          <w:lang w:bidi="fa-IR"/>
        </w:rPr>
        <w:t>ممّن قال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یتحقّق النشوز بعدم تمکین الزوجة من وطئها دُبُراً، وهو مشکل</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لاحتمال التحقّق وجه، فلا یُترک الاحتیاط بالانفاق أو الاسترضاء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تحقّق النشوز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 الدلیل علی وجوب تمکینها فی کلّ ما هو جائز من أنواع الاستمتاعات حتّی یکون ترکه نشوزاً</w:t>
      </w:r>
      <w:r>
        <w:rPr>
          <w:rFonts w:eastAsia="IRNazanin" w:cs="IRNazanin"/>
          <w:color w:val="111111"/>
          <w:sz w:val="28"/>
          <w:szCs w:val="28"/>
          <w:rtl w:val="true"/>
          <w:lang w:bidi="fa-IR"/>
        </w:rPr>
        <w:t>.</w:t>
      </w:r>
    </w:p>
    <w:p>
      <w:pPr>
        <w:pStyle w:val="Heading4"/>
        <w:numPr>
          <w:ilvl w:val="3"/>
          <w:numId w:val="1"/>
        </w:numPr>
        <w:rPr/>
      </w:pPr>
      <w:bookmarkStart w:id="381" w:name="__RefHeading___Toc2138688_2322387425"/>
      <w:bookmarkStart w:id="382" w:name="_Toc137"/>
      <w:bookmarkEnd w:id="381"/>
      <w:r>
        <w:rPr>
          <w:rtl w:val="true"/>
        </w:rPr>
        <w:t>اشتراک الوطء فی الدبر والقبل فی جملة الأحکام</w:t>
      </w:r>
      <w:bookmarkEnd w:id="3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الوطء فی دُبُر المرأة کالوطء</w:t>
      </w:r>
      <w:r>
        <w:rPr>
          <w:rStyle w:val="FootnoteAnchor"/>
          <w:rtl w:val="true"/>
        </w:rPr>
        <w:footnoteReference w:id="743"/>
      </w:r>
      <w:r>
        <w:rPr>
          <w:rFonts w:ascii="IRNazanin" w:hAnsi="IRNazanin" w:eastAsia="IRNazanin"/>
          <w:color w:val="111111"/>
          <w:sz w:val="28"/>
          <w:sz w:val="28"/>
          <w:szCs w:val="28"/>
          <w:rtl w:val="true"/>
          <w:lang w:bidi="fa-IR"/>
        </w:rPr>
        <w:t> فی قبلها فی وجوب</w:t>
      </w:r>
      <w:r>
        <w:rPr>
          <w:rStyle w:val="FootnoteAnchor"/>
          <w:rtl w:val="true"/>
        </w:rPr>
        <w:footnoteReference w:id="744"/>
      </w:r>
      <w:r>
        <w:rPr>
          <w:rFonts w:ascii="IRNazanin" w:hAnsi="IRNazanin" w:eastAsia="IRNazanin"/>
          <w:color w:val="111111"/>
          <w:sz w:val="28"/>
          <w:sz w:val="28"/>
          <w:szCs w:val="28"/>
          <w:rtl w:val="true"/>
          <w:lang w:bidi="fa-IR"/>
        </w:rPr>
        <w:t>الغسل</w:t>
      </w:r>
      <w:r>
        <w:rPr>
          <w:rStyle w:val="FootnoteAnchor"/>
          <w:rtl w:val="true"/>
        </w:rPr>
        <w:footnoteReference w:id="745"/>
      </w:r>
      <w:r>
        <w:rPr>
          <w:rFonts w:ascii="IRNazanin" w:hAnsi="IRNazanin" w:eastAsia="IRNazanin"/>
          <w:color w:val="111111"/>
          <w:sz w:val="28"/>
          <w:sz w:val="28"/>
          <w:szCs w:val="28"/>
          <w:rtl w:val="true"/>
          <w:lang w:bidi="fa-IR"/>
        </w:rPr>
        <w:t xml:space="preserve"> والعِدّة، واستقرار المهر، وبطلان الصوم، وثبوت حدّ الزنا إذا کانت أجنبیّة، وثبوت مهر المثل إذا وطئها شبهة، وکون المناط </w:t>
      </w:r>
    </w:p>
    <w:p>
      <w:pPr>
        <w:pStyle w:val="BookText"/>
        <w:rPr/>
      </w:pPr>
      <w:r>
        <w:rPr>
          <w:rFonts w:ascii="IRNazanin" w:hAnsi="IRNazanin" w:eastAsia="IRNazanin"/>
          <w:color w:val="111111"/>
          <w:sz w:val="28"/>
          <w:sz w:val="28"/>
          <w:szCs w:val="28"/>
          <w:rtl w:val="true"/>
          <w:lang w:bidi="fa-IR"/>
        </w:rPr>
        <w:t>فیه دخول الحشفة أو مقدارها</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الدخول من مقطوع الحشفة بما دون ذلک،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لاعتبار المقدار فی مقطوعها، بل المیزان فیها صدق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کتاب الصوم الإشکال فی ترتّب أحکام الجماع علی إدخال مقدارالحشفة من مقطوعها، وأنّها تترتّب بإدخال تمام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حرمة البنت والاُمّ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 للدخول علی البنت فی حرمة الاُمّ، ولعلّ مراده علی تقدیر القولبدخله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 فی حرمة 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 محرّمة مطلقاً، سواء دخل بالبنت أم لم یدخل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حرمتها غیر متوقّفةٍ علی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بنتها مزنیّة بها علی الأقوی، وأمّا المعقودة فحرمة اُمّها غیر مشروطةٍبتحقّق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حرمة الاُمّ المزنیّ بها علی القول بها، وأمّا اُمّ المعقودة فتحرم بمجرّد العقد،ولا مدخلیّة للدخول علی البنت فی حرمتها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اُمّ الزوجة غیر مشروطةٍ بالدخول ببنتها، بخلاف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اُمّ المزنی بها علی القول بحرمتها، وإلّا فحرمة اُمّ المعقود علیها غیرمشروطة بالدخول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 الموطوءة بالزنا بقرینة ما بعده؛ ولأنّ حرمة اُمّ المعقودةلیست من الأحکام المعلّقة علی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وغیر</w:t>
      </w:r>
    </w:p>
    <w:p>
      <w:pPr>
        <w:pStyle w:val="BookText"/>
        <w:rPr/>
      </w:pPr>
      <w:r>
        <w:rPr>
          <w:rFonts w:ascii="IRNazanin" w:hAnsi="IRNazanin" w:eastAsia="IRNazanin"/>
          <w:color w:val="111111"/>
          <w:sz w:val="28"/>
          <w:sz w:val="28"/>
          <w:szCs w:val="28"/>
          <w:rtl w:val="true"/>
          <w:lang w:bidi="fa-IR"/>
        </w:rPr>
        <w:t>ذلک من أحکام المصاهرة المعلّقة علی الدخول، نعم، فی کفایته</w:t>
      </w:r>
      <w:r>
        <w:rPr>
          <w:rStyle w:val="FootnoteAnchor"/>
          <w:rtl w:val="true"/>
        </w:rPr>
        <w:footnoteReference w:id="747"/>
      </w:r>
      <w:r>
        <w:rPr>
          <w:rFonts w:ascii="IRNazanin" w:hAnsi="IRNazanin" w:eastAsia="IRNazanin"/>
          <w:color w:val="111111"/>
          <w:sz w:val="28"/>
          <w:sz w:val="28"/>
          <w:szCs w:val="28"/>
          <w:rtl w:val="true"/>
          <w:lang w:bidi="fa-IR"/>
        </w:rPr>
        <w:t> فی حصول تحلیل المطلّقة ثلاثاً</w:t>
      </w:r>
      <w:r>
        <w:rPr>
          <w:rStyle w:val="FootnoteAnchor"/>
          <w:rtl w:val="true"/>
        </w:rPr>
        <w:footnoteReference w:id="748"/>
      </w:r>
      <w:r>
        <w:rPr>
          <w:rFonts w:ascii="IRNazanin" w:hAnsi="IRNazanin" w:eastAsia="IRNazanin"/>
          <w:color w:val="111111"/>
          <w:sz w:val="28"/>
          <w:sz w:val="28"/>
          <w:szCs w:val="28"/>
          <w:rtl w:val="true"/>
          <w:lang w:bidi="fa-IR"/>
        </w:rPr>
        <w:t> إشکال</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عدم الکفایة فیه وفی الفئة، وفیما یجب فی الأربعة أشهر، وأمّا الوطء فیالقُبُل بدون الإنزال فالأقوی کفایته فی الأحکام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فیه وفی الوطء الواجب فی أربعة أشهر، وفی الفئة فیالإیلاء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عدمها فیه، والأحوط عدم الکفایة فی القبل بدون الإنزال، ولا یبعد عدمالکفایة فی الوطء فی الدُبُر فی الفرعین المتأخّرین أیضاً، والظاهر کفایة الوطء فیالقُبُل بلا إنزالٍ فی الأربعة أشهر، وحصول الفئة فی الإیلاء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 عدم کفایة الوطء فی الدُبُر، وکفایة الوطء فی القُبُل بدون الإنزال؛ لأنّذَوق العُسَیلَة عبارة عن لذّة الجماع، والموجود فی أخبارنا اعتبار ذوق عُسَیلَتَهاخاصّة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فی کفایة الوطء فی القُبُل فیه بدون الإنزال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کذلک</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کفایته، وأمّا الأخبار فلم یرد فی الصحیح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عُسَیلَته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عُسَیلَتها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 اللذّة جزماً، وهو یتحقّقبدون 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إشکال، والأحوط العدم، وإن کان فی تعلیله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لما ورد فی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اعتبار ذوق عُسَیلَته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ما یدلّ علی اعتبار ذوق عُسَیلَته إلّا فی بعض أخبار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6/166</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نعم،ورد فی اعتبار ذوق عُسَیلتها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3/274</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الطلاق، 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طرقنا، لکن فی دلالتها علی المقصودتأمّل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روایةٍ تدلّ علی ذوق عُسَیلته، وعلی فرض وجودها لا تدلّ علیالمقصود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علیه، بل الدلیل قائم علی اشتراط ذوق عُسَیلَتها، والظاهر عدمتحقّقه إلّا بالإدخال تامّاً والإنزال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وعُسَیلَتها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83" w:name="pg13286_153855"/>
    </w:p>
    <w:p>
      <w:pPr>
        <w:pStyle w:val="BookText"/>
        <w:rPr/>
      </w:pPr>
      <w:bookmarkEnd w:id="383"/>
      <w:r>
        <w:rPr>
          <w:rFonts w:ascii="IRNazanin" w:hAnsi="IRNazanin" w:eastAsia="IRNazanin"/>
          <w:color w:val="111111"/>
          <w:sz w:val="28"/>
          <w:sz w:val="28"/>
          <w:szCs w:val="28"/>
          <w:rtl w:val="true"/>
          <w:lang w:bidi="fa-IR"/>
        </w:rPr>
        <w:t>فیه، وکذا فی کفایته</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الکفایة فی الموارد المشار إلیها، نعم، الأقوی کفایة الوطء فی القُبُلولو بدون 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عدم الکفایة فی جمیع المذکورات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إلّا مع الإنزال ولو خارج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رجوع الضمیر إلی الوطء فی الدُبُر، وأمّا لو اُرید به الوطء فی القُبُل بلاإنزالٍ فلا یبعد الکفایة فی هذا الفرع، وکذا فی الفرع الّذی بعده، بل 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الوطء الواجب فی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کفایة الوطء فی الدُبُر فیه، وکفایة الوطء فی القُبُل بلا إنزال، وکذا فیتالیه بالإضافة إلی الوطء فی القُبُل، وأمّا کفایة الوطء فی الدُبُر فیه فلا تخلو منإشکال، ولا یبعد دعوی أظهریّة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فی کفایته فی 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المشکل هو تحقّق الإیلاء بالحلف علی ترک الوطء فی الدُبُر ولو مع القُبُل،والمتیقّن تحقّقه بالحلف علی ترک الوطء فی القُبُل، وأمّا لو قیل بتحقّقه بالحلف علیترکه فلا إشکال فی تحقّق الفئة والرجوع به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والرجوع فی الإیلاء أیضاً</w:t>
      </w:r>
      <w:r>
        <w:rPr>
          <w:rFonts w:eastAsia="IRNazanin" w:cs="IRNazanin"/>
          <w:color w:val="111111"/>
          <w:sz w:val="28"/>
          <w:szCs w:val="28"/>
          <w:rtl w:val="true"/>
          <w:lang w:bidi="fa-IR"/>
        </w:rPr>
        <w:t>.</w:t>
      </w:r>
    </w:p>
    <w:p>
      <w:pPr>
        <w:pStyle w:val="Heading4"/>
        <w:numPr>
          <w:ilvl w:val="3"/>
          <w:numId w:val="1"/>
        </w:numPr>
        <w:rPr/>
      </w:pPr>
      <w:bookmarkStart w:id="384" w:name="__RefHeading___Toc2138690_2322387425"/>
      <w:bookmarkStart w:id="385" w:name="_Toc138"/>
      <w:bookmarkEnd w:id="384"/>
      <w:r>
        <w:rPr>
          <w:rtl w:val="true"/>
        </w:rPr>
        <w:t>تحقّق الحنث بالوطء دبراً لو حلف علی الترک</w:t>
      </w:r>
      <w:bookmarkEnd w:id="38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حلف علی ترک وطء امرأته فی زمانٍ أو مکانٍ یتحقّق</w:t>
      </w:r>
      <w:r>
        <w:rPr>
          <w:rStyle w:val="FootnoteAnchor"/>
          <w:rtl w:val="true"/>
        </w:rPr>
        <w:footnoteReference w:id="752"/>
      </w:r>
      <w:r>
        <w:rPr>
          <w:rFonts w:ascii="IRNazanin" w:hAnsi="IRNazanin" w:eastAsia="IRNazanin"/>
          <w:color w:val="111111"/>
          <w:sz w:val="28"/>
          <w:sz w:val="28"/>
          <w:szCs w:val="28"/>
          <w:rtl w:val="true"/>
          <w:lang w:bidi="fa-IR"/>
        </w:rPr>
        <w:t> الحنث</w:t>
      </w:r>
      <w:r>
        <w:rPr>
          <w:rStyle w:val="FootnoteAnchor"/>
          <w:rtl w:val="true"/>
        </w:rPr>
        <w:footnoteReference w:id="75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     . </w:t>
      </w:r>
      <w:bookmarkStart w:id="386" w:name="pg13286_153856"/>
    </w:p>
    <w:p>
      <w:pPr>
        <w:pStyle w:val="BookText"/>
        <w:rPr/>
      </w:pPr>
      <w:bookmarkEnd w:id="386"/>
      <w:r>
        <w:rPr>
          <w:rFonts w:ascii="Amiri" w:hAnsi="Amiri" w:eastAsia="Amiri" w:cs="Amiri"/>
          <w:color w:val="111111"/>
          <w:sz w:val="28"/>
          <w:sz w:val="28"/>
          <w:szCs w:val="28"/>
          <w:rtl w:val="true"/>
          <w:lang w:bidi="ar-SA"/>
        </w:rPr>
        <w:t>بوطئها دُبُراً</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حلف علی ترک الوطء بما له من المفهوم، أمّا فی غیر ذلک فالحنث تابع لماقصده الحالف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یکون هناک 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الوطء فی القُبُل؛ من  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غرضه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انعقاد النطفة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2138692_2322387425"/>
      <w:bookmarkStart w:id="388" w:name="_Toc139"/>
      <w:bookmarkEnd w:id="387"/>
      <w:r>
        <w:rPr>
          <w:rtl w:val="true"/>
        </w:rPr>
        <w:t>موارد العزل</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العزل، بمعنی إخراج الآلة عند الإنزال وإفراغ المنیّ خارج الفرج فی الأمة وإن کانت منکوحة بعقد الدوام، والحرّة المتمتّع</w:t>
      </w:r>
      <w:r>
        <w:rPr>
          <w:rStyle w:val="FootnoteAnchor"/>
          <w:rtl w:val="true"/>
        </w:rPr>
        <w:footnoteReference w:id="755"/>
      </w:r>
      <w:r>
        <w:rPr>
          <w:rFonts w:ascii="IRNazanin" w:hAnsi="IRNazanin" w:eastAsia="IRNazanin"/>
          <w:color w:val="111111"/>
          <w:sz w:val="28"/>
          <w:sz w:val="28"/>
          <w:szCs w:val="28"/>
          <w:rtl w:val="true"/>
          <w:lang w:bidi="fa-IR"/>
        </w:rPr>
        <w:t>بها</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الاختصاص بالدائمة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وفاقاً لِسیّدنا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 للمرتضی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زوجة، ویثبت لها جمیع أحکام الزوجیّة إلّا ما خرج بالدلیل، کجواز الزیادة علی الأربع، وعدمالتوارث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إذنها وإن کانت دائمة، ومع اشتراط ذلک علیها فی العقد، وفی  </w:t>
      </w:r>
    </w:p>
    <w:p>
      <w:pPr>
        <w:pStyle w:val="BookText"/>
        <w:rPr/>
      </w:pPr>
      <w:r>
        <w:rPr>
          <w:rFonts w:ascii="Amiri" w:hAnsi="Amiri" w:eastAsia="Amiri" w:cs="Amiri"/>
          <w:color w:val="111111"/>
          <w:sz w:val="28"/>
          <w:sz w:val="28"/>
          <w:szCs w:val="28"/>
          <w:rtl w:val="true"/>
          <w:lang w:bidi="ar-SA"/>
        </w:rPr>
        <w:t>الدُبُر وفی حال الاضطرار من ضررٍ</w:t>
      </w:r>
      <w:r>
        <w:rPr>
          <w:rStyle w:val="FootnoteAnchor"/>
          <w:rtl w:val="true"/>
        </w:rPr>
        <w:footnoteReference w:id="757"/>
      </w:r>
      <w:r>
        <w:rPr>
          <w:rFonts w:ascii="IRNazanin" w:hAnsi="IRNazanin" w:eastAsia="IRNazanin"/>
          <w:color w:val="111111"/>
          <w:sz w:val="28"/>
          <w:sz w:val="28"/>
          <w:szCs w:val="28"/>
          <w:rtl w:val="true"/>
          <w:lang w:bidi="fa-IR"/>
        </w:rPr>
        <w:t>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جوازه فی الحرّة</w:t>
      </w:r>
    </w:p>
    <w:p>
      <w:pPr>
        <w:pStyle w:val="BookText"/>
        <w:rPr/>
      </w:pPr>
      <w:r>
        <w:rPr>
          <w:rFonts w:ascii="IRNazanin" w:hAnsi="IRNazanin" w:eastAsia="IRNazanin"/>
          <w:color w:val="111111"/>
          <w:sz w:val="28"/>
          <w:sz w:val="28"/>
          <w:szCs w:val="28"/>
          <w:rtl w:val="true"/>
          <w:lang w:bidi="fa-IR"/>
        </w:rPr>
        <w:t>المنکوحة بعقد الدوام فی غیر ما ذکر قولان، الأقوی ما هو المشهور</w:t>
      </w:r>
      <w:r>
        <w:rPr>
          <w:rStyle w:val="FootnoteAnchor"/>
          <w:rtl w:val="true"/>
        </w:rPr>
        <w:footnoteReference w:id="758"/>
      </w:r>
      <w:r>
        <w:rPr>
          <w:rFonts w:ascii="IRNazanin" w:hAnsi="IRNazanin" w:eastAsia="IRNazanin"/>
          <w:color w:val="111111"/>
          <w:sz w:val="28"/>
          <w:sz w:val="28"/>
          <w:szCs w:val="28"/>
          <w:rtl w:val="true"/>
          <w:lang w:bidi="fa-IR"/>
        </w:rPr>
        <w:t> من</w:t>
      </w:r>
    </w:p>
    <w:p>
      <w:pPr>
        <w:pStyle w:val="BookText"/>
        <w:rPr/>
      </w:pPr>
      <w:r>
        <w:rPr>
          <w:rFonts w:ascii="IRNazanin" w:hAnsi="IRNazanin" w:eastAsia="IRNazanin"/>
          <w:color w:val="111111"/>
          <w:sz w:val="28"/>
          <w:sz w:val="28"/>
          <w:szCs w:val="28"/>
          <w:rtl w:val="true"/>
          <w:lang w:bidi="fa-IR"/>
        </w:rPr>
        <w:t>الجواز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 بعدمها، أو أخفّیّتها فی العجوزة والعقیمة والسلیطة والبذیّة، والّتی لا ترضع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عدم وجوب دِیَة النطفة علیه وإن قلنا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بوجوبها</w:t>
      </w:r>
      <w:r>
        <w:rPr>
          <w:rStyle w:val="FootnoteAnchor"/>
          <w:rtl w:val="true"/>
        </w:rPr>
        <w:footnoteReference w:id="759"/>
      </w:r>
      <w:r>
        <w:rPr>
          <w:rFonts w:ascii="IRNazanin" w:hAnsi="IRNazanin" w:eastAsia="IRNazanin"/>
          <w:color w:val="111111"/>
          <w:sz w:val="28"/>
          <w:sz w:val="28"/>
          <w:szCs w:val="28"/>
          <w:rtl w:val="true"/>
          <w:lang w:bidi="fa-IR"/>
        </w:rPr>
        <w:t> علیه للزوجة، وهی عشرة دنانیر؛ للخبر الوارد</w:t>
      </w:r>
      <w:r>
        <w:rPr>
          <w:rStyle w:val="FootnoteAnchor"/>
          <w:rtl w:val="true"/>
        </w:rPr>
        <w:footnoteReference w:id="760"/>
      </w:r>
      <w:r>
        <w:rPr>
          <w:rFonts w:ascii="IRNazanin" w:hAnsi="IRNazanin" w:eastAsia="IRNazanin"/>
          <w:color w:val="111111"/>
          <w:sz w:val="28"/>
          <w:sz w:val="28"/>
          <w:szCs w:val="28"/>
          <w:rtl w:val="true"/>
          <w:lang w:bidi="fa-IR"/>
        </w:rPr>
        <w:t>فیمن أفزع</w:t>
      </w:r>
    </w:p>
    <w:p>
      <w:pPr>
        <w:pStyle w:val="BookText"/>
        <w:rPr/>
      </w:pPr>
      <w:r>
        <w:rPr>
          <w:rFonts w:ascii="IRNazanin" w:hAnsi="IRNazanin" w:eastAsia="IRNazanin"/>
          <w:color w:val="111111"/>
          <w:sz w:val="28"/>
          <w:sz w:val="28"/>
          <w:szCs w:val="28"/>
          <w:rtl w:val="true"/>
          <w:lang w:bidi="fa-IR"/>
        </w:rPr>
        <w:t>رجلاً عن عرسه فعزل عنها الماء من وجوب نصف خمس المائة عشرة دنانیر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فی غیر ما نحن فیه، ولا وجه للقیاس علیه مع أنّه مع الفارق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عزل المرأة ـ بمعنی منعها</w:t>
      </w:r>
      <w:r>
        <w:rPr>
          <w:rStyle w:val="FootnoteAnchor"/>
          <w:rtl w:val="true"/>
        </w:rPr>
        <w:footnoteReference w:id="762"/>
      </w:r>
      <w:r>
        <w:rPr>
          <w:rFonts w:ascii="IRNazanin" w:hAnsi="IRNazanin" w:eastAsia="IRNazanin"/>
          <w:color w:val="111111"/>
          <w:sz w:val="28"/>
          <w:sz w:val="28"/>
          <w:szCs w:val="28"/>
          <w:rtl w:val="true"/>
          <w:lang w:bidi="fa-IR"/>
        </w:rPr>
        <w:t> من الإنزال فی فرجها ـ فالظاهر حرمته بدون رضا الزوج، فإنّه منافٍ للتمکین الواجب علیها، بل یمکن</w:t>
      </w:r>
      <w:r>
        <w:rPr>
          <w:rStyle w:val="FootnoteAnchor"/>
          <w:rtl w:val="true"/>
        </w:rPr>
        <w:footnoteReference w:id="763"/>
      </w:r>
      <w:bookmarkStart w:id="389" w:name="pg13286_153858"/>
    </w:p>
    <w:p>
      <w:pPr>
        <w:pStyle w:val="BookText"/>
        <w:rPr/>
      </w:pPr>
      <w:bookmarkEnd w:id="389"/>
      <w:r>
        <w:rPr>
          <w:rFonts w:ascii="IRNazanin" w:hAnsi="IRNazanin" w:eastAsia="IRNazanin"/>
          <w:color w:val="111111"/>
          <w:sz w:val="28"/>
          <w:sz w:val="28"/>
          <w:szCs w:val="28"/>
          <w:rtl w:val="true"/>
          <w:lang w:bidi="fa-IR"/>
        </w:rPr>
        <w:t>وجوب دیة</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النطفة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ولا فرق فی جواز العزل بین الجماع الواجب</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کما سیأتی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وغیره، حتّی فیما یجب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اعترف به  قدّس سرّه فی المسألة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هذه التعلیقة له  قدّس سرّه من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 المسألة الآتیة التصریح بالإشکال فی کفایة الوطء بلا إنزال عن الواجبعلیه، والحکم بجواز العزل فی الواجب، والإشکال فی کفایته عنه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منه ؛ الإشکال فیه فی المسألة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یصرّح الماتن  قدّس سرّه بالإشکال فی ذلک فی المسألة التالیة، والإشکال فی محلّه، إنلم نستبعد حرمة العزل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2138694_2322387425"/>
      <w:bookmarkStart w:id="391" w:name="_Toc140"/>
      <w:bookmarkEnd w:id="390"/>
      <w:r>
        <w:rPr>
          <w:rtl w:val="true"/>
        </w:rPr>
        <w:t>ترک وطء الزوجة أکثر من أربعة أشهر</w:t>
      </w:r>
      <w:bookmarkEnd w:id="3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ترک وطء الزوجة أکثر من أربعة </w:t>
      </w:r>
    </w:p>
    <w:p>
      <w:pPr>
        <w:pStyle w:val="BookText"/>
        <w:rPr/>
      </w:pPr>
      <w:r>
        <w:rPr>
          <w:rFonts w:ascii="IRNazanin" w:hAnsi="IRNazanin" w:eastAsia="IRNazanin"/>
          <w:color w:val="111111"/>
          <w:sz w:val="28"/>
          <w:sz w:val="28"/>
          <w:szCs w:val="28"/>
          <w:rtl w:val="true"/>
          <w:lang w:bidi="fa-IR"/>
        </w:rPr>
        <w:t>أشهر</w:t>
      </w:r>
      <w:r>
        <w:rPr>
          <w:rStyle w:val="FootnoteAnchor"/>
          <w:rtl w:val="true"/>
        </w:rPr>
        <w:footnoteReference w:id="766"/>
      </w:r>
      <w:r>
        <w:rPr>
          <w:rFonts w:ascii="Amiri" w:hAnsi="Amiri" w:eastAsia="Amiri" w:cs="Amiri"/>
          <w:color w:val="111111"/>
          <w:sz w:val="28"/>
          <w:sz w:val="28"/>
          <w:szCs w:val="28"/>
          <w:rtl w:val="true"/>
          <w:lang w:bidi="ar-SA"/>
        </w:rPr>
        <w:t>، من غیر فرقٍ</w:t>
      </w:r>
      <w:r>
        <w:rPr>
          <w:rStyle w:val="FootnoteAnchor"/>
          <w:rtl w:val="true"/>
        </w:rPr>
        <w:footnoteReference w:id="767"/>
      </w:r>
      <w:r>
        <w:rPr>
          <w:rFonts w:ascii="IRNazanin" w:hAnsi="IRNazanin" w:eastAsia="IRNazanin"/>
          <w:color w:val="111111"/>
          <w:sz w:val="28"/>
          <w:sz w:val="28"/>
          <w:szCs w:val="28"/>
          <w:rtl w:val="true"/>
          <w:lang w:bidi="fa-IR"/>
        </w:rPr>
        <w:t> بین الدائمة والمتمتّع بها</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البروجردی، عبدالله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فی المتمتّع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کما أشرنا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التمتّع بها والشائبة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الشابّة ولا الشائبة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الحکم فی الشائبة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مختصّ بالشابّة، فالحکم بجریانه فی الشائبة احتیاطیّ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الشابّة، وعلی الأحوط فی الشائبة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غیر لزومیّ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والحرّة؛ لإطلاق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مقتضاه</w:t>
      </w:r>
      <w:r>
        <w:rPr>
          <w:rStyle w:val="FootnoteAnchor"/>
          <w:rtl w:val="true"/>
        </w:rPr>
        <w:footnoteReference w:id="769"/>
      </w:r>
      <w:r>
        <w:rPr>
          <w:rFonts w:ascii="IRNazanin" w:hAnsi="IRNazanin" w:eastAsia="IRNazanin"/>
          <w:color w:val="111111"/>
          <w:sz w:val="28"/>
          <w:sz w:val="28"/>
          <w:szCs w:val="28"/>
          <w:rtl w:val="true"/>
          <w:lang w:bidi="fa-IR"/>
        </w:rPr>
        <w:t> عدم</w:t>
      </w:r>
      <w:r>
        <w:rPr>
          <w:rStyle w:val="FootnoteAnchor"/>
          <w:rtl w:val="true"/>
        </w:rPr>
        <w:footnoteReference w:id="770"/>
      </w:r>
      <w:r>
        <w:rPr>
          <w:rFonts w:ascii="IRNazanin" w:hAnsi="IRNazanin" w:eastAsia="IRNazanin"/>
          <w:color w:val="111111"/>
          <w:sz w:val="28"/>
          <w:sz w:val="28"/>
          <w:szCs w:val="28"/>
          <w:rtl w:val="true"/>
          <w:lang w:bidi="fa-IR"/>
        </w:rPr>
        <w:t> الفرق</w:t>
      </w:r>
      <w:r>
        <w:rPr>
          <w:rStyle w:val="FootnoteAnchor"/>
          <w:rtl w:val="true"/>
        </w:rPr>
        <w:footnoteReference w:id="771"/>
      </w:r>
      <w:r>
        <w:rPr>
          <w:rFonts w:ascii="IRNazanin" w:hAnsi="IRNazanin" w:eastAsia="IRNazanin"/>
          <w:color w:val="111111"/>
          <w:sz w:val="28"/>
          <w:sz w:val="28"/>
          <w:szCs w:val="28"/>
          <w:rtl w:val="true"/>
          <w:lang w:bidi="fa-IR"/>
        </w:rPr>
        <w:t> بین الحاضر والمسافر</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المسافر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منع الإطلاق بالنسبة إلی المسافر، والأحوط إرضاء الزوجة بالسفر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تقییده بحضورها عنده فی السفر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سیّما فی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الموضوع فی الدلیل لا یشمل المسافر، فالحکم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القول بالجواز فیه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الضروریّ عند المتشرّعة، واجباً کان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کفایة الوطء</w:t>
      </w:r>
      <w:r>
        <w:rPr>
          <w:rStyle w:val="FootnoteAnchor"/>
          <w:rtl w:val="true"/>
        </w:rPr>
        <w:footnoteReference w:id="773"/>
      </w:r>
      <w:r>
        <w:rPr>
          <w:rFonts w:ascii="Amiri" w:hAnsi="Amiri" w:eastAsia="Amiri" w:cs="Amiri"/>
          <w:color w:val="111111"/>
          <w:sz w:val="28"/>
          <w:sz w:val="28"/>
          <w:szCs w:val="28"/>
          <w:rtl w:val="true"/>
          <w:lang w:bidi="ar-SA"/>
        </w:rPr>
        <w:t> فی الدُبُر إشکال</w:t>
      </w:r>
      <w:r>
        <w:rPr>
          <w:rStyle w:val="FootnoteAnchor"/>
          <w:rtl w:val="true"/>
        </w:rPr>
        <w:footnoteReference w:id="774"/>
      </w:r>
      <w:r>
        <w:rPr>
          <w:rFonts w:ascii="Amiri" w:hAnsi="Amiri" w:eastAsia="Amiri" w:cs="Amiri"/>
          <w:color w:val="111111"/>
          <w:sz w:val="28"/>
          <w:sz w:val="28"/>
          <w:szCs w:val="28"/>
          <w:rtl w:val="true"/>
          <w:lang w:bidi="ar-SA"/>
        </w:rPr>
        <w:t>، کما مرّ</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کفایة الثانی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الإدخال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کفایة الثانی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الکفایة غیر بعید، ولکن ینبغی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الإنزال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ینافی ما تقدّم منه ؛ فی آخر المسألة السابقة، والأظهر الکفایة، ولا حاجة إلیالإنزال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عدم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الوطء فی القُبُل بلا إنزال،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فی المسألة السابقة الحکم بجواز العزل فی الوطء الواجب فی کلّأربعة أشهر، وهو لا یجتمع مع الإشکال هنا، والظاهر ما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لانصراف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الوطء المتعارف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w:t>
      </w:r>
    </w:p>
    <w:p>
      <w:pPr>
        <w:pStyle w:val="BookText"/>
        <w:rPr/>
      </w:pPr>
      <w:r>
        <w:rPr>
          <w:rFonts w:ascii="IRNazanin" w:hAnsi="IRNazanin" w:eastAsia="IRNazanin"/>
          <w:color w:val="111111"/>
          <w:sz w:val="28"/>
          <w:sz w:val="28"/>
          <w:szCs w:val="28"/>
          <w:rtl w:val="true"/>
          <w:lang w:bidi="fa-IR"/>
        </w:rPr>
        <w:t>مع الإنزال</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أنّه یجوز العزل حتّی فی الواجب من الوطء، والحقّ عدم اشتراطالإنزال؛ إذ الموضوع فی الدلیل عنوان الترک، ومع الإدخال فی القُبُل لا یصدقالترک،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 ینصرف إلی ما یتعارف فعله،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توقّف الوجوب علی مطالبتها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ترکه مع رضاها، أو 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 یتوقّف الجواز علی القول بجواز إسقاط ما 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ومع عدم التمکّن منه لعدم انتشار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العضو، ومع خوف الضرر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أو علیها، ومع غیبتها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باختیارها، ومع نشوزها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أزید من الإدخال والإنزال، فلا بأس  بترک سائر المقدّمات من الاستمتاعات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الحکم فی المملوکة الغیر</w:t>
      </w:r>
      <w:bookmarkStart w:id="392" w:name="pg13286_153863"/>
    </w:p>
    <w:p>
      <w:pPr>
        <w:pStyle w:val="BookText"/>
        <w:rPr/>
      </w:pPr>
      <w:bookmarkEnd w:id="392"/>
      <w:r>
        <w:rPr>
          <w:rFonts w:ascii="IRNazanin" w:hAnsi="IRNazanin" w:eastAsia="IRNazanin"/>
          <w:color w:val="111111"/>
          <w:sz w:val="28"/>
          <w:sz w:val="28"/>
          <w:szCs w:val="28"/>
          <w:rtl w:val="true"/>
          <w:lang w:bidi="fa-IR"/>
        </w:rPr>
        <w:t>المزوّجة، فیجوز ترک وطئها</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الترک، خصوصاً إذا کانت شابّة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138696_2322387425"/>
      <w:bookmarkStart w:id="394" w:name="_Toc141"/>
      <w:bookmarkEnd w:id="393"/>
      <w:r>
        <w:rPr>
          <w:rtl w:val="true"/>
        </w:rPr>
        <w:t>حکم ما لو کانت المرأة لا تصبر عن المواقعة إلی أربعة أشهر</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الزوجة من جهة کثرة میلها وشبقها لا تقدر علیالصبر إلی أربعة أشهر بحیث تقع فی المعصیة إذا لم یواقعها فالأحوط المبادرة إلی مواقعتها قبل تمام الأربعة</w:t>
      </w:r>
      <w:r>
        <w:rPr>
          <w:rStyle w:val="FootnoteAnchor"/>
          <w:rtl w:val="true"/>
        </w:rPr>
        <w:footnoteReference w:id="778"/>
      </w:r>
      <w:r>
        <w:rPr>
          <w:rFonts w:ascii="IRNazanin" w:hAnsi="IRNazanin" w:eastAsia="IRNazanin"/>
          <w:color w:val="111111"/>
          <w:sz w:val="28"/>
          <w:sz w:val="28"/>
          <w:szCs w:val="28"/>
          <w:rtl w:val="true"/>
          <w:lang w:bidi="fa-IR"/>
        </w:rPr>
        <w:t>، أو طلاقها وتخلیة سبیلها</w:t>
      </w:r>
      <w:r>
        <w:rPr>
          <w:rFonts w:eastAsia="IRNazanin" w:cs="IRNazanin"/>
          <w:color w:val="111111"/>
          <w:sz w:val="28"/>
          <w:szCs w:val="28"/>
          <w:rtl w:val="true"/>
          <w:lang w:bidi="fa-IR"/>
        </w:rPr>
        <w:t>.</w:t>
      </w:r>
    </w:p>
    <w:p>
      <w:pPr>
        <w:pStyle w:val="Heading4"/>
        <w:numPr>
          <w:ilvl w:val="3"/>
          <w:numId w:val="1"/>
        </w:numPr>
        <w:rPr/>
      </w:pPr>
      <w:bookmarkStart w:id="395" w:name="__RefHeading___Toc2138698_2322387425"/>
      <w:bookmarkStart w:id="396" w:name="_Toc142"/>
      <w:bookmarkEnd w:id="395"/>
      <w:r>
        <w:rPr>
          <w:rtl w:val="true"/>
        </w:rPr>
        <w:t>تدارک ما فات من ترک الوطء لمانع</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مواقعتها عند تمام الأربعة أشهرٍ لمانعٍ من حیضٍ أو نحوه، أو عصیاناً لا یجب</w:t>
      </w:r>
      <w:r>
        <w:rPr>
          <w:rStyle w:val="FootnoteAnchor"/>
          <w:rtl w:val="true"/>
        </w:rPr>
        <w:footnoteReference w:id="779"/>
      </w:r>
      <w:r>
        <w:rPr>
          <w:rFonts w:ascii="IRNazanin" w:hAnsi="IRNazanin" w:eastAsia="IRNazanin"/>
          <w:color w:val="111111"/>
          <w:sz w:val="28"/>
          <w:sz w:val="28"/>
          <w:szCs w:val="28"/>
          <w:rtl w:val="true"/>
          <w:lang w:bidi="fa-IR"/>
        </w:rPr>
        <w:t> علیه</w:t>
      </w:r>
      <w:r>
        <w:rPr>
          <w:rStyle w:val="FootnoteAnchor"/>
          <w:rtl w:val="true"/>
        </w:rPr>
        <w:footnoteReference w:id="780"/>
      </w:r>
      <w:r>
        <w:rPr>
          <w:rFonts w:ascii="IRNazanin" w:hAnsi="IRNazanin" w:eastAsia="IRNazanin"/>
          <w:color w:val="111111"/>
          <w:sz w:val="28"/>
          <w:sz w:val="28"/>
          <w:szCs w:val="28"/>
          <w:rtl w:val="true"/>
          <w:lang w:bidi="fa-IR"/>
        </w:rPr>
        <w:t> القضاء</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یجب علیه وطء لما سبق، ووطء آخر من جهة عدم التأخیر عن زمانوطئه بأربعة أشهر مهما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کونه من المؤقّت، فسبب الوجوب تمام أربعة أشهر، ولا یسقط إلّابإرضائها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الوطء الواجب مؤقّتاً برأس الأربعة أشهرٍ حتّی یکون بعده قضاء ویحتاجوجوبه إلی أمر جدید، بل ظاهر الدلیل هو حرمة إبقائها بلا وطءٍ فی هذا المقداروأکثر منه، فیجب بعده فوراً ففوراً، ولا یسقط بالعصیان، أو وجود المانع، نعم، لایجب وطء آخر قضاءً لما 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مواقعتها وعدم تأخیرها وإن لم یکن بعنوان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هو من باب المؤقّت فیصیر قضاءً بخروج وقته، بل إذا تمّ أربعة أشهرٍ یجبالوطء ولا یسقط إلّا بإتیان، فالوقت من قبیل شرط الوجوب، لا قید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وطؤُها بعد ارتفاع المانع فوراً ففوراً، ولا معنی للقضاء فی المقامبلا ریبٍ ولا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تدارک ما فات بحیث لو ترک الثمانیة لوجب علیه المرّتان، لکن یجب علیهبعد مضیّ الأربعة وطوها فوراً ففوراً، ولا یسقط بترکه فی رأس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کونه مؤقّتاً حتّی یلزم تدارک الفائت من الأربعة، بل سبب الوجوبمضیّها خالیة من الوطء، فلو کان المورد حقّاً لها لا یسقط، بل یجب التأدیة فوراًففوراً، أو الاسترضاء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یجب علیه الوطء فی أوّل أزمنة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المبادرة فوراً ففوراً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معنی ذلک سقوط وجوب الوطء عنه، بل یجب علیه فوراً ففوراً، وإن لمیکن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الإتیان فوراً ففوراً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أنّه لا یرتفع الوجوب بذلک، بل یجب بعد رفع المانع فوراً ففوراً،ولا یسقط بالعصیان، نعم، لا یجب وطء آخر قضاءً لما 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بعد مضیّ أربعةٍ اُخری بحیث تجب علیه مرّتان، ولکنّ الوجوب لا یسقطبالعصیان أو عروض المانع؛ لأنّه لا یکون مؤقّتاً، بل عند انقضاء الأربعة یجب علیهالوطء فوراً ففوراً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نعم، الأحوط</w:t>
      </w:r>
      <w:r>
        <w:rPr>
          <w:rStyle w:val="FootnoteAnchor"/>
          <w:rtl w:val="true"/>
        </w:rPr>
        <w:footnoteReference w:id="782"/>
      </w:r>
      <w:r>
        <w:rPr>
          <w:rFonts w:ascii="IRNazanin" w:hAnsi="IRNazanin" w:eastAsia="IRNazanin"/>
          <w:color w:val="111111"/>
          <w:sz w:val="28"/>
          <w:sz w:val="28"/>
          <w:szCs w:val="28"/>
          <w:rtl w:val="true"/>
          <w:lang w:bidi="fa-IR"/>
        </w:rPr>
        <w:t> إرضاوها</w:t>
      </w:r>
      <w:r>
        <w:rPr>
          <w:rStyle w:val="FootnoteAnchor"/>
          <w:rtl w:val="true"/>
        </w:rPr>
        <w:footnoteReference w:id="783"/>
      </w:r>
      <w:r>
        <w:rPr>
          <w:rFonts w:ascii="IRNazanin" w:hAnsi="IRNazanin" w:eastAsia="IRNazanin"/>
          <w:color w:val="111111"/>
          <w:sz w:val="28"/>
          <w:sz w:val="28"/>
          <w:szCs w:val="28"/>
          <w:rtl w:val="true"/>
          <w:lang w:bidi="fa-IR"/>
        </w:rPr>
        <w:t> بوجهٍ من الوجوه؛ لأنّ الظاهر</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حقّ لها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فوّته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اللازم عدم التأخیر من وطءٍ إلی وطءٍ أزید من الأربعة، فمبدأ اعتبار الأربعة اللاحقة إنّما هو الوطء المتقدّم، لا حین انقضاء الأربعة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3286_153866"/>
    </w:p>
    <w:p>
      <w:pPr>
        <w:pStyle w:val="Heading3"/>
        <w:numPr>
          <w:ilvl w:val="2"/>
          <w:numId w:val="1"/>
        </w:numPr>
        <w:rPr/>
      </w:pPr>
      <w:bookmarkStart w:id="398" w:name="__RefHeading___Toc2138700_2322387425"/>
      <w:bookmarkStart w:id="399" w:name="_Toc143"/>
      <w:bookmarkEnd w:id="397"/>
      <w:bookmarkEnd w:id="398"/>
      <w:r>
        <w:rPr>
          <w:rtl w:val="true"/>
        </w:rPr>
        <w:t xml:space="preserve">فصل </w:t>
      </w:r>
      <w:r>
        <w:rPr>
          <w:rtl w:val="true"/>
        </w:rPr>
        <w:t>[</w:t>
      </w:r>
      <w:r>
        <w:rPr>
          <w:rtl w:val="true"/>
        </w:rPr>
        <w:t>فی وطء الزوجة الصغیرة</w:t>
      </w:r>
      <w:r>
        <w:rPr>
          <w:rtl w:val="true"/>
        </w:rPr>
        <w:t>]</w:t>
      </w:r>
      <w:bookmarkEnd w:id="399"/>
    </w:p>
    <w:p>
      <w:pPr>
        <w:pStyle w:val="Heading4"/>
        <w:numPr>
          <w:ilvl w:val="3"/>
          <w:numId w:val="1"/>
        </w:numPr>
        <w:rPr/>
      </w:pPr>
      <w:bookmarkStart w:id="400" w:name="__RefHeading___Toc2138702_2322387425"/>
      <w:bookmarkStart w:id="401" w:name="_Toc144"/>
      <w:bookmarkEnd w:id="400"/>
      <w:r>
        <w:rPr>
          <w:rtl w:val="true"/>
        </w:rPr>
        <w:t>حرمة وطء الزوجة قبل إکمال تسع سنین</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وطء الزوجة</w:t>
      </w:r>
      <w:r>
        <w:rPr>
          <w:rStyle w:val="FootnoteAnchor"/>
          <w:rtl w:val="true"/>
        </w:rPr>
        <w:footnoteReference w:id="785"/>
      </w:r>
      <w:r>
        <w:rPr>
          <w:rFonts w:ascii="IRNazanin" w:hAnsi="IRNazanin" w:eastAsia="IRNazanin"/>
          <w:color w:val="111111"/>
          <w:sz w:val="28"/>
          <w:sz w:val="28"/>
          <w:szCs w:val="28"/>
          <w:rtl w:val="true"/>
          <w:lang w:bidi="fa-IR"/>
        </w:rPr>
        <w:t> قبل إکمال تسع سنین، حرّةً کانت</w:t>
      </w:r>
    </w:p>
    <w:p>
      <w:pPr>
        <w:pStyle w:val="BookText"/>
        <w:rPr/>
      </w:pPr>
      <w:r>
        <w:rPr>
          <w:rFonts w:ascii="IRNazanin" w:hAnsi="IRNazanin" w:eastAsia="IRNazanin"/>
          <w:color w:val="111111"/>
          <w:sz w:val="28"/>
          <w:sz w:val="28"/>
          <w:szCs w:val="28"/>
          <w:rtl w:val="true"/>
          <w:lang w:bidi="fa-IR"/>
        </w:rPr>
        <w:t>أو أمة، دواماً کان النکاح أو متعة، بل لا یجوز</w:t>
      </w:r>
      <w:r>
        <w:rPr>
          <w:rStyle w:val="FootnoteAnchor"/>
          <w:rtl w:val="true"/>
        </w:rPr>
        <w:footnoteReference w:id="786"/>
      </w:r>
      <w:r>
        <w:rPr>
          <w:rFonts w:ascii="IRNazanin" w:hAnsi="IRNazanin" w:eastAsia="IRNazanin"/>
          <w:color w:val="111111"/>
          <w:sz w:val="28"/>
          <w:sz w:val="28"/>
          <w:szCs w:val="28"/>
          <w:rtl w:val="true"/>
          <w:lang w:bidi="fa-IR"/>
        </w:rPr>
        <w:t> وطء المملوکة</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احتیاطٍ شدیدٍ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والمحلّلة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الاستمتاع بما عدا الوطء من النظر واللَمس بشهوة والضمّ والتفخیذ فجائز فی الجمیع ولو فی الرضیعة</w:t>
      </w:r>
      <w:r>
        <w:rPr>
          <w:rFonts w:eastAsia="IRNazanin" w:cs="IRNazanin"/>
          <w:color w:val="111111"/>
          <w:sz w:val="28"/>
          <w:szCs w:val="28"/>
          <w:rtl w:val="true"/>
          <w:lang w:bidi="fa-IR"/>
        </w:rPr>
        <w:t>.</w:t>
      </w:r>
    </w:p>
    <w:p>
      <w:pPr>
        <w:pStyle w:val="Heading4"/>
        <w:numPr>
          <w:ilvl w:val="3"/>
          <w:numId w:val="1"/>
        </w:numPr>
        <w:rPr/>
      </w:pPr>
      <w:bookmarkStart w:id="402" w:name="__RefHeading___Toc2138704_2322387425"/>
      <w:bookmarkStart w:id="403" w:name="_Toc145"/>
      <w:bookmarkEnd w:id="402"/>
      <w:r>
        <w:rPr>
          <w:rtl w:val="true"/>
        </w:rPr>
        <w:t>التحریم بإفضاء الصغیرة قبل إکمال التسع</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صغیرةً دواماً أو متعةً</w:t>
      </w:r>
      <w:r>
        <w:rPr>
          <w:rStyle w:val="FootnoteAnchor"/>
          <w:rtl w:val="true"/>
        </w:rPr>
        <w:footnoteReference w:id="788"/>
      </w:r>
      <w:r>
        <w:rPr>
          <w:rFonts w:ascii="IRNazanin" w:hAnsi="IRNazanin" w:eastAsia="IRNazanin"/>
          <w:color w:val="111111"/>
          <w:sz w:val="28"/>
          <w:sz w:val="28"/>
          <w:szCs w:val="28"/>
          <w:rtl w:val="true"/>
          <w:lang w:bidi="fa-IR"/>
        </w:rPr>
        <w:t>، ودخل بها قبل إکمال تسع سنین فأفضاها حَرُمَت علیه أبداًعلی المشهور</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ترتّب غیر الإثمّ مع عدم الإفضاء، ومع الإفضاء حرمة وطئها أبداًمطلقاً، مع بقاء زوجیّتها، وترتّب جمیع آثارها علیها، ویجب علیه نفقتها، وإن طلّقها،بل وإن تزوّجت بعد الطلاق علی الأحوط،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السبزواری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لم</w:t>
      </w:r>
      <w:bookmarkStart w:id="404" w:name="pg13286_153867"/>
    </w:p>
    <w:p>
      <w:pPr>
        <w:pStyle w:val="BookText"/>
        <w:rPr/>
      </w:pPr>
      <w:bookmarkEnd w:id="404"/>
      <w:r>
        <w:rPr>
          <w:rFonts w:ascii="IRNazanin" w:hAnsi="IRNazanin" w:eastAsia="IRNazanin"/>
          <w:color w:val="111111"/>
          <w:sz w:val="28"/>
          <w:sz w:val="28"/>
          <w:szCs w:val="28"/>
          <w:rtl w:val="true"/>
          <w:lang w:bidi="fa-IR"/>
        </w:rPr>
        <w:t>تخرج عن زوجیّته، وقیل بخروجها عن الزوجیّة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بترک الوطء أبداً فیما لو دخل بها قبل التسع مطلقاً، من غیرفرقٍ بین ما ذکر من الأقسام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بمجرّد الدخول وإن لم یُفضِها، ولکنّ الأقوی بقاوها علی الزوجیّة وإن کانت مفضاة، وعدم حرمتها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محلّ إشکال وتأمّل، والأحوط له ترک وطئها أبداً إذا دخل بها قبل التسع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إذا کان جاهلاً بالموضوع أو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کان صغیراً أو مجنوناً، أو کان بعد اندمال جرحها، أو طلّقها ثمّ عقد علیها جدیداً،</w:t>
      </w:r>
    </w:p>
    <w:p>
      <w:pPr>
        <w:pStyle w:val="Heading4"/>
        <w:numPr>
          <w:ilvl w:val="3"/>
          <w:numId w:val="1"/>
        </w:numPr>
        <w:rPr/>
      </w:pPr>
      <w:bookmarkStart w:id="405" w:name="__RefHeading___Toc2138706_2322387425"/>
      <w:bookmarkStart w:id="406" w:name="_Toc146"/>
      <w:bookmarkEnd w:id="405"/>
      <w:r>
        <w:rPr>
          <w:rtl w:val="true"/>
        </w:rPr>
        <w:t>وجوب الدیة وتعلّق النفقة للمفضاة</w:t>
      </w:r>
      <w:bookmarkEnd w:id="40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w:t>
      </w:r>
      <w:r>
        <w:rPr>
          <w:rStyle w:val="FootnoteAnchor"/>
          <w:rtl w:val="true"/>
        </w:rPr>
        <w:footnoteReference w:id="791"/>
      </w:r>
      <w:r>
        <w:rPr>
          <w:rFonts w:ascii="Amiri" w:hAnsi="Amiri" w:eastAsia="Amiri" w:cs="Amiri"/>
          <w:color w:val="111111"/>
          <w:sz w:val="28"/>
          <w:sz w:val="28"/>
          <w:szCs w:val="28"/>
          <w:rtl w:val="true"/>
          <w:lang w:bidi="ar-SA"/>
        </w:rPr>
        <w:t xml:space="preserve"> علیه دِیَة الإفضاء وهی </w:t>
      </w:r>
      <w:bookmarkStart w:id="407" w:name="pg13286_153868"/>
    </w:p>
    <w:p>
      <w:pPr>
        <w:pStyle w:val="BookText"/>
        <w:rPr/>
      </w:pPr>
      <w:bookmarkEnd w:id="407"/>
      <w:r>
        <w:rPr>
          <w:rFonts w:ascii="Amiri" w:hAnsi="Amiri" w:eastAsia="Amiri" w:cs="Amiri"/>
          <w:color w:val="111111"/>
          <w:sz w:val="28"/>
          <w:sz w:val="28"/>
          <w:szCs w:val="28"/>
          <w:rtl w:val="true"/>
          <w:lang w:bidi="ar-SA"/>
        </w:rPr>
        <w:t>دِیَة النفس، ففی الحرّة نصف دِیَة الرجل، وفی الأمة أقلّ الأمرین من قیمتها ودِیَة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المشهور ثبوت الدِیَة مطلقاً وإن أمسکها ولم یطلّقها، إلّا أنّ مقتضی حسنة</w:t>
      </w:r>
      <w:r>
        <w:rPr>
          <w:rStyle w:val="FootnoteAnchor"/>
          <w:rtl w:val="true"/>
        </w:rPr>
        <w:footnoteReference w:id="792"/>
      </w:r>
      <w:r>
        <w:rPr>
          <w:rFonts w:ascii="IRNazanin" w:hAnsi="IRNazanin" w:eastAsia="IRNazanin"/>
          <w:color w:val="111111"/>
          <w:sz w:val="28"/>
          <w:sz w:val="28"/>
          <w:szCs w:val="28"/>
          <w:rtl w:val="true"/>
          <w:lang w:bidi="fa-IR"/>
        </w:rPr>
        <w:t> حمران</w:t>
      </w:r>
      <w:r>
        <w:rPr>
          <w:rStyle w:val="FootnoteAnchor"/>
          <w:rtl w:val="true"/>
        </w:rPr>
        <w:footnoteReference w:id="793"/>
      </w:r>
      <w:r>
        <w:rPr>
          <w:rFonts w:ascii="Amiri" w:hAnsi="Amiri" w:eastAsia="Amiri" w:cs="Amiri"/>
          <w:color w:val="111111"/>
          <w:sz w:val="28"/>
          <w:sz w:val="28"/>
          <w:szCs w:val="28"/>
          <w:rtl w:val="true"/>
          <w:lang w:bidi="ar-SA"/>
        </w:rPr>
        <w:t>وخبر بُرَید</w:t>
      </w:r>
      <w:r>
        <w:rPr>
          <w:rStyle w:val="FootnoteAnchor"/>
          <w:rtl w:val="true"/>
        </w:rPr>
        <w:footnoteReference w:id="794"/>
      </w:r>
      <w:r>
        <w:rPr>
          <w:rFonts w:ascii="IRNazanin" w:hAnsi="IRNazanin" w:eastAsia="IRNazanin"/>
          <w:color w:val="111111"/>
          <w:sz w:val="28"/>
          <w:sz w:val="28"/>
          <w:szCs w:val="28"/>
          <w:rtl w:val="true"/>
          <w:lang w:bidi="fa-IR"/>
        </w:rPr>
        <w:t>المثبِتَین لها عدم وجوبها علیه إذا لم یطلّقها</w:t>
      </w:r>
      <w:r>
        <w:rPr>
          <w:rStyle w:val="FootnoteAnchor"/>
          <w:rtl w:val="true"/>
        </w:rPr>
        <w:footnoteReference w:id="795"/>
      </w:r>
      <w:r>
        <w:rPr>
          <w:rFonts w:ascii="IRNazanin" w:hAnsi="IRNazanin" w:eastAsia="IRNazanin"/>
          <w:color w:val="111111"/>
          <w:sz w:val="28"/>
          <w:sz w:val="28"/>
          <w:szCs w:val="28"/>
          <w:rtl w:val="true"/>
          <w:lang w:bidi="fa-IR"/>
        </w:rPr>
        <w:t>، والأحوط ما ذکره المشهور</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أیضاً نفقتها ما دامت حیّةً وإن طلّقها، بل وإن تزوّجت</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عدم الوجوب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الطلاق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لإطلاق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 وآدابه،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الخبر لهذه الصورة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2138708_2322387425"/>
      <w:bookmarkStart w:id="409" w:name="_Toc147"/>
      <w:bookmarkEnd w:id="408"/>
      <w:r>
        <w:rPr>
          <w:rtl w:val="true"/>
        </w:rPr>
        <w:t>حقیقة الإفضاء وأنّه لا فرق فیه بالدخول قبلاً ودبراً</w:t>
      </w:r>
      <w:bookmarkEnd w:id="40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w:t>
      </w:r>
      <w:r>
        <w:rPr>
          <w:rStyle w:val="FootnoteAnchor"/>
          <w:rtl w:val="true"/>
        </w:rPr>
        <w:footnoteReference w:id="798"/>
      </w:r>
      <w:r>
        <w:rPr>
          <w:rFonts w:ascii="IRNazanin" w:hAnsi="IRNazanin" w:eastAsia="IRNazanin"/>
          <w:color w:val="111111"/>
          <w:sz w:val="28"/>
          <w:sz w:val="28"/>
          <w:szCs w:val="28"/>
          <w:rtl w:val="true"/>
          <w:lang w:bidi="fa-IR"/>
        </w:rPr>
        <w:t> فی الدخول الموجب للإفضاء بین أن یکون فی القُبُل أو الدُبُر</w:t>
      </w:r>
      <w:r>
        <w:rPr>
          <w:rFonts w:eastAsia="IRNazanin" w:cs="IRNazanin"/>
          <w:color w:val="111111"/>
          <w:sz w:val="28"/>
          <w:szCs w:val="28"/>
          <w:rtl w:val="true"/>
          <w:lang w:bidi="fa-IR"/>
        </w:rPr>
        <w:t xml:space="preserve">. </w:t>
      </w:r>
      <w:bookmarkStart w:id="410" w:name="pg13286_153869"/>
    </w:p>
    <w:p>
      <w:pPr>
        <w:pStyle w:val="BookText"/>
        <w:rPr/>
      </w:pPr>
      <w:bookmarkEnd w:id="410"/>
      <w:r>
        <w:rPr>
          <w:rFonts w:ascii="Amiri" w:hAnsi="Amiri" w:eastAsia="Amiri" w:cs="Amiri"/>
          <w:color w:val="111111"/>
          <w:sz w:val="28"/>
          <w:sz w:val="28"/>
          <w:szCs w:val="28"/>
          <w:rtl w:val="true"/>
          <w:lang w:bidi="ar-SA"/>
        </w:rPr>
        <w:t>والإفضاء أعمّ من أن یکون باتّحاد مَسلَکَی البول والحیض</w:t>
      </w:r>
      <w:r>
        <w:rPr>
          <w:rStyle w:val="FootnoteAnchor"/>
          <w:rtl w:val="true"/>
        </w:rPr>
        <w:footnoteReference w:id="799"/>
      </w:r>
      <w:r>
        <w:rPr>
          <w:rFonts w:ascii="Amiri" w:hAnsi="Amiri" w:eastAsia="Amiri" w:cs="Amiri"/>
          <w:color w:val="111111"/>
          <w:sz w:val="28"/>
          <w:sz w:val="28"/>
          <w:szCs w:val="28"/>
          <w:rtl w:val="true"/>
          <w:lang w:bidi="ar-SA"/>
        </w:rPr>
        <w:t>، أو مَسلَکَی الحیض والغائط</w:t>
      </w:r>
      <w:r>
        <w:rPr>
          <w:rStyle w:val="FootnoteAnchor"/>
          <w:rtl w:val="true"/>
        </w:rPr>
        <w:footnoteReference w:id="800"/>
      </w:r>
      <w:r>
        <w:rPr>
          <w:rFonts w:ascii="IRNazanin" w:hAnsi="IRNazanin" w:eastAsia="IRNazanin"/>
          <w:color w:val="111111"/>
          <w:sz w:val="28"/>
          <w:sz w:val="28"/>
          <w:szCs w:val="28"/>
          <w:rtl w:val="true"/>
          <w:lang w:bidi="fa-IR"/>
        </w:rPr>
        <w:t>، أو اتّحاد الجمیع، وإن کان ظاهر المشهور الاختصاص بالأوّل</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 متحقّق فی ضمن الثالث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 یشمل الثالث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متحقّق فی ضمن الثالث، فیعمّه حکم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مقابل الثانی، لا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واحتمل بعض الأصحاب شمول الأوّل للثانی والثالث؛ زعماً بأنّ اتّحاد مسلکَیالبول والغائط اُرید لا بشرط، فهو أعمّ من أن یتّحد مع غیره، أوْ لا، وفیه منع؛لانصرافه إلی بشرطِ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وتحقّقه بالثالث أیضاً معلوم، فینحصر خلاف المشهور فی خصوص الثانی، ولایبعد صدق الإفضاء علیه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فیشمل الثالث لا محالة؛ لتحقّق الأوّل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الأقوی، بل فی تحقّق الثانی خارجاً تأمّل، والأمر سهل بناءً علی عدمالحرمة بذلک، کما هو المختار عندنا وعند المصنّف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الموضوع عرفیّ، والکلّ مصادیق للإفضاء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اعتبار اتّحاد غیر المسلکَین، وإلّا فهو ـ أی الأوّل ـ متحقّق فی ضمنالثالث ومشمول له، فیعمّه الحکم، والإشکال إنّما هو فی الثانی، والأحوط فیه أیضاًجریان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2138710_2322387425"/>
      <w:bookmarkStart w:id="412" w:name="_Toc148"/>
      <w:bookmarkEnd w:id="411"/>
      <w:r>
        <w:rPr>
          <w:rtl w:val="true"/>
        </w:rPr>
        <w:t>اختصاص الحکم بالزوجة الصغیرة المفضاة بالوطء دون غیرها</w:t>
      </w:r>
      <w:bookmarkEnd w:id="41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یلحق بالزوجة فی الحرمة الأبدیّة ـ علی القول بها ـ </w:t>
      </w:r>
    </w:p>
    <w:p>
      <w:pPr>
        <w:pStyle w:val="BookText"/>
        <w:rPr/>
      </w:pPr>
      <w:r>
        <w:rPr>
          <w:rFonts w:ascii="IRNazanin" w:hAnsi="IRNazanin" w:eastAsia="IRNazanin"/>
          <w:color w:val="111111"/>
          <w:sz w:val="28"/>
          <w:sz w:val="28"/>
          <w:szCs w:val="28"/>
          <w:rtl w:val="true"/>
          <w:lang w:bidi="fa-IR"/>
        </w:rPr>
        <w:t>ووجوب النفقة المملوکةُ</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ثبوت النفقة لها من حیث الإفضاء لا یوجب عدم وجوب نفقتها من حیثالمملوکیّة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والمحلّلة والموطوءة بشبهةٍ أو زنا، ولا الزوجة الکبیرة، نعم، تثبت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یعقل ثبوتها فی المملوکة إذا أفضاها مالکها بوطئها؛ لأنّ المستحقّ لِدِیَةالجنایة علیها هو مالکها، والمفروض أنّه هو الجانی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ثبوتها فی المملوکة إمّا مبنیّ علی القول بتملّکها، أو علی کون المُفضِی قبل التسعغیر مالکها، وإلّا فلا معنی لکون المفضِی مالکاً ومملوکاً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دِیَة علی المالک بإفضاء المملوکة قبل التسع، نعم، یمکن الحکم بوجوبالکفّارة علیه؛ إلحاقاً لما یوجب الدِیَة الکاملة بالقتل، وکذا فی وجوب التصدّق بثمنها علی القول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عدا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وعدا المملوکة؛ إذ لا معنی لوجوب الدِیَة علی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المملوکة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المملوکة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وعدا المملوکة إذا أفضاها مالکها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والمملوکة للواطئ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وعدا المملوکة؛ من حیث إنّ الجانی هو المالک فلا تجب له الدیة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وعدا المملوکة؛ فإنّه لا وجه لثبوت الدِیَة لها علی مالکها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413" w:name="pg13286_153871"/>
    </w:p>
    <w:p>
      <w:pPr>
        <w:pStyle w:val="BookText"/>
        <w:rPr/>
      </w:pPr>
      <w:bookmarkEnd w:id="413"/>
      <w:r>
        <w:rPr>
          <w:rFonts w:ascii="IRNazanin" w:hAnsi="IRNazanin" w:eastAsia="IRNazanin"/>
          <w:color w:val="111111"/>
          <w:sz w:val="28"/>
          <w:sz w:val="28"/>
          <w:szCs w:val="28"/>
          <w:rtl w:val="true"/>
          <w:lang w:bidi="fa-IR"/>
        </w:rPr>
        <w:t>أفضاها بالدخول بها ـ حتّی فی الزنا، وإن کانت عالمةً مطاوعةً</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للتأمّل فی هذا الفرض مجال، فقد یدّعی انصراف النصّ عن الزانیة الکبیرة إذاکانت عالمةً بأنّه یفضیها ومطاوعة له فی ذلک، بل قد یدّعی أنّها مشارکة له فیالجنایة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الدِیَة فی الکبیرة المطاوعة خصوصاً مع کونها عالمةً نظر وإشکال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کبیرة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ثبوتها للکبیرة المطاوعة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یلحق بالدخول الإفضاء بالإصبع ونحوه، فلا تحرم علیه موبّداً، نعم، تثبت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الدِیَة</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138712_2322387425"/>
      <w:bookmarkStart w:id="415" w:name="_Toc149"/>
      <w:bookmarkEnd w:id="414"/>
      <w:r>
        <w:rPr>
          <w:rtl w:val="true"/>
        </w:rPr>
        <w:t>الدخول بالزوجة بعد إکمالها التسع</w:t>
      </w:r>
      <w:bookmarkEnd w:id="41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بزوجته بعد إکمال التسع فأفضاها لم تحرم علیه، </w:t>
      </w:r>
      <w:bookmarkStart w:id="416" w:name="pg13286_153872"/>
    </w:p>
    <w:p>
      <w:pPr>
        <w:pStyle w:val="BookText"/>
        <w:rPr/>
      </w:pPr>
      <w:bookmarkEnd w:id="416"/>
      <w:r>
        <w:rPr>
          <w:rFonts w:ascii="Amiri" w:hAnsi="Amiri" w:eastAsia="Amiri" w:cs="Amiri"/>
          <w:color w:val="111111"/>
          <w:sz w:val="28"/>
          <w:sz w:val="28"/>
          <w:szCs w:val="28"/>
          <w:rtl w:val="true"/>
          <w:lang w:bidi="ar-SA"/>
        </w:rPr>
        <w:t>ولا تثبت الدِیَة، کما مرّ، ولکنّ الأحوط</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الإنفاق علیها ما دامت حیّة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2138714_2322387425"/>
      <w:bookmarkStart w:id="418" w:name="_Toc150"/>
      <w:bookmarkEnd w:id="417"/>
      <w:r>
        <w:rPr>
          <w:rtl w:val="true"/>
        </w:rPr>
        <w:t>حکم المفضی إذا کان صغیراً أو مجنوناً</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المفضی صغیراً أو مجنوناً ففی کون الدِیَة علیهما أو علی عاقلتهما إشکال</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کون دِیَتهما علی العاقلة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الوجه الثانی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ینبغی الإشکال فیه فی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القوّة فی إفضاء الصبیّ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2138716_2322387425"/>
      <w:bookmarkStart w:id="420" w:name="_Toc151"/>
      <w:bookmarkEnd w:id="419"/>
      <w:r>
        <w:rPr>
          <w:rtl w:val="true"/>
        </w:rPr>
        <w:t>ضمان من عیبت بغیر الإفضاء</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بالدخول قبل التسع عیب آخر غیر الإفضاء ضمن أرشَه، وکذا إذا حصل مع الإفضاء عیب آخر یوجب الأرش أو الدِیَة ضمنه مع دِیَة الإفضاء</w:t>
      </w:r>
      <w:r>
        <w:rPr>
          <w:rFonts w:eastAsia="IRNazanin" w:cs="IRNazanin"/>
          <w:color w:val="111111"/>
          <w:sz w:val="28"/>
          <w:szCs w:val="28"/>
          <w:rtl w:val="true"/>
          <w:lang w:bidi="fa-IR"/>
        </w:rPr>
        <w:t>.</w:t>
      </w:r>
    </w:p>
    <w:p>
      <w:pPr>
        <w:pStyle w:val="Heading4"/>
        <w:numPr>
          <w:ilvl w:val="3"/>
          <w:numId w:val="1"/>
        </w:numPr>
        <w:rPr/>
      </w:pPr>
      <w:bookmarkStart w:id="421" w:name="__RefHeading___Toc2138718_2322387425"/>
      <w:bookmarkStart w:id="422" w:name="_Toc152"/>
      <w:bookmarkEnd w:id="421"/>
      <w:r>
        <w:rPr>
          <w:rtl w:val="true"/>
        </w:rPr>
        <w:t>وطء من شکّ فی إکمالها تسع سنین</w:t>
      </w:r>
      <w:bookmarkEnd w:id="4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شکّ فی إکمالها تسع سنین لا یجوز له وطؤها؛ </w:t>
      </w:r>
    </w:p>
    <w:p>
      <w:pPr>
        <w:pStyle w:val="BookText"/>
        <w:rPr/>
      </w:pPr>
      <w:r>
        <w:rPr>
          <w:rFonts w:ascii="Amiri" w:hAnsi="Amiri" w:eastAsia="Amiri" w:cs="Amiri"/>
          <w:color w:val="111111"/>
          <w:sz w:val="28"/>
          <w:sz w:val="28"/>
          <w:szCs w:val="28"/>
          <w:rtl w:val="true"/>
          <w:lang w:bidi="ar-SA"/>
        </w:rPr>
        <w:t>لاستصحاب الحرمة</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عدم بلوغها تسع سنین، والظاهر ترتّب جمیع آثار الوطء قبلبلوغها تسعاً علیه، حتّی الحرمة المؤبّدة علی القول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أنّه لا مجال لاستصحاب الحکم مع جریان استصحاب الموضوع،فأصالة عدم بلوغها تسعاً تجری، ویثبت جمیع الآثار، حتّی الحرمة الأبدیّة لو وطئوأفضاها، إلّا أن یشکل فی جریان مثله بأنّه شکّ فی تاریخ الولادة، والشکّ فیبلوغها تسعاً شکّ فی أنّها تولّدت قبل تسعةٍ أو قبل ثمانیة أعوام، ولیس شکّاً فیالبقاء، والإشکال سیّال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أنّها لم تبلغ تسعاً بنحو السلب الرابط، ویترتّب علیه جمیعالأحکام، وأمّا استصحاب عدم بلوغها بنحو السلب المحمولیّ فمثبت، وکذا فینظائر المقام ممّا یترتّب الحکم علی الکون الرابط أو السلب الرابط، والتفصیلموکول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استصحاب موضوعیّ مقدّم علیه، وهو استصحاب عدم بلوغها تسعاً، أواستصحاب صغرها، إلّا أن یناقش فی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عدم البلوغ، وکون المرأة فی أقلّ من تسع سنین، ویترتّب علیهجمیع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یجرِ الأصل الموضوعی، وإلّا فهو مقدّم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تصل النوبة إلی الاستصحاب الحکمیّ، مع عدم المانع من جریان استصحابعدم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أنّها لم تبلغ تسعاً، ویترتّب علیه جمیع الأحکام، حتّی الحرمةالمؤبّدة فی الوطء مع الإفضاء، ودعوی أنّ الشکّ فی البلوغ هو بعینه شکّ فی تاریخالولادة، وأنّها تولّدت قبل التسعة أو قبل الثمانیة مثلاً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موضوع الحکمفی النصوص بل الفتاوی هی المرأة الّتی لم تبلغ تسعاً، وهو بعینه مجریالاستصحاب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Amiri" w:hAnsi="Amiri" w:eastAsia="Amiri" w:cs="Amiri"/>
          <w:color w:val="111111"/>
          <w:sz w:val="28"/>
          <w:sz w:val="28"/>
          <w:szCs w:val="28"/>
          <w:rtl w:val="true"/>
          <w:lang w:bidi="ar-SA"/>
        </w:rPr>
        <w:t>السابقة</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عدم بلوغها تسع سنین، والظاهر ترتّب جمیع آثار الوطء قبلبلوغها تسعاً علیه، حتّی الحرمة الموبّدة علی القول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بلوغها تسع سنین مقدّم؛ لأنّ الاستصحاب الموضوعیّ مقدّمعلی الاستصحاب الحکمیّ إذا کان الشکّ فی الثنی مسبّباً عن الشکّ فی الأوّل، وإنکانت النتیجة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 الجاری فی الموضوع حاکم علی الأصل الجاری فی الحکم، وفی المقامالأصل یقتضی بقاؤها علی عدم البلوغ فیترتّب علیه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لاستصحاب عدم بلوغها تسع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وطئها مع ذلک فأفضاها ولم یعلم بعد ذلک أیضاً کونها حال الوطء بالغةً أو لا لم تحرم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 ولو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لعدم إحراز  کونه قبل التسع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والقَبلیّة أمر وجودیّ لابدّ من إحرازها، ولا مُحرِز إلّا الأصل وهو 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الحکم علی ما یستفاد من الأدلّة هو أنّ الموطوءة لم تبلغ تسعاً، فإذاجری الأصل فیه یثبت له جمیع أحکامه حتّی الحرمة المؤبّدة علی القول بها، إلّا أنیقال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الشکّ فی ذلک إلی الشکّ فی تاریخ الولادة، وإنّ الموطوءة ولدتقبل تسع سنین أو أقلّ من ذلک، ولا یکون من الشکّ فی البقاء، فلا یجریالاستصحاب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والأصل</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لا یکون استصحاب عدم البلوغ مثلاً أو الصغر إلی زمان الوطء منالاُصول المثبتة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الحکم معلّقاً علی عنوان القبلیّة، ولکنّ الظاهر من الأخبار تعلّقه علیعدم بلوغها تسعاً، فلا یکون الاستصحاب مثبتاً، نعم، یمکن أن یقال بأنّ الظاهر منتلک الأخبار ـ حیث فصل فی الحکم بین بلوغ التسع، وعدم بلوغه ـ هو التنویع ـوالأصل لا یثبت النوع، لکنّه فاسد جدّاً؛ لأنّ أحد النوعَین إذا کان متیقّناً سابقاً یصحّاستصحابه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bookmarkStart w:id="423" w:name="pg13286_153876"/>
    </w:p>
    <w:p>
      <w:pPr>
        <w:pStyle w:val="BookText"/>
        <w:rPr/>
      </w:pPr>
      <w:bookmarkEnd w:id="423"/>
      <w:r>
        <w:rPr>
          <w:rFonts w:ascii="IRNazanin" w:hAnsi="IRNazanin" w:eastAsia="IRNazanin"/>
          <w:color w:val="111111"/>
          <w:sz w:val="28"/>
          <w:sz w:val="28"/>
          <w:szCs w:val="28"/>
          <w:rtl w:val="true"/>
          <w:lang w:bidi="fa-IR"/>
        </w:rPr>
        <w:t>ذلک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یجب</w:t>
      </w:r>
      <w:r>
        <w:rPr>
          <w:rStyle w:val="FootnoteAnchor"/>
          <w:rtl w:val="true"/>
        </w:rPr>
        <w:footnoteReference w:id="810"/>
      </w:r>
      <w:r>
        <w:rPr>
          <w:rFonts w:ascii="IRNazanin" w:hAnsi="IRNazanin" w:eastAsia="IRNazanin"/>
          <w:color w:val="111111"/>
          <w:sz w:val="28"/>
          <w:sz w:val="28"/>
          <w:szCs w:val="28"/>
          <w:rtl w:val="true"/>
          <w:lang w:bidi="fa-IR"/>
        </w:rPr>
        <w:t> علیه الدِیَة والنفقة علیها</w:t>
      </w:r>
      <w:r>
        <w:rPr>
          <w:rStyle w:val="FootnoteAnchor"/>
          <w:rtl w:val="true"/>
        </w:rPr>
        <w:footnoteReference w:id="811"/>
      </w:r>
      <w:r>
        <w:rPr>
          <w:rFonts w:ascii="Amiri" w:hAnsi="Amiri" w:eastAsia="Amiri" w:cs="Amiri"/>
          <w:color w:val="111111"/>
          <w:sz w:val="28"/>
          <w:sz w:val="28"/>
          <w:szCs w:val="28"/>
          <w:rtl w:val="true"/>
          <w:lang w:bidi="ar-SA"/>
        </w:rPr>
        <w:t> ما دامت حیّة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2138720_2322387425"/>
      <w:bookmarkStart w:id="425" w:name="_Toc153"/>
      <w:bookmarkEnd w:id="424"/>
      <w:r>
        <w:rPr>
          <w:rtl w:val="true"/>
        </w:rPr>
        <w:t>جریان أحکام الزوجیّة بعد الإفضاء</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یجری علیها بعد الإفضاء جمیع أحکام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الخامسة، وحرمة الاُخت، واعتبار الإذن فی نکاح بنت الأخ والاُخت، وسائر الأحکام ولو علی القول بالحرمة الأبدیّة</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بالنسبة إلی الوطء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حرمة الوطء أبداً، لا الحرمة الأبدیّة الملازمة للافتراق علی حدّ سائرالمحرّمات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یلحق به الولد وإن قلنا  </w:t>
      </w:r>
      <w:bookmarkStart w:id="426" w:name="pg13286_153877"/>
    </w:p>
    <w:p>
      <w:pPr>
        <w:pStyle w:val="BookText"/>
        <w:rPr/>
      </w:pPr>
      <w:bookmarkEnd w:id="426"/>
      <w:r>
        <w:rPr>
          <w:rFonts w:ascii="IRNazanin" w:hAnsi="IRNazanin" w:eastAsia="IRNazanin"/>
          <w:color w:val="111111"/>
          <w:sz w:val="28"/>
          <w:sz w:val="28"/>
          <w:szCs w:val="28"/>
          <w:rtl w:val="true"/>
          <w:lang w:bidi="fa-IR"/>
        </w:rPr>
        <w:t>بالحرمة؛ لأنّه علی القول</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القول بحرمة وطئها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یکون کالحرمة حال الحیض</w:t>
      </w:r>
      <w:r>
        <w:rPr>
          <w:rFonts w:eastAsia="IRNazanin" w:cs="IRNazanin"/>
          <w:color w:val="111111"/>
          <w:sz w:val="28"/>
          <w:szCs w:val="28"/>
          <w:rtl w:val="true"/>
          <w:lang w:bidi="fa-IR"/>
        </w:rPr>
        <w:t>.</w:t>
      </w:r>
    </w:p>
    <w:p>
      <w:pPr>
        <w:pStyle w:val="Heading4"/>
        <w:numPr>
          <w:ilvl w:val="3"/>
          <w:numId w:val="1"/>
        </w:numPr>
        <w:rPr/>
      </w:pPr>
      <w:bookmarkStart w:id="427" w:name="__RefHeading___Toc2138722_2322387425"/>
      <w:bookmarkStart w:id="428" w:name="_Toc154"/>
      <w:bookmarkEnd w:id="427"/>
      <w:r>
        <w:rPr>
          <w:rtl w:val="true"/>
        </w:rPr>
        <w:t>عدم سقوط النفقة بنشوز المفضاة</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سقوط وجوب الإنفاق علیها ما دامت حیّةً بالنشوز إشکال</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عدم السقوط؛ لِما یظهر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أنّ هذاالحکم لیس موقوفاً علی التمکین، بل الإنفاق علیها جریمة تعبّدیّة علی الزوجلتعیّب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السقوط بالنشوز، وإن کان من باب الإنفاق علی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هذه النفقة لا من باب إنفاق الزوجة؛ ولذا تثبت بعد الطلاق بل بعد التزویج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بالغیر، وکذا فی تقدّمها علی نفقة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المشهور أنّها، کما تسقط بموت الزوجة تسقط بموت الزوج</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الأقوی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w:t>
      </w:r>
    </w:p>
    <w:p>
      <w:pPr>
        <w:pStyle w:val="BookText"/>
        <w:rPr/>
      </w:pPr>
      <w:r>
        <w:rPr>
          <w:rFonts w:ascii="Amiri" w:hAnsi="Amiri" w:eastAsia="Amiri" w:cs="Amiri"/>
          <w:color w:val="111111"/>
          <w:sz w:val="28"/>
          <w:sz w:val="28"/>
          <w:szCs w:val="28"/>
          <w:rtl w:val="true"/>
          <w:lang w:bidi="ar-SA"/>
        </w:rPr>
        <w:t>لکن یُحتمل</w:t>
      </w:r>
      <w:r>
        <w:rPr>
          <w:rStyle w:val="FootnoteAnchor"/>
          <w:rtl w:val="true"/>
        </w:rPr>
        <w:footnoteReference w:id="816"/>
      </w:r>
      <w:r>
        <w:rPr>
          <w:rFonts w:ascii="Amiri" w:hAnsi="Amiri" w:eastAsia="Amiri" w:cs="Amiri"/>
          <w:color w:val="111111"/>
          <w:sz w:val="28"/>
          <w:sz w:val="28"/>
          <w:szCs w:val="28"/>
          <w:rtl w:val="true"/>
          <w:lang w:bidi="ar-SA"/>
        </w:rPr>
        <w:t> بعیداً</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غایته،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سقوطها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سقوطها بعدم تمکّنه، وتصیر دَیناً علیه، ویحتمل بعیداً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تصیر دَیناً إذا امتنع من دفعها مع تمکّنه</w:t>
      </w:r>
      <w:r>
        <w:rPr>
          <w:rStyle w:val="FootnoteAnchor"/>
          <w:rtl w:val="true"/>
        </w:rPr>
        <w:footnoteReference w:id="818"/>
      </w:r>
      <w:r>
        <w:rPr>
          <w:rFonts w:ascii="Amiri" w:hAnsi="Amiri" w:eastAsia="Amiri" w:cs="Amiri"/>
          <w:color w:val="111111"/>
          <w:sz w:val="28"/>
          <w:sz w:val="28"/>
          <w:szCs w:val="28"/>
          <w:rtl w:val="true"/>
          <w:lang w:bidi="ar-SA"/>
        </w:rPr>
        <w:t>؛ إذ کونها حکماً تکلیفیّاً</w:t>
      </w:r>
      <w:r>
        <w:rPr>
          <w:rStyle w:val="FootnoteAnchor"/>
          <w:rtl w:val="true"/>
        </w:rPr>
        <w:footnoteReference w:id="819"/>
      </w:r>
      <w:r>
        <w:rPr>
          <w:rFonts w:ascii="Amiri" w:hAnsi="Amiri" w:eastAsia="Amiri" w:cs="Amiri"/>
          <w:color w:val="111111"/>
          <w:sz w:val="28"/>
          <w:sz w:val="28"/>
          <w:szCs w:val="28"/>
          <w:rtl w:val="true"/>
          <w:lang w:bidi="ar-SA"/>
        </w:rPr>
        <w:t> صرفاً بعید</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ما بعد الطلاق</w:t>
      </w:r>
      <w:r>
        <w:rPr>
          <w:rStyle w:val="FootnoteAnchor"/>
          <w:rtl w:val="true"/>
        </w:rPr>
        <w:footnoteReference w:id="821"/>
      </w:r>
      <w:r>
        <w:rPr>
          <w:rFonts w:ascii="IRNazanin" w:hAnsi="IRNazanin" w:eastAsia="IRNazanin"/>
          <w:color w:val="111111"/>
          <w:sz w:val="28"/>
          <w:sz w:val="28"/>
          <w:szCs w:val="28"/>
          <w:rtl w:val="true"/>
          <w:lang w:bidi="fa-IR"/>
        </w:rPr>
        <w:t>، وإلّا فما دامت فی حبالته الظاهر</w:t>
      </w:r>
      <w:r>
        <w:rPr>
          <w:rStyle w:val="FootnoteAnchor"/>
          <w:rtl w:val="true"/>
        </w:rPr>
        <w:footnoteReference w:id="822"/>
      </w:r>
      <w:r>
        <w:rPr>
          <w:rFonts w:ascii="IRNazanin" w:hAnsi="IRNazanin" w:eastAsia="IRNazanin"/>
          <w:color w:val="111111"/>
          <w:sz w:val="28"/>
          <w:sz w:val="28"/>
          <w:szCs w:val="28"/>
          <w:rtl w:val="true"/>
          <w:lang w:bidi="fa-IR"/>
        </w:rPr>
        <w:t> أنّ حکمها حکم الزوجة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3286_153879"/>
    </w:p>
    <w:p>
      <w:pPr>
        <w:pStyle w:val="Heading3"/>
        <w:numPr>
          <w:ilvl w:val="2"/>
          <w:numId w:val="1"/>
        </w:numPr>
        <w:rPr/>
      </w:pPr>
      <w:bookmarkStart w:id="430" w:name="__RefHeading___Toc2138724_2322387425"/>
      <w:bookmarkStart w:id="431" w:name="_Toc155"/>
      <w:bookmarkEnd w:id="429"/>
      <w:bookmarkEnd w:id="430"/>
      <w:r>
        <w:rPr>
          <w:rtl w:val="true"/>
        </w:rPr>
        <w:t xml:space="preserve">فصل </w:t>
      </w:r>
      <w:r>
        <w:rPr>
          <w:rtl w:val="true"/>
        </w:rPr>
        <w:t>[</w:t>
      </w:r>
      <w:r>
        <w:rPr>
          <w:rtl w:val="true"/>
        </w:rPr>
        <w:t>فی ما یجوز من عدد الأزواج</w:t>
      </w:r>
      <w:r>
        <w:rPr>
          <w:rtl w:val="true"/>
        </w:rPr>
        <w:t>]</w:t>
      </w:r>
      <w:bookmarkEnd w:id="431"/>
    </w:p>
    <w:p>
      <w:pPr>
        <w:pStyle w:val="Heading4"/>
        <w:numPr>
          <w:ilvl w:val="3"/>
          <w:numId w:val="1"/>
        </w:numPr>
        <w:rPr/>
      </w:pPr>
      <w:bookmarkStart w:id="432" w:name="__RefHeading___Toc2138726_2322387425"/>
      <w:bookmarkStart w:id="433" w:name="_Toc156"/>
      <w:bookmarkEnd w:id="432"/>
      <w:r>
        <w:rPr>
          <w:rtl w:val="true"/>
        </w:rPr>
        <w:t>حرمة الزیادة علی الأربع فی العقد الدائم وجوازه فی الملک والتحلیل والمنقطع</w:t>
      </w:r>
      <w:bookmarkEnd w:id="433"/>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823"/>
      </w:r>
      <w:r>
        <w:rPr>
          <w:rFonts w:ascii="IRNazanin" w:hAnsi="IRNazanin" w:eastAsia="IRNazanin"/>
          <w:color w:val="111111"/>
          <w:sz w:val="28"/>
          <w:sz w:val="28"/>
          <w:szCs w:val="28"/>
          <w:rtl w:val="true"/>
          <w:lang w:bidi="fa-IR"/>
        </w:rPr>
        <w:t> فی العقد الدائم الزیادة علی الأربع، حرّاً کان أو عبداً،</w:t>
      </w:r>
    </w:p>
    <w:p>
      <w:pPr>
        <w:pStyle w:val="BookText"/>
        <w:rPr/>
      </w:pPr>
      <w:r>
        <w:rPr>
          <w:rFonts w:ascii="Amiri" w:hAnsi="Amiri" w:eastAsia="Amiri" w:cs="Amiri"/>
          <w:color w:val="111111"/>
          <w:sz w:val="28"/>
          <w:sz w:val="28"/>
          <w:szCs w:val="28"/>
          <w:rtl w:val="true"/>
          <w:lang w:bidi="ar-SA"/>
        </w:rPr>
        <w:t>والزوجة</w:t>
      </w:r>
      <w:r>
        <w:rPr>
          <w:rStyle w:val="FootnoteAnchor"/>
          <w:rtl w:val="true"/>
        </w:rPr>
        <w:footnoteReference w:id="824"/>
      </w:r>
      <w:r>
        <w:rPr>
          <w:rFonts w:ascii="IRNazanin" w:hAnsi="IRNazanin" w:eastAsia="IRNazanin"/>
          <w:color w:val="111111"/>
          <w:sz w:val="28"/>
          <w:sz w:val="28"/>
          <w:szCs w:val="28"/>
          <w:rtl w:val="true"/>
          <w:lang w:bidi="fa-IR"/>
        </w:rPr>
        <w:t> حرّة أو أمة، وأمّا فی الملک والتحلیل فیجوز ولو إلی ألف، وکذا</w:t>
      </w:r>
    </w:p>
    <w:p>
      <w:pPr>
        <w:pStyle w:val="BookText"/>
        <w:rPr/>
      </w:pPr>
      <w:r>
        <w:rPr>
          <w:rFonts w:ascii="IRNazanin" w:hAnsi="IRNazanin" w:eastAsia="IRNazanin"/>
          <w:color w:val="111111"/>
          <w:sz w:val="28"/>
          <w:sz w:val="28"/>
          <w:szCs w:val="28"/>
          <w:rtl w:val="true"/>
          <w:lang w:bidi="fa-IR"/>
        </w:rPr>
        <w:t>فی العقد الانقطاعیّ</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2138728_2322387425"/>
      <w:bookmarkStart w:id="435" w:name="_Toc157"/>
      <w:bookmarkEnd w:id="434"/>
      <w:r>
        <w:rPr>
          <w:rtl w:val="true"/>
        </w:rPr>
        <w:t>الجمع بین أزید من أمتین للحرّ وأزید من حرّتین للعبد</w:t>
      </w:r>
      <w:bookmarkEnd w:id="435"/>
    </w:p>
    <w:p>
      <w:pPr>
        <w:pStyle w:val="BookText"/>
        <w:rPr/>
      </w:pPr>
      <w:r>
        <w:rPr>
          <w:rFonts w:ascii="IRNazanin" w:hAnsi="IRNazanin" w:eastAsia="IRNazanin"/>
          <w:color w:val="111111"/>
          <w:sz w:val="28"/>
          <w:sz w:val="28"/>
          <w:szCs w:val="28"/>
          <w:rtl w:val="true"/>
          <w:lang w:bidi="fa-IR"/>
        </w:rPr>
        <w:t>ولا یجوز للحرّ</w:t>
      </w:r>
      <w:r>
        <w:rPr>
          <w:rStyle w:val="FootnoteAnchor"/>
          <w:rtl w:val="true"/>
        </w:rPr>
        <w:footnoteReference w:id="826"/>
      </w:r>
      <w:r>
        <w:rPr>
          <w:rFonts w:ascii="IRNazanin" w:hAnsi="IRNazanin" w:eastAsia="IRNazanin"/>
          <w:color w:val="111111"/>
          <w:sz w:val="28"/>
          <w:sz w:val="28"/>
          <w:szCs w:val="28"/>
          <w:rtl w:val="true"/>
          <w:lang w:bidi="fa-IR"/>
        </w:rPr>
        <w:t> أن یجمع بین أزید من أمتین</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لکنّهما لیستا تمام نصابه، بخلاف الحرّتَین للعبد فإنّهما تمام نصابه، وعلی هذایتفرّع ما ذکره من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الإماء بأن ینکح ثلاث إماءٍ أو أکثر، أمّا نکاح أمَتَین وحرّةٍ أو حرّتَین فلا مانعمنه،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النصّ أنّ العبد مخیّر بین الجمع بین حرّتَین، أو یجمع بین أربع إماء،ویترتّب علیه عدم جواز جمعٍ بین الحرّة والأمة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للعبد أن یجمع  بین أزید من حُرَّتین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جمع بین حُرَّتَین فهما تمام نصابه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436" w:name="__RefHeading___Toc2138730_2322387425"/>
      <w:bookmarkStart w:id="437" w:name="_Toc158"/>
      <w:bookmarkEnd w:id="436"/>
      <w:r>
        <w:rPr>
          <w:rtl w:val="true"/>
        </w:rPr>
        <w:t>صور الجمع للحرّ والعبد</w:t>
      </w:r>
      <w:bookmarkEnd w:id="43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فیجوز للحرّ أن یجمع بین أربع حرائرَ أو </w:t>
      </w:r>
      <w:bookmarkStart w:id="438" w:name="pg13286_153880"/>
    </w:p>
    <w:p>
      <w:pPr>
        <w:pStyle w:val="BookText"/>
        <w:rPr/>
      </w:pPr>
      <w:bookmarkEnd w:id="438"/>
      <w:r>
        <w:rPr>
          <w:rFonts w:ascii="Amiri" w:hAnsi="Amiri" w:eastAsia="Amiri" w:cs="Amiri"/>
          <w:color w:val="111111"/>
          <w:sz w:val="28"/>
          <w:sz w:val="28"/>
          <w:szCs w:val="28"/>
          <w:rtl w:val="true"/>
          <w:lang w:bidi="ar-SA"/>
        </w:rPr>
        <w:t>ثلاثَ وأمة، أو حُرَّتَین وأمَتَین</w:t>
      </w:r>
      <w:r>
        <w:rPr>
          <w:rStyle w:val="FootnoteAnchor"/>
          <w:rtl w:val="true"/>
        </w:rPr>
        <w:footnoteReference w:id="828"/>
      </w:r>
      <w:r>
        <w:rPr>
          <w:rFonts w:ascii="Amiri" w:hAnsi="Amiri" w:eastAsia="Amiri" w:cs="Amiri"/>
          <w:color w:val="111111"/>
          <w:sz w:val="28"/>
          <w:sz w:val="28"/>
          <w:szCs w:val="28"/>
          <w:rtl w:val="true"/>
          <w:lang w:bidi="ar-SA"/>
        </w:rPr>
        <w:t>، وللعبد أن یجمع بین أربع إماءٍ، أو حرّةٍ  وأمَتَین، أو حُرَّتَین</w:t>
      </w:r>
      <w:r>
        <w:rPr>
          <w:rStyle w:val="FootnoteAnchor"/>
          <w:rtl w:val="true"/>
        </w:rPr>
        <w:footnoteReference w:id="829"/>
      </w:r>
      <w:r>
        <w:rPr>
          <w:rFonts w:ascii="Amiri" w:hAnsi="Amiri" w:eastAsia="Amiri" w:cs="Amiri"/>
          <w:color w:val="111111"/>
          <w:sz w:val="28"/>
          <w:sz w:val="28"/>
          <w:szCs w:val="28"/>
          <w:rtl w:val="true"/>
          <w:lang w:bidi="ar-SA"/>
        </w:rPr>
        <w:t>، ولا یجوز له أن یجمع بین أمَتَین وحُرّتَین</w:t>
      </w:r>
      <w:r>
        <w:rPr>
          <w:rStyle w:val="FootnoteAnchor"/>
          <w:rtl w:val="true"/>
        </w:rPr>
        <w:footnoteReference w:id="830"/>
      </w:r>
      <w:r>
        <w:rPr>
          <w:rFonts w:ascii="IRNazanin" w:hAnsi="IRNazanin" w:eastAsia="IRNazanin"/>
          <w:color w:val="111111"/>
          <w:sz w:val="28"/>
          <w:sz w:val="28"/>
          <w:szCs w:val="28"/>
          <w:rtl w:val="true"/>
          <w:lang w:bidi="fa-IR"/>
        </w:rPr>
        <w:t>، أو ثلاث حرائر، أو أربع حرائر، أو ثلاث إماءٍ</w:t>
      </w:r>
      <w:r>
        <w:rPr>
          <w:rStyle w:val="FootnoteAnchor"/>
          <w:rtl w:val="true"/>
        </w:rPr>
        <w:footnoteReference w:id="831"/>
      </w:r>
      <w:r>
        <w:rPr>
          <w:rFonts w:ascii="Amiri" w:hAnsi="Amiri" w:eastAsia="Amiri" w:cs="Amiri"/>
          <w:color w:val="111111"/>
          <w:sz w:val="28"/>
          <w:sz w:val="28"/>
          <w:szCs w:val="28"/>
          <w:rtl w:val="true"/>
          <w:lang w:bidi="ar-SA"/>
        </w:rPr>
        <w:t> وحرّة</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بین أمةٍ وحُرّتَین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کما لا یجوز للحرّ أیضاً أن  یجمع بین ثلاث 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علم عدم جواز الجمع له بین أزید من أمَتَین علم عدم جواز الجمع بینثلاث إماء، سواء کانت معهنّ حرّة أم لا، فذکر الحرّة غیر محتاجٍ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2138732_2322387425"/>
      <w:bookmarkStart w:id="440" w:name="_Toc159"/>
      <w:bookmarkEnd w:id="439"/>
      <w:r>
        <w:rPr>
          <w:rtl w:val="true"/>
        </w:rPr>
        <w:t>حکم العبد والأمة المبعّضین</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العبد مُبَعَّضاً أو الأمة مُبَعَّضةً ففی لحوقهما بالحرّ أو القِنّ إشکال، ومقتضی الاحتیاط</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لأنّ المبعّض ذات له الوصفان، ویترتّب علی کلّ وصفٍ مایقتضیه ذلک الوصف، ویمنع عن کلّ ما یمنعه، فبالنسبة إلی الحکم الاقتضائیّ لانحتاج إلی الاستصحاب، وبالنسبة إلی دفع ماعداه لا یجری الاستصحاب أیضاً، بلإطلاق الدلیل المقابل محکم،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وجود الوصفَین الجمع بینالدلیلَین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pStyle w:val="BookText"/>
        <w:rPr/>
      </w:pPr>
      <w:r>
        <w:rPr>
          <w:rFonts w:ascii="IRNazanin" w:hAnsi="IRNazanin" w:eastAsia="IRNazanin"/>
          <w:color w:val="111111"/>
          <w:sz w:val="28"/>
          <w:sz w:val="28"/>
          <w:szCs w:val="28"/>
          <w:rtl w:val="true"/>
          <w:lang w:bidi="fa-IR"/>
        </w:rPr>
        <w:t>أن یکون</w:t>
      </w:r>
      <w:r>
        <w:rPr>
          <w:rStyle w:val="FootnoteAnchor"/>
          <w:rtl w:val="true"/>
        </w:rPr>
        <w:footnoteReference w:id="834"/>
      </w:r>
      <w:r>
        <w:rPr>
          <w:rFonts w:ascii="IRNazanin" w:hAnsi="IRNazanin" w:eastAsia="IRNazanin"/>
          <w:color w:val="111111"/>
          <w:sz w:val="28"/>
          <w:sz w:val="28"/>
          <w:szCs w:val="28"/>
          <w:rtl w:val="true"/>
          <w:lang w:bidi="fa-IR"/>
        </w:rPr>
        <w:t> العبد المبعّض کالحرّ بالنسبة إلی الإماء، فلا یجوز له الزیادة علی</w:t>
      </w:r>
    </w:p>
    <w:p>
      <w:pPr>
        <w:pStyle w:val="BookText"/>
        <w:rPr/>
      </w:pPr>
      <w:r>
        <w:rPr>
          <w:rFonts w:ascii="IRNazanin" w:hAnsi="IRNazanin" w:eastAsia="IRNazanin"/>
          <w:color w:val="111111"/>
          <w:sz w:val="28"/>
          <w:sz w:val="28"/>
          <w:szCs w:val="28"/>
          <w:rtl w:val="true"/>
          <w:lang w:bidi="fa-IR"/>
        </w:rPr>
        <w:t>أمَتَین، وکالعبد القنّ بالنسبة إلی الحرائر فلا یجوز له الزیادة علی حُرَّتین، وأن تکون الأمة المبعّضة کالحرّة إلی العبد، وکالأمة بالنسبة إلی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بمقتضی القاعدة بدعوی أنّ المُبعَّض حرّ وعبد والمبعّضة حرّة وأمة، فمن حیث حرّیّته لا یجوز له أزید من أمَتَین، ومن حیث عبدیّته لا یجوز له أزید من حُرَّتَین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بالنسبة إلی الأمة المبعّضة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علیأنّ الحرّ لا یزید علی أمَتَین والعبد لا یزید علی حُرَّتَین منصرفة</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الانصراف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بدویّ لا اعتبار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الانصراف، بل لأنّ موضوع الحکم فی الأدلّة هو الإنسان الحرّ والإنسانالعبد، فلا یشمل المُبَعَّض، فالمرجع فیه هو العمومات، ولا بُعد فی ذلک، ولکن لایُترک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     .     .     .     .</w:t>
      </w:r>
    </w:p>
    <w:p>
      <w:pPr>
        <w:pStyle w:val="BookText"/>
        <w:rPr/>
      </w:pPr>
      <w:r>
        <w:rPr>
          <w:rFonts w:ascii="Amiri" w:hAnsi="Amiri" w:eastAsia="Amiri" w:cs="Amiri"/>
          <w:color w:val="111111"/>
          <w:sz w:val="28"/>
          <w:sz w:val="28"/>
          <w:szCs w:val="28"/>
          <w:rtl w:val="true"/>
          <w:lang w:bidi="ar-SA"/>
        </w:rPr>
        <w:t>الحرّ</w:t>
      </w:r>
      <w:r>
        <w:rPr>
          <w:rStyle w:val="FootnoteAnchor"/>
          <w:rtl w:val="true"/>
        </w:rPr>
        <w:footnoteReference w:id="836"/>
      </w:r>
      <w:r>
        <w:rPr>
          <w:rFonts w:ascii="IRNazanin" w:hAnsi="IRNazanin" w:eastAsia="IRNazanin"/>
          <w:color w:val="111111"/>
          <w:sz w:val="28"/>
          <w:sz w:val="28"/>
          <w:szCs w:val="28"/>
          <w:rtl w:val="true"/>
          <w:lang w:bidi="fa-IR"/>
        </w:rPr>
        <w:t> والعبد الخالِصَین، وکذا فی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فالمبعّض قسم ثالث</w:t>
      </w:r>
      <w:r>
        <w:rPr>
          <w:rStyle w:val="FootnoteAnchor"/>
          <w:rtl w:val="true"/>
        </w:rPr>
        <w:footnoteReference w:id="837"/>
      </w:r>
      <w:r>
        <w:rPr>
          <w:rFonts w:ascii="IRNazanin" w:hAnsi="IRNazanin" w:eastAsia="IRNazanin"/>
          <w:color w:val="111111"/>
          <w:sz w:val="28"/>
          <w:sz w:val="28"/>
          <w:szCs w:val="28"/>
          <w:rtl w:val="true"/>
          <w:lang w:bidi="fa-IR"/>
        </w:rPr>
        <w:t> خارج عن الأخبار، فالمرجع عمومات الأدلّة علی جواز التزویج، غایة الأمر عدم جواز الزیادة علی الأربع، فیجوز له نکاح أربع حرائرَ أو أربع إماء، لکنّه بعید</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بُعد فیه، 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حیث لزوم کونه أولی من الحرّ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المرجع الاستصحاب</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لکونه من الاستصحاب التعلیقیّ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ومقتضاه إجراء حکم العبد والأمة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تغیّر الموضوع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الاحتیاط الّذی ذکرنا أوّلاً، والأقوی العمل بالاستصحاب</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الاستصحاب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أغمض عن المناقشات فی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وإجراء حکم العبید والإماء علیهما</w:t>
      </w:r>
      <w:r>
        <w:rPr>
          <w:rFonts w:eastAsia="IRNazanin" w:cs="IRNazanin"/>
          <w:color w:val="111111"/>
          <w:sz w:val="28"/>
          <w:szCs w:val="28"/>
          <w:rtl w:val="true"/>
          <w:lang w:bidi="fa-IR"/>
        </w:rPr>
        <w:t>.</w:t>
      </w:r>
      <w:bookmarkStart w:id="441" w:name="pg13286_153883"/>
    </w:p>
    <w:p>
      <w:pPr>
        <w:pStyle w:val="Heading4"/>
        <w:numPr>
          <w:ilvl w:val="3"/>
          <w:numId w:val="1"/>
        </w:numPr>
        <w:rPr/>
      </w:pPr>
      <w:bookmarkStart w:id="442" w:name="__RefHeading___Toc2138734_2322387425"/>
      <w:bookmarkStart w:id="443" w:name="_Toc160"/>
      <w:bookmarkEnd w:id="441"/>
      <w:bookmarkEnd w:id="442"/>
      <w:r>
        <w:rPr>
          <w:rtl w:val="true"/>
        </w:rPr>
        <w:t>عتق العبد عن ثلاث أو أربع إماء</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عبد عنده ثلاث أو أربع إماءٍ فاُعتق وصار حرّاً لم یجز إبقاء الجمیع؛ لأنّ الاستدامة کالابتداء</w:t>
      </w:r>
      <w:r>
        <w:rPr>
          <w:rStyle w:val="FootnoteAnchor"/>
          <w:rtl w:val="true"/>
        </w:rPr>
        <w:footnoteReference w:id="841"/>
      </w:r>
      <w:r>
        <w:rPr>
          <w:rFonts w:ascii="IRNazanin" w:hAnsi="IRNazanin" w:eastAsia="IRNazanin"/>
          <w:color w:val="111111"/>
          <w:sz w:val="28"/>
          <w:sz w:val="28"/>
          <w:szCs w:val="28"/>
          <w:rtl w:val="true"/>
          <w:lang w:bidi="fa-IR"/>
        </w:rPr>
        <w:t>، فلابدّ من إطلاق</w:t>
      </w:r>
      <w:r>
        <w:rPr>
          <w:rStyle w:val="FootnoteAnchor"/>
          <w:rtl w:val="true"/>
        </w:rPr>
        <w:footnoteReference w:id="842"/>
      </w:r>
      <w:r>
        <w:rPr>
          <w:rFonts w:ascii="IRNazanin" w:hAnsi="IRNazanin" w:eastAsia="IRNazanin"/>
          <w:color w:val="111111"/>
          <w:sz w:val="28"/>
          <w:sz w:val="28"/>
          <w:szCs w:val="28"/>
          <w:rtl w:val="true"/>
          <w:lang w:bidi="fa-IR"/>
        </w:rPr>
        <w:t> الواحدة أو الاثنتَین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کونه مخیّراً بینهما</w:t>
      </w:r>
      <w:r>
        <w:rPr>
          <w:rStyle w:val="FootnoteAnchor"/>
          <w:rtl w:val="true"/>
        </w:rPr>
        <w:footnoteReference w:id="843"/>
      </w:r>
      <w:r>
        <w:rPr>
          <w:rFonts w:ascii="IRNazanin" w:hAnsi="IRNazanin" w:eastAsia="IRNazanin"/>
          <w:color w:val="111111"/>
          <w:sz w:val="28"/>
          <w:sz w:val="28"/>
          <w:szCs w:val="28"/>
          <w:rtl w:val="true"/>
          <w:lang w:bidi="fa-IR"/>
        </w:rPr>
        <w:t>، کما فی إسلام الکافر عن أزید من  أربع</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القرعة</w:t>
      </w:r>
      <w:r>
        <w:rPr>
          <w:rStyle w:val="FootnoteAnchor"/>
          <w:rtl w:val="true"/>
        </w:rPr>
        <w:footnoteReference w:id="845"/>
      </w:r>
      <w:r>
        <w:rPr>
          <w:rFonts w:ascii="IRNazanin" w:hAnsi="IRNazanin" w:eastAsia="IRNazanin"/>
          <w:color w:val="111111"/>
          <w:sz w:val="28"/>
          <w:sz w:val="28"/>
          <w:szCs w:val="28"/>
          <w:rtl w:val="true"/>
          <w:lang w:bidi="fa-IR"/>
        </w:rPr>
        <w:t>، والأحوط</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 بأن یُقرَعَ بینَهُنَّ، ثمّ یختار مَن عیّنتها القرعة منهنّ، وأحوط منذلک أن یطلِّقَهنّ جمیعاً ثمّ یُجدِّد العقد علی مَن یشاء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باختیار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طلاق الجمیع، ثمّ العقد علی الواحدة أو الاثنتَین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هو القرعة</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بالقرعة فی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هو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حاشیةٍ اُخری له  قدّس سرّه فی نسخةٍ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یُترک الاحتیاط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اختیار الزوج بالفسخ من قبلها موضع تأمّل، فلا یُترک الاحتیاط بأن یُقرَعَبین الباقی منهنّ، ثمّ یختار منهنّ مَن عَیَّنَتهُ القرعة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اُعتقت أمة أو أمَتَان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اختارت الفسخ</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اللازم ملاحظة زمان انعتاق الأمة أو الأمَتَین، وأنّه هل للزوج حینئذٍ أزید منأمَتَین وحرّتَین، أم لا؟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یلاحظ أنّ المورد مصداق لأیّ حکم؛لأنّه لو لم یکن عنده أزید من الحدّ المعتبر الشرعیّ فلا یکون مجالاً لبقاء اختیارالزوج، إلّا أن یقال بأنّه بعد عتقه کان مأموراً بإطلاق أزید من الأمَتَین، ومقتضیذلک بطلان نکاح الزائد علیهما لا علی نحو التعیین، ولا یرجع الحکم بالبطلان إلیالصحّة بعد انعتاق الأمة، وهذا هو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إنّ العتق موجب لخیارها بین الفسخ والبقاء 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اختارت البقاء یکون الزوج</w:t>
      </w:r>
      <w:bookmarkStart w:id="444" w:name="pg13286_153885"/>
    </w:p>
    <w:p>
      <w:pPr>
        <w:pStyle w:val="BookText"/>
        <w:rPr/>
      </w:pPr>
      <w:bookmarkEnd w:id="444"/>
      <w:r>
        <w:rPr>
          <w:rFonts w:ascii="Amiri" w:hAnsi="Amiri" w:eastAsia="Amiri" w:cs="Amiri"/>
          <w:color w:val="111111"/>
          <w:sz w:val="28"/>
          <w:sz w:val="28"/>
          <w:szCs w:val="28"/>
          <w:rtl w:val="true"/>
          <w:lang w:bidi="ar-SA"/>
        </w:rPr>
        <w:t>مخیّراً</w:t>
      </w:r>
      <w:r>
        <w:rPr>
          <w:rStyle w:val="FootnoteAnchor"/>
          <w:rtl w:val="true"/>
        </w:rPr>
        <w:footnoteReference w:id="849"/>
      </w:r>
      <w:r>
        <w:rPr>
          <w:rFonts w:ascii="IRNazanin" w:hAnsi="IRNazanin" w:eastAsia="IRNazanin"/>
          <w:color w:val="111111"/>
          <w:sz w:val="28"/>
          <w:sz w:val="28"/>
          <w:szCs w:val="28"/>
          <w:rtl w:val="true"/>
          <w:lang w:bidi="fa-IR"/>
        </w:rPr>
        <w:t>، والأحوط اختیاره القرعة</w:t>
      </w:r>
      <w:r>
        <w:rPr>
          <w:rStyle w:val="FootnoteAnchor"/>
          <w:rtl w:val="true"/>
        </w:rPr>
        <w:footnoteReference w:id="850"/>
      </w:r>
      <w:r>
        <w:rPr>
          <w:rFonts w:ascii="IRNazanin" w:hAnsi="IRNazanin" w:eastAsia="IRNazanin"/>
          <w:color w:val="111111"/>
          <w:sz w:val="28"/>
          <w:sz w:val="28"/>
          <w:szCs w:val="28"/>
          <w:rtl w:val="true"/>
          <w:lang w:bidi="fa-IR"/>
        </w:rPr>
        <w:t>، کما فی الصورة الاُولی</w:t>
      </w:r>
      <w:r>
        <w:rPr>
          <w:rFonts w:eastAsia="IRNazanin" w:cs="IRNazanin"/>
          <w:color w:val="111111"/>
          <w:sz w:val="28"/>
          <w:szCs w:val="28"/>
          <w:rtl w:val="true"/>
          <w:lang w:bidi="fa-IR"/>
        </w:rPr>
        <w:t>.</w:t>
      </w:r>
    </w:p>
    <w:p>
      <w:pPr>
        <w:pStyle w:val="Heading4"/>
        <w:numPr>
          <w:ilvl w:val="3"/>
          <w:numId w:val="1"/>
        </w:numPr>
        <w:rPr/>
      </w:pPr>
      <w:bookmarkStart w:id="445" w:name="__RefHeading___Toc2138736_2322387425"/>
      <w:bookmarkStart w:id="446" w:name="_Toc161"/>
      <w:bookmarkEnd w:id="445"/>
      <w:r>
        <w:rPr>
          <w:rtl w:val="true"/>
        </w:rPr>
        <w:t>الشکّ فی أنّ عقد الأربع بالدائم</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عنده أربع وشکّ فی أنّ الجمیع بالعقد الدائم، أو البعض المعیّن، أو غیر المعیّن منهنّ بعقد الانقطاع ففی جواز نکاح الخامسة دواماً إشکال</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للاستصحاب الجاری فی جواز أصل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الجواز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إثبات الدوام بأصالة عدم ذکر الأجل؛ بناءً علی القول بأنّ الدواموالمتعة من قبیل الزائد والناقص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أصالة الإباحة هو الجواز بعد کون التمسّک بالعمومات من التمسّک بالعامّفی الشبهة المصداقیّة، ومعارضة أصالة عدم ذکر الأجل بأصالة عدم المانع من أخذالخامسة، وطریق الاحتیاط أن یفارق إحداهنّ بالطلاق وهبة المدّة، ثمّ یعقد علیهاانقطاعاً، ثمّ یتزوّج بالخامسة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 بل المنع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والجواز غیر بعید،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عدم الجواز؛ فإنّ المستفاد من الکتاب عدم جواز التزویجبالخامسة علی الإطلاق، والانقطاعیّ خارج بالدلیل المنفصل، ومنفیّ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3286_153886"/>
    </w:p>
    <w:p>
      <w:pPr>
        <w:pStyle w:val="Heading4"/>
        <w:numPr>
          <w:ilvl w:val="3"/>
          <w:numId w:val="1"/>
        </w:numPr>
        <w:rPr/>
      </w:pPr>
      <w:bookmarkStart w:id="448" w:name="__RefHeading___Toc2138738_2322387425"/>
      <w:bookmarkStart w:id="449" w:name="_Toc162"/>
      <w:bookmarkEnd w:id="447"/>
      <w:bookmarkEnd w:id="448"/>
      <w:r>
        <w:rPr>
          <w:rtl w:val="true"/>
        </w:rPr>
        <w:t>من کان عنده أربع فطلّق واحدة وأراد نکاح الخامسة</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عنده أربع فطلّق واحدةً منهنَّ وأراد نکاح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الطلاق رجعیّاً لا یجوز له ذلک إلّا بعد خروجها عن العِدّة، وإن کان بائناً ففی الجواز قبل الخروج عن العِدّة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الجواز؛ لانقطاع العصمة بینه وبینها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Style w:val="FootnoteAnchor"/>
          <w:rtl w:val="true"/>
        </w:rPr>
        <w:footnoteReference w:id="852"/>
      </w:r>
      <w:r>
        <w:rPr>
          <w:rFonts w:ascii="IRNazanin" w:hAnsi="IRNazanin" w:eastAsia="IRNazanin"/>
          <w:color w:val="111111"/>
          <w:sz w:val="28"/>
          <w:sz w:val="28"/>
          <w:szCs w:val="28"/>
          <w:rtl w:val="true"/>
          <w:lang w:bidi="fa-IR"/>
        </w:rPr>
        <w:t> بوجوب الصبر</w:t>
      </w:r>
      <w:r>
        <w:rPr>
          <w:rStyle w:val="FootnoteAnchor"/>
          <w:rtl w:val="true"/>
        </w:rPr>
        <w:footnoteReference w:id="8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لإطلاق نصوص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هذاالقول أظهر بحسب الدلیل، إلّا أنّ تسالم الأصحاب علی عدم وجوبه یمنععن الإفتاء به، فالاحتیاط بالترک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انقضاء عدّتها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عملاً بإطلاق جملةٍ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854"/>
      </w:r>
      <w:r>
        <w:rPr>
          <w:rFonts w:ascii="IRNazanin" w:hAnsi="IRNazanin" w:eastAsia="IRNazanin"/>
          <w:color w:val="111111"/>
          <w:sz w:val="28"/>
          <w:sz w:val="28"/>
          <w:szCs w:val="28"/>
          <w:rtl w:val="true"/>
          <w:lang w:bidi="fa-IR"/>
        </w:rPr>
        <w:t> المشهور</w:t>
      </w:r>
      <w:r>
        <w:rPr>
          <w:rStyle w:val="FootnoteAnchor"/>
          <w:rtl w:val="true"/>
        </w:rPr>
        <w:footnoteReference w:id="855"/>
      </w:r>
      <w:r>
        <w:rPr>
          <w:rFonts w:ascii="Amiri" w:hAnsi="Amiri" w:eastAsia="Amiri" w:cs="Amiri"/>
          <w:color w:val="111111"/>
          <w:sz w:val="28"/>
          <w:sz w:val="28"/>
          <w:szCs w:val="28"/>
          <w:rtl w:val="true"/>
          <w:lang w:bidi="ar-SA"/>
        </w:rPr>
        <w:t>، والأخبار محمولة</w:t>
      </w:r>
      <w:r>
        <w:rPr>
          <w:rStyle w:val="FootnoteAnchor"/>
          <w:rtl w:val="true"/>
        </w:rPr>
        <w:footnoteReference w:id="856"/>
      </w:r>
      <w:r>
        <w:rPr>
          <w:rFonts w:ascii="IRNazanin" w:hAnsi="IRNazanin" w:eastAsia="IRNazanin"/>
          <w:color w:val="111111"/>
          <w:sz w:val="28"/>
          <w:sz w:val="28"/>
          <w:szCs w:val="28"/>
          <w:rtl w:val="true"/>
          <w:lang w:bidi="fa-IR"/>
        </w:rPr>
        <w:t>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کانت الخامسة اُختَ المطلّقة فلا إشکال</w:t>
      </w:r>
      <w:r>
        <w:rPr>
          <w:rStyle w:val="FootnoteAnchor"/>
          <w:rtl w:val="true"/>
        </w:rPr>
        <w:footnoteReference w:id="857"/>
      </w:r>
      <w:r>
        <w:rPr>
          <w:rFonts w:ascii="IRNazanin" w:hAnsi="IRNazanin" w:eastAsia="IRNazanin"/>
          <w:color w:val="111111"/>
          <w:sz w:val="28"/>
          <w:sz w:val="28"/>
          <w:szCs w:val="28"/>
          <w:rtl w:val="true"/>
          <w:lang w:bidi="fa-IR"/>
        </w:rPr>
        <w:t> فی جواز</w:t>
      </w:r>
      <w:r>
        <w:rPr>
          <w:rStyle w:val="FootnoteAnchor"/>
          <w:rtl w:val="true"/>
        </w:rPr>
        <w:footnoteReference w:id="858"/>
      </w:r>
      <w:r>
        <w:rPr>
          <w:rFonts w:ascii="IRNazanin" w:hAnsi="IRNazanin" w:eastAsia="IRNazanin"/>
          <w:color w:val="111111"/>
          <w:sz w:val="28"/>
          <w:sz w:val="28"/>
          <w:szCs w:val="28"/>
          <w:rtl w:val="true"/>
          <w:lang w:bidi="fa-IR"/>
        </w:rPr>
        <w:t> نکاحها  قبل الخروج عن العِدّة البائنة</w:t>
      </w:r>
      <w:r>
        <w:rPr>
          <w:rStyle w:val="FootnoteAnchor"/>
          <w:rtl w:val="true"/>
        </w:rPr>
        <w:footnoteReference w:id="859"/>
      </w:r>
      <w:r>
        <w:rPr>
          <w:rFonts w:ascii="IRNazanin" w:hAnsi="IRNazanin" w:eastAsia="IRNazanin"/>
          <w:color w:val="111111"/>
          <w:sz w:val="28"/>
          <w:sz w:val="28"/>
          <w:szCs w:val="28"/>
          <w:rtl w:val="true"/>
          <w:lang w:bidi="fa-IR"/>
        </w:rPr>
        <w:t>؛ لورود النصّ</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المذکور دالّ علی الجواز من حیث الجمع بین الاُختَین، لا مِن حیث الجمعبین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جواز نکاح الاُخت بعد الطلاق البائن لاُختها من دونفصلٍ له نحو حکومةٍ علی الأخبار السابقة إن سلّمنا إطلاقها بالنسبة إلی العِدّةالبائنة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یُستفاد من النصّ وإن لم یرد فی خصوص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یرد نصّ فی المقام، وإنّما ورد فی جواز نکاح المرأة فی عدّة اُختها إذا کانالطلاق بائناً، وبین المسألتین بون بعید؛ وعلیه فلا فرق فی الخامسة بین کونها اُختاًللمطلّقة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ورد من حیث الجمع بین الاُختَین، لا من حیث تزویج الخامسة، فیشکلبناءً علی هذا القول لو کانت الاُخت خامسة، إلّا أن یتمسّک بالإطلاق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وارد فی الجواز من حیث الجمع بین الاُختین، لا من حیث الجمع بینالخمس، فلا فرق بین کون الخامسة اُختاً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یَرِد نصّ فی خصوص الفرض، بل إنّما ورد فی نکاح الاُخت فی عدّة اُختها،دالّاً علی جواز الخطبة إذا أبرأ عصمتها فلم یکن له علیها رجعة، ویمکن دعویالإطلاق فیه بحیث یشمل المقام، لکنّها بعیدة، کما أنّه قد استُفِید منه أنّ الملاک کونالطلاق بائناً، بلا فرقٍ بین مورده وبین سائر الموارد، والاستفادة غیر واضحة، فلایمکن الاستناد إلیه للجواز فی الطلاق البائن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معلّلاً بانقطاع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أنّه لا ینبغی الإشکال إذا کانت العِدّة لغیر الطلاق کالفسخ بعیبٍ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ماتت الرابعة فلا یجب الصبر إلی أربعة أشهرٍ وعشر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الوارد بوجوب الصبر معارض بغیره</w:t>
      </w:r>
      <w:r>
        <w:rPr>
          <w:rStyle w:val="FootnoteAnchor"/>
          <w:rtl w:val="true"/>
        </w:rPr>
        <w:footnoteReference w:id="861"/>
      </w:r>
      <w:r>
        <w:rPr>
          <w:rFonts w:ascii="IRNazanin" w:hAnsi="IRNazanin" w:eastAsia="IRNazanin"/>
          <w:color w:val="111111"/>
          <w:sz w:val="28"/>
          <w:sz w:val="28"/>
          <w:szCs w:val="28"/>
          <w:rtl w:val="true"/>
          <w:lang w:bidi="fa-IR"/>
        </w:rPr>
        <w:t>، ومحمول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الطلاق أو الفراق بالفسخ قبل الدخول فلا عدّة حتّی یجب الصبر، أو لا یجب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3286_153889"/>
    </w:p>
    <w:p>
      <w:pPr>
        <w:pStyle w:val="Heading3"/>
        <w:numPr>
          <w:ilvl w:val="2"/>
          <w:numId w:val="1"/>
        </w:numPr>
        <w:rPr/>
      </w:pPr>
      <w:bookmarkStart w:id="451" w:name="__RefHeading___Toc2138740_2322387425"/>
      <w:bookmarkStart w:id="452" w:name="_Toc163"/>
      <w:bookmarkEnd w:id="450"/>
      <w:bookmarkEnd w:id="451"/>
      <w:r>
        <w:rPr>
          <w:rtl w:val="true"/>
        </w:rPr>
        <w:t xml:space="preserve">فصل </w:t>
      </w:r>
      <w:r>
        <w:rPr>
          <w:rtl w:val="true"/>
        </w:rPr>
        <w:t>[</w:t>
      </w:r>
      <w:r>
        <w:rPr>
          <w:rtl w:val="true"/>
        </w:rPr>
        <w:t>فی التزویج فی العدّة</w:t>
      </w:r>
      <w:r>
        <w:rPr>
          <w:rtl w:val="true"/>
        </w:rPr>
        <w:t>]</w:t>
      </w:r>
      <w:bookmarkEnd w:id="452"/>
    </w:p>
    <w:p>
      <w:pPr>
        <w:pStyle w:val="Heading4"/>
        <w:numPr>
          <w:ilvl w:val="3"/>
          <w:numId w:val="1"/>
        </w:numPr>
        <w:rPr/>
      </w:pPr>
      <w:bookmarkStart w:id="453" w:name="__RefHeading___Toc2138742_2322387425"/>
      <w:bookmarkStart w:id="454" w:name="_Toc164"/>
      <w:bookmarkEnd w:id="453"/>
      <w:r>
        <w:rPr>
          <w:rtl w:val="true"/>
        </w:rPr>
        <w:t>حرمة التزویج فی عدّة الغیر</w:t>
      </w:r>
      <w:bookmarkEnd w:id="454"/>
    </w:p>
    <w:p>
      <w:pPr>
        <w:pStyle w:val="BookText"/>
        <w:rPr/>
      </w:pPr>
      <w:r>
        <w:rPr>
          <w:rFonts w:ascii="IRNazanin" w:hAnsi="IRNazanin" w:eastAsia="IRNazanin"/>
          <w:color w:val="111111"/>
          <w:sz w:val="28"/>
          <w:sz w:val="28"/>
          <w:szCs w:val="28"/>
          <w:rtl w:val="true"/>
          <w:lang w:bidi="fa-IR"/>
        </w:rPr>
        <w:t>لا یجوز التزویج</w:t>
      </w:r>
      <w:r>
        <w:rPr>
          <w:rStyle w:val="FootnoteAnchor"/>
          <w:rtl w:val="true"/>
        </w:rPr>
        <w:footnoteReference w:id="8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تزویج ذات البعل فسیأتی حکمه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عدّة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متعة، سواء کانت عدّة الطلاق بائنةً أم رجعیّة، أو عدّة الوفاة، أو عدّة وطء الشبهة، حرّةً کانت المعتدّة أو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تزوّجها حرمت علیه أبداً إذا کانا عالِمَین بالحکم والموضوع، أو کان أحدهما عالِماً بهما مطلقاً، سواء دخل بها أم لا، وکذا مع جهلهما بهما</w:t>
      </w:r>
      <w:r>
        <w:rPr>
          <w:rStyle w:val="FootnoteAnchor"/>
          <w:rtl w:val="true"/>
        </w:rPr>
        <w:footnoteReference w:id="863"/>
      </w:r>
      <w:r>
        <w:rPr>
          <w:rFonts w:ascii="IRNazanin" w:hAnsi="IRNazanin" w:eastAsia="IRNazanin"/>
          <w:color w:val="111111"/>
          <w:sz w:val="28"/>
          <w:sz w:val="28"/>
          <w:szCs w:val="28"/>
          <w:rtl w:val="true"/>
          <w:lang w:bidi="fa-IR"/>
        </w:rPr>
        <w:t> لکن بشرط الدخول بها</w:t>
      </w:r>
      <w:r>
        <w:rPr>
          <w:rFonts w:eastAsia="IRNazanin" w:cs="IRNazanin"/>
          <w:color w:val="111111"/>
          <w:sz w:val="28"/>
          <w:szCs w:val="28"/>
          <w:rtl w:val="true"/>
          <w:lang w:bidi="fa-IR"/>
        </w:rPr>
        <w:t>.</w:t>
      </w:r>
    </w:p>
    <w:p>
      <w:pPr>
        <w:pStyle w:val="Heading4"/>
        <w:numPr>
          <w:ilvl w:val="3"/>
          <w:numId w:val="1"/>
        </w:numPr>
        <w:rPr/>
      </w:pPr>
      <w:bookmarkStart w:id="455" w:name="__RefHeading___Toc2138744_2322387425"/>
      <w:bookmarkStart w:id="456" w:name="_Toc165"/>
      <w:bookmarkEnd w:id="455"/>
      <w:r>
        <w:rPr>
          <w:rtl w:val="true"/>
        </w:rPr>
        <w:t>تحریم المزوّجة فی العدّة مطلقاً دواماً ومتعة قبلاً دخل أو دبراً</w:t>
      </w:r>
      <w:bookmarkEnd w:id="456"/>
    </w:p>
    <w:p>
      <w:pPr>
        <w:pStyle w:val="BookText"/>
        <w:rPr/>
      </w:pPr>
      <w:r>
        <w:rPr>
          <w:rFonts w:ascii="IRNazanin" w:hAnsi="IRNazanin" w:eastAsia="IRNazanin"/>
          <w:color w:val="111111"/>
          <w:sz w:val="28"/>
          <w:sz w:val="28"/>
          <w:szCs w:val="28"/>
          <w:rtl w:val="true"/>
          <w:lang w:bidi="fa-IR"/>
        </w:rPr>
        <w:t>ولا فرق فی التزویج بین الدوام والمتعة، کما لا فرق فی الدخول بین القُبُل والدُبُر</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457" w:name="pg13286_153890"/>
    </w:p>
    <w:p>
      <w:pPr>
        <w:pStyle w:val="Heading4"/>
        <w:numPr>
          <w:ilvl w:val="3"/>
          <w:numId w:val="1"/>
        </w:numPr>
        <w:rPr/>
      </w:pPr>
      <w:bookmarkStart w:id="458" w:name="__RefHeading___Toc2138746_2322387425"/>
      <w:bookmarkStart w:id="459" w:name="_Toc166"/>
      <w:bookmarkEnd w:id="457"/>
      <w:bookmarkEnd w:id="458"/>
      <w:r>
        <w:rPr>
          <w:rtl w:val="true"/>
        </w:rPr>
        <w:t>ما لا یلحق بالتزویج فی العدّة من الموارد</w:t>
      </w:r>
      <w:bookmarkEnd w:id="459"/>
    </w:p>
    <w:p>
      <w:pPr>
        <w:pStyle w:val="BookText"/>
        <w:rPr/>
      </w:pPr>
      <w:r>
        <w:rPr>
          <w:rFonts w:ascii="IRNazanin" w:hAnsi="IRNazanin" w:eastAsia="IRNazanin"/>
          <w:color w:val="111111"/>
          <w:sz w:val="28"/>
          <w:sz w:val="28"/>
          <w:szCs w:val="28"/>
          <w:rtl w:val="true"/>
          <w:lang w:bidi="fa-IR"/>
        </w:rPr>
        <w:t>ولا یلحق بالعدّة أیّام استبراء الأمة، فلا یوجب التزویج فیها حرمةً أبدیّةً ولو مع العلم والدخول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جواز تزویجها فیها وإن حرم الوطء قبل انقضائها، فإنّ المحرّم فیها هو الوطء دون سائر الاستمتاعات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یلحق بالتزویج الوطء بالملک أو التحلیل، فلو کانت مزوّجةً فمات زوجها أو طلّقها ـ وإن کان لا یجوز لمالکها وطوها ولا الاستمتاع بها فی أیّام عدّتها ولا تحلیلها للغیر ـ لکن لو وَطئِها أو حلّلها للغیر فوطئها لم تحرم</w:t>
      </w:r>
      <w:r>
        <w:rPr>
          <w:rStyle w:val="FootnoteAnchor"/>
          <w:rtl w:val="true"/>
        </w:rPr>
        <w:footnoteReference w:id="865"/>
      </w:r>
      <w:r>
        <w:rPr>
          <w:rFonts w:ascii="Amiri" w:hAnsi="Amiri" w:eastAsia="Amiri" w:cs="Amiri"/>
          <w:color w:val="111111"/>
          <w:sz w:val="28"/>
          <w:sz w:val="28"/>
          <w:szCs w:val="28"/>
          <w:rtl w:val="true"/>
          <w:lang w:bidi="ar-SA"/>
        </w:rPr>
        <w:t> أبداً علیه</w:t>
      </w:r>
      <w:r>
        <w:rPr>
          <w:rStyle w:val="FootnoteAnchor"/>
          <w:rtl w:val="true"/>
        </w:rPr>
        <w:footnoteReference w:id="866"/>
      </w:r>
      <w:r>
        <w:rPr>
          <w:rFonts w:ascii="IRNazanin" w:hAnsi="IRNazanin" w:eastAsia="IRNazanin"/>
          <w:color w:val="111111"/>
          <w:sz w:val="28"/>
          <w:sz w:val="28"/>
          <w:szCs w:val="28"/>
          <w:rtl w:val="true"/>
          <w:lang w:bidi="fa-IR"/>
        </w:rPr>
        <w:t>، أو علی ذلک الغیر ولو مع العلم بالحکم والموضوع</w:t>
      </w:r>
      <w:r>
        <w:rPr>
          <w:rFonts w:eastAsia="IRNazanin" w:cs="IRNazanin"/>
          <w:color w:val="111111"/>
          <w:sz w:val="28"/>
          <w:szCs w:val="28"/>
          <w:rtl w:val="true"/>
          <w:lang w:bidi="fa-IR"/>
        </w:rPr>
        <w:t>.</w:t>
      </w:r>
    </w:p>
    <w:p>
      <w:pPr>
        <w:pStyle w:val="Heading4"/>
        <w:numPr>
          <w:ilvl w:val="3"/>
          <w:numId w:val="1"/>
        </w:numPr>
        <w:rPr/>
      </w:pPr>
      <w:bookmarkStart w:id="460" w:name="__RefHeading___Toc2138748_2322387425"/>
      <w:bookmarkStart w:id="461" w:name="_Toc167"/>
      <w:bookmarkEnd w:id="460"/>
      <w:r>
        <w:rPr>
          <w:rtl w:val="true"/>
        </w:rPr>
        <w:t>عدم إلحاق وطء المعتدة شبهة ولا زناً ما عدا الرجعیّة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یلحق بالتزویج فی العِدّة وطء المعتدّة شبهةً</w:t>
      </w:r>
      <w:r>
        <w:rPr>
          <w:rStyle w:val="FootnoteAnchor"/>
          <w:rtl w:val="true"/>
        </w:rPr>
        <w:footnoteReference w:id="867"/>
      </w:r>
      <w:r>
        <w:rPr>
          <w:rFonts w:ascii="IRNazanin" w:hAnsi="IRNazanin" w:eastAsia="IRNazanin"/>
          <w:color w:val="111111"/>
          <w:sz w:val="28"/>
          <w:sz w:val="28"/>
          <w:szCs w:val="28"/>
          <w:rtl w:val="true"/>
          <w:lang w:bidi="fa-IR"/>
        </w:rPr>
        <w:t> من غیرعقد، بل ولا زناً إلّا إذا کانت العِدّة رجعیّة،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بعقدٍ فاسد؛ لعدم تمامیّة</w:t>
      </w:r>
      <w:r>
        <w:rPr>
          <w:rStyle w:val="FootnoteAnchor"/>
          <w:rtl w:val="true"/>
        </w:rPr>
        <w:footnoteReference w:id="868"/>
      </w:r>
      <w:r>
        <w:rPr>
          <w:rFonts w:ascii="IRNazanin" w:hAnsi="IRNazanin" w:eastAsia="IRNazanin"/>
          <w:color w:val="111111"/>
          <w:sz w:val="28"/>
          <w:sz w:val="28"/>
          <w:szCs w:val="28"/>
          <w:rtl w:val="true"/>
          <w:lang w:bidi="fa-IR"/>
        </w:rPr>
        <w:t> أرکانه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کان بعقدٍ تامّ الأرکان وکان فساده لتعبّد شرعیّ ـ کما إذا تزوّج</w:t>
      </w:r>
      <w:r>
        <w:rPr>
          <w:rStyle w:val="FootnoteAnchor"/>
          <w:rtl w:val="true"/>
        </w:rPr>
        <w:footnoteReference w:id="869"/>
      </w:r>
      <w:r>
        <w:rPr>
          <w:rFonts w:ascii="Amiri" w:hAnsi="Amiri" w:eastAsia="Amiri" w:cs="Amiri"/>
          <w:color w:val="111111"/>
          <w:sz w:val="28"/>
          <w:sz w:val="28"/>
          <w:szCs w:val="28"/>
          <w:rtl w:val="true"/>
          <w:lang w:bidi="ar-SA"/>
        </w:rPr>
        <w:t xml:space="preserve"> اُخت زوجته فی عدّتها أو     </w:t>
      </w:r>
      <w:r>
        <w:rPr>
          <w:rFonts w:eastAsia="Amiri" w:cs="Amiri" w:ascii="Amiri" w:hAnsi="Amiri"/>
          <w:color w:val="111111"/>
          <w:sz w:val="28"/>
          <w:szCs w:val="28"/>
          <w:rtl w:val="true"/>
          <w:lang w:bidi="ar-SA"/>
        </w:rPr>
        <w:t>.     .     .     .     .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اُمّها</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من سهو القلم، أو غلط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اُمّ الزوجة من المحرّمات الأبدیّة بنفسها وإن لم یعقد علیها فیالعدّة، وکذلک بنت الزوجة مع الدخول باُمّها؛ ولذلک جعل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المیرزا محمّد حسین النائینی والسیّد جمال‌الدین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منالمحشّین عبارة المتن من غلط الناسِخِین أو من سهو القلم، وقد یتکلّف لتصحیحالفرض بأن یکون تزوّج کلّاً من الاُمّ والبنت بعقدٍ واحدٍ وکانا جمیعاً فی العدّة منالغیر، فإنّ کلّ واحدةٍ منهما تکون من صغریات المسألة، ولکنّ الفرض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الاُمّ مطلقاً وإطلاق ذکر البنت کلاهما من سهو القلم، أو غلط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بنتها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لذکر اُمّ الزوجة فی المقام؛ لإنّ الکلام فیما إذا لم یکن موجب آخرللحرمة الأبدیّة ـ کاُخت الزوجة مثلاً ـ حتّی یتکلّم فی أنّ تزویجها فی العِدّة موجبلحرمتها أبداً أم لا، وأمّا اُمّ الزوجة فهی محرّمة أبداً ولو لم تزوّجٍ فی العِدّة، وکذا بنتالزوجة مع الدخول باُمّها، نعم، لو لم یدخل باُمّها کانت داخلة فی محلّ الکلام،فذکرها علی الإطلاق أیضاً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 اُمّ الزوجة وکذلک بنتها بعد الدخول باُمّها من المحرّمات الأبدیّة فالعقد فی العِدّة أو الدخول فیها لا تأثیر لهما فی التحریم أبداً، فالتمثیل بهما فی المقام مناشتباه النُسّاخ، أو سهو من قلمه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الاُمّ والبنت سهو من القلم، أو اشتباه من النُسّاخ، نعم، فی البنت مع عدمالدخول بالزوجة یصحّ فرضه، وإن کان خارجاً عن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اُمّ الزوجة محرّمة أبداً، سواء فرض وقوع عقدٍ علیها فی العِدّة أم لا،فلا یدخل فی محلّ التردید، فکأنّه من سهو القلم، أو غلط النُسّاخ، وفی مثال اُمّالزوجة لابدّ من التقیید بعدم الدخول باُمّها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تحرم اُمّ الزوجة أبداً وبنت الزوجة بشرط الدخول باُمّها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لذکرهما؛ إذ الاُمّ محرّمة قبل العقد وبعده، والبنت کذلک بشرط الدخولبالاُمّ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الاُمّ فی المقام لعلّه من سهو الناسخ؛ لأنّ اُمّ الزوجة من المحرّمات الأبدیّة،وعقدها فی العِدّة لا تأثیر له فی التحریم، وکذلک الرَبیبة مع الدخول باُمّها، ومع عدمالدخول بالاُمّ فالعقد علیها بعد بینونة الاُمّ صحیح لولا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تزوّج الاُمّوالبنت بعقدٍ واحدٍ فی عدّتهما فکانت من صغریات هذه المسألة، وکذا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الزوجة من المحرّمات الأبدیّة، لا تصلح مثالاً للمقام، وکذا بنتها مع الدخولباُمّها، فلابدّ وأن تُقیَّد بعدم الدخول حتّی تصلح للمثالیّة، والأمر 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 بل والبنت مع عدم التقیّد بعدم الدخول لعلّه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الاُمّ من سهو القلم؛ لأنّها من المحرّمات الأبدیّة، وأمّا البنت فلابدّ منتقییدها بما إذا لم یدخل بالاُمّ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نحو ذلک ممّا یصدق علیه التزویج وإن کان فاسداً شرعاً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ففی کونه کالتزویج الصحیح إلّا من جهة کونه فی العِدّة وعدمه ـ لأنّ المتبادر من الأخبار التزویج الصحیح مع قطع النظر عن کونه فی العِدّة ـ </w:t>
      </w:r>
      <w:bookmarkStart w:id="462" w:name="pg13286_153893"/>
    </w:p>
    <w:p>
      <w:pPr>
        <w:pStyle w:val="BookText"/>
        <w:rPr/>
      </w:pPr>
      <w:bookmarkEnd w:id="462"/>
      <w:r>
        <w:rPr>
          <w:rFonts w:ascii="IRNazanin" w:hAnsi="IRNazanin" w:eastAsia="IRNazanin"/>
          <w:color w:val="111111"/>
          <w:sz w:val="28"/>
          <w:sz w:val="28"/>
          <w:szCs w:val="28"/>
          <w:rtl w:val="true"/>
          <w:lang w:bidi="fa-IR"/>
        </w:rPr>
        <w:t>إشکال، والأحوط</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فإنّ الموضوع فی لسان الأدلّة عنوان التزویج فی العِدّة، ولا إشکالفی صدق العنوان المذکور؛ إذ الألفاظ لا تکون موضوعةً للصحیح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اُخت الزوجة، وأمّا بالنسبة إلی اُمّ الزوجة وبنتها فینبغی التأمّل فیه حکماًوموضوعاً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وإن کان الأقوی عدم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ینبغی ترکه، وإن کان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التحریم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لا یتزوّجها، ولکن لو عقد علیها ولو جهلاً فلا یُترک الاحتیاط بالطلاق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مراعاة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الأبدی، فیوجب الحرمة مع العلم مطلقاً، ومع الدخول فی صورة الجهل</w:t>
      </w:r>
      <w:r>
        <w:rPr>
          <w:rFonts w:eastAsia="IRNazanin" w:cs="IRNazanin"/>
          <w:color w:val="111111"/>
          <w:sz w:val="28"/>
          <w:szCs w:val="28"/>
          <w:rtl w:val="true"/>
          <w:lang w:bidi="fa-IR"/>
        </w:rPr>
        <w:t>.</w:t>
      </w:r>
    </w:p>
    <w:p>
      <w:pPr>
        <w:pStyle w:val="Heading4"/>
        <w:numPr>
          <w:ilvl w:val="3"/>
          <w:numId w:val="1"/>
        </w:numPr>
        <w:rPr/>
      </w:pPr>
      <w:bookmarkStart w:id="463" w:name="__RefHeading___Toc2138750_2322387425"/>
      <w:bookmarkStart w:id="464" w:name="_Toc168"/>
      <w:bookmarkEnd w:id="463"/>
      <w:r>
        <w:rPr>
          <w:rtl w:val="true"/>
        </w:rPr>
        <w:t>التزویج فی العدّة من قِبَل الولیّ والوکیل</w:t>
      </w:r>
      <w:bookmarkEnd w:id="46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الولیّ</w:t>
      </w:r>
      <w:r>
        <w:rPr>
          <w:rStyle w:val="FootnoteAnchor"/>
          <w:rtl w:val="true"/>
        </w:rPr>
        <w:footnoteReference w:id="872"/>
      </w:r>
      <w:r>
        <w:rPr>
          <w:rFonts w:ascii="IRNazanin" w:hAnsi="IRNazanin" w:eastAsia="IRNazanin"/>
          <w:color w:val="111111"/>
          <w:sz w:val="28"/>
          <w:sz w:val="28"/>
          <w:szCs w:val="28"/>
          <w:rtl w:val="true"/>
          <w:lang w:bidi="fa-IR"/>
        </w:rPr>
        <w:t> فی عدّة الغیر</w:t>
      </w:r>
      <w:r>
        <w:rPr>
          <w:rStyle w:val="FootnoteAnchor"/>
          <w:rtl w:val="true"/>
        </w:rPr>
        <w:footnoteReference w:id="873"/>
      </w:r>
      <w:r>
        <w:rPr>
          <w:rFonts w:ascii="IRNazanin" w:hAnsi="IRNazanin" w:eastAsia="IRNazanin"/>
          <w:color w:val="111111"/>
          <w:sz w:val="28"/>
          <w:sz w:val="28"/>
          <w:szCs w:val="28"/>
          <w:rtl w:val="true"/>
          <w:lang w:bidi="fa-IR"/>
        </w:rPr>
        <w:t xml:space="preserve"> مع علمه </w:t>
      </w:r>
    </w:p>
    <w:p>
      <w:pPr>
        <w:pStyle w:val="BookText"/>
        <w:rPr/>
      </w:pPr>
      <w:r>
        <w:rPr>
          <w:rFonts w:ascii="IRNazanin" w:hAnsi="IRNazanin" w:eastAsia="IRNazanin"/>
          <w:color w:val="111111"/>
          <w:sz w:val="28"/>
          <w:sz w:val="28"/>
          <w:szCs w:val="28"/>
          <w:rtl w:val="true"/>
          <w:lang w:bidi="fa-IR"/>
        </w:rPr>
        <w:t>بالحکم</w:t>
      </w:r>
      <w:r>
        <w:rPr>
          <w:rStyle w:val="FootnoteAnchor"/>
          <w:rtl w:val="true"/>
        </w:rPr>
        <w:footnoteReference w:id="874"/>
      </w:r>
      <w:r>
        <w:rPr>
          <w:rFonts w:ascii="IRNazanin" w:hAnsi="IRNazanin" w:eastAsia="IRNazanin"/>
          <w:color w:val="111111"/>
          <w:sz w:val="28"/>
          <w:sz w:val="28"/>
          <w:szCs w:val="28"/>
          <w:rtl w:val="true"/>
          <w:lang w:bidi="fa-IR"/>
        </w:rPr>
        <w:t> والموضوع، أو زوّجه الوکیل فی التزویج بدون تعیین</w:t>
      </w:r>
      <w:r>
        <w:rPr>
          <w:rStyle w:val="FootnoteAnchor"/>
          <w:rtl w:val="true"/>
        </w:rPr>
        <w:footnoteReference w:id="875"/>
      </w:r>
      <w:r>
        <w:rPr>
          <w:rFonts w:ascii="Amiri" w:hAnsi="Amiri" w:eastAsia="Amiri" w:cs="Amiri"/>
          <w:color w:val="111111"/>
          <w:sz w:val="28"/>
          <w:sz w:val="28"/>
          <w:szCs w:val="28"/>
          <w:rtl w:val="true"/>
          <w:lang w:bidi="ar-SA"/>
        </w:rPr>
        <w:t>الزوجة</w:t>
      </w:r>
      <w:r>
        <w:rPr>
          <w:rStyle w:val="FootnoteAnchor"/>
          <w:rtl w:val="true"/>
        </w:rPr>
        <w:footnoteReference w:id="876"/>
      </w:r>
      <w:r>
        <w:rPr>
          <w:rFonts w:ascii="IRNazanin" w:hAnsi="IRNazanin" w:eastAsia="IRNazanin"/>
          <w:color w:val="111111"/>
          <w:sz w:val="28"/>
          <w:sz w:val="28"/>
          <w:szCs w:val="28"/>
          <w:rtl w:val="true"/>
          <w:lang w:bidi="fa-IR"/>
        </w:rPr>
        <w:t> کذلک لا یوجب الحرمة الأبدیّة؛ لأنّ المناط</w:t>
      </w:r>
      <w:r>
        <w:rPr>
          <w:rStyle w:val="FootnoteAnchor"/>
          <w:rtl w:val="true"/>
        </w:rPr>
        <w:footnoteReference w:id="877"/>
      </w:r>
      <w:r>
        <w:rPr>
          <w:rFonts w:ascii="IRNazanin" w:hAnsi="IRNazanin" w:eastAsia="IRNazanin"/>
          <w:color w:val="111111"/>
          <w:sz w:val="28"/>
          <w:sz w:val="28"/>
          <w:szCs w:val="28"/>
          <w:rtl w:val="true"/>
          <w:lang w:bidi="fa-IR"/>
        </w:rPr>
        <w:t> علم الزوج،لا ولیّه أو وکیله، نعم، لو کان وکیلاً فی تزویج امرأةٍ معیّنةٍ</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یظهر فرق بین التوکیل فی تزویج امرأةٍ معیّنة وامرأةٍ غیر معیّنة؛ إذ المدار فیکلیهما علی عدم الموکّل، ولو فرض جهل الموکّل مع الدخول بها حرمت فی کلتاالصورتَین، فلا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المعیّنة وغیرها، بل المیزان علم الموکّل بالموضوع والحکم، فلا وجه للتفریق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فی</w:t>
      </w:r>
      <w:bookmarkStart w:id="465" w:name="pg13286_153895"/>
    </w:p>
    <w:p>
      <w:pPr>
        <w:pStyle w:val="BookText"/>
        <w:rPr/>
      </w:pPr>
      <w:bookmarkEnd w:id="465"/>
      <w:r>
        <w:rPr>
          <w:rFonts w:ascii="Amiri" w:hAnsi="Amiri" w:eastAsia="Amiri" w:cs="Amiri"/>
          <w:color w:val="111111"/>
          <w:sz w:val="28"/>
          <w:sz w:val="28"/>
          <w:szCs w:val="28"/>
          <w:rtl w:val="true"/>
          <w:lang w:bidi="ar-SA"/>
        </w:rPr>
        <w:t>العِدّة</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إحدی المعیّنات تخییراً، وکانت إحداهنّ فی العدّة فاختارها الوکیل فإنّها تحرمعلیه أبداً بالتزویج إذا کان هو عالماً بأنّها ذات عدّة، وإذا کان جاهلاً لم تحرم إلّابالدخول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کونه کمباشرته بنفسه، لکنّ المدار عِلم الموکّل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الوکیل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138752_2322387425"/>
      <w:bookmarkStart w:id="467" w:name="_Toc169"/>
      <w:bookmarkEnd w:id="466"/>
      <w:r>
        <w:rPr>
          <w:rtl w:val="true"/>
        </w:rPr>
        <w:t>جواز تزویج من فی العدّة لنفسه</w:t>
      </w:r>
      <w:bookmarkEnd w:id="4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تزویج مَن فی العِدّة لنفسه</w:t>
      </w:r>
      <w:r>
        <w:rPr>
          <w:rStyle w:val="FootnoteAnchor"/>
          <w:rtl w:val="true"/>
        </w:rPr>
        <w:footnoteReference w:id="880"/>
      </w:r>
      <w:r>
        <w:rPr>
          <w:rFonts w:ascii="IRNazanin" w:hAnsi="IRNazanin" w:eastAsia="IRNazanin"/>
          <w:color w:val="111111"/>
          <w:sz w:val="28"/>
          <w:sz w:val="28"/>
          <w:szCs w:val="28"/>
          <w:rtl w:val="true"/>
          <w:lang w:bidi="fa-IR"/>
        </w:rPr>
        <w:t>، سواء کانت عدّة الطلاق، أم الوطء شبهةً، أم عدّة المتعة، أم الفسخ بأحد الموجبات</w:t>
      </w:r>
      <w:r>
        <w:rPr>
          <w:rStyle w:val="FootnoteAnchor"/>
          <w:rtl w:val="true"/>
        </w:rPr>
        <w:footnoteReference w:id="881"/>
      </w:r>
      <w:r>
        <w:rPr>
          <w:rFonts w:ascii="Amiri" w:hAnsi="Amiri" w:eastAsia="Amiri" w:cs="Amiri"/>
          <w:color w:val="111111"/>
          <w:sz w:val="28"/>
          <w:sz w:val="28"/>
          <w:szCs w:val="28"/>
          <w:rtl w:val="true"/>
          <w:lang w:bidi="ar-SA"/>
        </w:rPr>
        <w:t xml:space="preserve"> أو المجوّزات له، والعقد صحیح، إلّا فی العِدّة الرجعیّة فإنّ </w:t>
      </w:r>
    </w:p>
    <w:p>
      <w:pPr>
        <w:pStyle w:val="BookText"/>
        <w:rPr/>
      </w:pPr>
      <w:r>
        <w:rPr>
          <w:rFonts w:ascii="IRNazanin" w:hAnsi="IRNazanin" w:eastAsia="IRNazanin"/>
          <w:color w:val="111111"/>
          <w:sz w:val="28"/>
          <w:sz w:val="28"/>
          <w:szCs w:val="28"/>
          <w:rtl w:val="true"/>
          <w:lang w:bidi="fa-IR"/>
        </w:rPr>
        <w:t>التزویج فیها باطل</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یجعل التزویج أمارةً علی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رجوع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لکونها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بمنزلة الزوجة، وإلّا فی الطلاق الثلاث الّذی یحتاج إلی المحلّل فإنّه أیضاً باطل، بل 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الحرمة التفکیکیّة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عاجلاً علی ما یدلّ علی حرمة العقد التکلیفیّة، نعم، لا إشکال 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مع ذلک لا یوجب الحرمة الأبدیّة، وإلّا فی عدّة الطلاق التاسع فی الصورة الّتی تحرم أبداً، وإلّا فی العِدّة لوطئه زوجة الغیر شبهة، لکن لا من حیث کونها فی العِدّة، بل لکونها ذات بعل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العِدّة لوطئه فی العِدّة شبهةً إذا حملت منه؛ بناءً علی عدم تداخل العِدّتَین؛ فإنّ عدّة وطء الشبهة حینئذٍ مقدّمة علی العِدّة السابقة الّتی هی عدّة الطلاق أو نحوه؛ لمکان الحمل، وبعد وضعه تأتی بتتمّة العِدّة السابقة، فلا یجوز له تزویجها فی هذه العِدّة ـ أعنی عدّة وطء الشبهة ـ</w:t>
      </w:r>
      <w:bookmarkStart w:id="468" w:name="pg13286_153897"/>
    </w:p>
    <w:p>
      <w:pPr>
        <w:pStyle w:val="BookText"/>
        <w:rPr/>
      </w:pPr>
      <w:bookmarkEnd w:id="468"/>
      <w:r>
        <w:rPr>
          <w:rFonts w:ascii="IRNazanin" w:hAnsi="IRNazanin" w:eastAsia="IRNazanin"/>
          <w:color w:val="111111"/>
          <w:sz w:val="28"/>
          <w:sz w:val="28"/>
          <w:szCs w:val="28"/>
          <w:rtl w:val="true"/>
          <w:lang w:bidi="fa-IR"/>
        </w:rPr>
        <w:t>وإن کانت لنفسه، فلو تزوّجها فیها عالماً أو جاهلاً بطل</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 ولا یبعد عدم إیجابه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فی إیجابه  التحریم الأبدی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جریان حکم التزویج فی العِدّة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المستفاد من الدلیل ترتّب الحکم علی التزویج فی عِدّة الغیر، والمفروض عدموقوع العقد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2138754_2322387425"/>
      <w:bookmarkStart w:id="470" w:name="_Toc170"/>
      <w:bookmarkEnd w:id="469"/>
      <w:r>
        <w:rPr>
          <w:rtl w:val="true"/>
        </w:rPr>
        <w:t>المناط فی الدخول المعتبر شرطاً فی الحرمة الأبدیّة</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یعتبر فی الدخول الّذی هو شرط فی الحرمة الأبدیّة</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فی صورة الجهل أن یکون فی العِدّة، أو یکفی کون التزویج فی العِدّة مع الدخول بعد انقضائها؟ قولان، الأحوط الثانی، بل لا یخلو من قوّة</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فی محلّ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نعم، هو الموافق للاحتیاط، کما ذکره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ولکن لا یُترک الاحتیاط بترک التزویج، وبالطلاق علی فرض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مشکلة إن لم تکن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الأوّل،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471" w:name="pg13286_153898"/>
    </w:p>
    <w:p>
      <w:pPr>
        <w:pStyle w:val="BookText"/>
        <w:rPr/>
      </w:pPr>
      <w:bookmarkEnd w:id="471"/>
      <w:r>
        <w:rPr>
          <w:rFonts w:ascii="IRNazanin" w:hAnsi="IRNazanin" w:eastAsia="IRNazanin"/>
          <w:color w:val="111111"/>
          <w:sz w:val="28"/>
          <w:sz w:val="28"/>
          <w:szCs w:val="28"/>
          <w:rtl w:val="true"/>
          <w:lang w:bidi="fa-IR"/>
        </w:rPr>
        <w:t>لإطلاق الأخبار</w:t>
      </w:r>
      <w:r>
        <w:rPr>
          <w:rStyle w:val="FootnoteAnchor"/>
          <w:rtl w:val="true"/>
        </w:rPr>
        <w:footnoteReference w:id="886"/>
      </w:r>
      <w:r>
        <w:rPr>
          <w:rFonts w:ascii="IRNazanin" w:hAnsi="IRNazanin" w:eastAsia="IRNazanin"/>
          <w:color w:val="111111"/>
          <w:sz w:val="28"/>
          <w:sz w:val="28"/>
          <w:szCs w:val="28"/>
          <w:rtl w:val="true"/>
          <w:lang w:bidi="fa-IR"/>
        </w:rPr>
        <w:t>بعد منع الانصراف إلی الدخول فی العِدّة</w:t>
      </w:r>
      <w:r>
        <w:rPr>
          <w:rFonts w:eastAsia="IRNazanin" w:cs="IRNazanin"/>
          <w:color w:val="111111"/>
          <w:sz w:val="28"/>
          <w:szCs w:val="28"/>
          <w:rtl w:val="true"/>
          <w:lang w:bidi="fa-IR"/>
        </w:rPr>
        <w:t>.</w:t>
      </w:r>
    </w:p>
    <w:p>
      <w:pPr>
        <w:pStyle w:val="Heading4"/>
        <w:numPr>
          <w:ilvl w:val="3"/>
          <w:numId w:val="1"/>
        </w:numPr>
        <w:rPr/>
      </w:pPr>
      <w:bookmarkStart w:id="472" w:name="__RefHeading___Toc2138756_2322387425"/>
      <w:bookmarkStart w:id="473" w:name="_Toc171"/>
      <w:bookmarkEnd w:id="472"/>
      <w:r>
        <w:rPr>
          <w:rtl w:val="true"/>
        </w:rPr>
        <w:t>الشکّ فی کون المرأة فی العدّة</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أنّها فی العِدّة أم لا مع عدم العلم سابقاً جاز التزویج، خصوصاً</w:t>
      </w:r>
      <w:r>
        <w:rPr>
          <w:rStyle w:val="FootnoteAnchor"/>
          <w:rtl w:val="true"/>
        </w:rPr>
        <w:footnoteReference w:id="887"/>
      </w:r>
      <w:r>
        <w:rPr>
          <w:rFonts w:ascii="IRNazanin" w:hAnsi="IRNazanin" w:eastAsia="IRNazanin"/>
          <w:color w:val="111111"/>
          <w:sz w:val="28"/>
          <w:sz w:val="28"/>
          <w:szCs w:val="28"/>
          <w:rtl w:val="true"/>
          <w:lang w:bidi="fa-IR"/>
        </w:rPr>
        <w:t> إذا أخبرت بالعدم، وکذا إذا علم کونها فی العِدّة سابقاً</w:t>
      </w:r>
    </w:p>
    <w:p>
      <w:pPr>
        <w:pStyle w:val="BookText"/>
        <w:rPr/>
      </w:pPr>
      <w:r>
        <w:rPr>
          <w:rFonts w:ascii="IRNazanin" w:hAnsi="IRNazanin" w:eastAsia="IRNazanin"/>
          <w:color w:val="111111"/>
          <w:sz w:val="28"/>
          <w:sz w:val="28"/>
          <w:szCs w:val="28"/>
          <w:rtl w:val="true"/>
          <w:lang w:bidi="fa-IR"/>
        </w:rPr>
        <w:t>وشکّ فی بقائها إذا أخبرت بالانقضاء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إخبارها بالانقضاء فمقتضی استصحاب بقائها عدم جواز تزویجها، وهل تحرم أبداً إذا تزوّجها مع ذلک؟ الظاهر ذلک</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دخل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ظاهریّة، مع فرض الدخول بها 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الأخبار اشتراط العلم بالعِدّة فی الحرمة الأبدیّة، والاستصحاب لا یکونعلماً، فإذا تزوّجها فی مورد استصحاب العِدّة لم یمکن الحکم بالحرمة الأبدیّة، نعم، إذا دخل بها ولم ینکشف الخلاف فتحرم؛ لأنّها بحکم الاستصحاب معتدّة، وأمّا إذاانکشف الخلاف فلا تحرم، دخل بها أم لم یدخل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محکوم بذلک ظاهراً ما لم ینکشف الخلاف، ومع ذلک فی صورة عدم الدخوللا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دخل بها ولم ینکشف الخلاف، وإذا انکشف الخلاف لم تحرم، ومع عدمالدخول أیضاً کذلک،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انکشاف الخلاف، وفرض الدخول، وبدونه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تزوّجها باعتقاد خروجها عن العِدّة، أو من غیر التفات إلیها ثمّ أخبرت</w:t>
      </w:r>
      <w:r>
        <w:rPr>
          <w:rStyle w:val="FootnoteAnchor"/>
          <w:rtl w:val="true"/>
        </w:rPr>
        <w:footnoteReference w:id="889"/>
      </w:r>
      <w:r>
        <w:rPr>
          <w:rFonts w:ascii="Amiri" w:hAnsi="Amiri" w:eastAsia="Amiri" w:cs="Amiri"/>
          <w:color w:val="111111"/>
          <w:sz w:val="28"/>
          <w:sz w:val="28"/>
          <w:szCs w:val="28"/>
          <w:rtl w:val="true"/>
          <w:lang w:bidi="ar-SA"/>
        </w:rPr>
        <w:t> بأنّها کانت فی العِدّة فالظاهر قبول</w:t>
      </w:r>
      <w:r>
        <w:rPr>
          <w:rStyle w:val="FootnoteAnchor"/>
          <w:rtl w:val="true"/>
        </w:rPr>
        <w:footnoteReference w:id="890"/>
      </w:r>
      <w:r>
        <w:rPr>
          <w:rFonts w:ascii="IRNazanin" w:hAnsi="IRNazanin" w:eastAsia="IRNazanin"/>
          <w:color w:val="111111"/>
          <w:sz w:val="28"/>
          <w:sz w:val="28"/>
          <w:szCs w:val="28"/>
          <w:rtl w:val="true"/>
          <w:lang w:bidi="fa-IR"/>
        </w:rPr>
        <w:t> قولها</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قولها بعد إقدامها علی العقد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فرض الدخول، ومعارضة أصالة الصحّة، وفی صورة عدمالدخول لا یُترک الاحتیاط بالعقد ثانیاً، أو الطلاق إن لم تَدَّعِ العلم بالموضوعوالحکم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نعم، إذا أخبرت قبل الدخول بها أنّها فی العِدّة لزم الفحص؛علی ما دلّت علیه صحیحة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ونحوها، ح</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أنّها لا تُصدَّق بعد الدخول، کما فی النصّ، فالعقد محکوم بالصحّة مالم یقطع بصدقها ولم یثبت شرعاً، ومع ذلک لا یُترک مراعاة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قبلالدخول فالأحوط التفحّص، فإن انکشف الحال فهو، وإلّا فلا یُترک الاحتیاطبالطلاق، أو العقد الجدید بعد العلم بخروجها عن العِدّة، نعم، لو ادّعت العلم بالعِدّةوحرمة التزویج فالأحوط ترک تزویجها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قولها بعد العقد والدخول لا یقبل، وبعد العقد قبل الدخول إنأخبرت لزوم الفحص، کما دلّت علی ذلک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وإجراء</w:t>
      </w:r>
      <w:bookmarkStart w:id="474" w:name="pg13286_153900"/>
    </w:p>
    <w:p>
      <w:pPr>
        <w:pStyle w:val="BookText"/>
        <w:rPr/>
      </w:pPr>
      <w:bookmarkEnd w:id="474"/>
      <w:r>
        <w:rPr>
          <w:rFonts w:ascii="IRNazanin" w:hAnsi="IRNazanin" w:eastAsia="IRNazanin"/>
          <w:color w:val="111111"/>
          <w:sz w:val="28"/>
          <w:sz w:val="28"/>
          <w:szCs w:val="28"/>
          <w:rtl w:val="true"/>
          <w:lang w:bidi="fa-IR"/>
        </w:rPr>
        <w:t>حکم</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إذا لم یحصل القطع من قولها، ولکنّ الاحتیاط مع ذلک لایُترک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التزویج فی العِدّة، فمع الدخول بها تحرم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الّذی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2138758_2322387425"/>
      <w:bookmarkStart w:id="476" w:name="_Toc172"/>
      <w:bookmarkEnd w:id="475"/>
      <w:r>
        <w:rPr>
          <w:rtl w:val="true"/>
        </w:rPr>
        <w:t>العلم بالعدّة والشکّ فی الدخول والعلم بالدخول والشکّ من جهة اُخری</w:t>
      </w:r>
      <w:bookmarkEnd w:id="47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التزویج کان فی العِدّة مع الجهل بها حکماً أو موضوعاً، ولکن شکّ فی أنّه دخل بها حتّی تحرم أبداً، أو لا یبنی علی عدم الدخول</w:t>
      </w:r>
      <w:r>
        <w:rPr>
          <w:rFonts w:eastAsia="IRNazanin" w:cs="IRNazanin"/>
          <w:color w:val="111111"/>
          <w:sz w:val="28"/>
          <w:szCs w:val="28"/>
          <w:rtl w:val="true"/>
          <w:lang w:bidi="fa-IR"/>
        </w:rPr>
        <w:t xml:space="preserve">. </w:t>
      </w:r>
      <w:bookmarkStart w:id="477" w:name="pg13286_153901"/>
    </w:p>
    <w:p>
      <w:pPr>
        <w:pStyle w:val="BookText"/>
        <w:rPr/>
      </w:pPr>
      <w:bookmarkEnd w:id="477"/>
      <w:r>
        <w:rPr>
          <w:rFonts w:ascii="IRNazanin" w:hAnsi="IRNazanin" w:eastAsia="IRNazanin"/>
          <w:color w:val="111111"/>
          <w:sz w:val="28"/>
          <w:sz w:val="28"/>
          <w:szCs w:val="28"/>
          <w:rtl w:val="true"/>
          <w:lang w:bidi="fa-IR"/>
        </w:rPr>
        <w:t>وکذا إذا علم بعدم الدخول بها وشکّ فی أنّها کانت عالمةً أو جاهلة</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جاهلةً وکان حکمها استصحاب العدّة إلی حین وقوع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یبنی علی عدم علمها، فلا یحکم بالحرمة الأبدیّة</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علم إجمالاً بانقضاء العِدّة والدخول، وشکّ فی المتقدّم والمتأخّر منها تجریفیه الصُور الأربعُ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4"/>
        <w:numPr>
          <w:ilvl w:val="3"/>
          <w:numId w:val="1"/>
        </w:numPr>
        <w:rPr/>
      </w:pPr>
      <w:bookmarkStart w:id="478" w:name="__RefHeading___Toc2138760_2322387425"/>
      <w:bookmarkStart w:id="479" w:name="_Toc173"/>
      <w:bookmarkEnd w:id="478"/>
      <w:r>
        <w:rPr>
          <w:rtl w:val="true"/>
        </w:rPr>
        <w:t>العلم الإجمالی بکون إحداهما فی العدّة</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إجمالاً بکون إحدی الامرأتَین المعیّنتَین فی العِدّة ولم یعلمها بعینها</w:t>
      </w:r>
      <w:r>
        <w:rPr>
          <w:rStyle w:val="FootnoteAnchor"/>
          <w:rtl w:val="true"/>
        </w:rPr>
        <w:footnoteReference w:id="895"/>
      </w:r>
      <w:r>
        <w:rPr>
          <w:rFonts w:ascii="IRNazanin" w:hAnsi="IRNazanin" w:eastAsia="IRNazanin"/>
          <w:color w:val="111111"/>
          <w:sz w:val="28"/>
          <w:sz w:val="28"/>
          <w:szCs w:val="28"/>
          <w:rtl w:val="true"/>
          <w:lang w:bidi="fa-IR"/>
        </w:rPr>
        <w:t> وجب علیه ترک</w:t>
      </w:r>
      <w:r>
        <w:rPr>
          <w:rStyle w:val="FootnoteAnchor"/>
          <w:rtl w:val="true"/>
        </w:rPr>
        <w:footnoteReference w:id="896"/>
      </w:r>
      <w:r>
        <w:rPr>
          <w:rFonts w:ascii="IRNazanin" w:hAnsi="IRNazanin" w:eastAsia="IRNazanin"/>
          <w:color w:val="111111"/>
          <w:sz w:val="28"/>
          <w:sz w:val="28"/>
          <w:szCs w:val="28"/>
          <w:rtl w:val="true"/>
          <w:lang w:bidi="fa-IR"/>
        </w:rPr>
        <w:t> تزویجهما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تزوّج إحداهما بطل، ولکن لا یوجب</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یوجبها أیضاً فی الظاهر إذا کانتا معتدّتَین وعلم إجمالاً بخروج إحداهما من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کلّ واحدةٍ منهما مستصحبةً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فیما إذا کانتا معتدّتَین وعلم بخروج إحداهما منها یکون مقتضیالاستصحاب وقوع التزویج فی العِدّة، فیوجب الحرمة الأبدیّة ما لم ینکشفالخلاف مع فرض الدخول، وبدونه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bookmarkStart w:id="480" w:name="pg13286_153902"/>
    </w:p>
    <w:p>
      <w:pPr>
        <w:pStyle w:val="BookText"/>
        <w:rPr/>
      </w:pPr>
      <w:bookmarkEnd w:id="480"/>
      <w:r>
        <w:rPr>
          <w:rFonts w:ascii="Amiri" w:hAnsi="Amiri" w:eastAsia="Amiri" w:cs="Amiri"/>
          <w:color w:val="111111"/>
          <w:sz w:val="28"/>
          <w:sz w:val="28"/>
          <w:szCs w:val="28"/>
          <w:rtl w:val="true"/>
          <w:lang w:bidi="ar-SA"/>
        </w:rPr>
        <w:t>الحرمة</w:t>
      </w:r>
      <w:r>
        <w:rPr>
          <w:rStyle w:val="FootnoteAnchor"/>
          <w:rtl w:val="true"/>
        </w:rPr>
        <w:footnoteReference w:id="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إیجابها إذا کانتا معتدّتَین، وعلم إجمالاً بخروج إحداهما من العِدّة، إلّاإذا انکشف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کانتا فی العِدّة وعلم إجمالاً بخروج إحداهما من العِدّة، فالأحوط إن لمیکن أقوی الحرمة الأبدیّة فی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کانتا کلتاهما مُستَصحِبَتَی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لعدم إحراز کون هذا التزویج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تزوّجهما معاً حرمتا علیه</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التعیین بالقرعة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العلم الإجمالیّ الاحتیاط؛ من حیث حرمة وطئهما، ووجوب الإنفاقعلیهما، وسائر الأحکام ممّا یمکن فیه الاحتیاط، إلّا أن یطلّقهما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الظاهر؛ عملاً بالعلم الإجمالیّ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2138762_2322387425"/>
      <w:bookmarkStart w:id="482" w:name="_Toc174"/>
      <w:bookmarkEnd w:id="481"/>
      <w:r>
        <w:rPr>
          <w:rtl w:val="true"/>
        </w:rPr>
        <w:t>من علم بالعدّة شکّ فی أنّها لنفسه أو لغیره</w:t>
      </w:r>
      <w:bookmarkEnd w:id="4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أنّ هذه الامرأة المعیّنة فی العِدّة لکن لا یدری أنّها فی عدّةِ نفسه</w:t>
      </w:r>
      <w:r>
        <w:rPr>
          <w:rStyle w:val="FootnoteAnchor"/>
          <w:rtl w:val="true"/>
        </w:rPr>
        <w:footnoteReference w:id="900"/>
      </w:r>
      <w:r>
        <w:rPr>
          <w:rFonts w:ascii="Amiri" w:hAnsi="Amiri" w:eastAsia="Amiri" w:cs="Amiri"/>
          <w:color w:val="111111"/>
          <w:sz w:val="28"/>
          <w:sz w:val="28"/>
          <w:szCs w:val="28"/>
          <w:rtl w:val="true"/>
          <w:lang w:bidi="ar-SA"/>
        </w:rPr>
        <w:t>، أو فی عدّةٍ لغیره جاز له</w:t>
      </w:r>
      <w:r>
        <w:rPr>
          <w:rStyle w:val="FootnoteAnchor"/>
          <w:rtl w:val="true"/>
        </w:rPr>
        <w:footnoteReference w:id="901"/>
      </w:r>
      <w:bookmarkStart w:id="483" w:name="pg13286_153903"/>
    </w:p>
    <w:p>
      <w:pPr>
        <w:pStyle w:val="BookText"/>
        <w:rPr/>
      </w:pPr>
      <w:bookmarkEnd w:id="483"/>
      <w:r>
        <w:rPr>
          <w:rFonts w:ascii="IRNazanin" w:hAnsi="IRNazanin" w:eastAsia="IRNazanin"/>
          <w:color w:val="111111"/>
          <w:sz w:val="28"/>
          <w:sz w:val="28"/>
          <w:szCs w:val="28"/>
          <w:rtl w:val="true"/>
          <w:lang w:bidi="fa-IR"/>
        </w:rPr>
        <w:t>تزویجها</w:t>
      </w:r>
      <w:r>
        <w:rPr>
          <w:rStyle w:val="FootnoteAnchor"/>
          <w:rtl w:val="true"/>
        </w:rPr>
        <w:footnoteReference w:id="902"/>
      </w:r>
      <w:r>
        <w:rPr>
          <w:rFonts w:ascii="Amiri" w:hAnsi="Amiri" w:eastAsia="Amiri" w:cs="Amiri"/>
          <w:color w:val="111111"/>
          <w:sz w:val="28"/>
          <w:sz w:val="28"/>
          <w:szCs w:val="28"/>
          <w:rtl w:val="true"/>
          <w:lang w:bidi="ar-SA"/>
        </w:rPr>
        <w:t>؛ لأصالة</w:t>
      </w:r>
      <w:r>
        <w:rPr>
          <w:rStyle w:val="FootnoteAnchor"/>
          <w:rtl w:val="true"/>
        </w:rPr>
        <w:footnoteReference w:id="9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یجری هذا الأصل إذا لم یکن لأصالة عدم کونها فی عدّته هو أثر شرعیّ،وأمّا إذا کان لها أثر شرعیّ، کما إذا کانت للمرأة اُخت لا یجوز له أن یتزوّجها فیعدّة اُختها؛ فإنّ الأصلین یتعارضان، ولابدّ من الاحتیاط باجتنابهما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کونها فی عدّة الغیر، فحاله حال الشکّ البدویّ</w:t>
      </w:r>
      <w:r>
        <w:rPr>
          <w:rFonts w:eastAsia="IRNazanin" w:cs="IRNazanin"/>
          <w:color w:val="111111"/>
          <w:sz w:val="28"/>
          <w:szCs w:val="28"/>
          <w:rtl w:val="true"/>
          <w:lang w:bidi="fa-IR"/>
        </w:rPr>
        <w:t>.</w:t>
      </w:r>
    </w:p>
    <w:p>
      <w:pPr>
        <w:pStyle w:val="Heading4"/>
        <w:numPr>
          <w:ilvl w:val="3"/>
          <w:numId w:val="1"/>
        </w:numPr>
        <w:rPr/>
      </w:pPr>
      <w:bookmarkStart w:id="484" w:name="__RefHeading___Toc2138764_2322387425"/>
      <w:bookmarkStart w:id="485" w:name="_Toc175"/>
      <w:bookmarkEnd w:id="484"/>
      <w:r>
        <w:rPr>
          <w:rtl w:val="true"/>
        </w:rPr>
        <w:t>الزواج بذات البعل وصوره</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w:t>
      </w:r>
      <w:r>
        <w:rPr>
          <w:rStyle w:val="FootnoteAnchor"/>
          <w:rtl w:val="true"/>
        </w:rPr>
        <w:footnoteReference w:id="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التعبیر باللحوق إنّما یشعر بکون المستند هی نصوص المعتدّة بضمیمة الأولویّة،أو إلغاء الخصوصیّة، مع أنّه وردت هنا أیضاً روایات متعدّدة بین موثّقة وصحیحة،والضمیمة المذکورة غیر ثابتة، نعم، بین المقامین فرق فی بعض صور المسألة، وهیصورة جهل الزوج وعلم الزوجة، فإنّ مقتضی إطلاق بعض ما ورد هنا عدم ثبوتالحرمة الأبدیّة فی هذه الصورة، ومع ذلک کلّه فالمسألة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بالتزویج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لکن لا یُترک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إیجاب الحرمة الأبدیّة تزویج ذات البَعل، فلو تزوّجها مع العلم بأنّها ذات بعلٍ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علیه أبداً</w:t>
      </w:r>
      <w:bookmarkStart w:id="486" w:name="pg13286_153904"/>
    </w:p>
    <w:p>
      <w:pPr>
        <w:pStyle w:val="BookText"/>
        <w:rPr/>
      </w:pPr>
      <w:bookmarkEnd w:id="486"/>
      <w:r>
        <w:rPr>
          <w:rFonts w:ascii="IRNazanin" w:hAnsi="IRNazanin" w:eastAsia="IRNazanin"/>
          <w:color w:val="111111"/>
          <w:sz w:val="28"/>
          <w:sz w:val="28"/>
          <w:szCs w:val="28"/>
          <w:rtl w:val="true"/>
          <w:lang w:bidi="fa-IR"/>
        </w:rPr>
        <w:t>مطلقاً، سواء دخل بها،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تزوّجها مع الجهل</w:t>
      </w:r>
      <w:r>
        <w:rPr>
          <w:rStyle w:val="FootnoteAnchor"/>
          <w:rtl w:val="true"/>
        </w:rPr>
        <w:footnoteReference w:id="905"/>
      </w:r>
      <w:r>
        <w:rPr>
          <w:rFonts w:ascii="IRNazanin" w:hAnsi="IRNazanin" w:eastAsia="IRNazanin"/>
          <w:color w:val="111111"/>
          <w:sz w:val="28"/>
          <w:sz w:val="28"/>
          <w:szCs w:val="28"/>
          <w:rtl w:val="true"/>
          <w:lang w:bidi="fa-IR"/>
        </w:rPr>
        <w:t> لم تحرم</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علم الزوجة بالحال علی الأظهر، وبذلک یظهر الفرق بین المعتدّة وذاتالبعل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الزوجة عالمة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علی ذات البعل مع الجهل لا یوجب الحرمة الأبدیّة وإن دخل بها، بل وإنعلمت الزوجة بالحال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مع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من غیر فرقٍ  بین کونها حرّةً أو أمة مزوّجةً، وبین الدوام والمتعة فی العقد السابق واللاحق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تزویج أمة الغیر بدون إذنه مع عدم کونها مزوّجةً فلا یوجب الحرمة الأبدیّة، وإن کان مع الدخول والعلم</w:t>
      </w:r>
      <w:r>
        <w:rPr>
          <w:rFonts w:eastAsia="IRNazanin" w:cs="IRNazanin"/>
          <w:color w:val="111111"/>
          <w:sz w:val="28"/>
          <w:szCs w:val="28"/>
          <w:rtl w:val="true"/>
          <w:lang w:bidi="fa-IR"/>
        </w:rPr>
        <w:t>.</w:t>
      </w:r>
    </w:p>
    <w:p>
      <w:pPr>
        <w:pStyle w:val="Heading4"/>
        <w:numPr>
          <w:ilvl w:val="3"/>
          <w:numId w:val="1"/>
        </w:numPr>
        <w:rPr/>
      </w:pPr>
      <w:bookmarkStart w:id="487" w:name="__RefHeading___Toc2138766_2322387425"/>
      <w:bookmarkStart w:id="488" w:name="_Toc176"/>
      <w:bookmarkEnd w:id="487"/>
      <w:r>
        <w:rPr>
          <w:rtl w:val="true"/>
        </w:rPr>
        <w:t>التزوّج بامرأة علیها عدّة لم تشرع فیها</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امرأةً علیها عدّة ولم تشرع فیها ـ کما إذا مات زوجها ولم یبلغها الخبر، فإنّ عدّتها من حین بلوغ الخبر ـ فهل یوجب الحرمة الأبدیّة، أم لا؟ قولان، أحوطهما الأوّل</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وأظهرهما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w:t>
      </w:r>
      <w:bookmarkStart w:id="489" w:name="pg13286_153905"/>
    </w:p>
    <w:p>
      <w:pPr>
        <w:pStyle w:val="BookText"/>
        <w:rPr/>
      </w:pPr>
      <w:bookmarkEnd w:id="489"/>
      <w:r>
        <w:rPr>
          <w:rFonts w:ascii="IRNazanin" w:hAnsi="IRNazanin" w:eastAsia="IRNazanin"/>
          <w:color w:val="111111"/>
          <w:sz w:val="28"/>
          <w:sz w:val="28"/>
          <w:szCs w:val="28"/>
          <w:rtl w:val="true"/>
          <w:lang w:bidi="fa-IR"/>
        </w:rPr>
        <w:t>لا یخلو من قوّة</w:t>
      </w:r>
      <w:r>
        <w:rPr>
          <w:rStyle w:val="FootnoteAnchor"/>
          <w:rtl w:val="true"/>
        </w:rPr>
        <w:footnoteReference w:id="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مساعدة الإطلاقات علی جواز نکاحه، وإلّا فیقدّم المطلقات علی الاستصحاب التعلیقیّ الجاری فی المقام لإثبات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قوّة فیه وإن کان العقد فاسداً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بل الثانی لا یخلو من وجه، وإن کان الظاهر فساد العقد وجوازتجدیده بعد العِدّة،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خالٍ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الوفاة من حین بلوغ الخبر، کما فی المتن أیضاً، فقبل الخبر لا عدّة، فلاتزویج فی عدّة، فالأقوی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لاقوّة غیر معلومة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فلا یُترک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لابدّ من تجدید العقد إذا أراد التزویج بها بعد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ولکنّ 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الثانی وإن کان العقد فاسداً؛ للإجماع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2138768_2322387425"/>
      <w:bookmarkStart w:id="491" w:name="_Toc177"/>
      <w:bookmarkEnd w:id="490"/>
      <w:r>
        <w:rPr>
          <w:rtl w:val="true"/>
        </w:rPr>
        <w:t>الزواج بذات العدّة جهلاً والحمل منها</w:t>
      </w:r>
      <w:bookmarkEnd w:id="49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امرأةً فی عدّتها ودخل بها مع الجهل، فحملت مع کونها مدخولةً للزوج الأوّل فجاءت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من وطء الثانی أقلّ من ستّة أشهرٍ ولم یمضِ من وطء الزوج الأوّل أقصی مدّة الحمل لحق الولد بالأوّل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مضی من وطء الأوّل أقصی المدّة ومن وطء الثانی ستّة أشهرٍ أو أزید إلی ما قبل الأقصی فهو ملحق بالثانی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مضی من الأوّل أقصی المدّة ومن الثانی أقلّ من ستّة أشهرٍ فلیس ملحقاً بواحدٍ</w:t>
      </w:r>
      <w:r>
        <w:rPr>
          <w:rStyle w:val="FootnoteAnchor"/>
          <w:rtl w:val="true"/>
        </w:rPr>
        <w:footnoteReference w:id="909"/>
      </w:r>
      <w:r>
        <w:rPr>
          <w:rFonts w:ascii="IRNazanin" w:hAnsi="IRNazanin" w:eastAsia="IRNazanin"/>
          <w:color w:val="111111"/>
          <w:sz w:val="28"/>
          <w:sz w:val="28"/>
          <w:szCs w:val="28"/>
          <w:rtl w:val="true"/>
          <w:lang w:bidi="fa-IR"/>
        </w:rPr>
        <w:t> منهما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مضی من الأوّل ستّة فما فوق وکذا من الثانی فهل یلحق بالأوّل، أو الثانی، أو یُقرَع؟</w:t>
      </w:r>
      <w:r>
        <w:rPr>
          <w:rStyle w:val="FootnoteAnchor"/>
          <w:rtl w:val="true"/>
        </w:rPr>
        <w:footnoteReference w:id="910"/>
      </w:r>
      <w:r>
        <w:rPr>
          <w:rFonts w:ascii="IRNazanin" w:hAnsi="IRNazanin" w:eastAsia="IRNazanin"/>
          <w:color w:val="111111"/>
          <w:sz w:val="28"/>
          <w:sz w:val="28"/>
          <w:szCs w:val="28"/>
          <w:rtl w:val="true"/>
          <w:lang w:bidi="fa-IR"/>
        </w:rPr>
        <w:t> وجوه، أو أقوال</w:t>
      </w:r>
      <w:r>
        <w:rPr>
          <w:rStyle w:val="FootnoteAnchor"/>
          <w:rtl w:val="true"/>
        </w:rPr>
        <w:footnoteReference w:id="9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912"/>
      </w:r>
      <w:r>
        <w:rPr>
          <w:rFonts w:ascii="IRNazanin" w:hAnsi="IRNazanin" w:eastAsia="IRNazanin"/>
          <w:color w:val="111111"/>
          <w:sz w:val="28"/>
          <w:sz w:val="28"/>
          <w:szCs w:val="28"/>
          <w:rtl w:val="true"/>
          <w:lang w:bidi="fa-IR"/>
        </w:rPr>
        <w:t> لحوقه بالثانی</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الفراش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یبعد الرجوع إلی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تزوّجها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92" w:name="pg13286_153908"/>
    </w:p>
    <w:p>
      <w:pPr>
        <w:pStyle w:val="BookText"/>
        <w:rPr/>
      </w:pPr>
      <w:bookmarkEnd w:id="492"/>
      <w:r>
        <w:rPr>
          <w:rFonts w:ascii="Amiri" w:hAnsi="Amiri" w:eastAsia="Amiri" w:cs="Amiri"/>
          <w:color w:val="111111"/>
          <w:sz w:val="28"/>
          <w:sz w:val="28"/>
          <w:szCs w:val="28"/>
          <w:rtl w:val="true"/>
          <w:lang w:bidi="ar-SA"/>
        </w:rPr>
        <w:t>الثانی بعد تمام العِدّة</w:t>
      </w:r>
      <w:r>
        <w:rPr>
          <w:rStyle w:val="FootnoteAnchor"/>
          <w:rtl w:val="true"/>
        </w:rPr>
        <w:footnoteReference w:id="914"/>
      </w:r>
      <w:r>
        <w:rPr>
          <w:rFonts w:ascii="IRNazanin" w:hAnsi="IRNazanin" w:eastAsia="IRNazanin"/>
          <w:color w:val="111111"/>
          <w:sz w:val="28"/>
          <w:sz w:val="28"/>
          <w:szCs w:val="28"/>
          <w:rtl w:val="true"/>
          <w:lang w:bidi="fa-IR"/>
        </w:rPr>
        <w:t> للأوّل واشتبه حال الولد</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2138770_2322387425"/>
      <w:bookmarkStart w:id="494" w:name="_Toc178"/>
      <w:bookmarkEnd w:id="493"/>
      <w:r>
        <w:rPr>
          <w:rtl w:val="true"/>
        </w:rPr>
        <w:t>إذا اجتمعت عدد مختلفة هل تتداخل أم تتعدّد؟</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اجتمعت عدّة وطء الشبهة مع التزویج أو لا معه،وعدّة الطلاق أو الوفاة، أو نحوهما فهل تتداخل العِدّتان، أو یجب التعدّد؟ قولان، المشهور علی الثانی</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لو لم یکن أقوی، 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 لکون الروایتَین الدالّتَین علی التداخلمعارضتَین بما دلّ علی عدمه المعمول به عند الأکثر بخلافهما، فإنّهما لم یعمل بهماإلّا الشاذّ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 الشریعتمداری، السبزواری، محمّدالشیرازی، تقی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مقتضی القاعدة؛ لأنّ التداخل خلاف الأصل؛ إذ تعدّد السبب موجب لتعدّدالمسبّب، والخبران أعرض عنهما المشهور، فلا مقتضی للخروج عن مقتضیالقاعدة، وهو تعدّد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w:t>
      </w:r>
      <w:r>
        <w:rPr>
          <w:rStyle w:val="FootnoteAnchor"/>
          <w:rtl w:val="true"/>
        </w:rPr>
        <w:footnoteReference w:id="917"/>
      </w:r>
      <w:r>
        <w:rPr>
          <w:rFonts w:ascii="IRNazanin" w:hAnsi="IRNazanin" w:eastAsia="IRNazanin"/>
          <w:color w:val="111111"/>
          <w:sz w:val="28"/>
          <w:sz w:val="28"/>
          <w:szCs w:val="28"/>
          <w:rtl w:val="true"/>
          <w:lang w:bidi="fa-IR"/>
        </w:rPr>
        <w:t> کان الأوّل لا یخلو</w:t>
      </w:r>
      <w:r>
        <w:rPr>
          <w:rStyle w:val="FootnoteAnchor"/>
          <w:rtl w:val="true"/>
        </w:rPr>
        <w:footnoteReference w:id="918"/>
      </w:r>
      <w:r>
        <w:rPr>
          <w:rFonts w:ascii="Amiri" w:hAnsi="Amiri" w:eastAsia="Amiri" w:cs="Amiri"/>
          <w:color w:val="111111"/>
          <w:sz w:val="28"/>
          <w:sz w:val="28"/>
          <w:szCs w:val="28"/>
          <w:rtl w:val="true"/>
          <w:lang w:bidi="ar-SA"/>
        </w:rPr>
        <w:t> من قوّة</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لتصریح المعصوم بأنّ التعدّد مذهب العامّة، ولا یُعتنیبالشهرة الفتوائیّة بعد سقوط أصالة الحجّیّة فی جهة صدور الأخبار الدالّةعلی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بما أنّه خلاف شهرة عظیمة فالاحیتاط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حَملاً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للأخبار الدالّة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التعدّد علی التقیّة</w:t>
      </w:r>
      <w:r>
        <w:rPr>
          <w:rStyle w:val="FootnoteAnchor"/>
          <w:rtl w:val="true"/>
        </w:rPr>
        <w:footnoteReference w:id="920"/>
      </w:r>
      <w:r>
        <w:rPr>
          <w:rFonts w:ascii="Amiri" w:hAnsi="Amiri" w:eastAsia="Amiri" w:cs="Amiri"/>
          <w:color w:val="111111"/>
          <w:sz w:val="28"/>
          <w:sz w:val="28"/>
          <w:szCs w:val="28"/>
          <w:rtl w:val="true"/>
          <w:lang w:bidi="ar-SA"/>
        </w:rPr>
        <w:t> بشهادة خبر زرارة</w:t>
      </w:r>
      <w:r>
        <w:rPr>
          <w:rStyle w:val="FootnoteAnchor"/>
          <w:rtl w:val="true"/>
        </w:rPr>
        <w:footnoteReference w:id="921"/>
      </w:r>
      <w:r>
        <w:rPr>
          <w:rFonts w:ascii="IRNazanin" w:hAnsi="IRNazanin" w:eastAsia="IRNazanin"/>
          <w:color w:val="111111"/>
          <w:sz w:val="28"/>
          <w:sz w:val="28"/>
          <w:szCs w:val="28"/>
          <w:rtl w:val="true"/>
          <w:lang w:bidi="fa-IR"/>
        </w:rPr>
        <w:t>وخبر یونس</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التعدّد یقدّم ما تقدّم سببه</w:t>
      </w:r>
      <w:r>
        <w:rPr>
          <w:rStyle w:val="FootnoteAnchor"/>
          <w:rtl w:val="true"/>
        </w:rPr>
        <w:footnoteReference w:id="923"/>
      </w:r>
      <w:r>
        <w:rPr>
          <w:rFonts w:ascii="Amiri" w:hAnsi="Amiri" w:eastAsia="Amiri" w:cs="Amiri"/>
          <w:color w:val="111111"/>
          <w:sz w:val="28"/>
          <w:sz w:val="28"/>
          <w:szCs w:val="28"/>
          <w:rtl w:val="true"/>
          <w:lang w:bidi="ar-SA"/>
        </w:rPr>
        <w:t>، إلّا إذا کانت إحدی العِدّتَین بوضع الحمل فتُقدَّم وإن کان سببها متأخّراً؛ لعدم إمکان التأخیر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کانت المتقدّمة عدّة وطء الشبهة، والمتأخّرة عدّة الطلاق الرجعیِّ فهل یجوز الرجوع قبل مجیء زمان عدّته؟</w:t>
      </w:r>
    </w:p>
    <w:p>
      <w:pPr>
        <w:pStyle w:val="BookText"/>
        <w:rPr/>
      </w:pPr>
      <w:r>
        <w:rPr>
          <w:rFonts w:ascii="IRNazanin" w:hAnsi="IRNazanin" w:eastAsia="IRNazanin"/>
          <w:color w:val="111111"/>
          <w:sz w:val="28"/>
          <w:sz w:val="28"/>
          <w:szCs w:val="28"/>
          <w:rtl w:val="true"/>
          <w:lang w:bidi="fa-IR"/>
        </w:rPr>
        <w:t>وهل ترث الزوج إذا مات قبله فی زمان عدّة وطء الشبهة؟ وجهان، بل قولان، لا یخلو الأوّل منهما</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المتأخّرة عدّة الطلاق البائن فهل یجوز تزویج المطلّق لها فی زمان عدّة الوطء قبل مجیء زمان عدّة الطلاق؟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یبعد والحال أنّه یصدق علیه التزویج فی العِدّة، وتترتّب علیه الحرمةالأبدیّة إذا کان شرطها موجوداً؟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925"/>
      </w:r>
      <w:r>
        <w:rPr>
          <w:rFonts w:ascii="IRNazanin" w:hAnsi="IRNazanin" w:eastAsia="IRNazanin"/>
          <w:color w:val="111111"/>
          <w:sz w:val="28"/>
          <w:sz w:val="28"/>
          <w:szCs w:val="28"/>
          <w:rtl w:val="true"/>
          <w:lang w:bidi="fa-IR"/>
        </w:rPr>
        <w:t> الجواز</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عدم الجواز، واجتماع عدّة وطء الشبهة مع بقاء الزوجیّة الّتی وقعالوطء فی أثنائها غیر مستلزمٍ لجواز إحداثها ثانیاً بعد زوالها، فعموم الأدلّة المانعةمن التزوّج فی العِدّة علی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الجواز؛ لأنّه عقد فی عدّة الغیر ـ أی الواطئ بالشبهة ـ فیترتّبعلیه جمیع آثار العقد فی العِدّة المذکورة سابقاً من التحریم المؤبّد مع العلم أوالدخول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ولا یبعد جریان حکم التزویج فی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علی مبنی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الجواز، ولا یبعد کونه موجباً للحرمة الأبدیّة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ولا یبعد جریان حکم التزویج فی العِدّة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دلیل العدّة المنع عن التزویج، وعن جمیع الاستمتاعات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والظاهر جریان حکم التزویج فی العِدّة علیه حتّی الحرمة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العدم غیر بعید، والملازمة بین بقاء الزوجیّة بعد الوطء بالشبهة وبین جوازإحداثها فی عدّته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بناءً علی أنّ الممنوع فی عدّة وطء الشبهة وطء</w:t>
      </w:r>
      <w:bookmarkStart w:id="495" w:name="pg13286_153912"/>
    </w:p>
    <w:p>
      <w:pPr>
        <w:pStyle w:val="BookText"/>
        <w:rPr/>
      </w:pPr>
      <w:bookmarkEnd w:id="495"/>
      <w:r>
        <w:rPr>
          <w:rFonts w:ascii="IRNazanin" w:hAnsi="IRNazanin" w:eastAsia="IRNazanin"/>
          <w:color w:val="111111"/>
          <w:sz w:val="28"/>
          <w:sz w:val="28"/>
          <w:szCs w:val="28"/>
          <w:rtl w:val="true"/>
          <w:lang w:bidi="fa-IR"/>
        </w:rPr>
        <w:t>الزوج لها، لا سائر الاستمتاعات بها، کما هو الأظهر</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بعدم جواز</w:t>
      </w:r>
    </w:p>
    <w:p>
      <w:pPr>
        <w:pStyle w:val="BookText"/>
        <w:rPr/>
      </w:pPr>
      <w:r>
        <w:rPr>
          <w:rFonts w:ascii="IRNazanin" w:hAnsi="IRNazanin" w:eastAsia="IRNazanin"/>
          <w:color w:val="111111"/>
          <w:sz w:val="28"/>
          <w:sz w:val="28"/>
          <w:szCs w:val="28"/>
          <w:rtl w:val="true"/>
          <w:lang w:bidi="fa-IR"/>
        </w:rPr>
        <w:t>التزویج حینئذٍ للمطلّق فیحتمل کونه موجباً للحرمة الأبدیّة أیضاً</w:t>
      </w:r>
      <w:r>
        <w:rPr>
          <w:rStyle w:val="FootnoteAnchor"/>
          <w:rtl w:val="true"/>
        </w:rPr>
        <w:footnoteReference w:id="928"/>
      </w:r>
      <w:r>
        <w:rPr>
          <w:rFonts w:ascii="IRNazanin" w:hAnsi="IRNazanin" w:eastAsia="IRNazanin"/>
          <w:color w:val="111111"/>
          <w:sz w:val="28"/>
          <w:sz w:val="28"/>
          <w:szCs w:val="28"/>
          <w:rtl w:val="true"/>
          <w:lang w:bidi="fa-IR"/>
        </w:rPr>
        <w:t>؛ لصدق التزویج فی عدّة الغیر، لکنّه بعید</w:t>
      </w:r>
      <w:r>
        <w:rPr>
          <w:rStyle w:val="FootnoteAnchor"/>
          <w:rtl w:val="true"/>
        </w:rPr>
        <w:footnoteReference w:id="9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الاستبعاد بعید، والانصراف منظور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بُعدَ فیه، والانصراف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بُعدَ فیه؛ لشمول الأدلّة، ومنع الانصراف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لانصراف 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الموبّد عن هذه الصورة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138772_2322387425"/>
      <w:bookmarkStart w:id="497" w:name="_Toc179"/>
      <w:bookmarkEnd w:id="496"/>
      <w:r>
        <w:rPr>
          <w:rtl w:val="true"/>
        </w:rPr>
        <w:t>حکم ما لو کانت العدّتان لشخصٍ واحد</w:t>
      </w:r>
      <w:bookmarkEnd w:id="49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ولو کانت العِدّتان لشخصٍ واحد، کما إذا طلّق زوجته بائناً ثمّ وطئها شبهةً فی أثناء العِدّة فلا ینبغی</w:t>
      </w:r>
      <w:r>
        <w:rPr>
          <w:rStyle w:val="FootnoteAnchor"/>
          <w:rtl w:val="true"/>
        </w:rPr>
        <w:footnoteReference w:id="930"/>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w:t>
      </w:r>
      <w:bookmarkStart w:id="498" w:name="pg13286_153913"/>
    </w:p>
    <w:p>
      <w:pPr>
        <w:pStyle w:val="BookText"/>
        <w:rPr/>
      </w:pPr>
      <w:bookmarkEnd w:id="498"/>
      <w:r>
        <w:rPr>
          <w:rFonts w:ascii="IRNazanin" w:hAnsi="IRNazanin" w:eastAsia="IRNazanin"/>
          <w:color w:val="111111"/>
          <w:sz w:val="28"/>
          <w:sz w:val="28"/>
          <w:szCs w:val="28"/>
          <w:rtl w:val="true"/>
          <w:lang w:bidi="fa-IR"/>
        </w:rPr>
        <w:t>الإشکال</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التعدّد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التداخل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التعدّد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عدم التداخل هو مقتضی القاعدة، ولا وجه للخروج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وجه للتداخل بالنسبة إلی الغیر، وأمّا لنفسه فلا عدّة لها أصلاً، وأمّا فی عدّةالطلاق والوفاة فهو تبدیل، لا تداخل، ودلیله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مقتضی إطلاق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138774_2322387425"/>
      <w:bookmarkStart w:id="500" w:name="_Toc180"/>
      <w:bookmarkEnd w:id="499"/>
      <w:r>
        <w:rPr>
          <w:rtl w:val="true"/>
        </w:rPr>
        <w:t>ثبوت المهر للموطوءة أو المزوّجة فی العدّة</w:t>
      </w:r>
      <w:bookmarkEnd w:id="5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ثبوت مهر المثل فی الوطء بالشبهة المجرّدة عن التزویج إذا کانت الموطوءة مشتبهة، وإن کان الواطئ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w:t>
      </w:r>
      <w:bookmarkStart w:id="501" w:name="pg13286_153914"/>
    </w:p>
    <w:p>
      <w:pPr>
        <w:pStyle w:val="BookText"/>
        <w:rPr/>
      </w:pPr>
      <w:bookmarkEnd w:id="501"/>
      <w:r>
        <w:rPr>
          <w:rFonts w:ascii="IRNazanin" w:hAnsi="IRNazanin" w:eastAsia="IRNazanin"/>
          <w:color w:val="111111"/>
          <w:sz w:val="28"/>
          <w:sz w:val="28"/>
          <w:szCs w:val="28"/>
          <w:rtl w:val="true"/>
          <w:lang w:bidi="fa-IR"/>
        </w:rPr>
        <w:t>بالتزویج ففی ثبوت المسمّی أو مهر المثل قولان، أقواهما الثانی</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 الثانی أقوی تأمّل، والأحوط المصالحة فی التفاوت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الأقلّ من المسمّی والمثل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w:t>
      </w:r>
    </w:p>
    <w:p>
      <w:pPr>
        <w:pStyle w:val="BookText"/>
        <w:rPr/>
      </w:pPr>
      <w:r>
        <w:rPr>
          <w:rFonts w:ascii="IRNazanin" w:hAnsi="IRNazanin" w:eastAsia="IRNazanin"/>
          <w:color w:val="111111"/>
          <w:sz w:val="28"/>
          <w:sz w:val="28"/>
          <w:szCs w:val="28"/>
          <w:rtl w:val="true"/>
          <w:lang w:bidi="fa-IR"/>
        </w:rPr>
        <w:t>التزویج مجرّداً عن الوطء فلا مهر أصلاً</w:t>
      </w:r>
      <w:r>
        <w:rPr>
          <w:rFonts w:eastAsia="IRNazanin" w:cs="IRNazanin"/>
          <w:color w:val="111111"/>
          <w:sz w:val="28"/>
          <w:szCs w:val="28"/>
          <w:rtl w:val="true"/>
          <w:lang w:bidi="fa-IR"/>
        </w:rPr>
        <w:t>.</w:t>
      </w:r>
    </w:p>
    <w:p>
      <w:pPr>
        <w:pStyle w:val="Heading4"/>
        <w:numPr>
          <w:ilvl w:val="3"/>
          <w:numId w:val="1"/>
        </w:numPr>
        <w:rPr/>
      </w:pPr>
      <w:bookmarkStart w:id="502" w:name="__RefHeading___Toc2138776_2322387425"/>
      <w:bookmarkStart w:id="503" w:name="_Toc181"/>
      <w:bookmarkEnd w:id="502"/>
      <w:r>
        <w:rPr>
          <w:rtl w:val="true"/>
        </w:rPr>
        <w:t>مبدأ العدّة فی وطء الشبهة</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العِدّة فی وطء الشبهة المجرّدة عن التزویج حین الفراغ من الوطء، وأمّا إذا کان مع التزویج فهل هو کذلک، أو من حین تبیّن الحال؟ وجهان، والأحوط</w:t>
      </w:r>
      <w:r>
        <w:rPr>
          <w:rStyle w:val="FootnoteAnchor"/>
          <w:rtl w:val="true"/>
        </w:rPr>
        <w:footnoteReference w:id="933"/>
      </w:r>
      <w:r>
        <w:rPr>
          <w:rFonts w:ascii="IRNazanin" w:hAnsi="IRNazanin" w:eastAsia="IRNazanin"/>
          <w:color w:val="111111"/>
          <w:sz w:val="28"/>
          <w:sz w:val="28"/>
          <w:szCs w:val="28"/>
          <w:rtl w:val="true"/>
          <w:lang w:bidi="fa-IR"/>
        </w:rPr>
        <w:t> الثانی، بل لعلّه الظاهر من الأخبار</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معتبرة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واضحة الدلالة علی أنّ المبدأ من حین الفراغ من وطءالشبهة، وأنّ الاستبراء إنّما یکون بثلاثة قروءٍ من حین الوطء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المستفاد منها أنّ مبدأ العدّة هو تبیّن الحال، وارتفاع الشبهة فی جمیعالأقسام، حتّی المجرّد عن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2138778_2322387425"/>
      <w:bookmarkStart w:id="505" w:name="_Toc182"/>
      <w:bookmarkEnd w:id="504"/>
      <w:r>
        <w:rPr>
          <w:rtl w:val="true"/>
        </w:rPr>
        <w:t>حکم الموطوءة بالشبهة لو کانت عالمة فی الحرّة والأمة</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الموطوءة بالشبهة عالمةً بأن کان الاشتباه من طرف الواطئ فقط فلا مهر لها إذا کانت حرّة؛ إذ 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أمةً ففی کون الحکم کذلک، أو یثبت المهر؛ لأنّه حقّ السیّد وجهان</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وجه آخر لا یبعد أن یکون أوجه منهما، وهو ثبوت عُشر قیمتها للمولی إنکانت بِکراً، ونصف العُشر إن کانت ثیّباً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ثبوت الأرش للسیّد، وهو عشر قیمتها إذا کانت بِکراً، ونصف العُشر إذاکانت ثیّباً، سواء کانت جاهلةً بحرمة الوطء أم کانت عالمة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w:t>
      </w:r>
      <w:r>
        <w:rPr>
          <w:rStyle w:val="FootnoteAnchor"/>
          <w:rtl w:val="true"/>
        </w:rPr>
        <w:footnoteReference w:id="936"/>
      </w:r>
      <w:r>
        <w:rPr>
          <w:rFonts w:ascii="IRNazanin" w:hAnsi="IRNazanin" w:eastAsia="IRNazanin"/>
          <w:color w:val="111111"/>
          <w:sz w:val="28"/>
          <w:sz w:val="28"/>
          <w:szCs w:val="28"/>
          <w:rtl w:val="true"/>
          <w:lang w:bidi="fa-IR"/>
        </w:rPr>
        <w:t> الأوّل منهما</w:t>
      </w:r>
      <w:r>
        <w:rPr>
          <w:rStyle w:val="FootnoteAnchor"/>
          <w:rtl w:val="true"/>
        </w:rPr>
        <w:footnoteReference w:id="937"/>
      </w:r>
      <w:r>
        <w:rPr>
          <w:rFonts w:ascii="Amiri" w:hAnsi="Amiri" w:eastAsia="Amiri" w:cs="Amiri"/>
          <w:color w:val="111111"/>
          <w:sz w:val="28"/>
          <w:sz w:val="28"/>
          <w:szCs w:val="28"/>
          <w:rtl w:val="true"/>
          <w:lang w:bidi="ar-SA"/>
        </w:rPr>
        <w:t> من قوّة</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نظر؛ للتشکیک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4/309</w:t>
      </w:r>
      <w:r>
        <w:rPr>
          <w:rFonts w:ascii="IRNazanin" w:hAnsi="IRNazanin" w:eastAsia="IRNazanin"/>
          <w:color w:val="111111"/>
          <w:sz w:val="28"/>
          <w:sz w:val="28"/>
          <w:szCs w:val="28"/>
          <w:rtl w:val="true"/>
          <w:lang w:bidi="fa-IR"/>
        </w:rPr>
        <w:t>، السنن الکبری للبیهقی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المقام، فیبقیإطلاق خبر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 والإماء،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عشر ثمنها أونصفه بلا 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 المولی بذلک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إذا کان المولی دخیلاً فی بغائها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إلّا إذا کان المولی دخیلاً فی بغائها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 إلّا أن یکون المولی دخیلاً فی وقوع ذلک الوطء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إلّا إذا کان المولی دخیلاً فی بغائها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حیثما لم یکن تسبیب، ویحتمل لزوم عشر القیمة للمالک فی صورةالبکارة، ونصف العشر فی الثیبوبة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الثانی، إلّا إذا أذِن المولی لها فی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مع التفات المولی ببغائها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هذا من حیث المهر، ویحتمل ثبوت الأرش للسیّد، وهو عُشر قیمتها إنکانت بِکراً، ونصف العُشر إن کانت ثیّباً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3286_153916"/>
    </w:p>
    <w:p>
      <w:pPr>
        <w:pStyle w:val="Heading4"/>
        <w:numPr>
          <w:ilvl w:val="3"/>
          <w:numId w:val="1"/>
        </w:numPr>
        <w:rPr/>
      </w:pPr>
      <w:bookmarkStart w:id="507" w:name="__RefHeading___Toc2138780_2322387425"/>
      <w:bookmarkStart w:id="508" w:name="_Toc183"/>
      <w:bookmarkEnd w:id="506"/>
      <w:bookmarkEnd w:id="507"/>
      <w:r>
        <w:rPr>
          <w:rtl w:val="true"/>
        </w:rPr>
        <w:t>حکم المهر لو تعدّد الوطء</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یتعدّد</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خصوصاً فی بعض 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بتعدّد الوطء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وطء المعقود علیها فی العِدّة جهلاً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استمرار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کان مع تعدّدِ الاشتباه 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3286_153917"/>
    </w:p>
    <w:p>
      <w:pPr>
        <w:pStyle w:val="Heading4"/>
        <w:numPr>
          <w:ilvl w:val="3"/>
          <w:numId w:val="1"/>
        </w:numPr>
        <w:rPr/>
      </w:pPr>
      <w:bookmarkStart w:id="510" w:name="__RefHeading___Toc2138782_2322387425"/>
      <w:bookmarkStart w:id="511" w:name="_Toc184"/>
      <w:bookmarkEnd w:id="509"/>
      <w:bookmarkEnd w:id="510"/>
      <w:r>
        <w:rPr>
          <w:rtl w:val="true"/>
        </w:rPr>
        <w:t>أحکام نکاح الزانیة</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بتزویج المرأة الزانیة غیر ذات البعل</w:t>
      </w:r>
      <w:r>
        <w:rPr>
          <w:rStyle w:val="FootnoteAnchor"/>
          <w:rtl w:val="true"/>
        </w:rPr>
        <w:footnoteReference w:id="940"/>
      </w:r>
      <w:r>
        <w:rPr>
          <w:rFonts w:ascii="IRNazanin" w:hAnsi="IRNazanin" w:eastAsia="IRNazanin"/>
          <w:color w:val="111111"/>
          <w:sz w:val="28"/>
          <w:sz w:val="28"/>
          <w:szCs w:val="28"/>
          <w:rtl w:val="true"/>
          <w:lang w:bidi="fa-IR"/>
        </w:rPr>
        <w:t> للزانی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لخصوص الزانی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حتّی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تزویج نفس الزانی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وکذا الاحتیاطات التالیة 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بعد استبراء رحمها بحیضةٍ من مائه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ماء غیره إن لم تکن حاملاً، وأمّا الحامل فلا حاجة فیها إلی الاستبراء، بل یجوز تزویجها ووطوها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تزویج المشهورة بالزنا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بعد ظهور توبتها،</w:t>
      </w:r>
      <w:bookmarkStart w:id="512" w:name="pg13286_153918"/>
    </w:p>
    <w:p>
      <w:pPr>
        <w:pStyle w:val="BookText"/>
        <w:rPr/>
      </w:pPr>
      <w:bookmarkEnd w:id="512"/>
      <w:r>
        <w:rPr>
          <w:rFonts w:ascii="IRNazanin" w:hAnsi="IRNazanin" w:eastAsia="IRNazanin"/>
          <w:color w:val="111111"/>
          <w:sz w:val="28"/>
          <w:sz w:val="28"/>
          <w:szCs w:val="28"/>
          <w:rtl w:val="true"/>
          <w:lang w:bidi="fa-IR"/>
        </w:rPr>
        <w:t>بل الأحوط ذلک بالنسبة إلی الزانی</w:t>
      </w:r>
      <w:r>
        <w:rPr>
          <w:rStyle w:val="FootnoteAnchor"/>
          <w:rtl w:val="true"/>
        </w:rPr>
        <w:footnoteReference w:id="943"/>
      </w:r>
      <w:r>
        <w:rPr>
          <w:rFonts w:ascii="IRNazanin" w:hAnsi="IRNazanin" w:eastAsia="IRNazanin"/>
          <w:color w:val="111111"/>
          <w:sz w:val="28"/>
          <w:sz w:val="28"/>
          <w:szCs w:val="28"/>
          <w:rtl w:val="true"/>
          <w:lang w:bidi="fa-IR"/>
        </w:rPr>
        <w:t> بها، وأحوط من ذلک ترک تزویج</w:t>
      </w:r>
    </w:p>
    <w:p>
      <w:pPr>
        <w:pStyle w:val="BookText"/>
        <w:rPr/>
      </w:pPr>
      <w:r>
        <w:rPr>
          <w:rFonts w:ascii="IRNazanin" w:hAnsi="IRNazanin" w:eastAsia="IRNazanin"/>
          <w:color w:val="111111"/>
          <w:sz w:val="28"/>
          <w:sz w:val="28"/>
          <w:szCs w:val="28"/>
          <w:rtl w:val="true"/>
          <w:lang w:bidi="fa-IR"/>
        </w:rPr>
        <w:t>الزانیة مطلقاً</w:t>
      </w:r>
      <w:r>
        <w:rPr>
          <w:rStyle w:val="FootnoteAnchor"/>
          <w:rtl w:val="true"/>
        </w:rPr>
        <w:footnoteReference w:id="944"/>
      </w:r>
      <w:r>
        <w:rPr>
          <w:rFonts w:ascii="IRNazanin" w:hAnsi="IRNazanin" w:eastAsia="IRNazanin"/>
          <w:color w:val="111111"/>
          <w:sz w:val="28"/>
          <w:sz w:val="28"/>
          <w:szCs w:val="28"/>
          <w:rtl w:val="true"/>
          <w:lang w:bidi="fa-IR"/>
        </w:rPr>
        <w:t> إلّا بعد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ذلک بدعائها</w:t>
      </w:r>
      <w:r>
        <w:rPr>
          <w:rStyle w:val="FootnoteAnchor"/>
          <w:rtl w:val="true"/>
        </w:rPr>
        <w:footnoteReference w:id="945"/>
      </w:r>
      <w:r>
        <w:rPr>
          <w:rFonts w:ascii="IRNazanin" w:hAnsi="IRNazanin" w:eastAsia="IRNazanin"/>
          <w:color w:val="111111"/>
          <w:sz w:val="28"/>
          <w:sz w:val="28"/>
          <w:szCs w:val="28"/>
          <w:rtl w:val="true"/>
          <w:lang w:bidi="fa-IR"/>
        </w:rPr>
        <w:t>إلی الفجور، فإن أبت</w:t>
      </w:r>
    </w:p>
    <w:p>
      <w:pPr>
        <w:pStyle w:val="BookText"/>
        <w:rPr/>
      </w:pPr>
      <w:r>
        <w:rPr>
          <w:rFonts w:ascii="IRNazanin" w:hAnsi="IRNazanin" w:eastAsia="IRNazanin"/>
          <w:color w:val="111111"/>
          <w:sz w:val="28"/>
          <w:sz w:val="28"/>
          <w:szCs w:val="28"/>
          <w:rtl w:val="true"/>
          <w:lang w:bidi="fa-IR"/>
        </w:rPr>
        <w:t>ظهرت توبتها</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 أنّ الإباء لیس لسببٍ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4"/>
        <w:numPr>
          <w:ilvl w:val="3"/>
          <w:numId w:val="1"/>
        </w:numPr>
        <w:rPr/>
      </w:pPr>
      <w:bookmarkStart w:id="513" w:name="__RefHeading___Toc2138784_2322387425"/>
      <w:bookmarkStart w:id="514" w:name="_Toc185"/>
      <w:bookmarkEnd w:id="513"/>
      <w:r>
        <w:rPr>
          <w:rtl w:val="true"/>
        </w:rPr>
        <w:t>لا تحرم علی الرجل امرأته بزناها</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w:t>
      </w:r>
      <w:r>
        <w:rPr>
          <w:rStyle w:val="FootnoteAnchor"/>
          <w:rtl w:val="true"/>
        </w:rPr>
        <w:footnoteReference w:id="947"/>
      </w:r>
      <w:r>
        <w:rPr>
          <w:rFonts w:ascii="IRNazanin" w:hAnsi="IRNazanin" w:eastAsia="IRNazanin"/>
          <w:color w:val="111111"/>
          <w:sz w:val="28"/>
          <w:sz w:val="28"/>
          <w:szCs w:val="28"/>
          <w:rtl w:val="true"/>
          <w:lang w:bidi="fa-IR"/>
        </w:rPr>
        <w:t> الزوجة علی زوجها بزناها وإن کانت مصرّةً</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صارت مشهورةً فیجری فیها علی الأحوط الاحتیاط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یجب علیه أن یطلّقها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3286_153919"/>
    </w:p>
    <w:p>
      <w:pPr>
        <w:pStyle w:val="Heading4"/>
        <w:numPr>
          <w:ilvl w:val="3"/>
          <w:numId w:val="1"/>
        </w:numPr>
        <w:rPr/>
      </w:pPr>
      <w:bookmarkStart w:id="516" w:name="__RefHeading___Toc2138786_2322387425"/>
      <w:bookmarkStart w:id="517" w:name="_Toc186"/>
      <w:bookmarkEnd w:id="515"/>
      <w:bookmarkEnd w:id="516"/>
      <w:r>
        <w:rPr>
          <w:rtl w:val="true"/>
        </w:rPr>
        <w:t>الزنا بذات البعل</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بذات بعلٍ دواماً أو متعةً حرمت</w:t>
      </w:r>
      <w:r>
        <w:rPr>
          <w:rStyle w:val="FootnoteAnchor"/>
          <w:rtl w:val="true"/>
        </w:rPr>
        <w:footnoteReference w:id="949"/>
      </w:r>
      <w:r>
        <w:rPr>
          <w:rFonts w:ascii="Amiri" w:hAnsi="Amiri" w:eastAsia="Amiri" w:cs="Amiri"/>
          <w:color w:val="111111"/>
          <w:sz w:val="28"/>
          <w:sz w:val="28"/>
          <w:szCs w:val="28"/>
          <w:rtl w:val="true"/>
          <w:lang w:bidi="ar-SA"/>
        </w:rPr>
        <w:t> علیه أبداً</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 له نکاحها بعد موت زوجها، أو طلاقه لها، أو انقضاء مدّتها إذا کانت 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علی الظاهر بین کونه حال الزنا عالماً بأنّها ذات بعلٍ، أوْ لا، کما لا فرق بین کونها حرّةً أو أمةً وزوجها حرّاً أو عبداً، کبیراً أو صغیراً</w:t>
      </w:r>
      <w:r>
        <w:rPr>
          <w:rStyle w:val="FootnoteAnchor"/>
          <w:rtl w:val="true"/>
        </w:rPr>
        <w:footnoteReference w:id="951"/>
      </w:r>
      <w:r>
        <w:rPr>
          <w:rFonts w:ascii="IRNazanin" w:hAnsi="IRNazanin" w:eastAsia="IRNazanin"/>
          <w:color w:val="111111"/>
          <w:sz w:val="28"/>
          <w:sz w:val="28"/>
          <w:szCs w:val="28"/>
          <w:rtl w:val="true"/>
          <w:lang w:bidi="fa-IR"/>
        </w:rPr>
        <w:t>، ولا بین کونها مدخولاً بها من زوجها، أوْ لا، ولا بین أن یکون ذلک بإجراء العقد علیها وعدمه بعد فرض العلم</w:t>
      </w:r>
      <w:r>
        <w:rPr>
          <w:rStyle w:val="FootnoteAnchor"/>
          <w:rtl w:val="true"/>
        </w:rPr>
        <w:footnoteReference w:id="952"/>
      </w:r>
      <w:r>
        <w:rPr>
          <w:rFonts w:ascii="IRNazanin" w:hAnsi="IRNazanin" w:eastAsia="IRNazanin"/>
          <w:color w:val="111111"/>
          <w:sz w:val="28"/>
          <w:sz w:val="28"/>
          <w:szCs w:val="28"/>
          <w:rtl w:val="true"/>
          <w:lang w:bidi="fa-IR"/>
        </w:rPr>
        <w:t> بعدم</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تزوّجها جاهلاً بکونها ذات بعلٍ ثمّ انکشف له قبل الدخول ودخل بهایکون زناً، وأمّا إن دخل بها قبل الانکشاف فیدخل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هذه المسألة والمسألة التاسعة المتقدّمة بحسب الموضوع والمورد واضحفیما إذا لم یتحقّق هنا إجراء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تحقّقه فالفرق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هناک إمّا العلمبالبطلان حال العقد، وإمّا الدخول مع الجهل، وأمّا هنا فالمفروض هو الزنا المتحقّقبالعلم بالحرمة حال الدخول، وإن لم یعلم بکونها ذات بعلٍ فی تلک الحال؛ وعلیهفالمراد من العلم بالبطلان هو العلم بعد إجراء العقد وقبل الدخول، ولا یکون الحکمبالحرمة الأبدیّة فی فرض الدخول فی المسألة السابقة ملازماً للحکم بها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بین أن تکون</w:t>
      </w:r>
    </w:p>
    <w:p>
      <w:pPr>
        <w:pStyle w:val="BookText"/>
        <w:rPr/>
      </w:pPr>
      <w:r>
        <w:rPr>
          <w:rFonts w:ascii="IRNazanin" w:hAnsi="IRNazanin" w:eastAsia="IRNazanin"/>
          <w:color w:val="111111"/>
          <w:sz w:val="28"/>
          <w:sz w:val="28"/>
          <w:szCs w:val="28"/>
          <w:rtl w:val="true"/>
          <w:lang w:bidi="fa-IR"/>
        </w:rPr>
        <w:t>الزوجة مشتبَهةً أو زانیةً أو مکرهة، نعم، لو کانت هی الزانیة وکان الواطئ مشتبهاً</w:t>
      </w:r>
      <w:r>
        <w:rPr>
          <w:rStyle w:val="FootnoteAnchor"/>
          <w:rtl w:val="true"/>
        </w:rPr>
        <w:footnoteReference w:id="9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یکون الاشتباه من جهة اعتقاده صحّة العقد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یلحق بذات البعل الأمة المستفرِشة</w:t>
      </w:r>
      <w:r>
        <w:rPr>
          <w:rStyle w:val="FootnoteAnchor"/>
          <w:rtl w:val="true"/>
        </w:rPr>
        <w:footnoteReference w:id="955"/>
      </w:r>
      <w:r>
        <w:rPr>
          <w:rFonts w:ascii="IRNazanin" w:hAnsi="IRNazanin" w:eastAsia="IRNazanin"/>
          <w:color w:val="111111"/>
          <w:sz w:val="28"/>
          <w:sz w:val="28"/>
          <w:szCs w:val="28"/>
          <w:rtl w:val="true"/>
          <w:lang w:bidi="fa-IR"/>
        </w:rPr>
        <w:t>، ولا المحلّلة، نعم، لو کانت الأمة مزوّجةً فوطئها سیّدها لم یبعد الحرمة الأبدیّة علیه وإن کان لا یخلو من إشکال</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الواطئ مکرَهاً علی الزنا فالظاهر</w:t>
      </w:r>
      <w:r>
        <w:rPr>
          <w:rStyle w:val="FootnoteAnchor"/>
          <w:rtl w:val="true"/>
        </w:rPr>
        <w:footnoteReference w:id="9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bookmarkStart w:id="518" w:name="pg13286_153921"/>
    </w:p>
    <w:p>
      <w:pPr>
        <w:pStyle w:val="BookText"/>
        <w:rPr/>
      </w:pPr>
      <w:bookmarkEnd w:id="518"/>
      <w:r>
        <w:rPr>
          <w:rFonts w:ascii="IRNazanin" w:hAnsi="IRNazanin" w:eastAsia="IRNazanin"/>
          <w:color w:val="111111"/>
          <w:sz w:val="28"/>
          <w:sz w:val="28"/>
          <w:szCs w:val="28"/>
          <w:rtl w:val="true"/>
          <w:lang w:bidi="fa-IR"/>
        </w:rPr>
        <w:t>لحوق</w:t>
      </w:r>
      <w:r>
        <w:rPr>
          <w:rStyle w:val="FootnoteAnchor"/>
          <w:rtl w:val="true"/>
        </w:rPr>
        <w:footnoteReference w:id="958"/>
      </w:r>
      <w:r>
        <w:rPr>
          <w:rFonts w:ascii="IRNazanin" w:hAnsi="IRNazanin" w:eastAsia="IRNazanin"/>
          <w:color w:val="111111"/>
          <w:sz w:val="28"/>
          <w:sz w:val="28"/>
          <w:szCs w:val="28"/>
          <w:rtl w:val="true"/>
          <w:lang w:bidi="fa-IR"/>
        </w:rPr>
        <w:t> الحکم، وإن کان لا یخلو من إشکال أیضاً</w:t>
      </w:r>
      <w:r>
        <w:rPr>
          <w:rFonts w:eastAsia="IRNazanin" w:cs="IRNazanin"/>
          <w:color w:val="111111"/>
          <w:sz w:val="28"/>
          <w:szCs w:val="28"/>
          <w:rtl w:val="true"/>
          <w:lang w:bidi="fa-IR"/>
        </w:rPr>
        <w:t>.</w:t>
      </w:r>
    </w:p>
    <w:p>
      <w:pPr>
        <w:pStyle w:val="Heading4"/>
        <w:numPr>
          <w:ilvl w:val="3"/>
          <w:numId w:val="1"/>
        </w:numPr>
        <w:rPr/>
      </w:pPr>
      <w:bookmarkStart w:id="519" w:name="__RefHeading___Toc2138788_2322387425"/>
      <w:bookmarkStart w:id="520" w:name="_Toc187"/>
      <w:bookmarkEnd w:id="519"/>
      <w:r>
        <w:rPr>
          <w:rtl w:val="true"/>
        </w:rPr>
        <w:t>الزنا بذات العدّة الرجعیّة</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زنی بامرأةٍ فی العِدّة الرجعیّة حرمت</w:t>
      </w:r>
      <w:r>
        <w:rPr>
          <w:rStyle w:val="FootnoteAnchor"/>
          <w:rtl w:val="true"/>
        </w:rPr>
        <w:footnoteReference w:id="959"/>
      </w:r>
      <w:r>
        <w:rPr>
          <w:rFonts w:ascii="Amiri" w:hAnsi="Amiri" w:eastAsia="Amiri" w:cs="Amiri"/>
          <w:color w:val="111111"/>
          <w:sz w:val="28"/>
          <w:sz w:val="28"/>
          <w:szCs w:val="28"/>
          <w:rtl w:val="true"/>
          <w:lang w:bidi="ar-SA"/>
        </w:rPr>
        <w:t> علیه أبداً</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البائنة وعدّة الوفاة وعدّة المتعة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والوطء بالشبهة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شکّ فی کونها فی العِدّة أوْ لا، أو فی العِدّة الرجعیّة، أو البائنة فلا حرمة ما دام</w:t>
      </w:r>
      <w:r>
        <w:rPr>
          <w:rStyle w:val="FootnoteAnchor"/>
          <w:rtl w:val="true"/>
        </w:rPr>
        <w:footnoteReference w:id="961"/>
      </w:r>
      <w:r>
        <w:rPr>
          <w:rFonts w:ascii="IRNazanin" w:hAnsi="IRNazanin" w:eastAsia="IRNazanin"/>
          <w:color w:val="111111"/>
          <w:sz w:val="28"/>
          <w:sz w:val="28"/>
          <w:szCs w:val="28"/>
          <w:rtl w:val="true"/>
          <w:lang w:bidi="fa-IR"/>
        </w:rPr>
        <w:t> باقیاً علی الشکّ، نعم، لو علم کونها فی عدّةٍ رجعیّةٍ وشکّ فی انقضائها وعدمه فالظاهر الحرمة</w:t>
      </w:r>
      <w:r>
        <w:rPr>
          <w:rStyle w:val="FootnoteAnchor"/>
          <w:rtl w:val="true"/>
        </w:rPr>
        <w:footnoteReference w:id="962"/>
      </w:r>
      <w:r>
        <w:rPr>
          <w:rFonts w:ascii="IRNazanin" w:hAnsi="IRNazanin" w:eastAsia="IRNazanin"/>
          <w:color w:val="111111"/>
          <w:sz w:val="28"/>
          <w:sz w:val="28"/>
          <w:szCs w:val="28"/>
          <w:rtl w:val="true"/>
          <w:lang w:bidi="fa-IR"/>
        </w:rPr>
        <w:t>، خصوصاً إذا أخبرت</w:t>
      </w:r>
      <w:r>
        <w:rPr>
          <w:rStyle w:val="FootnoteAnchor"/>
          <w:rtl w:val="true"/>
        </w:rPr>
        <w:footnoteReference w:id="963"/>
      </w:r>
      <w:r>
        <w:rPr>
          <w:rFonts w:ascii="IRNazanin" w:hAnsi="IRNazanin" w:eastAsia="IRNazanin"/>
          <w:color w:val="111111"/>
          <w:sz w:val="28"/>
          <w:sz w:val="28"/>
          <w:szCs w:val="28"/>
          <w:rtl w:val="true"/>
          <w:lang w:bidi="fa-IR"/>
        </w:rPr>
        <w:t> هی بعدم الانقضاء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الزنا فی القُبُل أو الدُبُر، وکذا فی المسألة السابقة</w:t>
      </w:r>
      <w:r>
        <w:rPr>
          <w:rFonts w:eastAsia="IRNazanin" w:cs="IRNazanin"/>
          <w:color w:val="111111"/>
          <w:sz w:val="28"/>
          <w:szCs w:val="28"/>
          <w:rtl w:val="true"/>
          <w:lang w:bidi="fa-IR"/>
        </w:rPr>
        <w:t>.</w:t>
      </w:r>
    </w:p>
    <w:p>
      <w:pPr>
        <w:pStyle w:val="Heading4"/>
        <w:numPr>
          <w:ilvl w:val="3"/>
          <w:numId w:val="1"/>
        </w:numPr>
        <w:rPr/>
      </w:pPr>
      <w:bookmarkStart w:id="521" w:name="__RefHeading___Toc2138790_2322387425"/>
      <w:bookmarkStart w:id="522" w:name="_Toc188"/>
      <w:bookmarkEnd w:id="521"/>
      <w:r>
        <w:rPr>
          <w:rtl w:val="true"/>
        </w:rPr>
        <w:t>من لاط بغلام فأوقبه وایجابه الحرمة علی اُمّه وبنته واُخته وعدمها فی الموطوء</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لاط بغلام فأوقب ولو بعض الحشفة</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بالحرمة فی هذه الصورة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مبنیّ علی الاحتیاط؛ فإنّ النصوص الواردة فی المقام کلّها مخدوشة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p>
    <w:p>
      <w:pPr>
        <w:pStyle w:val="BookText"/>
        <w:rPr/>
      </w:pPr>
      <w:r>
        <w:rPr>
          <w:rFonts w:ascii="Amiri" w:hAnsi="Amiri" w:eastAsia="Amiri" w:cs="Amiri"/>
          <w:color w:val="111111"/>
          <w:sz w:val="28"/>
          <w:sz w:val="28"/>
          <w:szCs w:val="28"/>
          <w:rtl w:val="true"/>
          <w:lang w:bidi="ar-SA"/>
        </w:rPr>
        <w:t>علیه اُمّه</w:t>
      </w:r>
      <w:r>
        <w:rPr>
          <w:rStyle w:val="FootnoteAnchor"/>
          <w:rtl w:val="true"/>
        </w:rPr>
        <w:footnoteReference w:id="965"/>
      </w:r>
      <w:r>
        <w:rPr>
          <w:rFonts w:ascii="IRNazanin" w:hAnsi="IRNazanin" w:eastAsia="IRNazanin"/>
          <w:color w:val="111111"/>
          <w:sz w:val="28"/>
          <w:sz w:val="28"/>
          <w:szCs w:val="28"/>
          <w:rtl w:val="true"/>
          <w:lang w:bidi="fa-IR"/>
        </w:rPr>
        <w:t> أبداً وإن علت</w:t>
      </w:r>
      <w:r>
        <w:rPr>
          <w:rStyle w:val="FootnoteAnchor"/>
          <w:rtl w:val="true"/>
        </w:rPr>
        <w:footnoteReference w:id="966"/>
      </w:r>
      <w:r>
        <w:rPr>
          <w:rFonts w:ascii="IRNazanin" w:hAnsi="IRNazanin" w:eastAsia="IRNazanin"/>
          <w:color w:val="111111"/>
          <w:sz w:val="28"/>
          <w:sz w:val="28"/>
          <w:szCs w:val="28"/>
          <w:rtl w:val="true"/>
          <w:lang w:bidi="fa-IR"/>
        </w:rPr>
        <w:t>، وبنته وإن نزلت</w:t>
      </w:r>
      <w:r>
        <w:rPr>
          <w:rStyle w:val="FootnoteAnchor"/>
          <w:rtl w:val="true"/>
        </w:rPr>
        <w:footnoteReference w:id="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وإن کانت مختصّةً بالاُمّ والبنت ولکنّ الظاهر صدقهما علی الجَدّة وبنتالبنت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واُخته، من غیر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أکثر النصوص ذکر عنوان الرجل للفاعل والغلام للمفعول، نعم، فی حدیثواحد ذکر عنوان أخی امرأته للمفعول، فعموم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کونهما کبیرین أو صغیرین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الدلیل ذکر الرجل، ولکنّ التعمیم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الواطئ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الواطئ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الصغیر الواطئ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اختصاص الحکم بما إذا کان الواطئ کبیراً والموطوء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الدلیل ذکر الرجل، فلا یشمل الواطئ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شمول الحکم لِما إذا کان الواطئ صغیراً، کما أنّ ظاهر النصّ یقتضیالبناء علی عدم الشمول لِما إذا کان الموطوء کبیراً، فالأظهر اختصاص الحرمة بماإذا کان الواطئ کبیراً والموطوء صغیراً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الواطئ صغیراً أو کانا کبیرَین فالحکم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مختلفین</w:t>
      </w:r>
      <w:r>
        <w:rPr>
          <w:rStyle w:val="FootnoteAnchor"/>
          <w:rtl w:val="true"/>
        </w:rPr>
        <w:footnoteReference w:id="9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تحرم علی الموطوء اُمّ الواطئ وبنته واُخته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الموطوء خنثی</w:t>
      </w:r>
      <w:r>
        <w:rPr>
          <w:rStyle w:val="FootnoteAnchor"/>
          <w:rtl w:val="true"/>
        </w:rPr>
        <w:footnoteReference w:id="9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وطئ فی کلتا الثقبتَین أو فی دُبُرها، وأمّا لو وطئ فی قُبُلها فلا یعلم أحدالأمرین، بل یحتمل أن لا تکون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الوطء فی دُبُرها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اُمّها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الواطئ؛</w:t>
      </w:r>
    </w:p>
    <w:p>
      <w:pPr>
        <w:pStyle w:val="BookText"/>
        <w:rPr/>
      </w:pPr>
      <w:r>
        <w:rPr>
          <w:rFonts w:ascii="Amiri" w:hAnsi="Amiri" w:eastAsia="Amiri" w:cs="Amiri"/>
          <w:color w:val="111111"/>
          <w:sz w:val="28"/>
          <w:sz w:val="28"/>
          <w:szCs w:val="28"/>
          <w:rtl w:val="true"/>
          <w:lang w:bidi="ar-SA"/>
        </w:rPr>
        <w:t>لأنّه إمّا لواط، أو زنا</w:t>
      </w:r>
      <w:r>
        <w:rPr>
          <w:rStyle w:val="FootnoteAnchor"/>
          <w:rtl w:val="true"/>
        </w:rPr>
        <w:footnoteReference w:id="9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مع الدخول فی قُبلها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وهو مُحَرِّم</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سابقاً،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بالمصاهرة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کما سیجیء فی المسألة الثامنة والعشرین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یأتی فی الفصل الآتی، وستعرف أنّ الزنا لا یکون مُحَرِّماً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972"/>
      </w:r>
      <w:r>
        <w:rPr>
          <w:rStyle w:val="FootnoteAnchor"/>
          <w:rtl w:val="true"/>
        </w:rPr>
        <w:footnoteReference w:id="9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للأصل بعد عدم جریان أصالة الصحّة فی التزویج فی أمثالالمقام، الّذی یکون الشکّ فی أصل العنوان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المذکورات</w:t>
      </w:r>
      <w:r>
        <w:rPr>
          <w:rStyle w:val="FootnoteAnchor"/>
          <w:rtl w:val="true"/>
        </w:rPr>
        <w:footnoteReference w:id="974"/>
      </w:r>
      <w:r>
        <w:rPr>
          <w:rFonts w:ascii="IRNazanin" w:hAnsi="IRNazanin" w:eastAsia="IRNazanin"/>
          <w:color w:val="111111"/>
          <w:sz w:val="28"/>
          <w:sz w:val="28"/>
          <w:szCs w:val="28"/>
          <w:rtl w:val="true"/>
          <w:lang w:bidi="fa-IR"/>
        </w:rPr>
        <w:t> علی</w:t>
      </w:r>
      <w:r>
        <w:rPr>
          <w:rStyle w:val="FootnoteAnchor"/>
          <w:rtl w:val="true"/>
        </w:rPr>
        <w:footnoteReference w:id="975"/>
      </w:r>
      <w:r>
        <w:rPr>
          <w:rFonts w:ascii="IRNazanin" w:hAnsi="IRNazanin" w:eastAsia="IRNazanin"/>
          <w:color w:val="111111"/>
          <w:sz w:val="28"/>
          <w:sz w:val="28"/>
          <w:szCs w:val="28"/>
          <w:rtl w:val="true"/>
          <w:lang w:bidi="fa-IR"/>
        </w:rPr>
        <w:t> الواطئ</w:t>
      </w:r>
      <w:r>
        <w:rPr>
          <w:rStyle w:val="FootnoteAnchor"/>
          <w:rtl w:val="true"/>
        </w:rPr>
        <w:footnoteReference w:id="976"/>
      </w:r>
      <w:r>
        <w:rPr>
          <w:rFonts w:ascii="IRNazanin" w:hAnsi="IRNazanin" w:eastAsia="IRNazanin"/>
          <w:color w:val="111111"/>
          <w:sz w:val="28"/>
          <w:sz w:val="28"/>
          <w:szCs w:val="28"/>
          <w:rtl w:val="true"/>
          <w:lang w:bidi="fa-IR"/>
        </w:rPr>
        <w:t> وإن کان ذلک بعد</w:t>
      </w:r>
      <w:r>
        <w:rPr>
          <w:rStyle w:val="FootnoteAnchor"/>
          <w:rtl w:val="true"/>
        </w:rPr>
        <w:footnoteReference w:id="977"/>
      </w:r>
      <w:r>
        <w:rPr>
          <w:rFonts w:ascii="IRNazanin" w:hAnsi="IRNazanin" w:eastAsia="IRNazanin"/>
          <w:color w:val="111111"/>
          <w:sz w:val="28"/>
          <w:sz w:val="28"/>
          <w:szCs w:val="28"/>
          <w:rtl w:val="true"/>
          <w:lang w:bidi="fa-IR"/>
        </w:rPr>
        <w:t> التزویج</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خلافه، وقد صرّح الماتن  قدّس سرّه بخلاف ما ذکره هنا فی المسألة الثامنةوالعشرین من فصل المحرّمات بالمصاهرة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وقبل الدخول، وأمّا بعد الدخول فالأقوی عدم الحرمة، کما یأتی منه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التحریم إذا کان ذلک بعد الدخول، کما سیأتی فی المسألة الثامنةوالعشرین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المصاهرة، نعم، إذا طلّق تلک الزوجة لم یجز لهتجدید نکاحها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إذا طلّقها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الحرمة فی هذه الصورة، ولا بأس بترک الاحتیاط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bookmarkStart w:id="523" w:name="pg13286_153926"/>
    </w:p>
    <w:p>
      <w:pPr>
        <w:pStyle w:val="BookText"/>
        <w:rPr/>
      </w:pPr>
      <w:bookmarkEnd w:id="523"/>
      <w:r>
        <w:rPr>
          <w:rFonts w:ascii="IRNazanin" w:hAnsi="IRNazanin" w:eastAsia="IRNazanin"/>
          <w:color w:val="111111"/>
          <w:sz w:val="28"/>
          <w:sz w:val="28"/>
          <w:szCs w:val="28"/>
          <w:rtl w:val="true"/>
          <w:lang w:bidi="fa-IR"/>
        </w:rPr>
        <w:t>تزویجها جدیداً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2138792_2322387425"/>
      <w:bookmarkStart w:id="525" w:name="_Toc189"/>
      <w:bookmarkEnd w:id="524"/>
      <w:r>
        <w:rPr>
          <w:rtl w:val="true"/>
        </w:rPr>
        <w:t>الاُمّ الرضاعیّة کالنسبیة من جهة الحرمة وکذا الاُخت والبنت</w:t>
      </w:r>
      <w:bookmarkEnd w:id="525"/>
    </w:p>
    <w:p>
      <w:pPr>
        <w:pStyle w:val="BookText"/>
        <w:rPr/>
      </w:pPr>
      <w:r>
        <w:rPr>
          <w:rFonts w:ascii="Amiri" w:hAnsi="Amiri" w:eastAsia="Amiri" w:cs="Amiri"/>
          <w:color w:val="111111"/>
          <w:sz w:val="28"/>
          <w:sz w:val="28"/>
          <w:szCs w:val="28"/>
          <w:rtl w:val="true"/>
          <w:lang w:bidi="ar-SA"/>
        </w:rPr>
        <w:t>والاُمّ الرضاعیّة کالنسبیّة، وکذلک الاُخت والبنت</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2138794_2322387425"/>
      <w:bookmarkStart w:id="527" w:name="_Toc190"/>
      <w:bookmarkEnd w:id="526"/>
      <w:r>
        <w:rPr>
          <w:rtl w:val="true"/>
        </w:rPr>
        <w:t>حکم الوطء غیر العمدی</w:t>
      </w:r>
      <w:bookmarkEnd w:id="527"/>
    </w:p>
    <w:p>
      <w:pPr>
        <w:pStyle w:val="BookText"/>
        <w:rPr/>
      </w:pPr>
      <w:r>
        <w:rPr>
          <w:rFonts w:ascii="IRNazanin" w:hAnsi="IRNazanin" w:eastAsia="IRNazanin"/>
          <w:color w:val="111111"/>
          <w:sz w:val="28"/>
          <w:sz w:val="28"/>
          <w:szCs w:val="28"/>
          <w:rtl w:val="true"/>
          <w:lang w:bidi="fa-IR"/>
        </w:rPr>
        <w:t>والظاهر عدم</w:t>
      </w:r>
      <w:r>
        <w:rPr>
          <w:rStyle w:val="FootnoteAnchor"/>
          <w:rtl w:val="true"/>
        </w:rPr>
        <w:footnoteReference w:id="980"/>
      </w:r>
      <w:r>
        <w:rPr>
          <w:rFonts w:ascii="IRNazanin" w:hAnsi="IRNazanin" w:eastAsia="IRNazanin"/>
          <w:color w:val="111111"/>
          <w:sz w:val="28"/>
          <w:sz w:val="28"/>
          <w:szCs w:val="28"/>
          <w:rtl w:val="true"/>
          <w:lang w:bidi="fa-IR"/>
        </w:rPr>
        <w:t xml:space="preserve"> الفرق</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 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الوطء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أن یکون عن علمٍ وعمدٍ واختیار، أو مع الاشتباه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إذا تخیّله امرأته، أو کان مکرَهاً، أو کان المباشر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للفعل هو المفعول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الموطوء میّتاً ففی التحریم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عدم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المنع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عدم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3286_153927"/>
    </w:p>
    <w:p>
      <w:pPr>
        <w:pStyle w:val="Heading4"/>
        <w:numPr>
          <w:ilvl w:val="3"/>
          <w:numId w:val="1"/>
        </w:numPr>
        <w:rPr/>
      </w:pPr>
      <w:bookmarkStart w:id="529" w:name="__RefHeading___Toc2138796_2322387425"/>
      <w:bookmarkStart w:id="530" w:name="_Toc191"/>
      <w:bookmarkEnd w:id="528"/>
      <w:bookmarkEnd w:id="529"/>
      <w:r>
        <w:rPr>
          <w:rtl w:val="true"/>
        </w:rPr>
        <w:t>الشکّ فی تحقّق الإیقاب وعدمه</w:t>
      </w:r>
      <w:bookmarkEnd w:id="530"/>
    </w:p>
    <w:p>
      <w:pPr>
        <w:pStyle w:val="BookText"/>
        <w:rPr/>
      </w:pPr>
      <w:r>
        <w:rPr>
          <w:rFonts w:ascii="IRNazanin" w:hAnsi="IRNazanin" w:eastAsia="IRNazanin"/>
          <w:color w:val="111111"/>
          <w:sz w:val="28"/>
          <w:sz w:val="28"/>
          <w:szCs w:val="28"/>
          <w:rtl w:val="true"/>
          <w:lang w:bidi="fa-IR"/>
        </w:rPr>
        <w:t>ولو شکّ فی تحقّق الإیقاب وعدمه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تحرم من جهة هذا العمل الشنیع غیر الثلاثة المذکورة، فلا بأس بنکاح ولد الواطئ ابنة الموطوء أو اُخته أو اُمّه، وإن کان الأولی</w:t>
      </w:r>
      <w:r>
        <w:rPr>
          <w:rStyle w:val="FootnoteAnchor"/>
          <w:rtl w:val="true"/>
        </w:rPr>
        <w:footnoteReference w:id="982"/>
      </w:r>
      <w:r>
        <w:rPr>
          <w:rFonts w:ascii="IRNazanin" w:hAnsi="IRNazanin" w:eastAsia="IRNazanin"/>
          <w:color w:val="111111"/>
          <w:sz w:val="28"/>
          <w:sz w:val="28"/>
          <w:szCs w:val="28"/>
          <w:rtl w:val="true"/>
          <w:lang w:bidi="fa-IR"/>
        </w:rPr>
        <w:t> الترک فی ابنته</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3286_153928"/>
    </w:p>
    <w:p>
      <w:pPr>
        <w:pStyle w:val="Heading3"/>
        <w:numPr>
          <w:ilvl w:val="2"/>
          <w:numId w:val="1"/>
        </w:numPr>
        <w:rPr/>
      </w:pPr>
      <w:bookmarkStart w:id="532" w:name="__RefHeading___Toc2138798_2322387425"/>
      <w:bookmarkStart w:id="533" w:name="_Toc192"/>
      <w:bookmarkEnd w:id="531"/>
      <w:bookmarkEnd w:id="532"/>
      <w:r>
        <w:rPr>
          <w:rtl w:val="true"/>
        </w:rPr>
        <w:t xml:space="preserve">فصل </w:t>
      </w:r>
      <w:r>
        <w:rPr>
          <w:rtl w:val="true"/>
        </w:rPr>
        <w:t>[</w:t>
      </w:r>
      <w:r>
        <w:rPr>
          <w:rtl w:val="true"/>
        </w:rPr>
        <w:t>من المحرّمات الأبدیّة</w:t>
      </w:r>
      <w:r>
        <w:rPr>
          <w:rtl w:val="true"/>
        </w:rPr>
        <w:t xml:space="preserve">: </w:t>
      </w:r>
      <w:r>
        <w:rPr>
          <w:rtl w:val="true"/>
        </w:rPr>
        <w:t>التزویج حال الإحرام</w:t>
      </w:r>
      <w:r>
        <w:rPr>
          <w:rtl w:val="true"/>
        </w:rPr>
        <w:t>]</w:t>
      </w:r>
      <w:bookmarkEnd w:id="533"/>
    </w:p>
    <w:p>
      <w:pPr>
        <w:pStyle w:val="Heading4"/>
        <w:numPr>
          <w:ilvl w:val="3"/>
          <w:numId w:val="1"/>
        </w:numPr>
        <w:rPr/>
      </w:pPr>
      <w:bookmarkStart w:id="534" w:name="__RefHeading___Toc2138800_2322387425"/>
      <w:bookmarkStart w:id="535" w:name="_Toc193"/>
      <w:bookmarkEnd w:id="534"/>
      <w:r>
        <w:rPr>
          <w:rtl w:val="true"/>
        </w:rPr>
        <w:t>التزویج حال الإحرام وفروع فی البطلان والتحریم</w:t>
      </w:r>
      <w:bookmarkEnd w:id="535"/>
    </w:p>
    <w:p>
      <w:pPr>
        <w:pStyle w:val="BookText"/>
        <w:rPr/>
      </w:pPr>
      <w:r>
        <w:rPr>
          <w:rFonts w:ascii="Amiri" w:hAnsi="Amiri" w:eastAsia="Amiri" w:cs="Amiri"/>
          <w:color w:val="111111"/>
          <w:sz w:val="28"/>
          <w:sz w:val="28"/>
          <w:szCs w:val="28"/>
          <w:rtl w:val="true"/>
          <w:lang w:bidi="ar-SA"/>
        </w:rPr>
        <w:t>من المحرّمات الأبدیّة</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حال الإحرام لا یجوز للمحرم أن یتزوّج امرأةً مُحرِمة أو مُحِلّة، سواء کان بالمباشرة أم بالتوکیل مع إجراء الوکیل العقد حال الإحرام، سواء کان الوکیل مُحرِماً أم مُحِلّاً، وکانت الوکالة قبل الإحرام أو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بإجازة عقد الفضولیّ الواقع حال الإحرام أو قبله مع کونها حاله، بناءً علی النقل، بل علی الکشف</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الأحوط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بطلان النکاح فی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مع العلم بالحرمة حرمت الزوجة علیه أبداً، سواء دخل بها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مع الجهل بها لم تحرم علیه علی الأقوی، دخل بها أو لم یدخل، لکنّ العقد باطل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کان المباشر للعقد مُحرِماً بطل وإن کان مَن له العقد مُحِلّاً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الزوج مُحِلّاً وکانت الزوجة محرِمة فلا إشکال فی بطلان العقد، </w:t>
      </w:r>
    </w:p>
    <w:p>
      <w:pPr>
        <w:pStyle w:val="BookText"/>
        <w:rPr/>
      </w:pPr>
      <w:r>
        <w:rPr>
          <w:rFonts w:ascii="IRNazanin" w:hAnsi="IRNazanin" w:eastAsia="IRNazanin"/>
          <w:color w:val="111111"/>
          <w:sz w:val="28"/>
          <w:sz w:val="28"/>
          <w:szCs w:val="28"/>
          <w:rtl w:val="true"/>
          <w:lang w:bidi="fa-IR"/>
        </w:rPr>
        <w:t>لکن هل یوجب الحرمة</w:t>
      </w:r>
      <w:r>
        <w:rPr>
          <w:rStyle w:val="FootnoteAnchor"/>
          <w:rtl w:val="true"/>
        </w:rPr>
        <w:footnoteReference w:id="986"/>
      </w:r>
      <w:r>
        <w:rPr>
          <w:rFonts w:ascii="IRNazanin" w:hAnsi="IRNazanin" w:eastAsia="IRNazanin"/>
          <w:color w:val="111111"/>
          <w:sz w:val="28"/>
          <w:sz w:val="28"/>
          <w:szCs w:val="28"/>
          <w:rtl w:val="true"/>
          <w:lang w:bidi="fa-IR"/>
        </w:rPr>
        <w:t> الأبدیّة؟ فیه قولان، الأحوط الحرمة</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الظاهر إرادة الجنس من المُحرِم، فمناط التحریم فی الزوجَین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لو لم یکن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وارد فی المُحرِم، فالتعدّی إلی المُحرِمة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3286_153930"/>
    </w:p>
    <w:p>
      <w:pPr>
        <w:pStyle w:val="BookText"/>
        <w:rPr/>
      </w:pPr>
      <w:bookmarkEnd w:id="536"/>
      <w:r>
        <w:rPr>
          <w:rFonts w:ascii="IRNazanin" w:hAnsi="IRNazanin" w:eastAsia="IRNazanin"/>
          <w:color w:val="111111"/>
          <w:sz w:val="28"/>
          <w:sz w:val="28"/>
          <w:szCs w:val="28"/>
          <w:rtl w:val="true"/>
          <w:lang w:bidi="fa-IR"/>
        </w:rPr>
        <w:t>ولا فرق فی البطلان والتحریم الأبدیّ بین أن یکون الإحرام لحجٍّ واجبٍ أو مندوبٍ أو لعمرةٍ واجبةٍ أو مندوبة، ولا فی النکاح بین الدوام والمتعة</w:t>
      </w:r>
      <w:r>
        <w:rPr>
          <w:rFonts w:eastAsia="IRNazanin" w:cs="IRNazanin"/>
          <w:color w:val="111111"/>
          <w:sz w:val="28"/>
          <w:szCs w:val="28"/>
          <w:rtl w:val="true"/>
          <w:lang w:bidi="fa-IR"/>
        </w:rPr>
        <w:t>.</w:t>
      </w:r>
    </w:p>
    <w:p>
      <w:pPr>
        <w:pStyle w:val="Heading4"/>
        <w:numPr>
          <w:ilvl w:val="3"/>
          <w:numId w:val="1"/>
        </w:numPr>
        <w:rPr/>
      </w:pPr>
      <w:bookmarkStart w:id="537" w:name="__RefHeading___Toc2138802_2322387425"/>
      <w:bookmarkStart w:id="538" w:name="_Toc194"/>
      <w:bookmarkEnd w:id="537"/>
      <w:r>
        <w:rPr>
          <w:rtl w:val="true"/>
        </w:rPr>
        <w:t>من تزوج عالماً بالحرمة غافلاً عن کونه محرماً أو ناسیاً</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 فی حال الإحرام مع العلم بالحکم لکن کان غافلاً عن کونه مُحرِماً أو ناسیاً له فلا إشکال</w:t>
      </w:r>
      <w:r>
        <w:rPr>
          <w:rStyle w:val="FootnoteAnchor"/>
          <w:rtl w:val="true"/>
        </w:rPr>
        <w:footnoteReference w:id="988"/>
      </w:r>
      <w:r>
        <w:rPr>
          <w:rFonts w:ascii="IRNazanin" w:hAnsi="IRNazanin" w:eastAsia="IRNazanin"/>
          <w:color w:val="111111"/>
          <w:sz w:val="28"/>
          <w:sz w:val="28"/>
          <w:szCs w:val="28"/>
          <w:rtl w:val="true"/>
          <w:lang w:bidi="fa-IR"/>
        </w:rPr>
        <w:t> فی بطلانه، لکن فی کونه محرّماً أبداً إشکال</w:t>
      </w:r>
      <w:r>
        <w:rPr>
          <w:rStyle w:val="FootnoteAnchor"/>
          <w:rtl w:val="true"/>
        </w:rPr>
        <w:footnoteReference w:id="989"/>
      </w:r>
      <w:r>
        <w:rPr>
          <w:rFonts w:ascii="IRNazanin" w:hAnsi="IRNazanin" w:eastAsia="IRNazanin"/>
          <w:color w:val="111111"/>
          <w:sz w:val="28"/>
          <w:sz w:val="28"/>
          <w:szCs w:val="28"/>
          <w:rtl w:val="true"/>
          <w:lang w:bidi="fa-IR"/>
        </w:rPr>
        <w:t>، والأحوط</w:t>
      </w:r>
      <w:r>
        <w:rPr>
          <w:rStyle w:val="FootnoteAnchor"/>
          <w:rtl w:val="true"/>
        </w:rPr>
        <w:footnoteReference w:id="990"/>
      </w:r>
      <w:r>
        <w:rPr>
          <w:rFonts w:ascii="IRNazanin" w:hAnsi="IRNazanin" w:eastAsia="IRNazanin"/>
          <w:color w:val="111111"/>
          <w:sz w:val="28"/>
          <w:sz w:val="28"/>
          <w:szCs w:val="28"/>
          <w:rtl w:val="true"/>
          <w:lang w:bidi="fa-IR"/>
        </w:rPr>
        <w:t> ذلک</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بعدم التحریم،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2138804_2322387425"/>
      <w:bookmarkStart w:id="540" w:name="_Toc195"/>
      <w:bookmarkEnd w:id="539"/>
      <w:r>
        <w:rPr>
          <w:rtl w:val="true"/>
        </w:rPr>
        <w:t>وطء الزوجة فی حال الإحرام</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یلحق وطء زوجته الدائمة أو المنقطعة حال الإحرام بالتزویج فی التحریم الأبدیّ، فلا یوجبه وإن کان مع العلم بالحرمة والعقد</w:t>
      </w:r>
      <w:r>
        <w:rPr>
          <w:rFonts w:eastAsia="IRNazanin" w:cs="IRNazanin"/>
          <w:color w:val="111111"/>
          <w:sz w:val="28"/>
          <w:szCs w:val="28"/>
          <w:rtl w:val="true"/>
          <w:lang w:bidi="fa-IR"/>
        </w:rPr>
        <w:t>.</w:t>
      </w:r>
    </w:p>
    <w:p>
      <w:pPr>
        <w:pStyle w:val="Heading4"/>
        <w:numPr>
          <w:ilvl w:val="3"/>
          <w:numId w:val="1"/>
        </w:numPr>
        <w:rPr/>
      </w:pPr>
      <w:bookmarkStart w:id="541" w:name="__RefHeading___Toc2138806_2322387425"/>
      <w:bookmarkStart w:id="542" w:name="_Toc196"/>
      <w:bookmarkEnd w:id="541"/>
      <w:r>
        <w:rPr>
          <w:rtl w:val="true"/>
        </w:rPr>
        <w:t>بطلان التزویج من غیر جهة الإحرام</w:t>
      </w:r>
      <w:bookmarkEnd w:id="5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تزوّج فی حال الإحرام ولکن کان باطلاً من غیر جهة الإحرام ـ کتزویج اُخت الزوجة، أو الخامسة ـ هل یوجب التحریم، </w:t>
      </w:r>
    </w:p>
    <w:p>
      <w:pPr>
        <w:pStyle w:val="BookText"/>
        <w:rPr/>
      </w:pPr>
      <w:r>
        <w:rPr>
          <w:rFonts w:ascii="IRNazanin" w:hAnsi="IRNazanin" w:eastAsia="IRNazanin"/>
          <w:color w:val="111111"/>
          <w:sz w:val="28"/>
          <w:sz w:val="28"/>
          <w:szCs w:val="28"/>
          <w:rtl w:val="true"/>
          <w:lang w:bidi="fa-IR"/>
        </w:rPr>
        <w:t>أو لا؟ الظاهر ذلک</w:t>
      </w:r>
      <w:r>
        <w:rPr>
          <w:rStyle w:val="FootnoteAnchor"/>
          <w:rtl w:val="true"/>
        </w:rPr>
        <w:footnoteReference w:id="9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لأنّ ظاهر الدلیل أنّ التزویج الصحیح لولا وقوعه فی حالالإحرام یوجب التحریم، ومنه یظهر النظر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ظاهراً إشکال، وکذلک فی شمول الأخبار له،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ظاهرٍ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استشکل  قدّس سرّه وتوقّف سابقاً فی نظیره، ولم یستظهر البطلان، کما استظهر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عدم التحریم، وقد مرّ منه  قدّس سرّه الإشکال فی نظیره فی الفصلالسابق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قدّس سرّه الإشکال فی نظیر ذلک فی المسألة الاُولی من الفصل السابق،والأقوی عدم التحریم، کما قلنا هناک،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ظهوره إشکال،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الإشکال فی نظیره فی الفصل السابق، وهو الحقّ،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لصدق التزویج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یُستأنَس ذلک ممّا رواه فی التهذیب، عن حکم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 السّلام عن مُحرِمٍ تزوّج امرأة فی عدّتها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ح</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الفرق بین المسألتین واضحاً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bookmarkStart w:id="543" w:name="pg13286_153932"/>
    </w:p>
    <w:p>
      <w:pPr>
        <w:pStyle w:val="BookText"/>
        <w:rPr/>
      </w:pPr>
      <w:bookmarkEnd w:id="543"/>
      <w:r>
        <w:rPr>
          <w:rFonts w:ascii="IRNazanin" w:hAnsi="IRNazanin" w:eastAsia="IRNazanin"/>
          <w:color w:val="111111"/>
          <w:sz w:val="28"/>
          <w:sz w:val="28"/>
          <w:szCs w:val="28"/>
          <w:rtl w:val="true"/>
          <w:lang w:bidi="fa-IR"/>
        </w:rPr>
        <w:t>فتشمله</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مرّ منه الإشکال فی الشمول فی تزویج ذات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کان بطلانه لفقد بعض الأرکان بحیث لا یصدق علیه التزویج لم یوجب</w:t>
      </w:r>
      <w:r>
        <w:rPr>
          <w:rFonts w:eastAsia="IRNazanin" w:cs="IRNazanin"/>
          <w:color w:val="111111"/>
          <w:sz w:val="28"/>
          <w:szCs w:val="28"/>
          <w:rtl w:val="true"/>
          <w:lang w:bidi="fa-IR"/>
        </w:rPr>
        <w:t>.</w:t>
      </w:r>
    </w:p>
    <w:p>
      <w:pPr>
        <w:pStyle w:val="Heading4"/>
        <w:numPr>
          <w:ilvl w:val="3"/>
          <w:numId w:val="1"/>
        </w:numPr>
        <w:rPr/>
      </w:pPr>
      <w:bookmarkStart w:id="544" w:name="__RefHeading___Toc2138808_2322387425"/>
      <w:bookmarkStart w:id="545" w:name="_Toc197"/>
      <w:bookmarkEnd w:id="544"/>
      <w:r>
        <w:rPr>
          <w:rtl w:val="true"/>
        </w:rPr>
        <w:t>الشکّ فی کون التزویج فی الإحرام أو قبله أو بعده</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أنّ تزویجه هل کان فی الإحرام أو قبله؟ بنی علی</w:t>
      </w:r>
      <w:r>
        <w:rPr>
          <w:rStyle w:val="FootnoteAnchor"/>
          <w:rtl w:val="true"/>
        </w:rPr>
        <w:footnoteReference w:id="994"/>
      </w:r>
      <w:r>
        <w:rPr>
          <w:rFonts w:ascii="IRNazanin" w:hAnsi="IRNazanin" w:eastAsia="IRNazanin"/>
          <w:color w:val="111111"/>
          <w:sz w:val="28"/>
          <w:sz w:val="28"/>
          <w:szCs w:val="28"/>
          <w:rtl w:val="true"/>
          <w:lang w:bidi="fa-IR"/>
        </w:rPr>
        <w:t> عدم کونه فیه</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بنائه علی الصحّة، وإلّا فاستصحاب عدم کونه فیه لا مورد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الفحص والیأس،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لو شکّ فی أنّه کان فی حال الإحرام أو بعده 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أصالة الصحّة فی العقد جاریة، فلا إشکال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علی الصحّة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تقدّم أصالة الصحّة علی الاستصحاب لا وجه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فلو اختلف الزوجان فی وقوعه حاله أو حال الإحلال سابقاً أو لاحقاً قُدِّم قول مَن یدّعی الصحّة، من غیر فرقٍ بین جهل التاریخَین أو العلم بتاریخ أحدهما، نعم، لو کان مُحرِماً وشکّ فی أنّه أحلّ من إحرامه أم لا، لا یجوز له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 مع ذلک بطل</w:t>
      </w:r>
      <w:r>
        <w:rPr>
          <w:rStyle w:val="FootnoteAnchor"/>
          <w:rtl w:val="true"/>
        </w:rPr>
        <w:footnoteReference w:id="996"/>
      </w:r>
      <w:r>
        <w:rPr>
          <w:rFonts w:ascii="IRNazanin" w:hAnsi="IRNazanin" w:eastAsia="IRNazanin"/>
          <w:color w:val="111111"/>
          <w:sz w:val="28"/>
          <w:sz w:val="28"/>
          <w:szCs w:val="28"/>
          <w:rtl w:val="true"/>
          <w:lang w:bidi="fa-IR"/>
        </w:rPr>
        <w:t> وحرمت</w:t>
      </w:r>
      <w:r>
        <w:rPr>
          <w:rStyle w:val="FootnoteAnchor"/>
          <w:rtl w:val="true"/>
        </w:rPr>
        <w:footnoteReference w:id="997"/>
      </w:r>
      <w:r>
        <w:rPr>
          <w:rFonts w:ascii="IRNazanin" w:hAnsi="IRNazanin" w:eastAsia="IRNazanin"/>
          <w:color w:val="111111"/>
          <w:sz w:val="28"/>
          <w:sz w:val="28"/>
          <w:szCs w:val="28"/>
          <w:rtl w:val="true"/>
          <w:lang w:bidi="fa-IR"/>
        </w:rPr>
        <w:t> علیه</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علمه بالحرمة، وإنّما تکون الحرمة فی الظاهر ما لم ینکشف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الظاهر 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بالحرمة الظاهریّة 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الظاهر ما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ظاهریّةً إن لم ینکشف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هو مقتضی استصحاب</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46" w:name="pg13286_153934"/>
    </w:p>
    <w:p>
      <w:pPr>
        <w:pStyle w:val="BookText"/>
        <w:rPr/>
      </w:pPr>
      <w:bookmarkEnd w:id="546"/>
      <w:r>
        <w:rPr>
          <w:rFonts w:ascii="IRNazanin" w:hAnsi="IRNazanin" w:eastAsia="IRNazanin"/>
          <w:color w:val="111111"/>
          <w:sz w:val="28"/>
          <w:sz w:val="28"/>
          <w:szCs w:val="28"/>
          <w:rtl w:val="true"/>
          <w:lang w:bidi="fa-IR"/>
        </w:rPr>
        <w:t>بقاء الإحرام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138810_2322387425"/>
      <w:bookmarkStart w:id="548" w:name="_Toc198"/>
      <w:bookmarkEnd w:id="547"/>
      <w:r>
        <w:rPr>
          <w:rtl w:val="true"/>
        </w:rPr>
        <w:t>حکم إنکشاف فساد الإحرام أو إفساده</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حال الإحرام عالماً بالحکم والموضوع ثمّ انکشف فساد إحرامه صحّ العقد، ولم یوجب الحرمة، نعم، لو کان إحرامه صحیحاً فأفسده</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فرض فساد الإحرام؛ فإنّ الفاسد هو الحجّ، لا الإحرام، فلا محیص عن القول بالبطلان والحرمة الأبدیّة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تزوّج ففیه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الصحّة؛ لأنّ الحکم بالفساد علی خلاف القاعدة، فیُقتَصَر فیه علیالمتیقَّن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هو الثانی، وأمّا بناءً علی تحقّق الفساد فی الإحرام ـ بمعنی خروجهعنه بعد أن وقع صحیحاً ـ فالمتعیّن هو الثانی ، ولا یبقی وجه للأوّل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الفاسد علی القول به هو الحجّ، لا الإحرام، فالعقد باطل، وموجبللحرمة الأبدیّة وجهاً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الحجّ الثانی عقوبة، فلا معنی لفساد الإحرام بالإفساد، بل لا معنی له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الثانی فیما إذا کان الإفساد بجماعٍ أو نحوه، وأمّا إذاکان بترک أعمال الحجّ أوالعمرة بحیث لایتمکّن من الإتیان بها بعد ذلک فالأظهر هوالأوّل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w:t>
      </w:r>
      <w:bookmarkStart w:id="549" w:name="pg13286_153935"/>
    </w:p>
    <w:p>
      <w:pPr>
        <w:pStyle w:val="BookText"/>
        <w:rPr/>
      </w:pPr>
      <w:bookmarkEnd w:id="549"/>
      <w:r>
        <w:rPr>
          <w:rFonts w:ascii="IRNazanin" w:hAnsi="IRNazanin" w:eastAsia="IRNazanin"/>
          <w:color w:val="111111"/>
          <w:sz w:val="28"/>
          <w:sz w:val="28"/>
          <w:szCs w:val="28"/>
          <w:rtl w:val="true"/>
          <w:lang w:bidi="fa-IR"/>
        </w:rPr>
        <w:t>فسد</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الفاسد علی القول به هو الحجّ، لا الإحرام، فالعقد باطل، وموجب للحرمة الأبدیّةوجهاً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القول بفساد الحجّ، وفساد الإحرام بفساده، أمّا علی القول بعدم فسادالحجّ ـ کما هو الظاهر من بعض الأخبار، أو عدم فساد الإحرام بفساده ـ فالوجهالثانی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ومن معاملته معاملة الصحیح فی جمیع أحکامه</w:t>
      </w:r>
      <w:r>
        <w:rPr>
          <w:rFonts w:eastAsia="IRNazanin" w:cs="IRNazanin"/>
          <w:color w:val="111111"/>
          <w:sz w:val="28"/>
          <w:szCs w:val="28"/>
          <w:rtl w:val="true"/>
          <w:lang w:bidi="fa-IR"/>
        </w:rPr>
        <w:t>.</w:t>
      </w:r>
    </w:p>
    <w:p>
      <w:pPr>
        <w:pStyle w:val="Heading4"/>
        <w:numPr>
          <w:ilvl w:val="3"/>
          <w:numId w:val="1"/>
        </w:numPr>
        <w:rPr/>
      </w:pPr>
      <w:bookmarkStart w:id="550" w:name="__RefHeading___Toc2138812_2322387425"/>
      <w:bookmarkStart w:id="551" w:name="_Toc199"/>
      <w:bookmarkEnd w:id="550"/>
      <w:r>
        <w:rPr>
          <w:rtl w:val="true"/>
        </w:rPr>
        <w:t>رجوع المحرم فی الطلاق فی العدّة الرجعیّة</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للمُحرِم الرجوع فی الطلاق فی العِدّة الرجعیّة، وکذا تملّک الإماء</w:t>
      </w:r>
      <w:r>
        <w:rPr>
          <w:rFonts w:eastAsia="IRNazanin" w:cs="IRNazanin"/>
          <w:color w:val="111111"/>
          <w:sz w:val="28"/>
          <w:szCs w:val="28"/>
          <w:rtl w:val="true"/>
          <w:lang w:bidi="fa-IR"/>
        </w:rPr>
        <w:t>.</w:t>
      </w:r>
    </w:p>
    <w:p>
      <w:pPr>
        <w:pStyle w:val="Heading4"/>
        <w:numPr>
          <w:ilvl w:val="3"/>
          <w:numId w:val="1"/>
        </w:numPr>
        <w:rPr/>
      </w:pPr>
      <w:bookmarkStart w:id="552" w:name="__RefHeading___Toc2138814_2322387425"/>
      <w:bookmarkStart w:id="553" w:name="_Toc200"/>
      <w:bookmarkEnd w:id="552"/>
      <w:r>
        <w:rPr>
          <w:rtl w:val="true"/>
        </w:rPr>
        <w:t>جواز التوکیل للمحرم فی إیقاع التزویج</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للمُحرِم أن یوکّل مُحِلّاً فی أن یزوّجه بعد إحلاله، وکذا یجوز له أن یوکّل مُحرِماً فی أن یزوّجه بعد إحلالهما</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2138816_2322387425"/>
      <w:bookmarkStart w:id="555" w:name="_Toc201"/>
      <w:bookmarkEnd w:id="554"/>
      <w:r>
        <w:rPr>
          <w:rtl w:val="true"/>
        </w:rPr>
        <w:t>إجازة عقد الفضولی فی حال الإحرام وبعده</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زوّجه فضولیّ فی حال إحرامه لم یجز له إجازته فی حال إحرامه</w:t>
      </w:r>
      <w:r>
        <w:rPr>
          <w:rStyle w:val="FootnoteAnchor"/>
          <w:rtl w:val="true"/>
        </w:rPr>
        <w:footnoteReference w:id="1002"/>
      </w:r>
      <w:r>
        <w:rPr>
          <w:rFonts w:ascii="IRNazanin" w:hAnsi="IRNazanin" w:eastAsia="IRNazanin"/>
          <w:color w:val="111111"/>
          <w:sz w:val="28"/>
          <w:sz w:val="28"/>
          <w:szCs w:val="28"/>
          <w:rtl w:val="true"/>
          <w:lang w:bidi="fa-IR"/>
        </w:rPr>
        <w:t>، وهل له ذلک بعد إحلاله؟ الأحوط</w:t>
      </w:r>
      <w:r>
        <w:rPr>
          <w:rStyle w:val="FootnoteAnchor"/>
          <w:rtl w:val="true"/>
        </w:rPr>
        <w:footnoteReference w:id="1003"/>
      </w:r>
      <w:r>
        <w:rPr>
          <w:rFonts w:ascii="IRNazanin" w:hAnsi="IRNazanin" w:eastAsia="IRNazanin"/>
          <w:color w:val="111111"/>
          <w:sz w:val="28"/>
          <w:sz w:val="28"/>
          <w:szCs w:val="28"/>
          <w:rtl w:val="true"/>
          <w:lang w:bidi="fa-IR"/>
        </w:rPr>
        <w:t> العدم</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ولجواز الإجازة وجه علی القول بالنقل، بل وکذا علیالقول بالکشف الحکمیّ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الجواز علی القول بالنقل، أو الکشف غیر الحقیقیّ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علی القول</w:t>
      </w:r>
    </w:p>
    <w:p>
      <w:pPr>
        <w:pStyle w:val="BookText"/>
        <w:rPr/>
      </w:pPr>
      <w:r>
        <w:rPr>
          <w:rFonts w:ascii="Amiri" w:hAnsi="Amiri" w:eastAsia="Amiri" w:cs="Amiri"/>
          <w:color w:val="111111"/>
          <w:sz w:val="28"/>
          <w:sz w:val="28"/>
          <w:szCs w:val="28"/>
          <w:rtl w:val="true"/>
          <w:lang w:bidi="ar-SA"/>
        </w:rPr>
        <w:t>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کان الفضولیّ مُحِلّاً، وإلّا فعقده باطل</w:t>
      </w:r>
      <w:r>
        <w:rPr>
          <w:rStyle w:val="FootnoteAnchor"/>
          <w:rtl w:val="true"/>
        </w:rPr>
        <w:footnoteReference w:id="1005"/>
      </w:r>
      <w:r>
        <w:rPr>
          <w:rFonts w:ascii="Amiri" w:hAnsi="Amiri" w:eastAsia="Amiri" w:cs="Amiri"/>
          <w:color w:val="111111"/>
          <w:sz w:val="28"/>
          <w:sz w:val="28"/>
          <w:szCs w:val="28"/>
          <w:rtl w:val="true"/>
          <w:lang w:bidi="ar-SA"/>
        </w:rPr>
        <w:t> لا یقبل الإجازة ولو کان المعقود له مُحِلّاً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3286_153937"/>
    </w:p>
    <w:p>
      <w:pPr>
        <w:pStyle w:val="Heading3"/>
        <w:numPr>
          <w:ilvl w:val="2"/>
          <w:numId w:val="1"/>
        </w:numPr>
        <w:rPr/>
      </w:pPr>
      <w:bookmarkStart w:id="557" w:name="__RefHeading___Toc2138818_2322387425"/>
      <w:bookmarkStart w:id="558" w:name="_Toc202"/>
      <w:bookmarkEnd w:id="556"/>
      <w:bookmarkEnd w:id="557"/>
      <w:r>
        <w:rPr>
          <w:rtl w:val="true"/>
        </w:rPr>
        <w:t xml:space="preserve">فصل </w:t>
      </w:r>
      <w:r>
        <w:rPr>
          <w:rtl w:val="true"/>
        </w:rPr>
        <w:t>[</w:t>
      </w:r>
      <w:r>
        <w:rPr>
          <w:rtl w:val="true"/>
        </w:rPr>
        <w:t>فی المحرّمات بالمصاهرة</w:t>
      </w:r>
      <w:r>
        <w:rPr>
          <w:rtl w:val="true"/>
        </w:rPr>
        <w:t>]</w:t>
      </w:r>
      <w:bookmarkEnd w:id="558"/>
    </w:p>
    <w:p>
      <w:pPr>
        <w:pStyle w:val="Heading4"/>
        <w:numPr>
          <w:ilvl w:val="3"/>
          <w:numId w:val="1"/>
        </w:numPr>
        <w:rPr/>
      </w:pPr>
      <w:bookmarkStart w:id="559" w:name="__RefHeading___Toc2138820_2322387425"/>
      <w:bookmarkStart w:id="560" w:name="_Toc203"/>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فی المحرّمات بالمصاهرة</w:t>
      </w:r>
      <w:r>
        <w:rPr>
          <w:rStyle w:val="FootnoteAnchor"/>
          <w:rtl w:val="true"/>
        </w:rPr>
        <w:footnoteReference w:id="1006"/>
      </w:r>
    </w:p>
    <w:p>
      <w:pPr>
        <w:pStyle w:val="Heading4"/>
        <w:numPr>
          <w:ilvl w:val="3"/>
          <w:numId w:val="1"/>
        </w:numPr>
        <w:rPr/>
      </w:pPr>
      <w:bookmarkStart w:id="561" w:name="__RefHeading___Toc2138822_2322387425"/>
      <w:bookmarkStart w:id="562" w:name="_Toc204"/>
      <w:bookmarkEnd w:id="561"/>
      <w:r>
        <w:rPr>
          <w:rtl w:val="true"/>
        </w:rPr>
        <w:t>حقیقة المصاهرة</w:t>
      </w:r>
      <w:bookmarkEnd w:id="562"/>
    </w:p>
    <w:p>
      <w:pPr>
        <w:pStyle w:val="BookText"/>
        <w:rPr/>
      </w:pPr>
      <w:r>
        <w:rPr>
          <w:rFonts w:ascii="IRNazanin" w:hAnsi="IRNazanin" w:eastAsia="IRNazanin"/>
          <w:color w:val="111111"/>
          <w:sz w:val="28"/>
          <w:sz w:val="28"/>
          <w:szCs w:val="28"/>
          <w:rtl w:val="true"/>
          <w:lang w:bidi="fa-IR"/>
        </w:rPr>
        <w:t>وهی علاقة بین أحد الطرفَین مع أقرباء الآخر تحدث بالزوجیّة، أو المِلک</w:t>
      </w:r>
      <w:r>
        <w:rPr>
          <w:rStyle w:val="FootnoteAnchor"/>
          <w:rtl w:val="true"/>
        </w:rPr>
        <w:footnoteReference w:id="10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حدوث العلاقة المذکورة بمجرّد المِلک عیناً أو انتفاعاً غیر معلوم، والمتیقّن هوحدوثها بالوطء، مملوکةً کانت أو محلّلة، وبالنظر واللَمس فی المملوکة، نعم، فیالزوجة تحدث بمجرّد الزوجیّة وإن کان التحریم فی بعض المحرّمات مشروطاًبالدخول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حدوث العلاقة المذکورة بمجرّد المِلک عیناً أو انتفاعاً من دون تحقّق الوطءإشکال، مضافاً إلی اختصاص المصاهرة لغةً وعرفاً بالزوجیّة، کما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29/374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أو انتفاعاً بالتحلیل، أو الوطء شبهة أو زناً أو النظر واللَمس فی صورة مخصوصة</w:t>
      </w:r>
      <w:r>
        <w:rPr>
          <w:rFonts w:eastAsia="IRNazanin" w:cs="IRNazanin"/>
          <w:color w:val="111111"/>
          <w:sz w:val="28"/>
          <w:szCs w:val="28"/>
          <w:rtl w:val="true"/>
          <w:lang w:bidi="fa-IR"/>
        </w:rPr>
        <w:t>.</w:t>
      </w:r>
    </w:p>
    <w:p>
      <w:pPr>
        <w:pStyle w:val="Heading4"/>
        <w:numPr>
          <w:ilvl w:val="3"/>
          <w:numId w:val="1"/>
        </w:numPr>
        <w:rPr/>
      </w:pPr>
      <w:bookmarkStart w:id="563" w:name="__RefHeading___Toc2138824_2322387425"/>
      <w:bookmarkStart w:id="564" w:name="_Toc205"/>
      <w:bookmarkEnd w:id="563"/>
      <w:r>
        <w:rPr>
          <w:rtl w:val="true"/>
        </w:rPr>
        <w:t>حرمة زوجة الأب والابن علی الآخر</w:t>
      </w:r>
      <w:bookmarkEnd w:id="56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زوجة کلٍّ من الأب والابن علی الآخر فصاعداً فی الأوّل، ونازلاً فی الثانی ـ نسباً أو رضاعاً دواماً أو متعةً ـ بمجرّد العقد وإن لم یکن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الزوجَین والأب والابن بین الحرّ والمملوک</w:t>
      </w:r>
      <w:r>
        <w:rPr>
          <w:rFonts w:eastAsia="IRNazanin" w:cs="IRNazanin"/>
          <w:color w:val="111111"/>
          <w:sz w:val="28"/>
          <w:szCs w:val="28"/>
          <w:rtl w:val="true"/>
          <w:lang w:bidi="fa-IR"/>
        </w:rPr>
        <w:t xml:space="preserve">. </w:t>
      </w:r>
      <w:bookmarkStart w:id="565" w:name="pg13286_153938"/>
    </w:p>
    <w:p>
      <w:pPr>
        <w:pStyle w:val="Heading4"/>
        <w:numPr>
          <w:ilvl w:val="3"/>
          <w:numId w:val="1"/>
        </w:numPr>
        <w:rPr/>
      </w:pPr>
      <w:bookmarkStart w:id="566" w:name="__RefHeading___Toc2138826_2322387425"/>
      <w:bookmarkStart w:id="567" w:name="_Toc206"/>
      <w:bookmarkEnd w:id="565"/>
      <w:bookmarkEnd w:id="566"/>
      <w:r>
        <w:rPr>
          <w:rtl w:val="true"/>
        </w:rPr>
        <w:t>حرمة مملوکة الأب علی الابن وبالعکس</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w:t>
      </w:r>
      <w:r>
        <w:rPr>
          <w:rStyle w:val="FootnoteAnchor"/>
          <w:rtl w:val="true"/>
        </w:rPr>
        <w:footnoteReference w:id="1008"/>
      </w:r>
      <w:r>
        <w:rPr>
          <w:rFonts w:ascii="IRNazanin" w:hAnsi="IRNazanin" w:eastAsia="IRNazanin"/>
          <w:color w:val="111111"/>
          <w:sz w:val="28"/>
          <w:sz w:val="28"/>
          <w:szCs w:val="28"/>
          <w:rtl w:val="true"/>
          <w:lang w:bidi="fa-IR"/>
        </w:rPr>
        <w:t> مملوکة الأب علی الابن وبالعکس مع عدم الدخول وعدم اللَمس والنظر، وتحرم مع الدخول أو أحد الأمرین</w:t>
      </w:r>
      <w:r>
        <w:rPr>
          <w:rStyle w:val="FootnoteAnchor"/>
          <w:rtl w:val="true"/>
        </w:rPr>
        <w:footnoteReference w:id="1009"/>
      </w:r>
      <w:r>
        <w:rPr>
          <w:rFonts w:ascii="IRNazanin" w:hAnsi="IRNazanin" w:eastAsia="IRNazanin"/>
          <w:color w:val="111111"/>
          <w:sz w:val="28"/>
          <w:sz w:val="28"/>
          <w:szCs w:val="28"/>
          <w:rtl w:val="true"/>
          <w:lang w:bidi="fa-IR"/>
        </w:rPr>
        <w:t> إذا کان بشهوة</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ترکه باللمس وإن لم یکن عن شهوة؛ لإطلاق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ونحوها،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فیإطلاق النظر ولو بشهوةٍ لمثل الوجه والکفّین أیضاً نظر؛ لعدم مساعدة الدلیل علیه،کما لا یخفی علی مَن 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النظر إلی ما لا یحلّ لغیر مالکها النظر إلیها، والحکم عندی محلّ إشکاللکنّه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النظر إذا کان إلی ما لا یحلّ لغیر المالک النظر إلیه وکان بشهوة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النظر إلی فرج المملوکة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الأحوط مطلق اللَمس والنظر إلی ما لا یحلّ لغیر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علی الأحوط، إن کان المنظور ما یحرم النظر إلیه لغیر المالک بالزمام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لم یکونا بشهوةٍ علی الأحوط، إلّا إذا کان النظر إلی ما لا یحرم لغیرالمالک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وتلاحظ المسألة الثامنة والثلاثون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إیجاب أحد الأمرَین للحرمة من دون تجریدها ومن دون تقبیلها محلّ نظر، لکنّهالأحوط، ولو جرّدها ومسّها من دون الشهوة فالأحوط أیضاً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النظر إلی ما لا یبدو غالباً من الجواری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یأتی الکلام فیه فی المسألة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تحرم المحلّلة لأحدهما علی الآخر إذا لم تکن</w:t>
      </w:r>
      <w:bookmarkStart w:id="568" w:name="pg13286_153939"/>
    </w:p>
    <w:p>
      <w:pPr>
        <w:pStyle w:val="BookText"/>
        <w:rPr/>
      </w:pPr>
      <w:bookmarkEnd w:id="568"/>
      <w:r>
        <w:rPr>
          <w:rFonts w:ascii="Amiri" w:hAnsi="Amiri" w:eastAsia="Amiri" w:cs="Amiri"/>
          <w:color w:val="111111"/>
          <w:sz w:val="28"/>
          <w:sz w:val="28"/>
          <w:szCs w:val="28"/>
          <w:rtl w:val="true"/>
          <w:lang w:bidi="ar-SA"/>
        </w:rPr>
        <w:t>مدخولة</w:t>
      </w:r>
      <w:r>
        <w:rPr>
          <w:rStyle w:val="FootnoteAnchor"/>
          <w:rtl w:val="true"/>
        </w:rPr>
        <w:footnoteReference w:id="10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وملموسة ومنظورة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منظورة ولا ملموسة علی الأحوط، 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للمحلّلة حکم المملوکة، فتحرم علی الأب والابن مع الدخول ومعاللمس أو النظر بشهوة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بحکم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2138828_2322387425"/>
      <w:bookmarkStart w:id="570" w:name="_Toc207"/>
      <w:bookmarkEnd w:id="569"/>
      <w:r>
        <w:rPr>
          <w:rtl w:val="true"/>
        </w:rPr>
        <w:t>حرمة اُمّ الزوجة علی الزوج</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تحرم علی الزوج اُمّ الزوجة وإن علت، نسباً أو رضاعاً مطلقاً،</w:t>
      </w:r>
    </w:p>
    <w:p>
      <w:pPr>
        <w:pStyle w:val="Heading4"/>
        <w:numPr>
          <w:ilvl w:val="3"/>
          <w:numId w:val="1"/>
        </w:numPr>
        <w:rPr/>
      </w:pPr>
      <w:bookmarkStart w:id="571" w:name="__RefHeading___Toc2138830_2322387425"/>
      <w:bookmarkStart w:id="572" w:name="_Toc208"/>
      <w:bookmarkEnd w:id="571"/>
      <w:r>
        <w:rPr>
          <w:rtl w:val="true"/>
        </w:rPr>
        <w:t>حرمة البنت علی الزوج الداخل باُمّها</w:t>
      </w:r>
      <w:bookmarkEnd w:id="572"/>
    </w:p>
    <w:p>
      <w:pPr>
        <w:pStyle w:val="BookText"/>
        <w:rPr/>
      </w:pPr>
      <w:r>
        <w:rPr>
          <w:rFonts w:ascii="IRNazanin" w:hAnsi="IRNazanin" w:eastAsia="IRNazanin"/>
          <w:color w:val="111111"/>
          <w:sz w:val="28"/>
          <w:sz w:val="28"/>
          <w:szCs w:val="28"/>
          <w:rtl w:val="true"/>
          <w:lang w:bidi="fa-IR"/>
        </w:rPr>
        <w:t>وکذا بنتها وإن نزلت بشرط الدخول</w:t>
      </w:r>
      <w:r>
        <w:rPr>
          <w:rStyle w:val="FootnoteAnchor"/>
          <w:rtl w:val="true"/>
        </w:rPr>
        <w:footnoteReference w:id="1012"/>
      </w:r>
      <w:r>
        <w:rPr>
          <w:rFonts w:ascii="IRNazanin" w:hAnsi="IRNazanin" w:eastAsia="IRNazanin"/>
          <w:color w:val="111111"/>
          <w:sz w:val="28"/>
          <w:sz w:val="28"/>
          <w:szCs w:val="28"/>
          <w:rtl w:val="true"/>
          <w:lang w:bidi="fa-IR"/>
        </w:rPr>
        <w:t> بالاُمّ، سواء کانت فی حُجره أم لا، وإن کان تولّدها بعد خروج الاُمّ عن زوجیّته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تحرم اُمّ المملوکة الموطوءة علی الواطئ وإن علت مطلقاً، وبنتها</w:t>
      </w:r>
      <w:r>
        <w:rPr>
          <w:rFonts w:eastAsia="IRNazanin" w:cs="IRNazanin"/>
          <w:color w:val="111111"/>
          <w:sz w:val="28"/>
          <w:szCs w:val="28"/>
          <w:rtl w:val="true"/>
          <w:lang w:bidi="fa-IR"/>
        </w:rPr>
        <w:t>.</w:t>
      </w:r>
    </w:p>
    <w:p>
      <w:pPr>
        <w:pStyle w:val="Heading4"/>
        <w:numPr>
          <w:ilvl w:val="3"/>
          <w:numId w:val="1"/>
        </w:numPr>
        <w:rPr/>
      </w:pPr>
      <w:bookmarkStart w:id="573" w:name="__RefHeading___Toc2138832_2322387425"/>
      <w:bookmarkStart w:id="574" w:name="_Toc209"/>
      <w:bookmarkEnd w:id="573"/>
      <w:r>
        <w:rPr>
          <w:rtl w:val="true"/>
        </w:rPr>
        <w:t>تحدید الدخول المحرّم</w:t>
      </w:r>
      <w:bookmarkEnd w:id="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الدخول بین القُبُل والدُبُر، وتکفی الحشفة أو مقدارها</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صدق الدخول بأقلّ من ذلک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صدق عنوان الوطء والدخول وأمثالهما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الاکتفاء بالمسمّی فی المقطوع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3286_153940"/>
    </w:p>
    <w:p>
      <w:pPr>
        <w:pStyle w:val="BookText"/>
        <w:rPr/>
      </w:pPr>
      <w:bookmarkEnd w:id="575"/>
      <w:r>
        <w:rPr>
          <w:rFonts w:ascii="IRNazanin" w:hAnsi="IRNazanin" w:eastAsia="IRNazanin"/>
          <w:color w:val="111111"/>
          <w:sz w:val="28"/>
          <w:sz w:val="28"/>
          <w:szCs w:val="28"/>
          <w:rtl w:val="true"/>
          <w:lang w:bidi="fa-IR"/>
        </w:rPr>
        <w:t>ولا یکفی الإنزال علی فرجها من غیر دخولٍ وإن حبلت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فرق بین أن یکون فی حال الیقظة أو النوم، اختیاراً أو جبراً منه أو منها</w:t>
      </w:r>
      <w:r>
        <w:rPr>
          <w:rFonts w:eastAsia="IRNazanin" w:cs="IRNazanin"/>
          <w:color w:val="111111"/>
          <w:sz w:val="28"/>
          <w:szCs w:val="28"/>
          <w:rtl w:val="true"/>
          <w:lang w:bidi="fa-IR"/>
        </w:rPr>
        <w:t>.</w:t>
      </w:r>
    </w:p>
    <w:p>
      <w:pPr>
        <w:pStyle w:val="Heading4"/>
        <w:numPr>
          <w:ilvl w:val="3"/>
          <w:numId w:val="1"/>
        </w:numPr>
        <w:rPr/>
      </w:pPr>
      <w:bookmarkStart w:id="576" w:name="__RefHeading___Toc2138834_2322387425"/>
      <w:bookmarkStart w:id="577" w:name="_Toc210"/>
      <w:bookmarkEnd w:id="576"/>
      <w:r>
        <w:rPr>
          <w:rtl w:val="true"/>
        </w:rPr>
        <w:t>وطء الأب والابن مملوکة الآخر</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لکلٍّ من الأب والابن وطء مملوکة الآخر من غیر عقدٍ ولا تحلیلٍ وإن لم تکن مدخولة له، وإلّا کان زانیاً</w:t>
      </w:r>
      <w:r>
        <w:rPr>
          <w:rFonts w:eastAsia="IRNazanin" w:cs="IRNazanin"/>
          <w:color w:val="111111"/>
          <w:sz w:val="28"/>
          <w:szCs w:val="28"/>
          <w:rtl w:val="true"/>
          <w:lang w:bidi="fa-IR"/>
        </w:rPr>
        <w:t>.</w:t>
      </w:r>
    </w:p>
    <w:p>
      <w:pPr>
        <w:pStyle w:val="Heading4"/>
        <w:numPr>
          <w:ilvl w:val="3"/>
          <w:numId w:val="1"/>
        </w:numPr>
        <w:rPr/>
      </w:pPr>
      <w:bookmarkStart w:id="578" w:name="__RefHeading___Toc2138836_2322387425"/>
      <w:bookmarkStart w:id="579" w:name="_Toc211"/>
      <w:bookmarkEnd w:id="578"/>
      <w:r>
        <w:rPr>
          <w:rtl w:val="true"/>
        </w:rPr>
        <w:t>جواز وطء الأب مملوکة ابنه الصغیر</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للأب أن یقوِّم مملوکة ابنه الصغیر علی نفسه ووطوها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إلحاق الجَدّ بالأب والبنت بالابن</w:t>
      </w:r>
      <w:r>
        <w:rPr>
          <w:rStyle w:val="FootnoteAnchor"/>
          <w:rtl w:val="true"/>
        </w:rPr>
        <w:footnoteReference w:id="1015"/>
      </w:r>
      <w:r>
        <w:rPr>
          <w:rFonts w:ascii="IRNazanin" w:hAnsi="IRNazanin" w:eastAsia="IRNazanin"/>
          <w:color w:val="111111"/>
          <w:sz w:val="28"/>
          <w:sz w:val="28"/>
          <w:szCs w:val="28"/>
          <w:rtl w:val="true"/>
          <w:lang w:bidi="fa-IR"/>
        </w:rPr>
        <w:t>، وإن کان الأحوط</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بالنسبة إلی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وفی 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فی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     .     .     .     .     .     .     .     .</w:t>
      </w:r>
      <w:bookmarkStart w:id="580" w:name="pg13286_153941"/>
    </w:p>
    <w:p>
      <w:pPr>
        <w:pStyle w:val="BookText"/>
        <w:rPr/>
      </w:pPr>
      <w:bookmarkEnd w:id="580"/>
      <w:r>
        <w:rPr>
          <w:rFonts w:ascii="IRNazanin" w:hAnsi="IRNazanin" w:eastAsia="IRNazanin"/>
          <w:color w:val="111111"/>
          <w:sz w:val="28"/>
          <w:sz w:val="28"/>
          <w:szCs w:val="28"/>
          <w:rtl w:val="true"/>
          <w:lang w:bidi="fa-IR"/>
        </w:rPr>
        <w:t>إجراء</w:t>
      </w:r>
      <w:r>
        <w:rPr>
          <w:rStyle w:val="FootnoteAnchor"/>
          <w:rtl w:val="true"/>
        </w:rPr>
        <w:footnoteReference w:id="1017"/>
      </w:r>
      <w:r>
        <w:rPr>
          <w:rFonts w:ascii="IRNazanin" w:hAnsi="IRNazanin" w:eastAsia="IRNazanin"/>
          <w:color w:val="111111"/>
          <w:sz w:val="28"/>
          <w:sz w:val="28"/>
          <w:szCs w:val="28"/>
          <w:rtl w:val="true"/>
          <w:lang w:bidi="fa-IR"/>
        </w:rPr>
        <w:t> صیغة</w:t>
      </w:r>
      <w:r>
        <w:rPr>
          <w:rStyle w:val="FootnoteAnchor"/>
          <w:rtl w:val="true"/>
        </w:rPr>
        <w:footnoteReference w:id="1018"/>
      </w:r>
      <w:r>
        <w:rPr>
          <w:rFonts w:ascii="IRNazanin" w:hAnsi="IRNazanin" w:eastAsia="IRNazanin"/>
          <w:color w:val="111111"/>
          <w:sz w:val="28"/>
          <w:sz w:val="28"/>
          <w:szCs w:val="28"/>
          <w:rtl w:val="true"/>
          <w:lang w:bidi="fa-IR"/>
        </w:rPr>
        <w:t> البیع</w:t>
      </w:r>
      <w:r>
        <w:rPr>
          <w:rStyle w:val="FootnoteAnchor"/>
          <w:rtl w:val="true"/>
        </w:rPr>
        <w:footnoteReference w:id="1019"/>
      </w:r>
      <w:r>
        <w:rPr>
          <w:rFonts w:ascii="IRNazanin" w:hAnsi="IRNazanin" w:eastAsia="IRNazanin"/>
          <w:color w:val="111111"/>
          <w:sz w:val="28"/>
          <w:sz w:val="28"/>
          <w:szCs w:val="28"/>
          <w:rtl w:val="true"/>
          <w:lang w:bidi="fa-IR"/>
        </w:rPr>
        <w:t> أو نحوه وإن کان أحوط</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ما قبله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 وجه،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یعتبر کونه مصلحةً</w:t>
      </w:r>
      <w:r>
        <w:rPr>
          <w:rStyle w:val="FootnoteAnchor"/>
          <w:rtl w:val="true"/>
        </w:rPr>
        <w:footnoteReference w:id="1021"/>
      </w:r>
      <w:r>
        <w:rPr>
          <w:rFonts w:ascii="IRNazanin" w:hAnsi="IRNazanin" w:eastAsia="IRNazanin"/>
          <w:color w:val="111111"/>
          <w:sz w:val="28"/>
          <w:sz w:val="28"/>
          <w:szCs w:val="28"/>
          <w:rtl w:val="true"/>
          <w:lang w:bidi="fa-IR"/>
        </w:rPr>
        <w:t> للصبیّ، نعم، یعتبر عدم المفسدة</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یعتبر الملاءة</w:t>
      </w:r>
      <w:r>
        <w:rPr>
          <w:rStyle w:val="FootnoteAnchor"/>
          <w:rtl w:val="true"/>
        </w:rPr>
        <w:footnoteReference w:id="1023"/>
      </w:r>
      <w:r>
        <w:rPr>
          <w:rFonts w:ascii="IRNazanin" w:hAnsi="IRNazanin" w:eastAsia="IRNazanin"/>
          <w:color w:val="111111"/>
          <w:sz w:val="28"/>
          <w:sz w:val="28"/>
          <w:szCs w:val="28"/>
          <w:rtl w:val="true"/>
          <w:lang w:bidi="fa-IR"/>
        </w:rPr>
        <w:t> فی الأب وإن کان أحوط</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1" w:name="__RefHeading___Toc2138838_2322387425"/>
      <w:bookmarkStart w:id="582" w:name="_Toc212"/>
      <w:bookmarkEnd w:id="581"/>
      <w:r>
        <w:rPr>
          <w:rtl w:val="true"/>
        </w:rPr>
        <w:t>حکم ما لو زنی الأب أو الابن بمملوکة الآخر</w:t>
      </w:r>
      <w:bookmarkEnd w:id="58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الابن بمملوکة الأب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زنی الأب </w:t>
      </w:r>
      <w:bookmarkStart w:id="583" w:name="pg13286_153942"/>
    </w:p>
    <w:p>
      <w:pPr>
        <w:pStyle w:val="BookText"/>
        <w:rPr/>
      </w:pPr>
      <w:bookmarkEnd w:id="583"/>
      <w:r>
        <w:rPr>
          <w:rFonts w:ascii="IRNazanin" w:hAnsi="IRNazanin" w:eastAsia="IRNazanin"/>
          <w:color w:val="111111"/>
          <w:sz w:val="28"/>
          <w:sz w:val="28"/>
          <w:szCs w:val="28"/>
          <w:rtl w:val="true"/>
          <w:lang w:bidi="fa-IR"/>
        </w:rPr>
        <w:t>بمملوکة الابن فالمشهور</w:t>
      </w:r>
      <w:r>
        <w:rPr>
          <w:rStyle w:val="FootnoteAnchor"/>
          <w:rtl w:val="true"/>
        </w:rPr>
        <w:footnoteReference w:id="1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الحدّ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یومئ إلیه فی الجواهر، 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29/355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ما علیه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علی دلیلٍ علی 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ثبوت الحدّ علیه، ویظهر من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 xml:space="preserve">: </w:t>
      </w:r>
      <w:r>
        <w:rPr>
          <w:rFonts w:eastAsia="IRNazanin" w:cs="IRNazanin"/>
          <w:color w:val="111111"/>
          <w:sz w:val="28"/>
          <w:szCs w:val="28"/>
          <w:lang w:bidi="fa-IR"/>
        </w:rPr>
        <w:t>14/530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الرابعة من حدّالسارق المفروغیّة عن ترتّب حدّ الزانی علی الأب لو زنی بجاریة الابن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2138840_2322387425"/>
      <w:bookmarkStart w:id="585" w:name="_Toc213"/>
      <w:bookmarkEnd w:id="584"/>
      <w:r>
        <w:rPr>
          <w:rtl w:val="true"/>
        </w:rPr>
        <w:t>حکم وطء الأب أو الابن مملوکة الآخر شبهة</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وطئ أحدهما مملوکة الآخر شبهةً لم یُحَدّ، ولکن علیه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حبلت فإن کان الواطئ هو الابن عتق الولد</w:t>
      </w:r>
      <w:r>
        <w:rPr>
          <w:rStyle w:val="FootnoteAnchor"/>
          <w:rtl w:val="true"/>
        </w:rPr>
        <w:footnoteReference w:id="1026"/>
      </w:r>
      <w:r>
        <w:rPr>
          <w:rFonts w:ascii="IRNazanin" w:hAnsi="IRNazanin" w:eastAsia="IRNazanin"/>
          <w:color w:val="111111"/>
          <w:sz w:val="28"/>
          <w:sz w:val="28"/>
          <w:szCs w:val="28"/>
          <w:rtl w:val="true"/>
          <w:lang w:bidi="fa-IR"/>
        </w:rPr>
        <w:t> قهراً مطلقاً، وإن کان الأب لم ینعتق</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الانعتاق، کما صرّح به فی المسألة الثامنة فی فصل نکاح العبید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یکون حرّاً، کما سیأتی فی المسألة الثامنة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العبید والإماء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الولد یلحق بأشرف الأبوین، ولا ینافی ذلک أنّ علی الأب ضمان قیمة الولد یومیولد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إلّا إذا کان     </w:t>
      </w:r>
      <w:r>
        <w:rPr>
          <w:rFonts w:eastAsia="IRNazanin" w:cs="IRNazanin"/>
          <w:color w:val="111111"/>
          <w:sz w:val="28"/>
          <w:szCs w:val="28"/>
          <w:rtl w:val="true"/>
          <w:lang w:bidi="fa-IR"/>
        </w:rPr>
        <w:t>.     .     .     .     .     .     .</w:t>
      </w:r>
      <w:bookmarkStart w:id="586" w:name="pg13286_153943"/>
    </w:p>
    <w:p>
      <w:pPr>
        <w:pStyle w:val="BookText"/>
        <w:rPr/>
      </w:pPr>
      <w:bookmarkEnd w:id="586"/>
      <w:r>
        <w:rPr>
          <w:rFonts w:ascii="Amiri" w:hAnsi="Amiri" w:eastAsia="Amiri" w:cs="Amiri"/>
          <w:color w:val="111111"/>
          <w:sz w:val="28"/>
          <w:sz w:val="28"/>
          <w:szCs w:val="28"/>
          <w:rtl w:val="true"/>
          <w:lang w:bidi="ar-SA"/>
        </w:rPr>
        <w:t>اُنثی</w:t>
      </w:r>
      <w:r>
        <w:rPr>
          <w:rStyle w:val="FootnoteAnchor"/>
          <w:rtl w:val="true"/>
        </w:rPr>
        <w:footnoteReference w:id="10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لأنّها حینئذٍ من المحارم، ولا یملک الشخص محارمه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فکّه إن کان ذکراً</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2138842_2322387425"/>
      <w:bookmarkStart w:id="588" w:name="_Toc214"/>
      <w:bookmarkEnd w:id="587"/>
      <w:r>
        <w:rPr>
          <w:rtl w:val="true"/>
        </w:rPr>
        <w:t>نکاح المرأة علی عمّتها أو خالتها وبالعکس</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نکاح بنت الأخ</w:t>
      </w:r>
      <w:r>
        <w:rPr>
          <w:rStyle w:val="FootnoteAnchor"/>
          <w:rtl w:val="true"/>
        </w:rPr>
        <w:footnoteReference w:id="1029"/>
      </w:r>
      <w:r>
        <w:rPr>
          <w:rFonts w:ascii="Amiri" w:hAnsi="Amiri" w:eastAsia="Amiri" w:cs="Amiri"/>
          <w:color w:val="111111"/>
          <w:sz w:val="28"/>
          <w:sz w:val="28"/>
          <w:szCs w:val="28"/>
          <w:rtl w:val="true"/>
          <w:lang w:bidi="ar-SA"/>
        </w:rPr>
        <w:t> أو الاُخت علی العمّة</w:t>
      </w:r>
      <w:r>
        <w:rPr>
          <w:rStyle w:val="FootnoteAnchor"/>
          <w:rtl w:val="true"/>
        </w:rPr>
        <w:footnoteReference w:id="1030"/>
      </w:r>
      <w:r>
        <w:rPr>
          <w:rFonts w:ascii="IRNazanin" w:hAnsi="IRNazanin" w:eastAsia="IRNazanin"/>
          <w:color w:val="111111"/>
          <w:sz w:val="28"/>
          <w:sz w:val="28"/>
          <w:szCs w:val="28"/>
          <w:rtl w:val="true"/>
          <w:lang w:bidi="fa-IR"/>
        </w:rPr>
        <w:t> والخالة إلّا بإذنهما، من غیر فرقٍ بین الدوام والانقطاع، ولا بین علم العمّة والخالة وجهلهما، ویجوز العکس وإن کانت العمّة والخالة جاهلتَین</w:t>
      </w:r>
      <w:r>
        <w:rPr>
          <w:rStyle w:val="FootnoteAnchor"/>
          <w:rtl w:val="true"/>
        </w:rPr>
        <w:footnoteReference w:id="1031"/>
      </w:r>
      <w:r>
        <w:rPr>
          <w:rFonts w:ascii="IRNazanin" w:hAnsi="IRNazanin" w:eastAsia="IRNazanin"/>
          <w:color w:val="111111"/>
          <w:sz w:val="28"/>
          <w:sz w:val="28"/>
          <w:szCs w:val="28"/>
          <w:rtl w:val="true"/>
          <w:lang w:bidi="fa-IR"/>
        </w:rPr>
        <w:t> بالحال علی الأقوی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2138844_2322387425"/>
      <w:bookmarkStart w:id="590" w:name="_Toc215"/>
      <w:bookmarkEnd w:id="589"/>
      <w:r>
        <w:rPr>
          <w:rtl w:val="true"/>
        </w:rPr>
        <w:t>شمول الحکم لمطلق العمّة والخالة بلا فرق ولا استثناء حال</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عدم الفرق بین الصغیرتَین</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کفایة إجازة الولیّین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إجازة الولیّ فی العمّة والخالة الصغیرتَین إشکال، فالأحوط ترک العقدولو مع إجازة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والکبیرتَین</w:t>
      </w:r>
      <w:bookmarkStart w:id="591" w:name="pg13286_153944"/>
    </w:p>
    <w:p>
      <w:pPr>
        <w:pStyle w:val="BookText"/>
        <w:rPr/>
      </w:pPr>
      <w:bookmarkEnd w:id="591"/>
      <w:r>
        <w:rPr>
          <w:rFonts w:ascii="IRNazanin" w:hAnsi="IRNazanin" w:eastAsia="IRNazanin"/>
          <w:color w:val="111111"/>
          <w:sz w:val="28"/>
          <w:sz w:val="28"/>
          <w:szCs w:val="28"/>
          <w:rtl w:val="true"/>
          <w:lang w:bidi="fa-IR"/>
        </w:rPr>
        <w:t>والمختلفتَین</w:t>
      </w:r>
      <w:r>
        <w:rPr>
          <w:rStyle w:val="FootnoteAnchor"/>
          <w:rtl w:val="true"/>
        </w:rPr>
        <w:footnoteReference w:id="1034"/>
      </w:r>
      <w:r>
        <w:rPr>
          <w:rFonts w:ascii="IRNazanin" w:hAnsi="IRNazanin" w:eastAsia="IRNazanin"/>
          <w:color w:val="111111"/>
          <w:sz w:val="28"/>
          <w:sz w:val="28"/>
          <w:szCs w:val="28"/>
          <w:rtl w:val="true"/>
          <w:lang w:bidi="fa-IR"/>
        </w:rPr>
        <w:t>، ولا بین اطّلاع العمّة والخالة علی ذلک، وعدم اطّلاعهما أبداً، ولا بین کون مدّة الانقطاع قصیرةً ولو ساعة أو طویلة، علی إشکال</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بعد إطلاق الأخبار وعدم الموجب للانصراف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 والانصراف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الصورة؛ لإمکان 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الانصراف 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الانصراف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انصراف بدویّ لا یضرّ بالإطلاق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2138846_2322387425"/>
      <w:bookmarkStart w:id="593" w:name="_Toc216"/>
      <w:bookmarkEnd w:id="592"/>
      <w:r>
        <w:rPr>
          <w:rtl w:val="true"/>
        </w:rPr>
        <w:t>اقتران العقدین علی العمّة وبنت أخیها أو الخالة وبنت اُختها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10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منشأ لذلک الاستظهار، نعم، هذا الحکم مطابق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خلافه، ومقتضی القاعدة صحّة العقد؛ لعدم تحقّق عنوان الموضوعللحرمة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ظاهر الدلیل الاختصاص بصورة السَبق، وخروج صورة 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bookmarkStart w:id="594" w:name="pg13286_153945"/>
    </w:p>
    <w:p>
      <w:pPr>
        <w:pStyle w:val="BookText"/>
        <w:rPr/>
      </w:pPr>
      <w:bookmarkEnd w:id="594"/>
      <w:r>
        <w:rPr>
          <w:rFonts w:ascii="Amiri" w:hAnsi="Amiri" w:eastAsia="Amiri" w:cs="Amiri"/>
          <w:color w:val="111111"/>
          <w:sz w:val="28"/>
          <w:sz w:val="28"/>
          <w:szCs w:val="28"/>
          <w:rtl w:val="true"/>
          <w:lang w:bidi="ar-SA"/>
        </w:rPr>
        <w:t>أنّ</w:t>
      </w:r>
      <w:r>
        <w:rPr>
          <w:rStyle w:val="FootnoteAnchor"/>
          <w:rtl w:val="true"/>
        </w:rPr>
        <w:footnoteReference w:id="10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سبق العمّة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لحوقهما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2138848_2322387425"/>
      <w:bookmarkStart w:id="596" w:name="_Toc217"/>
      <w:bookmarkEnd w:id="595"/>
      <w:r>
        <w:rPr>
          <w:rtl w:val="true"/>
        </w:rPr>
        <w:t>عدم الفرق فی العمّة والخالة مسلمتین وغیرهما وبین الدنیا والعلیا منهما</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المسلمتَین والکافرتَین والمختلفتَین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العمّة والخالة بین الدُنیا منهما والعُلیا</w:t>
      </w:r>
      <w:r>
        <w:rPr>
          <w:rFonts w:eastAsia="IRNazanin" w:cs="IRNazanin"/>
          <w:color w:val="111111"/>
          <w:sz w:val="28"/>
          <w:szCs w:val="28"/>
          <w:rtl w:val="true"/>
          <w:lang w:bidi="fa-IR"/>
        </w:rPr>
        <w:t xml:space="preserve">. </w:t>
      </w:r>
      <w:bookmarkStart w:id="597" w:name="pg13286_153946"/>
    </w:p>
    <w:p>
      <w:pPr>
        <w:pStyle w:val="Heading4"/>
        <w:numPr>
          <w:ilvl w:val="3"/>
          <w:numId w:val="1"/>
        </w:numPr>
        <w:rPr/>
      </w:pPr>
      <w:bookmarkStart w:id="598" w:name="__RefHeading___Toc2138850_2322387425"/>
      <w:bookmarkStart w:id="599" w:name="_Toc218"/>
      <w:bookmarkEnd w:id="597"/>
      <w:bookmarkEnd w:id="598"/>
      <w:r>
        <w:rPr>
          <w:rtl w:val="true"/>
        </w:rPr>
        <w:t>کفایة الرضا الباطنی</w:t>
      </w:r>
      <w:bookmarkEnd w:id="5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کفایة الرضا الباطنیّ منهما من دون إظهاره</w:t>
      </w:r>
      <w:r>
        <w:rPr>
          <w:rStyle w:val="FootnoteAnchor"/>
          <w:rtl w:val="true"/>
        </w:rPr>
        <w:footnoteReference w:id="1038"/>
      </w:r>
      <w:r>
        <w:rPr>
          <w:rFonts w:ascii="IRNazanin" w:hAnsi="IRNazanin" w:eastAsia="IRNazanin"/>
          <w:color w:val="111111"/>
          <w:sz w:val="28"/>
          <w:sz w:val="28"/>
          <w:szCs w:val="28"/>
          <w:rtl w:val="true"/>
          <w:lang w:bidi="fa-IR"/>
        </w:rPr>
        <w:t>وعدمها</w:t>
      </w:r>
      <w:r>
        <w:rPr>
          <w:rStyle w:val="FootnoteAnchor"/>
          <w:rtl w:val="true"/>
        </w:rPr>
        <w:footnoteReference w:id="1039"/>
      </w:r>
      <w:r>
        <w:rPr>
          <w:rFonts w:ascii="IRNazanin" w:hAnsi="IRNazanin" w:eastAsia="IRNazanin"/>
          <w:color w:val="111111"/>
          <w:sz w:val="28"/>
          <w:sz w:val="28"/>
          <w:szCs w:val="28"/>
          <w:rtl w:val="true"/>
          <w:lang w:bidi="fa-IR"/>
        </w:rPr>
        <w:t>، وکون اللازم إظهاره بالإذن قولاً أو فعلاً وجهان</w:t>
      </w:r>
      <w:r>
        <w:rPr>
          <w:rStyle w:val="FootnoteAnchor"/>
          <w:rtl w:val="true"/>
        </w:rPr>
        <w:footnoteReference w:id="10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 لظهور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ونحوها،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 مع العلم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أحوطهما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هو کفایة الرضا الباطنیّ منهما، من دون الاحتیاج إلی الإذن قولاً 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إنشاء الإذن قولاً أو فعلاً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 فی صورة العلم بالرضا، وأحوطهما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2138852_2322387425"/>
      <w:bookmarkStart w:id="601" w:name="_Toc219"/>
      <w:bookmarkEnd w:id="600"/>
      <w:r>
        <w:rPr>
          <w:rtl w:val="true"/>
        </w:rPr>
        <w:t>عدم کفایة الإذن السابق فی التزویج</w:t>
      </w:r>
      <w:bookmarkEnd w:id="6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أذِنت ثمّ رجعت ولم یبلُغْهُ الخبر فتزوّج لم یکفِهِ </w:t>
      </w:r>
      <w:bookmarkStart w:id="602" w:name="pg13286_153947"/>
    </w:p>
    <w:p>
      <w:pPr>
        <w:pStyle w:val="BookText"/>
        <w:rPr/>
      </w:pPr>
      <w:bookmarkEnd w:id="602"/>
      <w:r>
        <w:rPr>
          <w:rFonts w:ascii="IRNazanin" w:hAnsi="IRNazanin" w:eastAsia="IRNazanin"/>
          <w:color w:val="111111"/>
          <w:sz w:val="28"/>
          <w:sz w:val="28"/>
          <w:szCs w:val="28"/>
          <w:rtl w:val="true"/>
          <w:lang w:bidi="fa-IR"/>
        </w:rPr>
        <w:t>الإذن السابق</w:t>
      </w:r>
      <w:r>
        <w:rPr>
          <w:rFonts w:eastAsia="IRNazanin" w:cs="IRNazanin"/>
          <w:color w:val="111111"/>
          <w:sz w:val="28"/>
          <w:szCs w:val="28"/>
          <w:rtl w:val="true"/>
          <w:lang w:bidi="fa-IR"/>
        </w:rPr>
        <w:t>.</w:t>
      </w:r>
    </w:p>
    <w:p>
      <w:pPr>
        <w:pStyle w:val="Heading4"/>
        <w:numPr>
          <w:ilvl w:val="3"/>
          <w:numId w:val="1"/>
        </w:numPr>
        <w:rPr/>
      </w:pPr>
      <w:bookmarkStart w:id="603" w:name="__RefHeading___Toc2138854_2322387425"/>
      <w:bookmarkStart w:id="604" w:name="_Toc220"/>
      <w:bookmarkEnd w:id="603"/>
      <w:r>
        <w:rPr>
          <w:rtl w:val="true"/>
        </w:rPr>
        <w:t>الرجوع عن الإذن بعد العقد</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رجعت عن الإذن بعد العقد لم یوثّر</w:t>
      </w:r>
      <w:r>
        <w:rPr>
          <w:rStyle w:val="FootnoteAnchor"/>
          <w:rtl w:val="true"/>
        </w:rPr>
        <w:footnoteReference w:id="1041"/>
      </w:r>
      <w:r>
        <w:rPr>
          <w:rFonts w:ascii="IRNazanin" w:hAnsi="IRNazanin" w:eastAsia="IRNazanin"/>
          <w:color w:val="111111"/>
          <w:sz w:val="28"/>
          <w:sz w:val="28"/>
          <w:szCs w:val="28"/>
          <w:rtl w:val="true"/>
          <w:lang w:bidi="fa-IR"/>
        </w:rPr>
        <w:t> فی البطلان</w:t>
      </w:r>
      <w:r>
        <w:rPr>
          <w:rFonts w:eastAsia="IRNazanin" w:cs="IRNazanin"/>
          <w:color w:val="111111"/>
          <w:sz w:val="28"/>
          <w:szCs w:val="28"/>
          <w:rtl w:val="true"/>
          <w:lang w:bidi="fa-IR"/>
        </w:rPr>
        <w:t>.</w:t>
      </w:r>
    </w:p>
    <w:p>
      <w:pPr>
        <w:pStyle w:val="Heading4"/>
        <w:numPr>
          <w:ilvl w:val="3"/>
          <w:numId w:val="1"/>
        </w:numPr>
        <w:rPr/>
      </w:pPr>
      <w:bookmarkStart w:id="605" w:name="__RefHeading___Toc2138856_2322387425"/>
      <w:bookmarkStart w:id="606" w:name="_Toc221"/>
      <w:bookmarkEnd w:id="605"/>
      <w:r>
        <w:rPr>
          <w:rtl w:val="true"/>
        </w:rPr>
        <w:t>کفایة الإذن وإن کان عن غرور</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کفایة إذنهما وإن کان عن غرور، بأن وعدها أن یُعطیها شیئاً فرضیت ثمّ لم یفِ</w:t>
      </w:r>
      <w:r>
        <w:rPr>
          <w:rStyle w:val="FootnoteAnchor"/>
          <w:rtl w:val="true"/>
        </w:rPr>
        <w:footnoteReference w:id="1042"/>
      </w:r>
      <w:r>
        <w:rPr>
          <w:rFonts w:ascii="IRNazanin" w:hAnsi="IRNazanin" w:eastAsia="IRNazanin"/>
          <w:color w:val="111111"/>
          <w:sz w:val="28"/>
          <w:sz w:val="28"/>
          <w:szCs w:val="28"/>
          <w:rtl w:val="true"/>
          <w:lang w:bidi="fa-IR"/>
        </w:rPr>
        <w:t> بوعده، سواء کان بانیاً علی الوفاء حین العقد</w:t>
      </w:r>
      <w:r>
        <w:rPr>
          <w:rStyle w:val="FootnoteAnchor"/>
          <w:rtl w:val="true"/>
        </w:rPr>
        <w:footnoteReference w:id="1043"/>
      </w:r>
      <w:r>
        <w:rPr>
          <w:rFonts w:ascii="IRNazanin" w:hAnsi="IRNazanin" w:eastAsia="IRNazanin"/>
          <w:color w:val="111111"/>
          <w:sz w:val="28"/>
          <w:sz w:val="28"/>
          <w:szCs w:val="28"/>
          <w:rtl w:val="true"/>
          <w:lang w:bidi="fa-IR"/>
        </w:rPr>
        <w:t> أم لا</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العزم علی عدم الوفاء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عازماً علی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لو قیّدت الإذن بإعطاء شیءٍ فتزوّج ثمّ لم یُعطِ کشف عن بطلان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والعقد، وإن کان حین العقد بانیاً علی العمل به</w:t>
      </w:r>
      <w:r>
        <w:rPr>
          <w:rFonts w:eastAsia="IRNazanin" w:cs="IRNazanin"/>
          <w:color w:val="111111"/>
          <w:sz w:val="28"/>
          <w:szCs w:val="28"/>
          <w:rtl w:val="true"/>
          <w:lang w:bidi="fa-IR"/>
        </w:rPr>
        <w:t>.</w:t>
      </w:r>
    </w:p>
    <w:p>
      <w:pPr>
        <w:pStyle w:val="Heading4"/>
        <w:numPr>
          <w:ilvl w:val="3"/>
          <w:numId w:val="1"/>
        </w:numPr>
        <w:rPr/>
      </w:pPr>
      <w:bookmarkStart w:id="607" w:name="__RefHeading___Toc2138858_2322387425"/>
      <w:bookmarkStart w:id="608" w:name="_Toc222"/>
      <w:bookmarkEnd w:id="607"/>
      <w:r>
        <w:rPr>
          <w:rtl w:val="true"/>
        </w:rPr>
        <w:t>اعتبار إذنهما من باب الحکم الشرعی</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w:t>
      </w:r>
      <w:r>
        <w:rPr>
          <w:rStyle w:val="FootnoteAnchor"/>
          <w:rtl w:val="true"/>
        </w:rPr>
        <w:footnoteReference w:id="1045"/>
      </w:r>
      <w:r>
        <w:rPr>
          <w:rFonts w:ascii="Amiri" w:hAnsi="Amiri" w:eastAsia="Amiri" w:cs="Amiri"/>
          <w:color w:val="111111"/>
          <w:sz w:val="28"/>
          <w:sz w:val="28"/>
          <w:szCs w:val="28"/>
          <w:rtl w:val="true"/>
          <w:lang w:bidi="ar-SA"/>
        </w:rPr>
        <w:t> أنّ اعتبار</w:t>
      </w:r>
      <w:r>
        <w:rPr>
          <w:rStyle w:val="FootnoteAnchor"/>
          <w:rtl w:val="true"/>
        </w:rPr>
        <w:footnoteReference w:id="10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 الحکم المذکور من قبیل الحقّ، وملاک جعله التشریف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إذنهما من باب الحکم</w:t>
      </w:r>
      <w:bookmarkStart w:id="609" w:name="pg13286_153948"/>
    </w:p>
    <w:p>
      <w:pPr>
        <w:pStyle w:val="BookText"/>
        <w:rPr/>
      </w:pPr>
      <w:bookmarkEnd w:id="609"/>
      <w:r>
        <w:rPr>
          <w:rFonts w:ascii="Amiri" w:hAnsi="Amiri" w:eastAsia="Amiri" w:cs="Amiri"/>
          <w:color w:val="111111"/>
          <w:sz w:val="28"/>
          <w:sz w:val="28"/>
          <w:szCs w:val="28"/>
          <w:rtl w:val="true"/>
          <w:lang w:bidi="ar-SA"/>
        </w:rPr>
        <w:t>الشرعیّ</w:t>
      </w:r>
      <w:r>
        <w:rPr>
          <w:rStyle w:val="FootnoteAnchor"/>
          <w:rtl w:val="true"/>
        </w:rPr>
        <w:footnoteReference w:id="1047"/>
      </w:r>
      <w:r>
        <w:rPr>
          <w:rFonts w:ascii="IRNazanin" w:hAnsi="IRNazanin" w:eastAsia="IRNazanin"/>
          <w:color w:val="111111"/>
          <w:sz w:val="28"/>
          <w:sz w:val="28"/>
          <w:szCs w:val="28"/>
          <w:rtl w:val="true"/>
          <w:lang w:bidi="fa-IR"/>
        </w:rPr>
        <w:t>، لا أن یکون لحقٍّ منهما، فلا یسقط</w:t>
      </w:r>
      <w:r>
        <w:rPr>
          <w:rStyle w:val="FootnoteAnchor"/>
          <w:rtl w:val="true"/>
        </w:rPr>
        <w:footnoteReference w:id="1048"/>
      </w:r>
      <w:r>
        <w:rPr>
          <w:rFonts w:ascii="IRNazanin" w:hAnsi="IRNazanin" w:eastAsia="IRNazanin"/>
          <w:color w:val="111111"/>
          <w:sz w:val="28"/>
          <w:sz w:val="28"/>
          <w:szCs w:val="28"/>
          <w:rtl w:val="true"/>
          <w:lang w:bidi="fa-IR"/>
        </w:rPr>
        <w:t> بالإسقاط</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2138860_2322387425"/>
      <w:bookmarkStart w:id="611" w:name="_Toc223"/>
      <w:bookmarkEnd w:id="610"/>
      <w:r>
        <w:rPr>
          <w:rtl w:val="true"/>
        </w:rPr>
        <w:t>الاشتراط علی العمّة أو الخالة الإذن فی تزویج بنت الأخ أو الاُخت</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w:t>
      </w:r>
      <w:r>
        <w:rPr>
          <w:rStyle w:val="FootnoteAnchor"/>
          <w:rtl w:val="true"/>
        </w:rPr>
        <w:footnoteReference w:id="1050"/>
      </w:r>
      <w:r>
        <w:rPr>
          <w:rFonts w:ascii="IRNazanin" w:hAnsi="IRNazanin" w:eastAsia="IRNazanin"/>
          <w:color w:val="111111"/>
          <w:sz w:val="28"/>
          <w:sz w:val="28"/>
          <w:szCs w:val="28"/>
          <w:rtl w:val="true"/>
          <w:lang w:bidi="fa-IR"/>
        </w:rPr>
        <w:t> فی عقد العمّة أو الخالة إذنهما فی تزویج بنت الأخ أو الاُخت، ثمّ لم تأذنا عصیاناً منهما فی العمل بالشرط لم یصحّ العقد علی إحدی البنتین، وهل له إجبارهما</w:t>
      </w:r>
      <w:r>
        <w:rPr>
          <w:rStyle w:val="FootnoteAnchor"/>
          <w:rtl w:val="true"/>
        </w:rPr>
        <w:footnoteReference w:id="10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مع الإجبار لا یتحقّق الإذن الکاشف عن الرضا الباطنی، والمعتبر هوالمکشوف فقط، أو مع ضمّ الکاشف القولیّ أو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الإذن؟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وجهان</w:t>
      </w:r>
      <w:r>
        <w:rPr>
          <w:rStyle w:val="FootnoteAnchor"/>
          <w:rtl w:val="true"/>
        </w:rPr>
        <w:footnoteReference w:id="1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دخل الرضا الباطنیّ بنحو الحکمیّة فی صحّة العقد لا یتصوّر فیهإجبارهماعلیه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الإذن لیس قابلاً للإجبار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الأوّل بعد کون الاشتراط مستلزماً لثبوت حقٍّ للمشروط له علیالمشروط علیه، ولکنّ الظاهر أنّ الإذن شرط من جهة کشفه عن الرضا، فحینئذٍ لاوجه للإجبار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جواز الإجبار، إلّا أنّه لا یجدی؛ فإنّ الموضوع لصحّة العقد علی بنتالأخ أو الاُخت رضا العمّة أو الخالة، وهو لا یتحقّق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المعتبر الإذن الکاشف عن الرضا کما هو الظاهر فلا یتحقّق بالإجبار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الأدلّة أنّه یعتبر الإذن الکاشف عن الرضا، ومثل هذا الإذن غیر قابلٍللإجبار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غیر بعیدٍ وإن کان الثانی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أنّ له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نعم،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إذا اشترط</w:t>
      </w:r>
      <w:r>
        <w:rPr>
          <w:rStyle w:val="FootnoteAnchor"/>
          <w:rtl w:val="true"/>
        </w:rPr>
        <w:footnoteReference w:id="10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فی ضمن عقدهما أن یکون له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ابنة الأخ أو  الاُخت 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رجع الشرط إلی سقوط إذنه فالظاهر بطلان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غایة الإشکال؛ فإنّ الشرط من قبیل الشرط المخالف للکتاب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مرجع الشرط إلی توکیلها الزوج فی الإذن، وأمّا لو کان مرجعه إلیکون الأمر بیده فلا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مرجع الشرط إلی سقوط اعتبار إذنهما فالظاهر فساده، وإن کان مرجعهإلی لزوم الإذن البعدیّ فیرجع إلی الصورة الاُولی، وإن کان مرجعه إلی الإذن الفعلیّحال العقد فهو معتبر ما لم یتحقّق الرجوع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وإن أظهرتا</w:t>
      </w:r>
      <w:r>
        <w:rPr>
          <w:rStyle w:val="FootnoteAnchor"/>
          <w:rtl w:val="true"/>
        </w:rPr>
        <w:footnoteReference w:id="10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الفساد؛ لأن هذا الشرط مخالف للکتاب لو کان مقیّداً بعدم إذنهما ورضاهما، أو کان مطلقاً بالنسبة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الکراهة کاشف عن عدم الرضا، والمعتبر هو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إن کانت قبل العقد علی بنت الأخ أو الاُخت، بل وبعده أیضاً، إلّا إذاکان بنحو 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bookmarkStart w:id="612" w:name="pg13286_153951"/>
    </w:p>
    <w:p>
      <w:pPr>
        <w:pStyle w:val="BookText"/>
        <w:rPr/>
      </w:pPr>
      <w:bookmarkEnd w:id="612"/>
      <w:r>
        <w:rPr>
          <w:rFonts w:ascii="IRNazanin" w:hAnsi="IRNazanin" w:eastAsia="IRNazanin"/>
          <w:color w:val="111111"/>
          <w:sz w:val="28"/>
          <w:sz w:val="28"/>
          <w:szCs w:val="28"/>
          <w:rtl w:val="true"/>
          <w:lang w:bidi="fa-IR"/>
        </w:rPr>
        <w:t>بعد هذا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2138862_2322387425"/>
      <w:bookmarkStart w:id="614" w:name="_Toc224"/>
      <w:bookmarkEnd w:id="613"/>
      <w:r>
        <w:rPr>
          <w:rtl w:val="true"/>
        </w:rPr>
        <w:t>صحّة العقد بالإذن اللاحق</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تزوّجهما من غیر إذنٍ ثمّ أجازتا صحّ علی الأقوی</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2138864_2322387425"/>
      <w:bookmarkStart w:id="616" w:name="_Toc225"/>
      <w:bookmarkEnd w:id="615"/>
      <w:r>
        <w:rPr>
          <w:rtl w:val="true"/>
        </w:rPr>
        <w:t>حکم الشکّ فی سبق أحد العقدین واقترانه</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العمّة وابنة الأخ وشکّ فی سَبق عقد العمّة أو سبق عقد الابنة حکم بالصحّة</w:t>
      </w:r>
      <w:r>
        <w:rPr>
          <w:rStyle w:val="FootnoteAnchor"/>
          <w:rtl w:val="true"/>
        </w:rPr>
        <w:footnoteReference w:id="10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بالصحّة إذا علم بغفلته عن ذلک حال العقد، وکذا فی الفرضاللاحق؛ بناءً علی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شکّ فی السَبق والاقتران بناءً علی البطلان مع الاقتران</w:t>
      </w:r>
      <w:r>
        <w:rPr>
          <w:rFonts w:eastAsia="IRNazanin" w:cs="IRNazanin"/>
          <w:color w:val="111111"/>
          <w:sz w:val="28"/>
          <w:szCs w:val="28"/>
          <w:rtl w:val="true"/>
          <w:lang w:bidi="fa-IR"/>
        </w:rPr>
        <w:t>.</w:t>
      </w:r>
    </w:p>
    <w:p>
      <w:pPr>
        <w:pStyle w:val="Heading4"/>
        <w:numPr>
          <w:ilvl w:val="3"/>
          <w:numId w:val="1"/>
        </w:numPr>
        <w:rPr/>
      </w:pPr>
      <w:bookmarkStart w:id="617" w:name="__RefHeading___Toc2138866_2322387425"/>
      <w:bookmarkStart w:id="618" w:name="_Toc226"/>
      <w:bookmarkEnd w:id="617"/>
      <w:r>
        <w:rPr>
          <w:rtl w:val="true"/>
        </w:rPr>
        <w:t>إذا ادّعتا عدم الإذن وادّعی هو الإذن</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ادّعت العمّة أو الخالة عدم الإذن، وادّعی هو الإذن منهما قُدِّم قولهما</w:t>
      </w:r>
      <w:r>
        <w:rPr>
          <w:rStyle w:val="FootnoteAnchor"/>
          <w:rtl w:val="true"/>
        </w:rPr>
        <w:footnoteReference w:id="1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الدعوی بین العمّة وابنة الأخ مثلاً فی الإذن وعدمه فکذلک قُدِّم قول العمّة</w:t>
      </w:r>
      <w:r>
        <w:rPr>
          <w:rFonts w:eastAsia="IRNazanin" w:cs="IRNazanin"/>
          <w:color w:val="111111"/>
          <w:sz w:val="28"/>
          <w:szCs w:val="28"/>
          <w:rtl w:val="true"/>
          <w:lang w:bidi="fa-IR"/>
        </w:rPr>
        <w:t>.</w:t>
      </w:r>
    </w:p>
    <w:p>
      <w:pPr>
        <w:pStyle w:val="Heading4"/>
        <w:numPr>
          <w:ilvl w:val="3"/>
          <w:numId w:val="1"/>
        </w:numPr>
        <w:rPr/>
      </w:pPr>
      <w:bookmarkStart w:id="619" w:name="__RefHeading___Toc2138868_2322387425"/>
      <w:bookmarkStart w:id="620" w:name="_Toc227"/>
      <w:bookmarkEnd w:id="619"/>
      <w:r>
        <w:rPr>
          <w:rtl w:val="true"/>
        </w:rPr>
        <w:t>الشکّ فی حصول إذن العمّة أو الخالة</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ابنة الأخ أو الاُخت وشکّ</w:t>
      </w:r>
      <w:r>
        <w:rPr>
          <w:rStyle w:val="FootnoteAnchor"/>
          <w:rtl w:val="true"/>
        </w:rPr>
        <w:footnoteReference w:id="1059"/>
      </w:r>
      <w:r>
        <w:rPr>
          <w:rFonts w:ascii="IRNazanin" w:hAnsi="IRNazanin" w:eastAsia="IRNazanin"/>
          <w:color w:val="111111"/>
          <w:sz w:val="28"/>
          <w:sz w:val="28"/>
          <w:szCs w:val="28"/>
          <w:rtl w:val="true"/>
          <w:lang w:bidi="fa-IR"/>
        </w:rPr>
        <w:t> فی أنّه هل کان عن إذنٍ من العمّة والخالة أو لا؟ حمل فعله علی الصحّة</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یحمل فعله علی الصحّة، والحال أنّ سلطنته علی العقد غیر محرزة، ودلیلأصالة الصحّة منحصر فی السیرة، ولا إطلاق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621" w:name="pg13286_153952"/>
    </w:p>
    <w:p>
      <w:pPr>
        <w:pStyle w:val="Heading4"/>
        <w:numPr>
          <w:ilvl w:val="3"/>
          <w:numId w:val="1"/>
        </w:numPr>
        <w:rPr/>
      </w:pPr>
      <w:bookmarkStart w:id="622" w:name="__RefHeading___Toc2138870_2322387425"/>
      <w:bookmarkStart w:id="623" w:name="_Toc228"/>
      <w:bookmarkEnd w:id="621"/>
      <w:bookmarkEnd w:id="622"/>
      <w:r>
        <w:rPr>
          <w:rtl w:val="true"/>
        </w:rPr>
        <w:t>صحّة التزویج إذا حصلت البنتیّة بعده أو کان الجمع بینهما حال الکفر ثمّ أسلم</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حصلت بنتیّة الأخ أو الاُخت بعد التزویج بالرضاع لم یبطل</w:t>
      </w:r>
      <w:r>
        <w:rPr>
          <w:rStyle w:val="FootnoteAnchor"/>
          <w:rtl w:val="true"/>
        </w:rPr>
        <w:footnoteReference w:id="1061"/>
      </w:r>
      <w:r>
        <w:rPr>
          <w:rFonts w:ascii="IRNazanin" w:hAnsi="IRNazanin" w:eastAsia="IRNazanin"/>
          <w:color w:val="111111"/>
          <w:sz w:val="28"/>
          <w:sz w:val="28"/>
          <w:szCs w:val="28"/>
          <w:rtl w:val="true"/>
          <w:lang w:bidi="fa-IR"/>
        </w:rPr>
        <w:t>، وکذا إذا جمع بینهما فی حال الکفر ثمّ أسلم علی وجه</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صافٍ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للخدشة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کونه وجیهاً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2138872_2322387425"/>
      <w:bookmarkStart w:id="625" w:name="_Toc229"/>
      <w:bookmarkEnd w:id="624"/>
      <w:r>
        <w:rPr>
          <w:rtl w:val="true"/>
        </w:rPr>
        <w:t>تزوّج بنت الأخ أو الاُخت لو طلّق عمّتها أو خالتها</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طلّق العمّة أو الخالة طلاقاً رجعیّاً لم یجز تزویج أحد البنتَین إلّا بعد خروجهما عن العِدّة، ولو کان الطلاق بائناً جاز من حینه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طلّق إحداهما بطلاق الخُلع جاز له العقد علی البنت؛ لأنّ طلاق الخُلْع بائن، وإن رجعت فی البذل لم یبطل</w:t>
      </w:r>
      <w:r>
        <w:rPr>
          <w:rStyle w:val="FootnoteAnchor"/>
          <w:rtl w:val="true"/>
        </w:rPr>
        <w:footnoteReference w:id="1063"/>
      </w:r>
      <w:r>
        <w:rPr>
          <w:rFonts w:ascii="IRNazanin" w:hAnsi="IRNazanin" w:eastAsia="IRNazanin"/>
          <w:color w:val="111111"/>
          <w:sz w:val="28"/>
          <w:sz w:val="28"/>
          <w:szCs w:val="28"/>
          <w:rtl w:val="true"/>
          <w:lang w:bidi="fa-IR"/>
        </w:rPr>
        <w:t> العقد</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2138874_2322387425"/>
      <w:bookmarkStart w:id="627" w:name="_Toc230"/>
      <w:bookmarkEnd w:id="626"/>
      <w:r>
        <w:rPr>
          <w:rtl w:val="true"/>
        </w:rPr>
        <w:t>حکم المملوکتین والمختلفتین</w:t>
      </w:r>
      <w:bookmarkEnd w:id="62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10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یجری الحکم فی المملوکتَین</w:t>
      </w:r>
      <w:r>
        <w:rPr>
          <w:rStyle w:val="FootnoteAnchor"/>
          <w:rtl w:val="true"/>
        </w:rPr>
        <w:footnoteReference w:id="1066"/>
      </w:r>
      <w:r>
        <w:rPr>
          <w:rFonts w:ascii="Amiri" w:hAnsi="Amiri" w:eastAsia="Amiri" w:cs="Amiri"/>
          <w:color w:val="111111"/>
          <w:sz w:val="28"/>
          <w:sz w:val="28"/>
          <w:szCs w:val="28"/>
          <w:rtl w:val="true"/>
          <w:lang w:bidi="ar-SA"/>
        </w:rPr>
        <w:t xml:space="preserve"> والمختلِفَتَین؟ </w:t>
      </w:r>
      <w:bookmarkStart w:id="628" w:name="pg13286_153953"/>
    </w:p>
    <w:p>
      <w:pPr>
        <w:pStyle w:val="BookText"/>
        <w:rPr/>
      </w:pPr>
      <w:bookmarkEnd w:id="628"/>
      <w:r>
        <w:rPr>
          <w:rFonts w:ascii="IRNazanin" w:hAnsi="IRNazanin" w:eastAsia="IRNazanin"/>
          <w:color w:val="111111"/>
          <w:sz w:val="28"/>
          <w:sz w:val="28"/>
          <w:szCs w:val="28"/>
          <w:rtl w:val="true"/>
          <w:lang w:bidi="fa-IR"/>
        </w:rPr>
        <w:t>وجهان، أقواهما العدم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2138876_2322387425"/>
      <w:bookmarkStart w:id="630" w:name="_Toc231"/>
      <w:bookmarkEnd w:id="629"/>
      <w:r>
        <w:rPr>
          <w:rtl w:val="true"/>
        </w:rPr>
        <w:t>الزنا الطارئ علی التزویج</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 الطارئ علی التزویج لا یوجب الحرمة إذا کان بعد الوطء، بل قبله</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یوجب فیه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الاحتیاط فی هذه الصورة ممّا ینبغی رعایته، وإن کان الأقوی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فی هذه الصورة رعایة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منه  قدّس سرّه أوردناها من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والأحوط انّه یوجبها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تزوّج امرأة ثمّ زنی باُمّها أو  بنتها لم تحرم علیه امرأته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زنی الأب بامرأة الابن لم تحرم</w:t>
      </w:r>
      <w:bookmarkStart w:id="631" w:name="pg13286_153954"/>
    </w:p>
    <w:p>
      <w:pPr>
        <w:pStyle w:val="BookText"/>
        <w:rPr/>
      </w:pPr>
      <w:bookmarkEnd w:id="631"/>
      <w:r>
        <w:rPr>
          <w:rFonts w:ascii="IRNazanin" w:hAnsi="IRNazanin" w:eastAsia="IRNazanin"/>
          <w:color w:val="111111"/>
          <w:sz w:val="28"/>
          <w:sz w:val="28"/>
          <w:szCs w:val="28"/>
          <w:rtl w:val="true"/>
          <w:lang w:bidi="fa-IR"/>
        </w:rPr>
        <w:t>علی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زنی الابن بامرأة الأب لا تحرم 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اللواط الطارئ علی التزویج</w:t>
      </w:r>
      <w:r>
        <w:rPr>
          <w:rStyle w:val="FootnoteAnchor"/>
          <w:rtl w:val="true"/>
        </w:rPr>
        <w:footnoteReference w:id="1069"/>
      </w:r>
      <w:r>
        <w:rPr>
          <w:rFonts w:ascii="IRNazanin" w:hAnsi="IRNazanin" w:eastAsia="IRNazanin"/>
          <w:color w:val="111111"/>
          <w:sz w:val="28"/>
          <w:sz w:val="28"/>
          <w:szCs w:val="28"/>
          <w:rtl w:val="true"/>
          <w:lang w:bidi="fa-IR"/>
        </w:rPr>
        <w:t>، فلو تزوّج امرأة ولاطَ بأخیها أو أبیها أو ابنها لم تحرم علیه امرأته، إلّا أنّ الاحتیاط</w:t>
      </w:r>
      <w:r>
        <w:rPr>
          <w:rStyle w:val="FootnoteAnchor"/>
          <w:rtl w:val="true"/>
        </w:rPr>
        <w:footnoteReference w:id="10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اللواط قبل الوطء، وأمّا إذا کان بعد الوطء فالأقوی عدم وجوب 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کان اللواط قبل الوطء، کما فی الزنا،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کان ارتکاب الحرام قبل الوطء، وأمّا بعده فلا أثر له قطعاً، سواء فی ذلک الزنا واللواط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فی غیر ما إذا أراد التزویج بها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إلّا بعد بطلان العقد الأوّل بطلاقٍ أو بغیره وأراد التزویج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2138878_2322387425"/>
      <w:bookmarkStart w:id="633" w:name="_Toc232"/>
      <w:bookmarkEnd w:id="632"/>
      <w:r>
        <w:rPr>
          <w:rtl w:val="true"/>
        </w:rPr>
        <w:t>الزنا السابق علی التزویج</w:t>
      </w:r>
      <w:bookmarkEnd w:id="63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الزنا سابقاً علی التزویج، فإن کان بالعمّة</w:t>
      </w:r>
      <w:r>
        <w:rPr>
          <w:rStyle w:val="FootnoteAnchor"/>
          <w:rtl w:val="true"/>
        </w:rPr>
        <w:footnoteReference w:id="1071"/>
      </w:r>
      <w:r>
        <w:rPr>
          <w:rFonts w:ascii="IRNazanin" w:hAnsi="IRNazanin" w:eastAsia="IRNazanin"/>
          <w:color w:val="111111"/>
          <w:sz w:val="28"/>
          <w:sz w:val="28"/>
          <w:szCs w:val="28"/>
          <w:rtl w:val="true"/>
          <w:lang w:bidi="fa-IR"/>
        </w:rPr>
        <w:t xml:space="preserve"> أو الخالة یوجب </w:t>
      </w:r>
      <w:bookmarkStart w:id="634" w:name="pg13286_153955"/>
    </w:p>
    <w:p>
      <w:pPr>
        <w:pStyle w:val="BookText"/>
        <w:rPr/>
      </w:pPr>
      <w:bookmarkEnd w:id="634"/>
      <w:r>
        <w:rPr>
          <w:rFonts w:ascii="IRNazanin" w:hAnsi="IRNazanin" w:eastAsia="IRNazanin"/>
          <w:color w:val="111111"/>
          <w:sz w:val="28"/>
          <w:sz w:val="28"/>
          <w:szCs w:val="28"/>
          <w:rtl w:val="true"/>
          <w:lang w:bidi="fa-IR"/>
        </w:rPr>
        <w:t>حرمة بنتیهما</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بنت العمّة، وهو الأقوی فی بنت الخالة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العمّة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وعدم التحریم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بغیرهما ففیه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والأحوط التحریم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لعلّه لا یخلو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محلّ التأمّل، وکذا فی الوطء بالشبهة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قویّ جدّاً؛ إذ یظهر من الروایات أنّ الحکم بالحلّ ورد تقیةً، فتأمّل فیهادقیقاً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وکذا فی الوطء بالشبهة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التقویة 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بل عدم التحریم أقوی، وکذا فی الوطء بالشبهة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138880_2322387425"/>
      <w:bookmarkStart w:id="636" w:name="_Toc233"/>
      <w:bookmarkEnd w:id="635"/>
      <w:r>
        <w:rPr>
          <w:rtl w:val="true"/>
        </w:rPr>
        <w:t>حکم الوطء بالشبهة</w:t>
      </w:r>
      <w:bookmarkEnd w:id="63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الکلام فی الوطء بالشبهة</w:t>
      </w:r>
      <w:r>
        <w:rPr>
          <w:rStyle w:val="FootnoteAnchor"/>
          <w:rtl w:val="true"/>
        </w:rPr>
        <w:footnoteReference w:id="1073"/>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طارئاً لا یوجب الحرمة، </w:t>
      </w:r>
      <w:bookmarkStart w:id="637" w:name="pg13286_153956"/>
    </w:p>
    <w:p>
      <w:pPr>
        <w:pStyle w:val="BookText"/>
        <w:rPr/>
      </w:pPr>
      <w:bookmarkEnd w:id="637"/>
      <w:r>
        <w:rPr>
          <w:rFonts w:ascii="IRNazanin" w:hAnsi="IRNazanin" w:eastAsia="IRNazanin"/>
          <w:color w:val="111111"/>
          <w:sz w:val="28"/>
          <w:sz w:val="28"/>
          <w:szCs w:val="28"/>
          <w:rtl w:val="true"/>
          <w:lang w:bidi="fa-IR"/>
        </w:rPr>
        <w:t>وإن کان سابقاً علی التزویج أوجبها</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2138882_2322387425"/>
      <w:bookmarkStart w:id="639" w:name="_Toc234"/>
      <w:bookmarkEnd w:id="638"/>
      <w:r>
        <w:rPr>
          <w:rtl w:val="true"/>
        </w:rPr>
        <w:t>الزنا بمملوکة الأب والعکس</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بمملوکة</w:t>
      </w:r>
      <w:r>
        <w:rPr>
          <w:rStyle w:val="FootnoteAnchor"/>
          <w:rtl w:val="true"/>
        </w:rPr>
        <w:footnoteReference w:id="1075"/>
      </w:r>
      <w:r>
        <w:rPr>
          <w:rFonts w:ascii="IRNazanin" w:hAnsi="IRNazanin" w:eastAsia="IRNazanin"/>
          <w:color w:val="111111"/>
          <w:sz w:val="28"/>
          <w:sz w:val="28"/>
          <w:szCs w:val="28"/>
          <w:rtl w:val="true"/>
          <w:lang w:bidi="fa-IR"/>
        </w:rPr>
        <w:t>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أن یطأها الأب حرمت</w:t>
      </w:r>
      <w:r>
        <w:rPr>
          <w:rStyle w:val="FootnoteAnchor"/>
          <w:rtl w:val="true"/>
        </w:rPr>
        <w:footnoteReference w:id="1076"/>
      </w:r>
      <w:r>
        <w:rPr>
          <w:rFonts w:ascii="IRNazanin" w:hAnsi="IRNazanin" w:eastAsia="IRNazanin"/>
          <w:color w:val="111111"/>
          <w:sz w:val="28"/>
          <w:sz w:val="28"/>
          <w:szCs w:val="28"/>
          <w:rtl w:val="true"/>
          <w:lang w:bidi="fa-IR"/>
        </w:rPr>
        <w:t> علی الأب</w:t>
      </w:r>
      <w:r>
        <w:rPr>
          <w:rStyle w:val="FootnoteAnchor"/>
          <w:rtl w:val="true"/>
        </w:rPr>
        <w:footnoteReference w:id="1077"/>
      </w:r>
      <w:r>
        <w:rPr>
          <w:rFonts w:ascii="IRNazanin" w:hAnsi="IRNazanin" w:eastAsia="IRNazanin"/>
          <w:color w:val="111111"/>
          <w:sz w:val="28"/>
          <w:sz w:val="28"/>
          <w:szCs w:val="28"/>
          <w:rtl w:val="true"/>
          <w:lang w:bidi="fa-IR"/>
        </w:rPr>
        <w:t>، وإن کان بعد وطئه لها 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إذا زنی  الأب بمملوکة ابنه</w:t>
      </w:r>
      <w:r>
        <w:rPr>
          <w:rFonts w:eastAsia="IRNazanin" w:cs="IRNazanin"/>
          <w:color w:val="111111"/>
          <w:sz w:val="28"/>
          <w:szCs w:val="28"/>
          <w:rtl w:val="true"/>
          <w:lang w:bidi="fa-IR"/>
        </w:rPr>
        <w:t>.</w:t>
      </w:r>
    </w:p>
    <w:p>
      <w:pPr>
        <w:pStyle w:val="Heading4"/>
        <w:numPr>
          <w:ilvl w:val="3"/>
          <w:numId w:val="1"/>
        </w:numPr>
        <w:rPr/>
      </w:pPr>
      <w:bookmarkStart w:id="640" w:name="__RefHeading___Toc2138884_2322387425"/>
      <w:bookmarkStart w:id="641" w:name="_Toc235"/>
      <w:bookmarkEnd w:id="640"/>
      <w:r>
        <w:rPr>
          <w:rtl w:val="true"/>
        </w:rPr>
        <w:t>ترتّب حکم الزنا بالوطء فی القبل أو الدبر</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الحکم بین الزنا فی القُبُل أو الدُبُر</w:t>
      </w:r>
      <w:r>
        <w:rPr>
          <w:rFonts w:eastAsia="IRNazanin" w:cs="IRNazanin"/>
          <w:color w:val="111111"/>
          <w:sz w:val="28"/>
          <w:szCs w:val="28"/>
          <w:rtl w:val="true"/>
          <w:lang w:bidi="fa-IR"/>
        </w:rPr>
        <w:t>.</w:t>
      </w:r>
    </w:p>
    <w:p>
      <w:pPr>
        <w:pStyle w:val="Heading4"/>
        <w:numPr>
          <w:ilvl w:val="3"/>
          <w:numId w:val="1"/>
        </w:numPr>
        <w:rPr/>
      </w:pPr>
      <w:bookmarkStart w:id="642" w:name="__RefHeading___Toc2138886_2322387425"/>
      <w:bookmarkStart w:id="643" w:name="_Toc236"/>
      <w:bookmarkEnd w:id="642"/>
      <w:r>
        <w:rPr>
          <w:rtl w:val="true"/>
        </w:rPr>
        <w:t>بعض فروع الشکّ فی الزنا</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شکّ فی تحقّق الزنا وعدمه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کونه سابقاً، أوْ لا بنی</w:t>
      </w:r>
      <w:r>
        <w:rPr>
          <w:rStyle w:val="FootnoteAnchor"/>
          <w:rtl w:val="true"/>
        </w:rPr>
        <w:footnoteReference w:id="1078"/>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bookmarkStart w:id="644" w:name="pg13286_153957"/>
    </w:p>
    <w:p>
      <w:pPr>
        <w:pStyle w:val="BookText"/>
        <w:rPr/>
      </w:pPr>
      <w:bookmarkEnd w:id="644"/>
      <w:r>
        <w:rPr>
          <w:rFonts w:ascii="IRNazanin" w:hAnsi="IRNazanin" w:eastAsia="IRNazanin"/>
          <w:color w:val="111111"/>
          <w:sz w:val="28"/>
          <w:sz w:val="28"/>
          <w:szCs w:val="28"/>
          <w:rtl w:val="true"/>
          <w:lang w:bidi="fa-IR"/>
        </w:rPr>
        <w:t>علی کونه لاحقاً</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أنّه زنی بأحد الامرأتَین</w:t>
      </w:r>
      <w:r>
        <w:rPr>
          <w:rStyle w:val="FootnoteAnchor"/>
          <w:rtl w:val="true"/>
        </w:rPr>
        <w:footnoteReference w:id="1080"/>
      </w:r>
      <w:r>
        <w:rPr>
          <w:rFonts w:ascii="Amiri" w:hAnsi="Amiri" w:eastAsia="Amiri" w:cs="Amiri"/>
          <w:color w:val="111111"/>
          <w:sz w:val="28"/>
          <w:sz w:val="28"/>
          <w:szCs w:val="28"/>
          <w:rtl w:val="true"/>
          <w:lang w:bidi="ar-SA"/>
        </w:rPr>
        <w:t> ولم یدرِ أیّتهما هی؟</w:t>
      </w:r>
    </w:p>
    <w:p>
      <w:pPr>
        <w:pStyle w:val="BookText"/>
        <w:rPr/>
      </w:pPr>
      <w:r>
        <w:rPr>
          <w:rFonts w:ascii="IRNazanin" w:hAnsi="IRNazanin" w:eastAsia="IRNazanin"/>
          <w:color w:val="111111"/>
          <w:sz w:val="28"/>
          <w:sz w:val="28"/>
          <w:szCs w:val="28"/>
          <w:rtl w:val="true"/>
          <w:lang w:bidi="fa-IR"/>
        </w:rPr>
        <w:t>وجب</w:t>
      </w:r>
      <w:r>
        <w:rPr>
          <w:rStyle w:val="FootnoteAnchor"/>
          <w:rtl w:val="true"/>
        </w:rPr>
        <w:footnoteReference w:id="1081"/>
      </w:r>
      <w:r>
        <w:rPr>
          <w:rFonts w:ascii="Amiri" w:hAnsi="Amiri" w:eastAsia="Amiri" w:cs="Amiri"/>
          <w:color w:val="111111"/>
          <w:sz w:val="28"/>
          <w:sz w:val="28"/>
          <w:szCs w:val="28"/>
          <w:rtl w:val="true"/>
          <w:lang w:bidi="ar-SA"/>
        </w:rPr>
        <w:t> علیه الاحتیاط إذا کان لکلٍّ منهما اُمّ أو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یکن</w:t>
      </w:r>
      <w:r>
        <w:rPr>
          <w:rStyle w:val="FootnoteAnchor"/>
          <w:rtl w:val="true"/>
        </w:rPr>
        <w:footnoteReference w:id="1082"/>
      </w:r>
      <w:r>
        <w:rPr>
          <w:rFonts w:ascii="Amiri" w:hAnsi="Amiri" w:eastAsia="Amiri" w:cs="Amiri"/>
          <w:color w:val="111111"/>
          <w:sz w:val="28"/>
          <w:sz w:val="28"/>
          <w:szCs w:val="28"/>
          <w:rtl w:val="true"/>
          <w:lang w:bidi="ar-SA"/>
        </w:rPr>
        <w:t>لإحداهما اُمّ ولا بنت</w:t>
      </w:r>
      <w:r>
        <w:rPr>
          <w:rStyle w:val="FootnoteAnchor"/>
          <w:rtl w:val="true"/>
        </w:rPr>
        <w:footnoteReference w:id="1083"/>
      </w:r>
      <w:r>
        <w:rPr>
          <w:rFonts w:ascii="IRNazanin" w:hAnsi="IRNazanin" w:eastAsia="IRNazanin"/>
          <w:color w:val="111111"/>
          <w:sz w:val="28"/>
          <w:sz w:val="28"/>
          <w:szCs w:val="28"/>
          <w:rtl w:val="true"/>
          <w:lang w:bidi="fa-IR"/>
        </w:rPr>
        <w:t> فالظاهر</w:t>
      </w:r>
      <w:r>
        <w:rPr>
          <w:rStyle w:val="FootnoteAnchor"/>
          <w:rtl w:val="true"/>
        </w:rPr>
        <w:footnoteReference w:id="1084"/>
      </w:r>
      <w:r>
        <w:rPr>
          <w:rFonts w:ascii="IRNazanin" w:hAnsi="IRNazanin" w:eastAsia="IRNazanin"/>
          <w:color w:val="111111"/>
          <w:sz w:val="28"/>
          <w:sz w:val="28"/>
          <w:szCs w:val="28"/>
          <w:rtl w:val="true"/>
          <w:lang w:bidi="fa-IR"/>
        </w:rPr>
        <w:t> جواز</w:t>
      </w:r>
      <w:r>
        <w:rPr>
          <w:rStyle w:val="FootnoteAnchor"/>
          <w:rtl w:val="true"/>
        </w:rPr>
        <w:footnoteReference w:id="1085"/>
      </w:r>
      <w:r>
        <w:rPr>
          <w:rFonts w:ascii="Amiri" w:hAnsi="Amiri" w:eastAsia="Amiri" w:cs="Amiri"/>
          <w:color w:val="111111"/>
          <w:sz w:val="28"/>
          <w:sz w:val="28"/>
          <w:szCs w:val="28"/>
          <w:rtl w:val="true"/>
          <w:lang w:bidi="ar-SA"/>
        </w:rPr>
        <w:t> نکاح الاُمّ أو البنت من الاُخری</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138888_2322387425"/>
      <w:bookmarkStart w:id="646" w:name="_Toc237"/>
      <w:bookmarkEnd w:id="645"/>
      <w:r>
        <w:rPr>
          <w:rtl w:val="true"/>
        </w:rPr>
        <w:t>حصول الزنا بالاختیاری والاضطراری بالبالغة وغیرها</w:t>
      </w:r>
      <w:bookmarkEnd w:id="6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w:t>
      </w:r>
      <w:r>
        <w:rPr>
          <w:rStyle w:val="FootnoteAnchor"/>
          <w:rtl w:val="true"/>
        </w:rPr>
        <w:footnoteReference w:id="1087"/>
      </w:r>
      <w:r>
        <w:rPr>
          <w:rFonts w:ascii="IRNazanin" w:hAnsi="IRNazanin" w:eastAsia="IRNazanin"/>
          <w:color w:val="111111"/>
          <w:sz w:val="28"/>
          <w:sz w:val="28"/>
          <w:szCs w:val="28"/>
          <w:rtl w:val="true"/>
          <w:lang w:bidi="fa-IR"/>
        </w:rPr>
        <w:t> فی الزنا</w:t>
      </w:r>
      <w:r>
        <w:rPr>
          <w:rStyle w:val="FootnoteAnchor"/>
          <w:rtl w:val="true"/>
        </w:rPr>
        <w:footnoteReference w:id="1088"/>
      </w:r>
      <w:r>
        <w:rPr>
          <w:rFonts w:ascii="Amiri" w:hAnsi="Amiri" w:eastAsia="Amiri" w:cs="Amiri"/>
          <w:color w:val="111111"/>
          <w:sz w:val="28"/>
          <w:sz w:val="28"/>
          <w:szCs w:val="28"/>
          <w:rtl w:val="true"/>
          <w:lang w:bidi="ar-SA"/>
        </w:rPr>
        <w:t xml:space="preserve"> بین کونه اختیاریّاً أو إجباریّاً أو </w:t>
      </w:r>
      <w:bookmarkStart w:id="647" w:name="pg13286_153958"/>
    </w:p>
    <w:p>
      <w:pPr>
        <w:pStyle w:val="BookText"/>
        <w:rPr/>
      </w:pPr>
      <w:bookmarkEnd w:id="647"/>
      <w:r>
        <w:rPr>
          <w:rFonts w:ascii="IRNazanin" w:hAnsi="IRNazanin" w:eastAsia="IRNazanin"/>
          <w:color w:val="111111"/>
          <w:sz w:val="28"/>
          <w:sz w:val="28"/>
          <w:szCs w:val="28"/>
          <w:rtl w:val="true"/>
          <w:lang w:bidi="fa-IR"/>
        </w:rPr>
        <w:t>اضطراریّاً، ولا بین کونه فی حال النوم</w:t>
      </w:r>
      <w:r>
        <w:rPr>
          <w:rStyle w:val="FootnoteAnchor"/>
          <w:rtl w:val="true"/>
        </w:rPr>
        <w:footnoteReference w:id="1089"/>
      </w:r>
      <w:r>
        <w:rPr>
          <w:rFonts w:ascii="IRNazanin" w:hAnsi="IRNazanin" w:eastAsia="IRNazanin"/>
          <w:color w:val="111111"/>
          <w:sz w:val="28"/>
          <w:sz w:val="28"/>
          <w:szCs w:val="28"/>
          <w:rtl w:val="true"/>
          <w:lang w:bidi="fa-IR"/>
        </w:rPr>
        <w:t> أو الیقظة، ولا بین کون الزانی بالغاً أو غیر بالغ، وکذا المزنیُّ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أدخلت الامرأة ذکر الرضیع فی فرجها نشر الحرمة علی إشکال</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وفی ما بعده عدم نشر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جدّاً، وکذا الحال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وکذا فی الإشکال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لو زنی بالمیتة</w:t>
      </w:r>
      <w:r>
        <w:rPr>
          <w:rStyle w:val="FootnoteAnchor"/>
          <w:rtl w:val="true"/>
        </w:rPr>
        <w:footnoteReference w:id="1091"/>
      </w:r>
      <w:r>
        <w:rPr>
          <w:rFonts w:ascii="IRNazanin" w:hAnsi="IRNazanin" w:eastAsia="IRNazanin"/>
          <w:color w:val="111111"/>
          <w:sz w:val="28"/>
          <w:sz w:val="28"/>
          <w:szCs w:val="28"/>
          <w:rtl w:val="true"/>
          <w:lang w:bidi="fa-IR"/>
        </w:rPr>
        <w:t> فکذلک علی إشکال</w:t>
      </w:r>
      <w:r>
        <w:rPr>
          <w:rStyle w:val="FootnoteAnchor"/>
          <w:rtl w:val="true"/>
        </w:rPr>
        <w:footnoteReference w:id="10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فلا یُترک الاحتیاط بالرعایة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فیه وفی لاحقه قویّ، ولکن لا یُترک الاحتیاط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نشر الحرمة به وبما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وأشکل من ذلک لو أدخلت ذکر المیّت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أدخلت الذکر المقطوع فالظاهر عدم النشر</w:t>
      </w:r>
      <w:r>
        <w:rPr>
          <w:rFonts w:eastAsia="IRNazanin" w:cs="IRNazanin"/>
          <w:color w:val="111111"/>
          <w:sz w:val="28"/>
          <w:szCs w:val="28"/>
          <w:rtl w:val="true"/>
          <w:lang w:bidi="fa-IR"/>
        </w:rPr>
        <w:t>.</w:t>
      </w:r>
    </w:p>
    <w:p>
      <w:pPr>
        <w:pStyle w:val="Heading4"/>
        <w:numPr>
          <w:ilvl w:val="3"/>
          <w:numId w:val="1"/>
        </w:numPr>
        <w:rPr/>
      </w:pPr>
      <w:bookmarkStart w:id="648" w:name="__RefHeading___Toc2138890_2322387425"/>
      <w:bookmarkStart w:id="649" w:name="_Toc238"/>
      <w:bookmarkEnd w:id="648"/>
      <w:r>
        <w:rPr>
          <w:rtl w:val="true"/>
        </w:rPr>
        <w:t>حکم ما لو زنا لاحقاً ثمّ طلّق زوجته وأراد الرجوع لها</w:t>
      </w:r>
      <w:bookmarkEnd w:id="64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الزنا لاحقاً</w:t>
      </w:r>
      <w:r>
        <w:rPr>
          <w:rStyle w:val="FootnoteAnchor"/>
          <w:rtl w:val="true"/>
        </w:rPr>
        <w:footnoteReference w:id="1093"/>
      </w:r>
      <w:r>
        <w:rPr>
          <w:rFonts w:ascii="Amiri" w:hAnsi="Amiri" w:eastAsia="Amiri" w:cs="Amiri"/>
          <w:color w:val="111111"/>
          <w:sz w:val="28"/>
          <w:sz w:val="28"/>
          <w:szCs w:val="28"/>
          <w:rtl w:val="true"/>
          <w:lang w:bidi="ar-SA"/>
        </w:rPr>
        <w:t> فطلّقت الزوجة رجعیّاً ثمّ رجع الزوج فی أثناء العِدّة لم یُعَدَّ سابقاً حتّی ینشر الحرمة؛ لأنّ الرجوع إعادة</w:t>
      </w:r>
      <w:r>
        <w:rPr>
          <w:rStyle w:val="FootnoteAnchor"/>
          <w:rtl w:val="true"/>
        </w:rPr>
        <w:footnoteReference w:id="1094"/>
      </w:r>
      <w:bookmarkStart w:id="650" w:name="pg13286_153959"/>
    </w:p>
    <w:p>
      <w:pPr>
        <w:pStyle w:val="BookText"/>
        <w:rPr/>
      </w:pPr>
      <w:bookmarkEnd w:id="650"/>
      <w:r>
        <w:rPr>
          <w:rFonts w:ascii="Amiri" w:hAnsi="Amiri" w:eastAsia="Amiri" w:cs="Amiri"/>
          <w:color w:val="111111"/>
          <w:sz w:val="28"/>
          <w:sz w:val="28"/>
          <w:szCs w:val="28"/>
          <w:rtl w:val="true"/>
          <w:lang w:bidi="ar-SA"/>
        </w:rPr>
        <w:t>الزوجیّة</w:t>
      </w:r>
      <w:r>
        <w:rPr>
          <w:rStyle w:val="FootnoteAnchor"/>
          <w:rtl w:val="true"/>
        </w:rPr>
        <w:footnoteReference w:id="1095"/>
      </w:r>
      <w:r>
        <w:rPr>
          <w:rFonts w:ascii="Amiri" w:hAnsi="Amiri" w:eastAsia="Amiri" w:cs="Amiri"/>
          <w:color w:val="111111"/>
          <w:sz w:val="28"/>
          <w:sz w:val="28"/>
          <w:szCs w:val="28"/>
          <w:rtl w:val="true"/>
          <w:lang w:bidi="ar-SA"/>
        </w:rPr>
        <w:t>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نکحها بعد الخروج عن العِدّة، أو طلّقت بائناً</w:t>
      </w:r>
    </w:p>
    <w:p>
      <w:pPr>
        <w:pStyle w:val="BookText"/>
        <w:rPr/>
      </w:pPr>
      <w:r>
        <w:rPr>
          <w:rFonts w:ascii="IRNazanin" w:hAnsi="IRNazanin" w:eastAsia="IRNazanin"/>
          <w:color w:val="111111"/>
          <w:sz w:val="28"/>
          <w:sz w:val="28"/>
          <w:szCs w:val="28"/>
          <w:rtl w:val="true"/>
          <w:lang w:bidi="fa-IR"/>
        </w:rPr>
        <w:t>فنکحها بعقدٍ جدید ففی صحّة النکاح وعدمها وجهان</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الزنا حین وقوعه لم یوثّر فی الحرمة؛ لکونه لاحقاً فلا أثر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هذا أیضاً،ومن أنّه سابق بالنسبة إلی هذا العقد الجدید،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ترک هذا الاحتیاط، وقد تقدّم نظیر ذلک فی اللواط الطارئ بالنسبة إلی العقد الجدید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به فی الزنا، وقد مرّ عدم کون الزنا مؤثّراً فی الحرمة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2138892_2322387425"/>
      <w:bookmarkStart w:id="652" w:name="_Toc239"/>
      <w:bookmarkEnd w:id="651"/>
      <w:r>
        <w:rPr>
          <w:rtl w:val="true"/>
        </w:rPr>
        <w:t>الزنا بعد التزویج بالفضولی</w:t>
      </w:r>
      <w:bookmarkEnd w:id="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زوّجه رجل امرأةً فضولاً فزنی باُمّها أو بنتها، ثمّ أجاز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بالکشف الحقیقیّ</w:t>
      </w:r>
      <w:r>
        <w:rPr>
          <w:rStyle w:val="FootnoteAnchor"/>
          <w:rtl w:val="true"/>
        </w:rPr>
        <w:footnoteReference w:id="1097"/>
      </w:r>
      <w:r>
        <w:rPr>
          <w:rFonts w:ascii="IRNazanin" w:hAnsi="IRNazanin" w:eastAsia="IRNazanin"/>
          <w:color w:val="111111"/>
          <w:sz w:val="28"/>
          <w:sz w:val="28"/>
          <w:szCs w:val="28"/>
          <w:rtl w:val="true"/>
          <w:lang w:bidi="fa-IR"/>
        </w:rPr>
        <w:t> کان الزنا لاحقاً</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بعدم صحّة الإجازة ولو علی الکشف الحقیقیّ؛ فإنّ الزنا مفوِّت لمحلّ الإجازة، کما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علی الکشف الانقلابیّ، کما 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قلنا</w:t>
      </w:r>
      <w:bookmarkStart w:id="653" w:name="pg13286_153960"/>
    </w:p>
    <w:p>
      <w:pPr>
        <w:pStyle w:val="BookText"/>
        <w:rPr/>
      </w:pPr>
      <w:bookmarkEnd w:id="653"/>
      <w:r>
        <w:rPr>
          <w:rFonts w:ascii="IRNazanin" w:hAnsi="IRNazanin" w:eastAsia="IRNazanin"/>
          <w:color w:val="111111"/>
          <w:sz w:val="28"/>
          <w:sz w:val="28"/>
          <w:szCs w:val="28"/>
          <w:rtl w:val="true"/>
          <w:lang w:bidi="fa-IR"/>
        </w:rPr>
        <w:t>بالکشف</w:t>
      </w:r>
      <w:r>
        <w:rPr>
          <w:rStyle w:val="FootnoteAnchor"/>
          <w:rtl w:val="true"/>
        </w:rPr>
        <w:footnoteReference w:id="1099"/>
      </w:r>
      <w:r>
        <w:rPr>
          <w:rFonts w:ascii="Amiri" w:hAnsi="Amiri" w:eastAsia="Amiri" w:cs="Amiri"/>
          <w:color w:val="111111"/>
          <w:sz w:val="28"/>
          <w:sz w:val="28"/>
          <w:szCs w:val="28"/>
          <w:rtl w:val="true"/>
          <w:lang w:bidi="ar-SA"/>
        </w:rPr>
        <w:t> الحکمیّ</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الکشف الحکمیّ کالحقیقیّ حکماً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إن قلنا بالکشف الانقلابیّ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النقل کان 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2138894_2322387425"/>
      <w:bookmarkStart w:id="655" w:name="_Toc240"/>
      <w:bookmarkEnd w:id="654"/>
      <w:r>
        <w:rPr>
          <w:rtl w:val="true"/>
        </w:rPr>
        <w:t>النظر واللمس بشهوة هل ینشر الحرمة؟</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للأب مملوکة منظورة</w:t>
      </w:r>
      <w:r>
        <w:rPr>
          <w:rStyle w:val="FootnoteAnchor"/>
          <w:rtl w:val="true"/>
        </w:rPr>
        <w:footnoteReference w:id="1101"/>
      </w:r>
      <w:r>
        <w:rPr>
          <w:rFonts w:ascii="Amiri" w:hAnsi="Amiri" w:eastAsia="Amiri" w:cs="Amiri"/>
          <w:color w:val="111111"/>
          <w:sz w:val="28"/>
          <w:sz w:val="28"/>
          <w:szCs w:val="28"/>
          <w:rtl w:val="true"/>
          <w:lang w:bidi="ar-SA"/>
        </w:rPr>
        <w:t> أو ملموسة له بشهوةٍ</w:t>
      </w:r>
      <w:r>
        <w:rPr>
          <w:rStyle w:val="FootnoteAnchor"/>
          <w:rtl w:val="true"/>
        </w:rPr>
        <w:footnoteReference w:id="1102"/>
      </w:r>
      <w:r>
        <w:rPr>
          <w:rFonts w:ascii="IRNazanin" w:hAnsi="IRNazanin" w:eastAsia="IRNazanin"/>
          <w:color w:val="111111"/>
          <w:sz w:val="28"/>
          <w:sz w:val="28"/>
          <w:szCs w:val="28"/>
          <w:rtl w:val="true"/>
          <w:lang w:bidi="fa-IR"/>
        </w:rPr>
        <w:t>حرمت علی ابنه</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فی المسألة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 علی الأقوی فیهما، بخلاف ما إذا کان النظر أو اللَمس بغیر شهوة، کما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للاختبار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للطبابة،أو کان اتّفاقیّاً، بل</w:t>
      </w:r>
    </w:p>
    <w:p>
      <w:pPr>
        <w:pStyle w:val="BookText"/>
        <w:rPr/>
      </w:pPr>
      <w:r>
        <w:rPr>
          <w:rFonts w:ascii="Amiri" w:hAnsi="Amiri" w:eastAsia="Amiri" w:cs="Amiri"/>
          <w:color w:val="111111"/>
          <w:sz w:val="28"/>
          <w:sz w:val="28"/>
          <w:szCs w:val="28"/>
          <w:rtl w:val="true"/>
          <w:lang w:bidi="ar-SA"/>
        </w:rPr>
        <w:t>وإن أوجب شهوةً</w:t>
      </w:r>
      <w:r>
        <w:rPr>
          <w:rStyle w:val="FootnoteAnchor"/>
          <w:rtl w:val="true"/>
        </w:rPr>
        <w:footnoteReference w:id="1104"/>
      </w:r>
      <w:r>
        <w:rPr>
          <w:rFonts w:ascii="Amiri" w:hAnsi="Amiri" w:eastAsia="Amiri" w:cs="Amiri"/>
          <w:color w:val="111111"/>
          <w:sz w:val="28"/>
          <w:sz w:val="28"/>
          <w:szCs w:val="28"/>
          <w:rtl w:val="true"/>
          <w:lang w:bidi="ar-SA"/>
        </w:rPr>
        <w:t> أیضاً</w:t>
      </w:r>
      <w:r>
        <w:rPr>
          <w:rStyle w:val="FootnoteAnchor"/>
          <w:rtl w:val="true"/>
        </w:rPr>
        <w:footnoteReference w:id="1105"/>
      </w:r>
      <w:r>
        <w:rPr>
          <w:rFonts w:ascii="IRNazanin" w:hAnsi="IRNazanin" w:eastAsia="IRNazanin"/>
          <w:color w:val="111111"/>
          <w:sz w:val="28"/>
          <w:sz w:val="28"/>
          <w:szCs w:val="28"/>
          <w:rtl w:val="true"/>
          <w:lang w:bidi="fa-IR"/>
        </w:rPr>
        <w:t>، نعم، لو لَمِسها لإثارة‌الشهوة ـ کما إذا مسّ فرجها أو ثدیها أو ضمّها لتحریک الشهوة ـ فالظاهر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تحرم اُمّ المملوکة الملموسة والمنظورة علی اللامِس والناظر علی الأقوی، وإن کان الأحوط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الأحوط اجتناب الرَبِیبة الملموسة أو المنظورة اُمّها، وإن کان الأقوی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اللَمس والنظر یقومان مقام الوطء فی کلّ موردٍ یکون الوطء ناشراً للحرمة، فتحرم الأجنبیّة الملموسة أو المنظورة شبهةً أو حراماً علی الأب والابن، وتحرم اُمّها وبنتها، حرّةً کانت أو أمة، وهو وإن کان أحوط إلّا أنّ الأقوی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 فتنحصر الحرمة فی مملوکة کلٍّ من الأب والابن علی الآخر إذا کانت ملموسةً أو منظورةً</w:t>
      </w:r>
      <w:r>
        <w:rPr>
          <w:rStyle w:val="FootnoteAnchor"/>
          <w:rtl w:val="true"/>
        </w:rPr>
        <w:footnoteReference w:id="1106"/>
      </w:r>
      <w:r>
        <w:rPr>
          <w:rFonts w:ascii="Amiri" w:hAnsi="Amiri" w:eastAsia="Amiri" w:cs="Amiri"/>
          <w:color w:val="111111"/>
          <w:sz w:val="28"/>
          <w:sz w:val="28"/>
          <w:szCs w:val="28"/>
          <w:rtl w:val="true"/>
          <w:lang w:bidi="ar-SA"/>
        </w:rPr>
        <w:t> بشهوة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إیجاب النظر أو اللَمس إلی الوجه والکفّین إذاکان بشهوةِ نظر، والأقوی العدم</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النظر، لا فی اللَمس؛ لأنّه ورد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التقبیل بشهوة، وهو من مصادیقلَمس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سیّما فی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الحکم فی لَمسِ الوجه بمثل التقبیل والشَمّ ونحوهما من أنواعالاستمتاع منع، فالأقوی فی مثل ذلک نشر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تقبیل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النظر ـ کما تقدّم ـ دون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النظر، وأمّا اللَمس فلا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وإن کان     </w:t>
      </w:r>
      <w:r>
        <w:rPr>
          <w:rFonts w:eastAsia="IRNazanin" w:cs="IRNazanin"/>
          <w:color w:val="111111"/>
          <w:sz w:val="28"/>
          <w:szCs w:val="28"/>
          <w:rtl w:val="true"/>
          <w:lang w:bidi="fa-IR"/>
        </w:rPr>
        <w:t>.     .     .     .     .</w:t>
      </w:r>
      <w:bookmarkStart w:id="656" w:name="pg13286_153962"/>
    </w:p>
    <w:p>
      <w:pPr>
        <w:pStyle w:val="BookText"/>
        <w:rPr/>
      </w:pPr>
      <w:bookmarkEnd w:id="656"/>
      <w:r>
        <w:rPr>
          <w:rFonts w:ascii="IRNazanin" w:hAnsi="IRNazanin" w:eastAsia="IRNazanin"/>
          <w:color w:val="111111"/>
          <w:sz w:val="28"/>
          <w:sz w:val="28"/>
          <w:szCs w:val="28"/>
          <w:rtl w:val="true"/>
          <w:lang w:bidi="fa-IR"/>
        </w:rPr>
        <w:t>هو أحوط</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اللَمس بشهوة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خصوصه اللَمس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7" w:name="__RefHeading___Toc2138896_2322387425"/>
      <w:bookmarkStart w:id="658" w:name="_Toc241"/>
      <w:bookmarkEnd w:id="657"/>
      <w:r>
        <w:rPr>
          <w:rtl w:val="true"/>
        </w:rPr>
        <w:t>الجمع بین الاُختین فی النکاح وفی الملک</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الجمع بین الاُختَین فی النکاح دواماً أو متعة، سواء کانتا نسبیّتَین أو رضاعیّتَین</w:t>
      </w:r>
      <w:r>
        <w:rPr>
          <w:rStyle w:val="FootnoteAnchor"/>
          <w:rtl w:val="true"/>
        </w:rPr>
        <w:footnoteReference w:id="1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الکتب الغیر المصحّحة کُتِبَت بعد الرضاعیتین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لکنفی النسخة الّتی عندی لم تکن تلک الکلمة، وهی مصحّحة فی عصر المصنّف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مختلِفَتَین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والأولی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أو مختلِفَتَین</w:t>
      </w:r>
      <w:r>
        <w:rPr>
          <w:rStyle w:val="FootnoteAnchor"/>
          <w:rtl w:val="true"/>
        </w:rPr>
        <w:footnoteReference w:id="1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المختلِفَتَین فی الاُختَین مشکل، بل غیر ممکن، وقد راجعناه  قدّس سرّه فألغاه فیالطبعة الثانیة، أمّا فی الثلاثة وما زاد فواضح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مختلِفَی الانتساب إلی أبیهما أو اُمّهما، الّذی هو الملاک لکونهما 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اختلاف الانتساب من جهة الولادة والرضاع، بأن کانت إحداهما بنتاًنسبیّةً لمرأةٍ، والاُخری بنتاً رضاعیّة لها، فتتحقّق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 بعض العبائر تحویر لفظیّ إملائیّ، وقد أجرینا التعدیل کما تری،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کرضیعة من لبن فحلٍ مع بنته النسبیّة الّتی لم ترتضع من لبنه، فهما اُختان مختلفتاالانتساب، لم تحصل اُختیّتهما بالرضاعة ولا بالنسب، بل بهما علی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تکون إحداهما ارتضعت من لبن فحلٍ هو أب نسبیّ للاُخری، هذا أظهرالوجوه فی تصویر الفرض،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صدق الاُختیّة إشکالاً، بل لا اُختیّة فیالبَین حتّی تکون مختلفة؛ إذ لیس کلّ مرتضعةٍ اُختاً لأولاد صاحب اللَبن فی صورة عدم اشتراکهم معها فی إحدی الجهتَین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 بذلک ما إذا کانت الاُختیّة بین المرأتَین ناشئةً من ولادة إحداهما وارتضاعالاُخری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دواماً وانقطاعاً، أو من حیث النسب والرضاع، أو من حیث الاختلاف فیالأب أو الاُمّ ، أو من حیث العقد والمِلک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هذه الکلمة فی بعض نسخ الأصل، وقد یُتکلّف لتصحیحها بأنّ المراد أنتنتسب إحداهما إلی الاُمّ أو الأب بالولادة، وتنتسب الاُخری إلیه بالرضاع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إن لم تکن غلطاً 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الاُختیّة بینهما ناشئةً من ولادةإحداهما وارتضاع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لا یجوز</w:t>
      </w:r>
      <w:r>
        <w:rPr>
          <w:rStyle w:val="FootnoteAnchor"/>
          <w:rtl w:val="true"/>
        </w:rPr>
        <w:footnoteReference w:id="1112"/>
      </w:r>
      <w:r>
        <w:rPr>
          <w:rFonts w:ascii="IRNazanin" w:hAnsi="IRNazanin" w:eastAsia="IRNazanin"/>
          <w:color w:val="111111"/>
          <w:sz w:val="28"/>
          <w:sz w:val="28"/>
          <w:szCs w:val="28"/>
          <w:rtl w:val="true"/>
          <w:lang w:bidi="fa-IR"/>
        </w:rPr>
        <w:t> الجمع بینهما فی المِلک مع وطئهما</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الجمع بینهما فی مجرّد المِلک من غیر وطءٍ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یجوز الجمع بینهما فی المِلک مع الاستمتاع بما دون الوطء، بأن لم یطأهما أو وطئ إحداهما واستمتع بالاُخری بما دون الوطء؟</w:t>
      </w:r>
    </w:p>
    <w:p>
      <w:pPr>
        <w:pStyle w:val="BookText"/>
        <w:rPr/>
      </w:pPr>
      <w:r>
        <w:rPr>
          <w:rFonts w:ascii="IRNazanin" w:hAnsi="IRNazanin" w:eastAsia="IRNazanin"/>
          <w:color w:val="111111"/>
          <w:sz w:val="28"/>
          <w:sz w:val="28"/>
          <w:szCs w:val="28"/>
          <w:rtl w:val="true"/>
          <w:lang w:bidi="fa-IR"/>
        </w:rPr>
        <w:t>فیه نظر، مقتضی بعض النصوص</w:t>
      </w:r>
      <w:r>
        <w:rPr>
          <w:rStyle w:val="FootnoteAnchor"/>
          <w:rtl w:val="true"/>
        </w:rPr>
        <w:footnoteReference w:id="1114"/>
      </w:r>
      <w:r>
        <w:rPr>
          <w:rFonts w:ascii="IRNazanin" w:hAnsi="IRNazanin" w:eastAsia="IRNazanin"/>
          <w:color w:val="111111"/>
          <w:sz w:val="28"/>
          <w:sz w:val="28"/>
          <w:szCs w:val="28"/>
          <w:rtl w:val="true"/>
          <w:lang w:bidi="fa-IR"/>
        </w:rPr>
        <w:t>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الأقوی</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ذلک،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659" w:name="pg13286_153965"/>
    </w:p>
    <w:p>
      <w:pPr>
        <w:pStyle w:val="BookText"/>
        <w:rPr/>
      </w:pPr>
      <w:bookmarkEnd w:id="659"/>
      <w:r>
        <w:rPr>
          <w:rFonts w:ascii="IRNazanin" w:hAnsi="IRNazanin" w:eastAsia="IRNazanin"/>
          <w:color w:val="111111"/>
          <w:sz w:val="28"/>
          <w:sz w:val="28"/>
          <w:szCs w:val="28"/>
          <w:rtl w:val="true"/>
          <w:lang w:bidi="fa-IR"/>
        </w:rPr>
        <w:t>لکن الأحوط</w:t>
      </w:r>
      <w:r>
        <w:rPr>
          <w:rStyle w:val="FootnoteAnchor"/>
          <w:rtl w:val="true"/>
        </w:rPr>
        <w:footnoteReference w:id="1116"/>
      </w:r>
      <w:r>
        <w:rPr>
          <w:rFonts w:ascii="IRNazanin" w:hAnsi="IRNazanin" w:eastAsia="IRNazanin"/>
          <w:color w:val="111111"/>
          <w:sz w:val="28"/>
          <w:sz w:val="28"/>
          <w:szCs w:val="28"/>
          <w:rtl w:val="true"/>
          <w:lang w:bidi="fa-IR"/>
        </w:rPr>
        <w:t> العدم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2138898_2322387425"/>
      <w:bookmarkStart w:id="661" w:name="_Toc242"/>
      <w:bookmarkEnd w:id="660"/>
      <w:r>
        <w:rPr>
          <w:rtl w:val="true"/>
        </w:rPr>
        <w:t>التزویج بإحدی الاُختین وملک الاُخری</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بإحدی الاُختَین وتملّک الاُخری</w:t>
      </w:r>
      <w:r>
        <w:rPr>
          <w:rStyle w:val="FootnoteAnchor"/>
          <w:rtl w:val="true"/>
        </w:rPr>
        <w:footnoteReference w:id="1118"/>
      </w:r>
      <w:r>
        <w:rPr>
          <w:rFonts w:ascii="IRNazanin" w:hAnsi="IRNazanin" w:eastAsia="IRNazanin"/>
          <w:color w:val="111111"/>
          <w:sz w:val="28"/>
          <w:sz w:val="28"/>
          <w:szCs w:val="28"/>
          <w:rtl w:val="true"/>
          <w:lang w:bidi="fa-IR"/>
        </w:rPr>
        <w:t> لا یجوز له وطء المملوکة</w:t>
      </w:r>
      <w:r>
        <w:rPr>
          <w:rStyle w:val="FootnoteAnchor"/>
          <w:rtl w:val="true"/>
        </w:rPr>
        <w:footnoteReference w:id="1119"/>
      </w:r>
      <w:r>
        <w:rPr>
          <w:rFonts w:ascii="IRNazanin" w:hAnsi="IRNazanin" w:eastAsia="IRNazanin"/>
          <w:color w:val="111111"/>
          <w:sz w:val="28"/>
          <w:sz w:val="28"/>
          <w:szCs w:val="28"/>
          <w:rtl w:val="true"/>
          <w:lang w:bidi="fa-IR"/>
        </w:rPr>
        <w:t> إلّا بعد طلاق المزوّجة، وخروجها عن العِدّة إن کانت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وطئها قبل ذلک فعل حراماً، لکن لا تحرم علیه الزوجة بذلک، ولا یُحَدّ حدّ الزنا بوطء المملوکة، بل یُعزَّر، فتکون حرمةُ وطئها کحرمة وطء الحائض</w:t>
      </w:r>
      <w:r>
        <w:rPr>
          <w:rFonts w:eastAsia="IRNazanin" w:cs="IRNazanin"/>
          <w:color w:val="111111"/>
          <w:sz w:val="28"/>
          <w:szCs w:val="28"/>
          <w:rtl w:val="true"/>
          <w:lang w:bidi="fa-IR"/>
        </w:rPr>
        <w:t>.</w:t>
      </w:r>
    </w:p>
    <w:p>
      <w:pPr>
        <w:pStyle w:val="Heading4"/>
        <w:numPr>
          <w:ilvl w:val="3"/>
          <w:numId w:val="1"/>
        </w:numPr>
        <w:rPr/>
      </w:pPr>
      <w:bookmarkStart w:id="662" w:name="__RefHeading___Toc2138900_2322387425"/>
      <w:bookmarkStart w:id="663" w:name="_Toc243"/>
      <w:bookmarkEnd w:id="662"/>
      <w:r>
        <w:rPr>
          <w:rtl w:val="true"/>
        </w:rPr>
        <w:t>وطء إحدی الاُختین بالملک والتزوّج بالاُخری</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وطئ إحدی الاُختَین بالمِلک ثمّ تزوّج الاُخری فالأظهر</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للأصل بعد حرمة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ممنوعة، وعلی تقدیر الصحّة فالحکم بحرمة وطئِ الاُولی إلّا بعدإطلاق الثانیة ممنوع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بطلان</w:t>
      </w:r>
      <w:r>
        <w:rPr>
          <w:rStyle w:val="FootnoteAnchor"/>
          <w:rtl w:val="true"/>
        </w:rPr>
        <w:footnoteReference w:id="1121"/>
      </w:r>
      <w:r>
        <w:rPr>
          <w:rFonts w:ascii="IRNazanin" w:hAnsi="IRNazanin" w:eastAsia="IRNazanin"/>
          <w:color w:val="111111"/>
          <w:sz w:val="28"/>
          <w:sz w:val="28"/>
          <w:szCs w:val="28"/>
          <w:rtl w:val="true"/>
          <w:lang w:bidi="fa-IR"/>
        </w:rPr>
        <w:t> التزویج</w:t>
      </w:r>
      <w:r>
        <w:rPr>
          <w:rStyle w:val="FootnoteAnchor"/>
          <w:rtl w:val="true"/>
        </w:rPr>
        <w:footnoteReference w:id="1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منه  قدّس سرّه أوردناها من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یجوز له الاستمتاع بالاُولی، ویحرم بالثانیة، ولا یُترک الاحتیاطبطلاقها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أظهر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وحرمة وطء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bookmarkStart w:id="664" w:name="pg13286_153967"/>
    </w:p>
    <w:p>
      <w:pPr>
        <w:pStyle w:val="BookText"/>
        <w:rPr/>
      </w:pPr>
      <w:bookmarkEnd w:id="664"/>
      <w:r>
        <w:rPr>
          <w:rFonts w:ascii="IRNazanin" w:hAnsi="IRNazanin" w:eastAsia="IRNazanin"/>
          <w:color w:val="111111"/>
          <w:sz w:val="28"/>
          <w:sz w:val="28"/>
          <w:szCs w:val="28"/>
          <w:rtl w:val="true"/>
          <w:lang w:bidi="fa-IR"/>
        </w:rPr>
        <w:t>بعد</w:t>
      </w:r>
      <w:r>
        <w:rPr>
          <w:rStyle w:val="FootnoteAnchor"/>
          <w:rtl w:val="true"/>
        </w:rPr>
        <w:footnoteReference w:id="1123"/>
      </w:r>
      <w:r>
        <w:rPr>
          <w:rFonts w:ascii="IRNazanin" w:hAnsi="IRNazanin" w:eastAsia="IRNazanin"/>
          <w:color w:val="111111"/>
          <w:sz w:val="28"/>
          <w:sz w:val="28"/>
          <w:szCs w:val="28"/>
          <w:rtl w:val="true"/>
          <w:lang w:bidi="fa-IR"/>
        </w:rPr>
        <w:t> طلاق الثانیة</w:t>
      </w:r>
      <w:r>
        <w:rPr>
          <w:rFonts w:eastAsia="IRNazanin" w:cs="IRNazanin"/>
          <w:color w:val="111111"/>
          <w:sz w:val="28"/>
          <w:szCs w:val="28"/>
          <w:rtl w:val="true"/>
          <w:lang w:bidi="fa-IR"/>
        </w:rPr>
        <w:t>.</w:t>
      </w:r>
    </w:p>
    <w:p>
      <w:pPr>
        <w:pStyle w:val="Heading4"/>
        <w:numPr>
          <w:ilvl w:val="3"/>
          <w:numId w:val="1"/>
        </w:numPr>
        <w:rPr/>
      </w:pPr>
      <w:bookmarkStart w:id="665" w:name="__RefHeading___Toc2138902_2322387425"/>
      <w:bookmarkStart w:id="666" w:name="_Toc244"/>
      <w:bookmarkEnd w:id="665"/>
      <w:r>
        <w:rPr>
          <w:rtl w:val="true"/>
        </w:rPr>
        <w:t>بطلان عقد الثانیة بعد التزوج بالاُولی</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 بإحدی الاُختَین ثمّ تزوّج بالاُخری بطل عقد الثانیة، سواء کان بعد وطء الاُولی أو قبله، ولا یحرم بذلک وطء الاُولی وإن کان قد دخل بالثانیة، نعم، لو دخل بها مع الجهل بأنّها اُخت الاُولی یکره</w:t>
      </w:r>
      <w:r>
        <w:rPr>
          <w:rStyle w:val="FootnoteAnchor"/>
          <w:rtl w:val="true"/>
        </w:rPr>
        <w:footnoteReference w:id="1124"/>
      </w:r>
      <w:r>
        <w:rPr>
          <w:rFonts w:ascii="IRNazanin" w:hAnsi="IRNazanin" w:eastAsia="IRNazanin"/>
          <w:color w:val="111111"/>
          <w:sz w:val="28"/>
          <w:sz w:val="28"/>
          <w:szCs w:val="28"/>
          <w:rtl w:val="true"/>
          <w:lang w:bidi="fa-IR"/>
        </w:rPr>
        <w:t>له وطء الاُولی قبل خروج الثانیة عن العِدّة</w:t>
      </w:r>
      <w:r>
        <w:rPr>
          <w:rStyle w:val="FootnoteAnchor"/>
          <w:rtl w:val="true"/>
        </w:rPr>
        <w:footnoteReference w:id="1125"/>
      </w:r>
      <w:r>
        <w:rPr>
          <w:rFonts w:ascii="IRNazanin" w:hAnsi="IRNazanin" w:eastAsia="IRNazanin"/>
          <w:color w:val="111111"/>
          <w:sz w:val="28"/>
          <w:sz w:val="28"/>
          <w:szCs w:val="28"/>
          <w:rtl w:val="true"/>
          <w:lang w:bidi="fa-IR"/>
        </w:rPr>
        <w:t>، بل قیل</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للنصّ</w:t>
      </w:r>
      <w:r>
        <w:rPr>
          <w:rStyle w:val="FootnoteAnchor"/>
          <w:rtl w:val="true"/>
        </w:rPr>
        <w:footnoteReference w:id="1127"/>
      </w:r>
      <w:r>
        <w:rPr>
          <w:rFonts w:ascii="IRNazanin" w:hAnsi="IRNazanin" w:eastAsia="IRNazanin"/>
          <w:color w:val="111111"/>
          <w:sz w:val="28"/>
          <w:sz w:val="28"/>
          <w:szCs w:val="28"/>
          <w:rtl w:val="true"/>
          <w:lang w:bidi="fa-IR"/>
        </w:rPr>
        <w:t>الصحیح، وهو الأحوط</w:t>
      </w:r>
      <w:r>
        <w:rPr>
          <w:rStyle w:val="FootnoteAnchor"/>
          <w:rtl w:val="true"/>
        </w:rPr>
        <w:footnoteReference w:id="1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الإصطهباناتی، البروجردی، عبدالله الشیرازی،الشریعتمداری، الفانی، الخمینی، محمّد رضا الگلپایگانی، السبزواری، حسن القمّی،الروحانی،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3286_153968"/>
    </w:p>
    <w:p>
      <w:pPr>
        <w:pStyle w:val="Heading4"/>
        <w:numPr>
          <w:ilvl w:val="3"/>
          <w:numId w:val="1"/>
        </w:numPr>
        <w:rPr/>
      </w:pPr>
      <w:bookmarkStart w:id="668" w:name="__RefHeading___Toc2138904_2322387425"/>
      <w:bookmarkStart w:id="669" w:name="_Toc245"/>
      <w:bookmarkEnd w:id="667"/>
      <w:bookmarkEnd w:id="668"/>
      <w:r>
        <w:rPr>
          <w:rtl w:val="true"/>
        </w:rPr>
        <w:t>حکم ما لو تزوّج بالاُختین واشتبه السابق واللاحق</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بالاُختَین ولم یعلم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w:t>
      </w:r>
      <w:r>
        <w:rPr>
          <w:rStyle w:val="FootnoteAnchor"/>
          <w:rtl w:val="true"/>
        </w:rPr>
        <w:footnoteReference w:id="1129"/>
      </w:r>
      <w:r>
        <w:rPr>
          <w:rFonts w:ascii="IRNazanin" w:hAnsi="IRNazanin" w:eastAsia="IRNazanin"/>
          <w:color w:val="111111"/>
          <w:sz w:val="28"/>
          <w:sz w:val="28"/>
          <w:szCs w:val="28"/>
          <w:rtl w:val="true"/>
          <w:lang w:bidi="fa-IR"/>
        </w:rPr>
        <w:t>تاریخ أحد العقدَین حکم بصحّته</w:t>
      </w:r>
      <w:r>
        <w:rPr>
          <w:rStyle w:val="FootnoteAnchor"/>
          <w:rtl w:val="true"/>
        </w:rPr>
        <w:footnoteReference w:id="1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العلم بتاریخ أحدهما حکم الجهل بتاریخهما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المجهول، وإن جهل تاریخهما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حرم علیه وطوهما، وکذا وطء إحداهما إلّا بعد طلاقهما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طلاق الزوجة الواقعیّة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ثمّ تزویج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منهما بعقدٍ جدیدٍ بعد خروج الاُخری</w:t>
      </w:r>
    </w:p>
    <w:p>
      <w:pPr>
        <w:pStyle w:val="BookText"/>
        <w:rPr/>
      </w:pPr>
      <w:r>
        <w:rPr>
          <w:rFonts w:ascii="Amiri" w:hAnsi="Amiri" w:eastAsia="Amiri" w:cs="Amiri"/>
          <w:color w:val="111111"/>
          <w:sz w:val="28"/>
          <w:sz w:val="28"/>
          <w:szCs w:val="28"/>
          <w:rtl w:val="true"/>
          <w:lang w:bidi="ar-SA"/>
        </w:rPr>
        <w:t>عن العِدّة</w:t>
      </w:r>
      <w:r>
        <w:rPr>
          <w:rStyle w:val="FootnoteAnchor"/>
          <w:rtl w:val="true"/>
        </w:rPr>
        <w:footnoteReference w:id="1131"/>
      </w:r>
      <w:r>
        <w:rPr>
          <w:rFonts w:ascii="IRNazanin" w:hAnsi="IRNazanin" w:eastAsia="IRNazanin"/>
          <w:color w:val="111111"/>
          <w:sz w:val="28"/>
          <w:sz w:val="28"/>
          <w:szCs w:val="28"/>
          <w:rtl w:val="true"/>
          <w:lang w:bidi="fa-IR"/>
        </w:rPr>
        <w:t> إن کان دخل بها أو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یُجبَر</w:t>
      </w:r>
      <w:r>
        <w:rPr>
          <w:rStyle w:val="FootnoteAnchor"/>
          <w:rtl w:val="true"/>
        </w:rPr>
        <w:footnoteReference w:id="1132"/>
      </w:r>
      <w:r>
        <w:rPr>
          <w:rFonts w:ascii="IRNazanin" w:hAnsi="IRNazanin" w:eastAsia="IRNazanin"/>
          <w:color w:val="111111"/>
          <w:sz w:val="28"/>
          <w:sz w:val="28"/>
          <w:szCs w:val="28"/>
          <w:rtl w:val="true"/>
          <w:lang w:bidi="fa-IR"/>
        </w:rPr>
        <w:t> علی هذا الطلاق</w:t>
      </w:r>
      <w:r>
        <w:rPr>
          <w:rStyle w:val="FootnoteAnchor"/>
          <w:rtl w:val="true"/>
        </w:rPr>
        <w:footnoteReference w:id="1133"/>
      </w:r>
      <w:r>
        <w:rPr>
          <w:rFonts w:ascii="IRNazanin" w:hAnsi="IRNazanin" w:eastAsia="IRNazanin"/>
          <w:color w:val="111111"/>
          <w:sz w:val="28"/>
          <w:sz w:val="28"/>
          <w:szCs w:val="28"/>
          <w:rtl w:val="true"/>
          <w:lang w:bidi="fa-IR"/>
        </w:rPr>
        <w:t> دفعاً لضرر الصبر</w:t>
      </w:r>
      <w:r>
        <w:rPr>
          <w:rStyle w:val="FootnoteAnchor"/>
          <w:rtl w:val="true"/>
        </w:rPr>
        <w:footnoteReference w:id="1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فِراراً عن ترک الواجب المبتَلَی به؛ حیث یعلم إجمالاً بوجوب الاضطجاععلیه فی کلّ أربعة لیالٍ، ووجوب الوطء فی کلّ أربعة أشهر، ولا یتمکّن من أداءالواجب، ولا التخلّص منه إلّا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لا یبعد ذلک</w:t>
      </w:r>
      <w:r>
        <w:rPr>
          <w:rStyle w:val="FootnoteAnchor"/>
          <w:rtl w:val="true"/>
        </w:rPr>
        <w:footnoteReference w:id="1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مطالبتهما، وعدم صبرهما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هو الرجوع إلی القرعة فی تعیین السابق منهما، فتسقطالاحتمالات اللاحقة، وکذا الحال فی الرجوع إلی القرعة فی نظائر المقام إلّابعض الموارد النادرة ممّا خرج عنها بالنصّ؛ فحینئذٍ تستعمل بالنسبة إلی المهرلو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المعروف بین المتأخّرین من الإشکال فی أدلّة القرعة قدفرغنا عن جوابه فی محلّه، وأنّه ممّا لا أساس له، وأمّا الآیة الشریفةالّتی تمسّک بها فی المتن فهی غیر مربوطةٍ بالمسألة، وإن تمسّک بهاالعلّامة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وراجع إیضاح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والآیة الکریمة علی ما فسّرت راجعة إلی النفقة، فإذن ینتهی الأمرإلی 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مع مطالبتهما وعدم صبرهما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لقوله تعالی</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بالآیة الشریفة علی وجوب الطلاق فی المقام غیر ظاهر،وکذا الاستدلال له بالعلم الإجمالیّ بوجوب الاضطجاع والوطء، فإنّهلا یقتضی وجوب الطلاق إذا کان هناک طریق للتشخیص، ولو کانت هی القرعة؛بناءً علی شمول دلیلها لمثل المقام، وعدم الافتقار إلی عمل الأصحاب،کما حقّقناه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فَإمْساکٌ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تَسرِیحٌ بِإحسانٍ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یقال بعدم وجوب الطلاق علیه، وعدم إجباره</w:t>
      </w:r>
      <w:r>
        <w:rPr>
          <w:rStyle w:val="FootnoteAnchor"/>
          <w:rtl w:val="true"/>
        </w:rPr>
        <w:footnoteReference w:id="1137"/>
      </w:r>
      <w:r>
        <w:rPr>
          <w:rFonts w:ascii="Amiri" w:hAnsi="Amiri" w:eastAsia="Amiri" w:cs="Amiri"/>
          <w:color w:val="111111"/>
          <w:sz w:val="28"/>
          <w:sz w:val="28"/>
          <w:szCs w:val="28"/>
          <w:rtl w:val="true"/>
          <w:lang w:bidi="ar-SA"/>
        </w:rPr>
        <w:t>، وأنّه یعیّن  </w:t>
      </w:r>
    </w:p>
    <w:p>
      <w:pPr>
        <w:pStyle w:val="BookText"/>
        <w:rPr/>
      </w:pPr>
      <w:r>
        <w:rPr>
          <w:rFonts w:ascii="Amiri" w:hAnsi="Amiri" w:eastAsia="Amiri" w:cs="Amiri"/>
          <w:color w:val="111111"/>
          <w:sz w:val="28"/>
          <w:sz w:val="28"/>
          <w:szCs w:val="28"/>
          <w:rtl w:val="true"/>
          <w:lang w:bidi="ar-SA"/>
        </w:rPr>
        <w:t>بالقرعة</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ببعید، وتکفی تلک القرعة عن القرعة فی تعیین المهر لو قیل بها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غیر بعید، ومعه لا تصل النوبة إلی فسخ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یفسخ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مقتضی العلم الإجمالیّ بکون إحداهما زوجةً وجوبُ الإنفاق علیهما</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القول بتنصیف النفقة الواحدة الواجبة بینهما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یطلِّق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ومع الطلاق قبل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المهر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بعد الدخول فتمامه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ذکر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مع عدم الدخول یُنَصّف نصف المهر بینهما، وکذا النفقة، ومع الدخولبإحداهما واشتباهها ینصّف کلّ المهر بینهما، ومع الدخول بکلتیهما ینصّف المهرالمسمّی مع مهر المثل بینهما، والأحوط مع ذلک 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ما ذکره ذلک البعض فی فرض عدم الدخول، لکن إذا کان المَهران متّفقَینقدراً وجنساً ووصفاً یقسّط نصف المهر علیهما، ومع اختلافهما تُعطی کلّ واحدةٍمنهما ربع ما سُمِّی لها، هذا مع قطع النظر عن الرجوع إلی القرعة، وأمّا معها ـ کماعرفت ـ فلابدّ من التعیین بها وإعطاء نصف مهرها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فرض الدخولفاللازم کِلا المَهرَین مطلقاً؛ بناءً علی ثبوت المهر المسمّی فی الوطء بالشبهة فیالنکاح الفاسد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w:t>
      </w:r>
    </w:p>
    <w:p>
      <w:pPr>
        <w:pStyle w:val="BookText"/>
        <w:rPr/>
      </w:pPr>
      <w:r>
        <w:rPr>
          <w:rFonts w:ascii="IRNazanin" w:hAnsi="IRNazanin" w:eastAsia="IRNazanin"/>
          <w:color w:val="111111"/>
          <w:sz w:val="28"/>
          <w:sz w:val="28"/>
          <w:szCs w:val="28"/>
          <w:rtl w:val="true"/>
          <w:lang w:bidi="fa-IR"/>
        </w:rPr>
        <w:t>یجب</w:t>
      </w:r>
      <w:r>
        <w:rPr>
          <w:rStyle w:val="FootnoteAnchor"/>
          <w:rtl w:val="true"/>
        </w:rPr>
        <w:footnoteReference w:id="1140"/>
      </w:r>
      <w:r>
        <w:rPr>
          <w:rFonts w:ascii="IRNazanin" w:hAnsi="IRNazanin" w:eastAsia="IRNazanin"/>
          <w:color w:val="111111"/>
          <w:sz w:val="28"/>
          <w:sz w:val="28"/>
          <w:szCs w:val="28"/>
          <w:rtl w:val="true"/>
          <w:lang w:bidi="fa-IR"/>
        </w:rPr>
        <w:t> علیه</w:t>
      </w:r>
      <w:r>
        <w:rPr>
          <w:rStyle w:val="FootnoteAnchor"/>
          <w:rtl w:val="true"/>
        </w:rPr>
        <w:footnoteReference w:id="1141"/>
      </w:r>
      <w:r>
        <w:rPr>
          <w:rFonts w:ascii="IRNazanin" w:hAnsi="IRNazanin" w:eastAsia="IRNazanin"/>
          <w:color w:val="111111"/>
          <w:sz w:val="28"/>
          <w:sz w:val="28"/>
          <w:szCs w:val="28"/>
          <w:rtl w:val="true"/>
          <w:lang w:bidi="fa-IR"/>
        </w:rPr>
        <w:t> إلّا نصف المهر</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ما ذکره ذلک البعض، وکذلک فی النفقة فتُقَسَّم النفقة الواحدة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 فلکلٍّ منهما الرُبُع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 عدم   </w:t>
      </w:r>
      <w:bookmarkStart w:id="670" w:name="pg13286_153973"/>
    </w:p>
    <w:p>
      <w:pPr>
        <w:pStyle w:val="BookText"/>
        <w:rPr/>
      </w:pPr>
      <w:bookmarkEnd w:id="670"/>
      <w:r>
        <w:rPr>
          <w:rFonts w:ascii="IRNazanin" w:hAnsi="IRNazanin" w:eastAsia="IRNazanin"/>
          <w:color w:val="111111"/>
          <w:sz w:val="28"/>
          <w:sz w:val="28"/>
          <w:szCs w:val="28"/>
          <w:rtl w:val="true"/>
          <w:lang w:bidi="fa-IR"/>
        </w:rPr>
        <w:t>الدخول، وتمام أحد المَهرَین</w:t>
      </w:r>
      <w:r>
        <w:rPr>
          <w:rStyle w:val="FootnoteAnchor"/>
          <w:rtl w:val="true"/>
        </w:rPr>
        <w:footnoteReference w:id="1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مهر واحد فی صورة الدخول بهما؛ فإنّ الدخول موجب لتمام المهر ولوکان شبهة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تنقص حصّة کلٍّ منهما عن مهر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لهما فی صورة الدخول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والمسألة محلّ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کنظائرها من العلم الإجمالیّ فی المالیّات</w:t>
      </w:r>
      <w:r>
        <w:rPr>
          <w:rFonts w:eastAsia="IRNazanin" w:cs="IRNazanin"/>
          <w:color w:val="111111"/>
          <w:sz w:val="28"/>
          <w:szCs w:val="28"/>
          <w:rtl w:val="true"/>
          <w:lang w:bidi="fa-IR"/>
        </w:rPr>
        <w:t>.</w:t>
      </w:r>
    </w:p>
    <w:p>
      <w:pPr>
        <w:pStyle w:val="Heading4"/>
        <w:numPr>
          <w:ilvl w:val="3"/>
          <w:numId w:val="1"/>
        </w:numPr>
        <w:rPr/>
      </w:pPr>
      <w:bookmarkStart w:id="671" w:name="__RefHeading___Toc2138906_2322387425"/>
      <w:bookmarkStart w:id="672" w:name="_Toc246"/>
      <w:bookmarkEnd w:id="671"/>
      <w:r>
        <w:rPr>
          <w:rtl w:val="true"/>
        </w:rPr>
        <w:t>حکم اقتران عقد الاُختین</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اقترن عقد الاُختَین بأن تزوّجهما بصیغةٍ واحدة، أو عقد علی إحداهما</w:t>
      </w:r>
      <w:r>
        <w:rPr>
          <w:rStyle w:val="FootnoteAnchor"/>
          <w:rtl w:val="true"/>
        </w:rPr>
        <w:footnoteReference w:id="1144"/>
      </w:r>
      <w:r>
        <w:rPr>
          <w:rFonts w:ascii="Amiri" w:hAnsi="Amiri" w:eastAsia="Amiri" w:cs="Amiri"/>
          <w:color w:val="111111"/>
          <w:sz w:val="28"/>
          <w:sz w:val="28"/>
          <w:szCs w:val="28"/>
          <w:rtl w:val="true"/>
          <w:lang w:bidi="ar-SA"/>
        </w:rPr>
        <w:t> ووکیله علی الاُخری فی زمانٍ واحد بَطَلاَ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یقال بکونه مخیّراً</w:t>
      </w:r>
      <w:r>
        <w:rPr>
          <w:rStyle w:val="FootnoteAnchor"/>
          <w:rtl w:val="true"/>
        </w:rPr>
        <w:footnoteReference w:id="1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هذا القول غیر بعیدة؛ إذ الروایة صحیحة عمل بها جمع من الأعیان،ودلالتها ظاهرة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فی الصورة الاُولی، ولا وجه لحمل الروایة الصحیحة الظاهرةالدلالة علی خلاف ظاهرها، أمّا فی الصورة الثانیة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هو الأظهر، لکن بشرط کون العقد الواقع علیهما واحداً، کما نصّ به فیالخبر، وأمّا لو عقد هو علی واحدةٍ والوکیل علی الاُخری یکون کِلا العقدَینفاسِدَین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اختیار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أیّهما شاء</w:t>
      </w:r>
      <w:r>
        <w:rPr>
          <w:rStyle w:val="FootnoteAnchor"/>
          <w:rtl w:val="true"/>
        </w:rPr>
        <w:footnoteReference w:id="1146"/>
      </w:r>
      <w:r>
        <w:rPr>
          <w:rFonts w:ascii="Amiri" w:hAnsi="Amiri" w:eastAsia="Amiri" w:cs="Amiri"/>
          <w:color w:val="111111"/>
          <w:sz w:val="28"/>
          <w:sz w:val="28"/>
          <w:szCs w:val="28"/>
          <w:rtl w:val="true"/>
          <w:lang w:bidi="ar-SA"/>
        </w:rPr>
        <w:t>؛ لروایةٍ</w:t>
      </w:r>
      <w:r>
        <w:rPr>
          <w:rStyle w:val="FootnoteAnchor"/>
          <w:rtl w:val="true"/>
        </w:rPr>
        <w:footnoteReference w:id="1147"/>
      </w:r>
      <w:r>
        <w:rPr>
          <w:rFonts w:ascii="Amiri" w:hAnsi="Amiri" w:eastAsia="Amiri" w:cs="Amiri"/>
          <w:color w:val="111111"/>
          <w:sz w:val="28"/>
          <w:sz w:val="28"/>
          <w:szCs w:val="28"/>
          <w:rtl w:val="true"/>
          <w:lang w:bidi="ar-SA"/>
        </w:rPr>
        <w:t>محمولةٍ</w:t>
      </w:r>
      <w:r>
        <w:rPr>
          <w:rStyle w:val="FootnoteAnchor"/>
          <w:rtl w:val="true"/>
        </w:rPr>
        <w:footnoteReference w:id="1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ینبغی ترک الاحتیاط بالعمل بمقتضی الروایة، بأن یختار إحداهما ثمّ یطلّقها،أو یُمسِکها بعقدٍ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الحمل خلاف ظاهر النصّ الصحیح المعمول به عند جماعة، فالأظهر هیالصحّة، والتخییر فی اختیار أیّتهما شاء، وبه یظهر ما فی الحکم ببطلانهما فی فرضالشکّ فی السَبق والاقتران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بعقدٍ</w:t>
      </w:r>
      <w:bookmarkStart w:id="673" w:name="pg13286_153975"/>
    </w:p>
    <w:p>
      <w:pPr>
        <w:pStyle w:val="BookText"/>
        <w:rPr/>
      </w:pPr>
      <w:bookmarkEnd w:id="673"/>
      <w:r>
        <w:rPr>
          <w:rFonts w:ascii="IRNazanin" w:hAnsi="IRNazanin" w:eastAsia="IRNazanin"/>
          <w:color w:val="111111"/>
          <w:sz w:val="28"/>
          <w:sz w:val="28"/>
          <w:szCs w:val="28"/>
          <w:rtl w:val="true"/>
          <w:lang w:bidi="fa-IR"/>
        </w:rPr>
        <w:t>جدید</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تزوّجهما وشکّ فی السَبق</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کونهما مجهولَی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بتاریخهما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والاقتران 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ببطلانهما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واحتمال صحّة أحد العقدَین واقعاً، واستخراجه بالقرعة بعید جدّاً؛ لمکاناحتمال التقارن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لا یمکن الحکم بصحّتهما، أو بصحّة واحدةٍ معیّنةٍ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2138908_2322387425"/>
      <w:bookmarkStart w:id="675" w:name="_Toc247"/>
      <w:bookmarkEnd w:id="674"/>
      <w:r>
        <w:rPr>
          <w:rtl w:val="true"/>
        </w:rPr>
        <w:t>حکم وطء إحدی الاُختین المملوکتین</w:t>
      </w:r>
      <w:bookmarkEnd w:id="6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عنده اُختان</w:t>
      </w:r>
      <w:r>
        <w:rPr>
          <w:rStyle w:val="FootnoteAnchor"/>
          <w:rtl w:val="true"/>
        </w:rPr>
        <w:footnoteReference w:id="1151"/>
      </w:r>
      <w:r>
        <w:rPr>
          <w:rFonts w:ascii="IRNazanin" w:hAnsi="IRNazanin" w:eastAsia="IRNazanin"/>
          <w:color w:val="111111"/>
          <w:sz w:val="28"/>
          <w:sz w:val="28"/>
          <w:szCs w:val="28"/>
          <w:rtl w:val="true"/>
          <w:lang w:bidi="fa-IR"/>
        </w:rPr>
        <w:t> مملوکتان فوطِئ إحداهما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علیه الاُخری حتّی تموت الاُولی، أو یخرجها عن مِلکه ببیعٍ أو صلحٍ أو هبةٍ أو نحوهما، ولو بأن یَهَبَهُما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کفایة</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bookmarkStart w:id="676" w:name="pg13286_153976"/>
    </w:p>
    <w:p>
      <w:pPr>
        <w:pStyle w:val="BookText"/>
        <w:rPr/>
      </w:pPr>
      <w:bookmarkEnd w:id="676"/>
      <w:r>
        <w:rPr>
          <w:rFonts w:ascii="IRNazanin" w:hAnsi="IRNazanin" w:eastAsia="IRNazanin"/>
          <w:color w:val="111111"/>
          <w:sz w:val="28"/>
          <w:sz w:val="28"/>
          <w:szCs w:val="28"/>
          <w:rtl w:val="true"/>
          <w:lang w:bidi="fa-IR"/>
        </w:rPr>
        <w:t>التملیک</w:t>
      </w:r>
      <w:r>
        <w:rPr>
          <w:rStyle w:val="FootnoteAnchor"/>
          <w:rtl w:val="true"/>
        </w:rPr>
        <w:footnoteReference w:id="1153"/>
      </w:r>
      <w:r>
        <w:rPr>
          <w:rFonts w:ascii="IRNazanin" w:hAnsi="IRNazanin" w:eastAsia="IRNazanin"/>
          <w:color w:val="111111"/>
          <w:sz w:val="28"/>
          <w:sz w:val="28"/>
          <w:szCs w:val="28"/>
          <w:rtl w:val="true"/>
          <w:lang w:bidi="fa-IR"/>
        </w:rPr>
        <w:t> الّذی له فیه الخیار، وإن کان الأحوط اعتبار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یکفی ـ علی الأقوی</w:t>
      </w:r>
      <w:r>
        <w:rPr>
          <w:rStyle w:val="FootnoteAnchor"/>
          <w:rtl w:val="true"/>
        </w:rPr>
        <w:footnoteReference w:id="1154"/>
      </w:r>
      <w:r>
        <w:rPr>
          <w:rFonts w:ascii="IRNazanin" w:hAnsi="IRNazanin" w:eastAsia="IRNazanin"/>
          <w:color w:val="111111"/>
          <w:sz w:val="28"/>
          <w:sz w:val="28"/>
          <w:szCs w:val="28"/>
          <w:rtl w:val="true"/>
          <w:lang w:bidi="fa-IR"/>
        </w:rPr>
        <w:t> ـ ما یمنع من المقاربة مع بقاء الملکیّة، کالتزویج للغیر، والرهن، والکتابة، ونذر عدم المقاربة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وطئها من غیر إخراجٍ للاُولی لم یکن زنا</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یشکل الحکم بأنّ وطأها لا یکون زناً، وبأنّ الولد یلحق به، نعم، لا یحدّ حدّالزنا، بل یُعزَّر، کما تقدّم فی المسألة الأربعین؛ فإنّ الحدود تُدرَأ بالشبهات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یُحَدّ، ویُلحَق به الولد، نعم، یُعزَّر</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138910_2322387425"/>
      <w:bookmarkStart w:id="678" w:name="_Toc248"/>
      <w:bookmarkEnd w:id="677"/>
      <w:r>
        <w:rPr>
          <w:rtl w:val="true"/>
        </w:rPr>
        <w:t>وطء الثانیة بعد وطء الاُولی</w:t>
      </w:r>
      <w:bookmarkEnd w:id="67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الثانیة بعد وطء الاُولی حَرُمَتا</w:t>
      </w:r>
      <w:r>
        <w:rPr>
          <w:rStyle w:val="FootnoteAnchor"/>
          <w:rtl w:val="true"/>
        </w:rPr>
        <w:footnoteReference w:id="1156"/>
      </w:r>
      <w:r>
        <w:rPr>
          <w:rFonts w:ascii="IRNazanin" w:hAnsi="IRNazanin" w:eastAsia="IRNazanin"/>
          <w:color w:val="111111"/>
          <w:sz w:val="28"/>
          <w:sz w:val="28"/>
          <w:szCs w:val="28"/>
          <w:rtl w:val="true"/>
          <w:lang w:bidi="fa-IR"/>
        </w:rPr>
        <w:t> علیه مع علمه  بالموضوع والحکم، وحینئذٍ فإن أخرج الاُولی عن مِلکه حلّت الثانیة مطلقاً وإن کان ذلک بقصد الرجوع إلیها، وإن أخرج الثانیة عن مِلکه یشترط</w:t>
      </w:r>
      <w:r>
        <w:rPr>
          <w:rStyle w:val="FootnoteAnchor"/>
          <w:rtl w:val="true"/>
        </w:rPr>
        <w:footnoteReference w:id="1157"/>
      </w:r>
      <w:r>
        <w:rPr>
          <w:rFonts w:ascii="IRNazanin" w:hAnsi="IRNazanin" w:eastAsia="IRNazanin"/>
          <w:color w:val="111111"/>
          <w:sz w:val="28"/>
          <w:sz w:val="28"/>
          <w:szCs w:val="28"/>
          <w:rtl w:val="true"/>
          <w:lang w:bidi="fa-IR"/>
        </w:rPr>
        <w:t xml:space="preserve"> فی </w:t>
      </w:r>
      <w:bookmarkStart w:id="679" w:name="pg13286_153977"/>
    </w:p>
    <w:p>
      <w:pPr>
        <w:pStyle w:val="BookText"/>
        <w:rPr/>
      </w:pPr>
      <w:bookmarkEnd w:id="679"/>
      <w:r>
        <w:rPr>
          <w:rFonts w:ascii="Amiri" w:hAnsi="Amiri" w:eastAsia="Amiri" w:cs="Amiri"/>
          <w:color w:val="111111"/>
          <w:sz w:val="28"/>
          <w:sz w:val="28"/>
          <w:szCs w:val="28"/>
          <w:rtl w:val="true"/>
          <w:lang w:bidi="ar-SA"/>
        </w:rPr>
        <w:t>حِلِّیة الاُولی أن یکون إخراجه لها لا بقصد الرجوع إلی الاُولی، وإلّا لم 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فی صورة الجهل بالحرمة موضوعاً أو حکماً فلا یبعد بقاء الاُولی علی حِلِّیتها، والثانیة علی حرمتها</w:t>
      </w:r>
      <w:r>
        <w:rPr>
          <w:rStyle w:val="FootnoteAnchor"/>
          <w:rtl w:val="true"/>
        </w:rPr>
        <w:footnoteReference w:id="1158"/>
      </w:r>
      <w:r>
        <w:rPr>
          <w:rFonts w:ascii="IRNazanin" w:hAnsi="IRNazanin" w:eastAsia="IRNazanin"/>
          <w:color w:val="111111"/>
          <w:sz w:val="28"/>
          <w:sz w:val="28"/>
          <w:szCs w:val="28"/>
          <w:rtl w:val="true"/>
          <w:lang w:bidi="fa-IR"/>
        </w:rPr>
        <w:t>، وإن کان الأحوط عدم حِلِّیة الاُولی إلّا بإخراج الثانیة ولو کان بقصد الرجوع إلی الاُولی، وأحوط من ذلک کونها کصورة العلم</w:t>
      </w:r>
      <w:r>
        <w:rPr>
          <w:rFonts w:eastAsia="IRNazanin" w:cs="IRNazanin"/>
          <w:color w:val="111111"/>
          <w:sz w:val="28"/>
          <w:szCs w:val="28"/>
          <w:rtl w:val="true"/>
          <w:lang w:bidi="fa-IR"/>
        </w:rPr>
        <w:t>.</w:t>
      </w:r>
    </w:p>
    <w:p>
      <w:pPr>
        <w:pStyle w:val="Heading4"/>
        <w:numPr>
          <w:ilvl w:val="3"/>
          <w:numId w:val="1"/>
        </w:numPr>
        <w:rPr/>
      </w:pPr>
      <w:bookmarkStart w:id="680" w:name="__RefHeading___Toc2138912_2322387425"/>
      <w:bookmarkStart w:id="681" w:name="_Toc249"/>
      <w:bookmarkEnd w:id="680"/>
      <w:r>
        <w:rPr>
          <w:rtl w:val="true"/>
        </w:rPr>
        <w:t>حکم الجمع بین الاُختین من الزنا</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الاُختان کِلتاهما أو إحداهما من الزنا فالأحوط</w:t>
      </w:r>
      <w:r>
        <w:rPr>
          <w:rStyle w:val="FootnoteAnchor"/>
          <w:rtl w:val="true"/>
        </w:rPr>
        <w:footnoteReference w:id="1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الحکم، من حرمة الجمع بینهما فی النکاح والوطء إذا کانتا مملوکتین</w:t>
      </w:r>
      <w:r>
        <w:rPr>
          <w:rFonts w:eastAsia="IRNazanin" w:cs="IRNazanin"/>
          <w:color w:val="111111"/>
          <w:sz w:val="28"/>
          <w:szCs w:val="28"/>
          <w:rtl w:val="true"/>
          <w:lang w:bidi="fa-IR"/>
        </w:rPr>
        <w:t>.</w:t>
      </w:r>
    </w:p>
    <w:p>
      <w:pPr>
        <w:pStyle w:val="Heading4"/>
        <w:numPr>
          <w:ilvl w:val="3"/>
          <w:numId w:val="1"/>
        </w:numPr>
        <w:rPr/>
      </w:pPr>
      <w:bookmarkStart w:id="682" w:name="__RefHeading___Toc2138914_2322387425"/>
      <w:bookmarkStart w:id="683" w:name="_Toc250"/>
      <w:bookmarkEnd w:id="682"/>
      <w:r>
        <w:rPr>
          <w:rtl w:val="true"/>
        </w:rPr>
        <w:t>حکم التزوّج بإحدی الاُختین فی عدّة اُختها</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بإحدی الاُختَین ثمّ طلّقها طلاقاً رجعیّاً لا یجوز له نکاح الاُخری إلّا بعد خروج الاُولی عن العِدّة، وأمّا إذا کان بائناً ـ بأن کان قبل الدخول، أو ثالثاً، أو کان الفراق بالفسخ لأحد العیوب، أو بالخُلع، أو المباراة ـ جاز له نکاح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صحّة</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رجوع الزوجة فی  البذل بعد تزویج اُختها، کما سیأتی فی باب الخُلع إن شاء الله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عنده إحدی الاُختَین بعقد الانقطاع وانقضت المدّة لا یجوز </w:t>
      </w:r>
      <w:bookmarkStart w:id="684" w:name="pg13286_153978"/>
    </w:p>
    <w:p>
      <w:pPr>
        <w:pStyle w:val="BookText"/>
        <w:rPr/>
      </w:pPr>
      <w:bookmarkEnd w:id="684"/>
      <w:r>
        <w:rPr>
          <w:rFonts w:ascii="IRNazanin" w:hAnsi="IRNazanin" w:eastAsia="IRNazanin"/>
          <w:color w:val="111111"/>
          <w:sz w:val="28"/>
          <w:sz w:val="28"/>
          <w:szCs w:val="28"/>
          <w:rtl w:val="true"/>
          <w:lang w:bidi="fa-IR"/>
        </w:rPr>
        <w:t>له علی الأحوط</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ولکنّه خلاف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اُختها فی عدّتها وإن کانت بائنة؛ للنصّ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الساقط عن الحجّیّة بإعراض المشهور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کذلک إذا وهب مدّتها، وإن کان مورد النصّ انقضاء المدّة</w:t>
      </w:r>
      <w:r>
        <w:rPr>
          <w:rFonts w:eastAsia="IRNazanin" w:cs="IRNazanin"/>
          <w:color w:val="111111"/>
          <w:sz w:val="28"/>
          <w:szCs w:val="28"/>
          <w:rtl w:val="true"/>
          <w:lang w:bidi="fa-IR"/>
        </w:rPr>
        <w:t>.</w:t>
      </w:r>
    </w:p>
    <w:p>
      <w:pPr>
        <w:pStyle w:val="Heading4"/>
        <w:numPr>
          <w:ilvl w:val="3"/>
          <w:numId w:val="1"/>
        </w:numPr>
        <w:rPr/>
      </w:pPr>
      <w:bookmarkStart w:id="685" w:name="__RefHeading___Toc2138916_2322387425"/>
      <w:bookmarkStart w:id="686" w:name="_Toc251"/>
      <w:bookmarkEnd w:id="685"/>
      <w:r>
        <w:rPr>
          <w:rtl w:val="true"/>
        </w:rPr>
        <w:t>حکم التزوّج بإحدی الاُختین مع الزنا بالاُخری أو وطئها شبهة</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بإحدی الاُختَین جاز له نکاح الاُخری فی مدّة استبراء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وطئها شبهةً جاز له نکاح اُختها فی عدّتها؛ لأنّها بائنة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الأحوط</w:t>
      </w:r>
      <w:r>
        <w:rPr>
          <w:rStyle w:val="FootnoteAnchor"/>
          <w:rtl w:val="true"/>
        </w:rPr>
        <w:footnoteReference w:id="1163"/>
      </w:r>
      <w:r>
        <w:rPr>
          <w:rFonts w:ascii="IRNazanin" w:hAnsi="IRNazanin" w:eastAsia="IRNazanin"/>
          <w:color w:val="111111"/>
          <w:sz w:val="28"/>
          <w:sz w:val="28"/>
          <w:szCs w:val="28"/>
          <w:rtl w:val="true"/>
          <w:lang w:bidi="fa-IR"/>
        </w:rPr>
        <w:t> اعتبار الخروج</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احتمال التعدّی عن مورد الخبر، إنّما یحسن الاحتیاط بترک وطءالاُخت فی مدّة عدّة وطء الشبهة، لا ترک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صورة</w:t>
      </w:r>
      <w:bookmarkStart w:id="687" w:name="pg13286_153979"/>
    </w:p>
    <w:p>
      <w:pPr>
        <w:pStyle w:val="BookText"/>
        <w:rPr/>
      </w:pPr>
      <w:bookmarkEnd w:id="687"/>
      <w:r>
        <w:rPr>
          <w:rFonts w:ascii="IRNazanin" w:hAnsi="IRNazanin" w:eastAsia="IRNazanin"/>
          <w:color w:val="111111"/>
          <w:sz w:val="28"/>
          <w:sz w:val="28"/>
          <w:szCs w:val="28"/>
          <w:rtl w:val="true"/>
          <w:lang w:bidi="fa-IR"/>
        </w:rPr>
        <w:t>کون الشبهة من طَرَفه، والزنا من طرفها، من جهة الخبر</w:t>
      </w:r>
      <w:r>
        <w:rPr>
          <w:rStyle w:val="FootnoteAnchor"/>
          <w:rtl w:val="true"/>
        </w:rPr>
        <w:footnoteReference w:id="1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صحیحة برید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العیوب والتدلیس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غیر مربوطةٍ بالمقام، بل یمکن دعوی إشعارهابخلاف ما ذکره، نعم، الأحوط ترک وطء الاُخت الّتی هی زوجته مع وطء اُختهاالمدلّسة؛ للصحیحة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جعله مستنداً فی قبال عموم الحِلّ مشکل، خصوصاً مع التعدّی عن مورده،اللهمّ إلّا أن یُدّعی تنقیح المناط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صحیح، ومثله صحیح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بالمصاهرة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هذاالحکم، وإنکان مورده غیر صورة التدلیس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الخبر لا یرتبط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الخبر یدلّ علی النهی عن قرب الزوجة قبل خروج اُختها الموطوءة شبهةًعن عدّتها، وهو غیر ما نحن فیه، إلّا أن یُستفاد منه حکم المقام؛ لعدم الفرق، لکنّهمحلّ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تدلیس الاُخت الّتی نامت فی فراش اُختها بعد لبسها لباسها</w:t>
      </w:r>
      <w:r>
        <w:rPr>
          <w:rFonts w:eastAsia="IRNazanin" w:cs="IRNazanin"/>
          <w:color w:val="111111"/>
          <w:sz w:val="28"/>
          <w:szCs w:val="28"/>
          <w:rtl w:val="true"/>
          <w:lang w:bidi="fa-IR"/>
        </w:rPr>
        <w:t>.</w:t>
      </w:r>
    </w:p>
    <w:p>
      <w:pPr>
        <w:pStyle w:val="Heading4"/>
        <w:numPr>
          <w:ilvl w:val="3"/>
          <w:numId w:val="1"/>
        </w:numPr>
        <w:rPr/>
      </w:pPr>
      <w:bookmarkStart w:id="688" w:name="__RefHeading___Toc2138918_2322387425"/>
      <w:bookmarkStart w:id="689" w:name="_Toc252"/>
      <w:bookmarkEnd w:id="688"/>
      <w:r>
        <w:rPr>
          <w:rtl w:val="true"/>
        </w:rPr>
        <w:t>حکم الجمع بین فاطمیّتین</w:t>
      </w:r>
      <w:bookmarkEnd w:id="68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 الجمع</w:t>
      </w:r>
      <w:r>
        <w:rPr>
          <w:rStyle w:val="FootnoteAnchor"/>
          <w:rtl w:val="true"/>
        </w:rPr>
        <w:footnoteReference w:id="1166"/>
      </w:r>
      <w:r>
        <w:rPr>
          <w:rFonts w:ascii="Amiri" w:hAnsi="Amiri" w:eastAsia="Amiri" w:cs="Amiri"/>
          <w:color w:val="111111"/>
          <w:sz w:val="28"/>
          <w:sz w:val="28"/>
          <w:szCs w:val="28"/>
          <w:rtl w:val="true"/>
          <w:lang w:bidi="ar-SA"/>
        </w:rPr>
        <w:t xml:space="preserve"> بین فاطمیَّتین علی </w:t>
      </w:r>
    </w:p>
    <w:p>
      <w:pPr>
        <w:pStyle w:val="BookText"/>
        <w:rPr/>
      </w:pPr>
      <w:r>
        <w:rPr>
          <w:rFonts w:ascii="IRNazanin" w:hAnsi="IRNazanin" w:eastAsia="IRNazanin"/>
          <w:color w:val="111111"/>
          <w:sz w:val="28"/>
          <w:sz w:val="28"/>
          <w:szCs w:val="28"/>
          <w:rtl w:val="true"/>
          <w:lang w:bidi="fa-IR"/>
        </w:rPr>
        <w:t>کراهة</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w:t>
      </w:r>
      <w:r>
        <w:rPr>
          <w:rStyle w:val="FootnoteAnchor"/>
          <w:rtl w:val="true"/>
        </w:rPr>
        <w:footnoteReference w:id="1168"/>
      </w:r>
      <w:r>
        <w:rPr>
          <w:rFonts w:ascii="IRNazanin" w:hAnsi="IRNazanin" w:eastAsia="IRNazanin"/>
          <w:color w:val="111111"/>
          <w:sz w:val="28"/>
          <w:sz w:val="28"/>
          <w:szCs w:val="28"/>
          <w:rtl w:val="true"/>
          <w:lang w:bidi="fa-IR"/>
        </w:rPr>
        <w:t>من الأخباریّة</w:t>
      </w:r>
      <w:r>
        <w:rPr>
          <w:rStyle w:val="FootnoteAnchor"/>
          <w:rtl w:val="true"/>
        </w:rPr>
        <w:footnoteReference w:id="1169"/>
      </w:r>
      <w:r>
        <w:rPr>
          <w:rFonts w:ascii="IRNazanin" w:hAnsi="IRNazanin" w:eastAsia="IRNazanin"/>
          <w:color w:val="111111"/>
          <w:sz w:val="28"/>
          <w:sz w:val="28"/>
          <w:szCs w:val="28"/>
          <w:rtl w:val="true"/>
          <w:lang w:bidi="fa-IR"/>
        </w:rPr>
        <w:t> إلی الحرمة والبطلان بالنسبة إلی الثانیة، ومنهم</w:t>
      </w:r>
      <w:r>
        <w:rPr>
          <w:rStyle w:val="FootnoteAnchor"/>
          <w:rtl w:val="true"/>
        </w:rPr>
        <w:footnoteReference w:id="1170"/>
      </w:r>
      <w:r>
        <w:rPr>
          <w:rFonts w:ascii="IRNazanin" w:hAnsi="IRNazanin" w:eastAsia="IRNazanin"/>
          <w:color w:val="111111"/>
          <w:sz w:val="28"/>
          <w:sz w:val="28"/>
          <w:szCs w:val="28"/>
          <w:rtl w:val="true"/>
          <w:lang w:bidi="fa-IR"/>
        </w:rPr>
        <w:t>من قال بالحرمة دون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جمع بینهما فالأحوط طلاق الثانیة، أو طلاق الاُولی، وتجدید العقد علی الثانیة بعد خروج الاُولی عن العِدّة، وإن کان الأظهر علی القول بالحرمة عدم البطلان؛ لأنّها تکلیفیّة فلا تدلّ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عدم الفرق فی الحرمة أو الکراهة بین کون الجامع بینهما فاطمیّاً، أوْ لا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الظاهر</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 الخبر خلافه؛ فإنّ المذکور فیه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فاطمة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الکراهة أو الحرمة بمَن کانت فاطمیّةً من طرف الأبوَین أو الأب، فلا تجری فی المنتَسَب إلیها ـ صلوات الله علیها ـ من طرف الاُمّ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إذا کان انتسابها إلیها بإحدی الجَدّات العالیات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فالأقوی عدم الحرمة وإن کان النصّ</w:t>
      </w:r>
      <w:r>
        <w:rPr>
          <w:rStyle w:val="FootnoteAnchor"/>
          <w:rtl w:val="true"/>
        </w:rPr>
        <w:footnoteReference w:id="1173"/>
      </w:r>
      <w:r>
        <w:rPr>
          <w:rFonts w:ascii="IRNazanin" w:hAnsi="IRNazanin" w:eastAsia="IRNazanin"/>
          <w:color w:val="111111"/>
          <w:sz w:val="28"/>
          <w:sz w:val="28"/>
          <w:szCs w:val="28"/>
          <w:rtl w:val="true"/>
          <w:lang w:bidi="fa-IR"/>
        </w:rPr>
        <w:t xml:space="preserve"> الوارد فی المنع </w:t>
      </w:r>
    </w:p>
    <w:p>
      <w:pPr>
        <w:pStyle w:val="BookText"/>
        <w:rPr/>
      </w:pPr>
      <w:r>
        <w:rPr>
          <w:rFonts w:ascii="Amiri" w:hAnsi="Amiri" w:eastAsia="Amiri" w:cs="Amiri"/>
          <w:color w:val="111111"/>
          <w:sz w:val="28"/>
          <w:sz w:val="28"/>
          <w:szCs w:val="28"/>
          <w:rtl w:val="true"/>
          <w:lang w:bidi="ar-SA"/>
        </w:rPr>
        <w:t>صحیحاً</w:t>
      </w:r>
      <w:r>
        <w:rPr>
          <w:rStyle w:val="FootnoteAnchor"/>
          <w:rtl w:val="true"/>
        </w:rPr>
        <w:footnoteReference w:id="1174"/>
      </w:r>
      <w:r>
        <w:rPr>
          <w:rFonts w:ascii="IRNazanin" w:hAnsi="IRNazanin" w:eastAsia="IRNazanin"/>
          <w:color w:val="111111"/>
          <w:sz w:val="28"/>
          <w:sz w:val="28"/>
          <w:szCs w:val="28"/>
          <w:rtl w:val="true"/>
          <w:lang w:bidi="fa-IR"/>
        </w:rPr>
        <w:t>، علی ما رواه الصدوق فی العلل، بإسناده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w:t>
      </w:r>
    </w:p>
    <w:p>
      <w:pPr>
        <w:pStyle w:val="BookText"/>
        <w:rPr/>
      </w:pPr>
      <w:r>
        <w:rPr>
          <w:rFonts w:ascii="Amiri" w:hAnsi="Amiri" w:eastAsia="Amiri" w:cs="Amiri"/>
          <w:color w:val="111111"/>
          <w:sz w:val="28"/>
          <w:sz w:val="28"/>
          <w:szCs w:val="28"/>
          <w:rtl w:val="true"/>
          <w:lang w:bidi="ar-SA"/>
        </w:rPr>
        <w:t>أبا عبدالله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لأحد أن یجمع بین ثِنتَین من وُلدِ فاطمة  علیها السّلام إنَّ ذلک یَبلُغُها فَیَشُقُّ علیها</w:t>
      </w:r>
      <w:r>
        <w:rPr>
          <w:rFonts w:eastAsia="Amiri" w:cs="Amiri" w:ascii="Amiri" w:hAnsi="Amiri"/>
          <w:color w:val="111111"/>
          <w:sz w:val="28"/>
          <w:szCs w:val="28"/>
          <w:rtl w:val="true"/>
          <w:lang w:bidi="ar-SA"/>
        </w:rPr>
        <w:t>»</w:t>
      </w:r>
      <w:r>
        <w:rPr>
          <w:rStyle w:val="FootnoteAnchor"/>
          <w:rtl w:val="true"/>
        </w:rPr>
        <w:footnoteReference w:id="1175"/>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لإعراض</w:t>
      </w:r>
      <w:r>
        <w:rPr>
          <w:rStyle w:val="FootnoteAnchor"/>
          <w:rtl w:val="true"/>
        </w:rPr>
        <w:footnoteReference w:id="1177"/>
      </w:r>
      <w:r>
        <w:rPr>
          <w:rFonts w:ascii="IRNazanin" w:hAnsi="IRNazanin" w:eastAsia="IRNazanin"/>
          <w:color w:val="111111"/>
          <w:sz w:val="28"/>
          <w:sz w:val="28"/>
          <w:szCs w:val="28"/>
          <w:rtl w:val="true"/>
          <w:lang w:bidi="fa-IR"/>
        </w:rPr>
        <w:t> المشهور عنه</w:t>
      </w:r>
      <w:r>
        <w:rPr>
          <w:rStyle w:val="FootnoteAnchor"/>
          <w:rtl w:val="true"/>
        </w:rPr>
        <w:footnoteReference w:id="1178"/>
      </w:r>
      <w:r>
        <w:rPr>
          <w:rFonts w:ascii="IRNazanin" w:hAnsi="IRNazanin" w:eastAsia="IRNazanin"/>
          <w:color w:val="111111"/>
          <w:sz w:val="28"/>
          <w:sz w:val="28"/>
          <w:szCs w:val="28"/>
          <w:rtl w:val="true"/>
          <w:lang w:bidi="fa-IR"/>
        </w:rPr>
        <w:t>، مع أنّ تعلیله ظاهر</w:t>
      </w:r>
      <w:r>
        <w:rPr>
          <w:rStyle w:val="FootnoteAnchor"/>
          <w:rtl w:val="true"/>
        </w:rPr>
        <w:footnoteReference w:id="1179"/>
      </w:r>
      <w:r>
        <w:rPr>
          <w:rFonts w:ascii="Amiri" w:hAnsi="Amiri" w:eastAsia="Amiri" w:cs="Amiri"/>
          <w:color w:val="111111"/>
          <w:sz w:val="28"/>
          <w:sz w:val="28"/>
          <w:szCs w:val="28"/>
          <w:rtl w:val="true"/>
          <w:lang w:bidi="ar-SA"/>
        </w:rPr>
        <w:t> فی الکراهة؛ إذ لا نُسلِّم</w:t>
      </w:r>
      <w:r>
        <w:rPr>
          <w:rStyle w:val="FootnoteAnchor"/>
          <w:rtl w:val="true"/>
        </w:rPr>
        <w:footnoteReference w:id="1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لا یسلم، والحال أنّ المشقّة تلازم الإیذاء؟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مطلق کون ذلک شاقّاً علیها إیذاء لها، حتّی یدخل فی قوله صلی الله علیه و آله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90" w:name="pg13286_153982"/>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 فقد آذانی</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2138920_2322387425"/>
      <w:bookmarkStart w:id="692" w:name="_Toc253"/>
      <w:bookmarkEnd w:id="691"/>
      <w:r>
        <w:rPr>
          <w:rtl w:val="true"/>
        </w:rPr>
        <w:t>التزویج بالإماء</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Style w:val="FootnoteAnchor"/>
          <w:rtl w:val="true"/>
        </w:rPr>
        <w:footnoteReference w:id="1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r>
        <w:rPr>
          <w:rStyle w:val="FootnoteAnchor"/>
          <w:rtl w:val="true"/>
        </w:rPr>
        <w:footnoteReference w:id="1183"/>
      </w:r>
      <w:r>
        <w:rPr>
          <w:rFonts w:ascii="IRNazanin" w:hAnsi="IRNazanin" w:eastAsia="IRNazanin"/>
          <w:color w:val="111111"/>
          <w:sz w:val="28"/>
          <w:sz w:val="28"/>
          <w:szCs w:val="28"/>
          <w:rtl w:val="true"/>
          <w:lang w:bidi="fa-IR"/>
        </w:rPr>
        <w:t> ترک تزویج الأمة</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الابتلاء بهذه المسألة وما بعدها من المسائل الراجعة إلی أحکام العبیدوالإماء أغنانا عن التعرّض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منه  قدّس سرّه أوردناها من نسخةٍ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الابتلاء بهذه المسألة وما بعدها من مسائل أحکام العبید والإماء یغنینا عنالتعرّض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دواماً مع عدم الشرطَین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عدم التمکّن من المهر للحرّة، وخوف العَنَت</w:t>
      </w:r>
      <w:r>
        <w:rPr>
          <w:rStyle w:val="FootnoteAnchor"/>
          <w:rtl w:val="true"/>
        </w:rPr>
        <w:footnoteReference w:id="1185"/>
      </w:r>
      <w:r>
        <w:rPr>
          <w:rFonts w:ascii="IRNazanin" w:hAnsi="IRNazanin" w:eastAsia="IRNazanin"/>
          <w:color w:val="111111"/>
          <w:sz w:val="28"/>
          <w:sz w:val="28"/>
          <w:szCs w:val="28"/>
          <w:rtl w:val="true"/>
          <w:lang w:bidi="fa-IR"/>
        </w:rPr>
        <w:t xml:space="preserve">، بمعنی </w:t>
      </w:r>
    </w:p>
    <w:p>
      <w:pPr>
        <w:pStyle w:val="BookText"/>
        <w:rPr/>
      </w:pPr>
      <w:r>
        <w:rPr>
          <w:rFonts w:ascii="Amiri" w:hAnsi="Amiri" w:eastAsia="Amiri" w:cs="Amiri"/>
          <w:color w:val="111111"/>
          <w:sz w:val="28"/>
          <w:sz w:val="28"/>
          <w:szCs w:val="28"/>
          <w:rtl w:val="true"/>
          <w:lang w:bidi="ar-SA"/>
        </w:rPr>
        <w:t>المشقّة</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المشقّة الشدیدة، وخشیة العنت الخوف من وطأته بما یجلبه علی النفسمن ضغوط، وبما قد یتبعه من آثار ومحاذیر عرفیّة أو شرعیّة، ولا تختصّ محاذیرهبخوف الوقوع فی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الوقوع فی الزنا،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ترکه متعةً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القول بالجواز فیها غیر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التفصیل بین المتعة والدوام 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 الشرطَین فلا إشکال فی الجواز؛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یَسْتَطِـعْ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Style w:val="FootnoteAnchor"/>
          <w:rtl w:val="true"/>
        </w:rPr>
        <w:footnoteReference w:id="1187"/>
      </w:r>
      <w:r>
        <w:rPr>
          <w:rFonts w:ascii="IRNazanin" w:hAnsi="IRNazanin" w:eastAsia="IRNazanin"/>
          <w:color w:val="111111"/>
          <w:sz w:val="28"/>
          <w:sz w:val="28"/>
          <w:szCs w:val="28"/>
          <w:rtl w:val="true"/>
          <w:lang w:bidi="fa-IR"/>
        </w:rPr>
        <w:t>، ومع ذلک الصبر أفضل فی صورة عدم خوف الوقوع فی الزنا</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لا إشکال فی جواز وطئها بالملک، بل وکذا بالتحلیل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بین القِنّ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جوازه</w:t>
      </w:r>
      <w:r>
        <w:rPr>
          <w:rStyle w:val="FootnoteAnchor"/>
          <w:rtl w:val="true"/>
        </w:rPr>
        <w:footnoteReference w:id="1189"/>
      </w:r>
      <w:r>
        <w:rPr>
          <w:rFonts w:ascii="IRNazanin" w:hAnsi="IRNazanin" w:eastAsia="IRNazanin"/>
          <w:color w:val="111111"/>
          <w:sz w:val="28"/>
          <w:sz w:val="28"/>
          <w:szCs w:val="28"/>
          <w:rtl w:val="true"/>
          <w:lang w:bidi="fa-IR"/>
        </w:rPr>
        <w:t xml:space="preserve"> فی </w:t>
      </w:r>
      <w:bookmarkStart w:id="693" w:name="pg13286_153984"/>
    </w:p>
    <w:p>
      <w:pPr>
        <w:pStyle w:val="BookText"/>
        <w:rPr/>
      </w:pPr>
      <w:bookmarkEnd w:id="693"/>
      <w:r>
        <w:rPr>
          <w:rFonts w:ascii="Amiri" w:hAnsi="Amiri" w:eastAsia="Amiri" w:cs="Amiri"/>
          <w:color w:val="111111"/>
          <w:sz w:val="28"/>
          <w:sz w:val="28"/>
          <w:szCs w:val="28"/>
          <w:rtl w:val="true"/>
          <w:lang w:bidi="ar-SA"/>
        </w:rPr>
        <w:t>المُبَعَّضة</w:t>
      </w:r>
      <w:r>
        <w:rPr>
          <w:rStyle w:val="FootnoteAnchor"/>
          <w:rtl w:val="true"/>
        </w:rPr>
        <w:footnoteReference w:id="1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بعدم تزویجها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المبعَّضة فی حکم الأمة؛ من جهة مملوکیّة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 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وإن لم یصدق الحرّة أیضاً</w:t>
      </w:r>
      <w:r>
        <w:rPr>
          <w:rFonts w:eastAsia="IRNazanin" w:cs="IRNazanin"/>
          <w:color w:val="111111"/>
          <w:sz w:val="28"/>
          <w:szCs w:val="28"/>
          <w:rtl w:val="true"/>
          <w:lang w:bidi="fa-IR"/>
        </w:rPr>
        <w:t>.</w:t>
      </w:r>
    </w:p>
    <w:p>
      <w:pPr>
        <w:pStyle w:val="Heading4"/>
        <w:numPr>
          <w:ilvl w:val="3"/>
          <w:numId w:val="1"/>
        </w:numPr>
        <w:rPr/>
      </w:pPr>
      <w:bookmarkStart w:id="694" w:name="__RefHeading___Toc2138922_2322387425"/>
      <w:bookmarkStart w:id="695" w:name="_Toc254"/>
      <w:bookmarkEnd w:id="694"/>
      <w:r>
        <w:rPr>
          <w:rtl w:val="true"/>
        </w:rPr>
        <w:t>تزویج الأمة مع عدم الشرطین</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تزوّجها مع عدم الشرطَین فالأحوط</w:t>
      </w:r>
      <w:r>
        <w:rPr>
          <w:rStyle w:val="FootnoteAnchor"/>
          <w:rtl w:val="true"/>
        </w:rPr>
        <w:footnoteReference w:id="1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وإن کان الظاهر بطلان التزویج لفقد الشرطین من غیرحاجة إلی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طلاقها، ولو حصلا بعد التزویج جدّد نکاحها إن أراد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2138924_2322387425"/>
      <w:bookmarkStart w:id="697" w:name="_Toc255"/>
      <w:bookmarkEnd w:id="696"/>
      <w:r>
        <w:rPr>
          <w:rtl w:val="true"/>
        </w:rPr>
        <w:t>تحقّق الشرطین وزوالهما بعد التزوج</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تحقّق الشرطان فتزوّجها ثمّ زالا، أو زال أحدهما لم یبطل، ولا یجب الطلاق</w:t>
      </w:r>
      <w:r>
        <w:rPr>
          <w:rFonts w:eastAsia="IRNazanin" w:cs="IRNazanin"/>
          <w:color w:val="111111"/>
          <w:sz w:val="28"/>
          <w:szCs w:val="28"/>
          <w:rtl w:val="true"/>
          <w:lang w:bidi="fa-IR"/>
        </w:rPr>
        <w:t>.</w:t>
      </w:r>
    </w:p>
    <w:p>
      <w:pPr>
        <w:pStyle w:val="Heading4"/>
        <w:numPr>
          <w:ilvl w:val="3"/>
          <w:numId w:val="1"/>
        </w:numPr>
        <w:rPr/>
      </w:pPr>
      <w:bookmarkStart w:id="698" w:name="__RefHeading___Toc2138926_2322387425"/>
      <w:bookmarkStart w:id="699" w:name="_Toc256"/>
      <w:bookmarkEnd w:id="698"/>
      <w:r>
        <w:rPr>
          <w:rtl w:val="true"/>
        </w:rPr>
        <w:t>الوطء بالتحلیل أو بملک الیمین</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یجد الطَول أو خاف</w:t>
      </w:r>
      <w:r>
        <w:rPr>
          <w:rStyle w:val="FootnoteAnchor"/>
          <w:rtl w:val="true"/>
        </w:rPr>
        <w:footnoteReference w:id="1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من الناسخ، 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مع التمکّن منوطء الأمة بالمِلک أو التحلیل ینتفی موضوع خوف العَنَت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من الناسخ؛ فإنّ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العَنَت، والظاهر عدم جوازالتزویج فی مفروض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العَنَت ولکن أمکنه الوطء</w:t>
      </w:r>
      <w:bookmarkStart w:id="700" w:name="pg13286_153985"/>
    </w:p>
    <w:p>
      <w:pPr>
        <w:pStyle w:val="BookText"/>
        <w:rPr/>
      </w:pPr>
      <w:bookmarkEnd w:id="700"/>
      <w:r>
        <w:rPr>
          <w:rFonts w:ascii="IRNazanin" w:hAnsi="IRNazanin" w:eastAsia="IRNazanin"/>
          <w:color w:val="111111"/>
          <w:sz w:val="28"/>
          <w:sz w:val="28"/>
          <w:szCs w:val="28"/>
          <w:rtl w:val="true"/>
          <w:lang w:bidi="fa-IR"/>
        </w:rPr>
        <w:t>بالتحلیل أو بِمِلک الیمین یشکل جواز التزویج</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138928_2322387425"/>
      <w:bookmarkStart w:id="702" w:name="_Toc257"/>
      <w:bookmarkEnd w:id="701"/>
      <w:r>
        <w:rPr>
          <w:rtl w:val="true"/>
        </w:rPr>
        <w:t>تزویج حرّة لا یقدر علی مقاربتها</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تمکّن من تزویج حرّةٍ لا یقدر علی مقاربتها لمرضٍ أو رَتقٍ أو قَرنٍ</w:t>
      </w:r>
      <w:r>
        <w:rPr>
          <w:rStyle w:val="FootnoteAnchor"/>
          <w:rtl w:val="true"/>
        </w:rPr>
        <w:footnoteReference w:id="1194"/>
      </w:r>
      <w:r>
        <w:rPr>
          <w:rFonts w:ascii="Amiri" w:hAnsi="Amiri" w:eastAsia="Amiri" w:cs="Amiri"/>
          <w:color w:val="111111"/>
          <w:sz w:val="28"/>
          <w:sz w:val="28"/>
          <w:szCs w:val="28"/>
          <w:rtl w:val="true"/>
          <w:lang w:bidi="ar-SA"/>
        </w:rPr>
        <w:t>أو صِغَرٍ، أو نحو ذلک فکما لم یتمکّن</w:t>
      </w:r>
      <w:r>
        <w:rPr>
          <w:rStyle w:val="FootnoteAnchor"/>
          <w:rtl w:val="true"/>
        </w:rPr>
        <w:footnoteReference w:id="1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فیه وفی ما ذکره بعده مشروط بإذن الحرّة،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کانت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یعتبر حینئذٍ فی نکاحها مع الشرطین إذن الحرّة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حینئذٍ مع الشرطَین إذن الحرّة الموجودة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أو کانت زوجته الحرّة غائبة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2138930_2322387425"/>
      <w:bookmarkStart w:id="704" w:name="_Toc258"/>
      <w:bookmarkEnd w:id="703"/>
      <w:r>
        <w:rPr>
          <w:rtl w:val="true"/>
        </w:rPr>
        <w:t>من لم تکفه مع الشرطین أمة واحدة</w:t>
      </w:r>
      <w:bookmarkEnd w:id="70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تکفِهِ فی صورة تحقّق الشرطَین أمة واحدة یجوز </w:t>
      </w:r>
      <w:bookmarkStart w:id="705" w:name="pg13286_153986"/>
    </w:p>
    <w:p>
      <w:pPr>
        <w:pStyle w:val="BookText"/>
        <w:rPr/>
      </w:pPr>
      <w:bookmarkEnd w:id="705"/>
      <w:r>
        <w:rPr>
          <w:rFonts w:ascii="IRNazanin" w:hAnsi="IRNazanin" w:eastAsia="IRNazanin"/>
          <w:color w:val="111111"/>
          <w:sz w:val="28"/>
          <w:sz w:val="28"/>
          <w:szCs w:val="28"/>
          <w:rtl w:val="true"/>
          <w:lang w:bidi="fa-IR"/>
        </w:rPr>
        <w:t>الاثنتین، أمّا الأزید فلا یجوز، کما سیأتی</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2138932_2322387425"/>
      <w:bookmarkStart w:id="707" w:name="_Toc259"/>
      <w:bookmarkEnd w:id="706"/>
      <w:r>
        <w:rPr>
          <w:rtl w:val="true"/>
        </w:rPr>
        <w:t>طلب الحرّة مهراً بمقدار یعدّ ضرراً علیه</w:t>
      </w:r>
      <w:bookmarkEnd w:id="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قادراً علی مهر الحرّة لکنّها ترید أزید من مهر أمثالها بمقدارٍ یُعدُّ ضرراً</w:t>
      </w:r>
      <w:r>
        <w:rPr>
          <w:rStyle w:val="FootnoteAnchor"/>
          <w:rtl w:val="true"/>
        </w:rPr>
        <w:footnoteReference w:id="1197"/>
      </w:r>
      <w:r>
        <w:rPr>
          <w:rFonts w:ascii="IRNazanin" w:hAnsi="IRNazanin" w:eastAsia="IRNazanin"/>
          <w:color w:val="111111"/>
          <w:sz w:val="28"/>
          <w:sz w:val="28"/>
          <w:szCs w:val="28"/>
          <w:rtl w:val="true"/>
          <w:lang w:bidi="fa-IR"/>
        </w:rPr>
        <w:t> علیه</w:t>
      </w:r>
      <w:r>
        <w:rPr>
          <w:rStyle w:val="FootnoteAnchor"/>
          <w:rtl w:val="true"/>
        </w:rPr>
        <w:footnoteReference w:id="1198"/>
      </w:r>
      <w:r>
        <w:rPr>
          <w:rFonts w:ascii="IRNazanin" w:hAnsi="IRNazanin" w:eastAsia="IRNazanin"/>
          <w:color w:val="111111"/>
          <w:sz w:val="28"/>
          <w:sz w:val="28"/>
          <w:szCs w:val="28"/>
          <w:rtl w:val="true"/>
          <w:lang w:bidi="fa-IR"/>
        </w:rPr>
        <w:t> فکصورة عدم القدرة</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فإنّ قاعدة نفی الضرر إنّما توجب نفی الإلزام، لا صحّة العقد، والعبرة فیعدم جواز العقد علی الأمة إنّما هی القدرة علی عقد الحرّة وهی موجودة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لقاعدة نفی الضرر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نظیر سائر المقامات، کمسألة وجوب الحجّ إذا کان مستطیعاً ولکن یتوقّف تحصیل الزاد والراحلة علی بیع بعض أملاکه بأقلّ من ثمن المثل، أو علی شراء الراحلة بأزید من ثمن المثل، فإنّ الظاهر سقوط الوجوب وإن کان قادراً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فیجوز له التزویج بالأمة حینئذٍ؛ لعدم الاستطاعة عرفاً لمهرالحرّة، وکذا فی مسألة الحجّ، وتراجع المسألة السابعة من الاستطاعة المالیّة فیکتاب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لشبهة جریان العلّة فی باب الوضوء فی أمثال المقام، فیکون تمام المدار فیهاعلی عموم نفی الحرج، ومن هذه ربّما مال المصنّف ؛ فی باب الاستطاعة علیکون المدار علی الضرر المُجحِف بحاله، فراجع، ولکن فی عموم العلّة نظر،والمسألة حینئذٍ محلّ النظر، ولا یُترک الاحتیاط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 حسن القمّی</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w:t>
      </w:r>
    </w:p>
    <w:p>
      <w:pPr>
        <w:pStyle w:val="BookText"/>
        <w:rPr/>
      </w:pPr>
      <w:r>
        <w:rPr>
          <w:rFonts w:ascii="IRNazanin" w:hAnsi="IRNazanin" w:eastAsia="IRNazanin"/>
          <w:color w:val="111111"/>
          <w:sz w:val="28"/>
          <w:sz w:val="28"/>
          <w:szCs w:val="28"/>
          <w:rtl w:val="true"/>
          <w:lang w:bidi="fa-IR"/>
        </w:rPr>
        <w:t>کون</w:t>
      </w:r>
      <w:r>
        <w:rPr>
          <w:rStyle w:val="FootnoteAnchor"/>
          <w:rtl w:val="true"/>
        </w:rPr>
        <w:footnoteReference w:id="1200"/>
      </w:r>
      <w:r>
        <w:rPr>
          <w:rFonts w:ascii="Amiri" w:hAnsi="Amiri" w:eastAsia="Amiri" w:cs="Amiri"/>
          <w:color w:val="111111"/>
          <w:sz w:val="28"/>
          <w:sz w:val="28"/>
          <w:szCs w:val="28"/>
          <w:rtl w:val="true"/>
          <w:lang w:bidi="ar-SA"/>
        </w:rPr>
        <w:t> الزیادة ممّا یضرّ</w:t>
      </w:r>
      <w:r>
        <w:rPr>
          <w:rStyle w:val="FootnoteAnchor"/>
          <w:rtl w:val="true"/>
        </w:rPr>
        <w:footnoteReference w:id="1201"/>
      </w:r>
      <w:r>
        <w:rPr>
          <w:rFonts w:ascii="IRNazanin" w:hAnsi="IRNazanin" w:eastAsia="IRNazanin"/>
          <w:color w:val="111111"/>
          <w:sz w:val="28"/>
          <w:sz w:val="28"/>
          <w:szCs w:val="28"/>
          <w:rtl w:val="true"/>
          <w:lang w:bidi="fa-IR"/>
        </w:rPr>
        <w:t> بحاله</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یکون نکاحها لتوقّفه علیه ممّا لا یستطاع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ویُعَدّ من غیر المستطاع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8" w:name="pg13286_153988"/>
    </w:p>
    <w:p>
      <w:pPr>
        <w:pStyle w:val="Heading3"/>
        <w:numPr>
          <w:ilvl w:val="2"/>
          <w:numId w:val="1"/>
        </w:numPr>
        <w:rPr/>
      </w:pPr>
      <w:bookmarkStart w:id="709" w:name="__RefHeading___Toc2138934_2322387425"/>
      <w:bookmarkStart w:id="710" w:name="_Toc260"/>
      <w:bookmarkEnd w:id="708"/>
      <w:bookmarkEnd w:id="709"/>
      <w:r>
        <w:rPr>
          <w:rtl w:val="true"/>
        </w:rPr>
        <w:t xml:space="preserve">فصل </w:t>
      </w:r>
      <w:r>
        <w:rPr>
          <w:rtl w:val="true"/>
        </w:rPr>
        <w:t>[</w:t>
      </w:r>
      <w:r>
        <w:rPr>
          <w:rtl w:val="true"/>
        </w:rPr>
        <w:t>حکم نکاح الأمة علی الحرّة</w:t>
      </w:r>
      <w:r>
        <w:rPr>
          <w:rtl w:val="true"/>
        </w:rPr>
        <w:t>]</w:t>
      </w:r>
      <w:bookmarkEnd w:id="710"/>
    </w:p>
    <w:p>
      <w:pPr>
        <w:pStyle w:val="Heading4"/>
        <w:numPr>
          <w:ilvl w:val="3"/>
          <w:numId w:val="1"/>
        </w:numPr>
        <w:rPr/>
      </w:pPr>
      <w:bookmarkStart w:id="711" w:name="__RefHeading___Toc2138936_2322387425"/>
      <w:bookmarkStart w:id="712" w:name="_Toc261"/>
      <w:bookmarkEnd w:id="711"/>
      <w:r>
        <w:rPr>
          <w:rtl w:val="true"/>
        </w:rPr>
        <w:t>جواز نکاح الأمة علی الحرّة مع إذنها بالشرطین</w:t>
      </w:r>
      <w:bookmarkEnd w:id="712"/>
    </w:p>
    <w:p>
      <w:pPr>
        <w:pStyle w:val="BookText"/>
        <w:rPr/>
      </w:pPr>
      <w:r>
        <w:rPr>
          <w:rFonts w:ascii="IRNazanin" w:hAnsi="IRNazanin" w:eastAsia="IRNazanin"/>
          <w:color w:val="111111"/>
          <w:sz w:val="28"/>
          <w:sz w:val="28"/>
          <w:szCs w:val="28"/>
          <w:rtl w:val="true"/>
          <w:lang w:bidi="fa-IR"/>
        </w:rPr>
        <w:t>الأقوی جواز نکاح الأمة</w:t>
      </w:r>
      <w:r>
        <w:rPr>
          <w:rStyle w:val="FootnoteAnchor"/>
          <w:rtl w:val="true"/>
        </w:rPr>
        <w:footnoteReference w:id="1203"/>
      </w:r>
      <w:r>
        <w:rPr>
          <w:rFonts w:ascii="IRNazanin" w:hAnsi="IRNazanin" w:eastAsia="IRNazanin"/>
          <w:color w:val="111111"/>
          <w:sz w:val="28"/>
          <w:sz w:val="28"/>
          <w:szCs w:val="28"/>
          <w:rtl w:val="true"/>
          <w:lang w:bidi="fa-IR"/>
        </w:rPr>
        <w:t> علی الحرّة مع إذنها</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r>
        <w:rPr>
          <w:rStyle w:val="FootnoteAnchor"/>
          <w:rtl w:val="true"/>
        </w:rPr>
        <w:footnoteReference w:id="1205"/>
      </w:r>
      <w:r>
        <w:rPr>
          <w:rFonts w:ascii="IRNazanin" w:hAnsi="IRNazanin" w:eastAsia="IRNazanin"/>
          <w:color w:val="111111"/>
          <w:sz w:val="28"/>
          <w:sz w:val="28"/>
          <w:szCs w:val="28"/>
          <w:rtl w:val="true"/>
          <w:lang w:bidi="fa-IR"/>
        </w:rPr>
        <w:t>اعتبار الشرطَین</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الطَول، وخوف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 إذنها فلا یجوز، وإن قلنا فی المسألة المتقدّمة بجواز عقد الأمة مع عدم الشرطَین</w:t>
      </w:r>
      <w:r>
        <w:rPr>
          <w:rStyle w:val="FootnoteAnchor"/>
          <w:rtl w:val="true"/>
        </w:rPr>
        <w:footnoteReference w:id="1207"/>
      </w:r>
      <w:r>
        <w:rPr>
          <w:rFonts w:ascii="IRNazanin" w:hAnsi="IRNazanin" w:eastAsia="IRNazanin"/>
          <w:color w:val="111111"/>
          <w:sz w:val="28"/>
          <w:sz w:val="28"/>
          <w:szCs w:val="28"/>
          <w:rtl w:val="true"/>
          <w:lang w:bidi="fa-IR"/>
        </w:rPr>
        <w:t>، بل هو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أجازت بعد العقد صحّ</w:t>
      </w:r>
      <w:r>
        <w:rPr>
          <w:rStyle w:val="FootnoteAnchor"/>
          <w:rtl w:val="true"/>
        </w:rPr>
        <w:footnoteReference w:id="1208"/>
      </w:r>
      <w:r>
        <w:rPr>
          <w:rFonts w:ascii="IRNazanin" w:hAnsi="IRNazanin" w:eastAsia="IRNazanin"/>
          <w:color w:val="111111"/>
          <w:sz w:val="28"/>
          <w:sz w:val="28"/>
          <w:szCs w:val="28"/>
          <w:rtl w:val="true"/>
          <w:lang w:bidi="fa-IR"/>
        </w:rPr>
        <w:t> علی الأقوی</w:t>
      </w:r>
      <w:r>
        <w:rPr>
          <w:rStyle w:val="FootnoteAnchor"/>
          <w:rtl w:val="true"/>
        </w:rPr>
        <w:footnoteReference w:id="1209"/>
      </w:r>
      <w:r>
        <w:rPr>
          <w:rFonts w:ascii="IRNazanin" w:hAnsi="IRNazanin" w:eastAsia="IRNazanin"/>
          <w:color w:val="111111"/>
          <w:sz w:val="28"/>
          <w:sz w:val="28"/>
          <w:szCs w:val="28"/>
          <w:rtl w:val="true"/>
          <w:lang w:bidi="fa-IR"/>
        </w:rPr>
        <w:t>، بشرط تحقّق الشرطین علی الأحوط</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المنع بین کون العقدین دوامیّین أو انقطاعیّین أو مختلِفَین، بل الأقوی عدم الفرق بین إمکان وطء الحرّة وعدمه؛ لمرضٍ أو قَرنٍ أَو رَتقٍ </w:t>
      </w:r>
      <w:bookmarkStart w:id="713" w:name="pg13286_153989"/>
    </w:p>
    <w:p>
      <w:pPr>
        <w:pStyle w:val="BookText"/>
        <w:rPr/>
      </w:pPr>
      <w:bookmarkEnd w:id="713"/>
      <w:r>
        <w:rPr>
          <w:rFonts w:ascii="Amiri" w:hAnsi="Amiri" w:eastAsia="Amiri" w:cs="Amiri"/>
          <w:color w:val="111111"/>
          <w:sz w:val="28"/>
          <w:sz w:val="28"/>
          <w:szCs w:val="28"/>
          <w:rtl w:val="true"/>
          <w:lang w:bidi="ar-SA"/>
        </w:rPr>
        <w:t>إلّا</w:t>
      </w:r>
      <w:r>
        <w:rPr>
          <w:rStyle w:val="FootnoteAnchor"/>
          <w:rtl w:val="true"/>
        </w:rPr>
        <w:footnoteReference w:id="1211"/>
      </w:r>
      <w:r>
        <w:rPr>
          <w:rFonts w:ascii="IRNazanin" w:hAnsi="IRNazanin" w:eastAsia="IRNazanin"/>
          <w:color w:val="111111"/>
          <w:sz w:val="28"/>
          <w:sz w:val="28"/>
          <w:szCs w:val="28"/>
          <w:rtl w:val="true"/>
          <w:lang w:bidi="fa-IR"/>
        </w:rPr>
        <w:t> مع عدم الشرطَین</w:t>
      </w:r>
      <w:r>
        <w:rPr>
          <w:rStyle w:val="FootnoteAnchor"/>
          <w:rtl w:val="true"/>
        </w:rPr>
        <w:footnoteReference w:id="1212"/>
      </w:r>
      <w:r>
        <w:rPr>
          <w:rFonts w:ascii="IRNazanin" w:hAnsi="IRNazanin" w:eastAsia="IRNazanin"/>
          <w:color w:val="111111"/>
          <w:sz w:val="28"/>
          <w:sz w:val="28"/>
          <w:szCs w:val="28"/>
          <w:rtl w:val="true"/>
          <w:lang w:bidi="fa-IR"/>
        </w:rPr>
        <w:t>، نعم، لا یبعد الجواز</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تکن الحرّة قابلةً  للإذن؛ لصِغَرٍ أو جنون، خصوصاً إذا کان عقدها انقطاعیّاً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2138938_2322387425"/>
      <w:bookmarkStart w:id="715" w:name="_Toc262"/>
      <w:bookmarkEnd w:id="714"/>
      <w:r>
        <w:rPr>
          <w:rtl w:val="true"/>
        </w:rPr>
        <w:t>نکاح الحرّة علی الأمة</w:t>
      </w:r>
      <w:bookmarkEnd w:id="715"/>
    </w:p>
    <w:p>
      <w:pPr>
        <w:pStyle w:val="BookText"/>
        <w:rPr/>
      </w:pPr>
      <w:r>
        <w:rPr>
          <w:rFonts w:ascii="IRNazanin" w:hAnsi="IRNazanin" w:eastAsia="IRNazanin"/>
          <w:color w:val="111111"/>
          <w:sz w:val="28"/>
          <w:sz w:val="28"/>
          <w:szCs w:val="28"/>
          <w:rtl w:val="true"/>
          <w:lang w:bidi="fa-IR"/>
        </w:rPr>
        <w:t>وأمّا العکس وهو نکاح الحرّة علی الأمة فهو جائز ولازم إذا کانت الحرّة عالمةً بالحال، وأمّا مع جهلها فالأقوی خیارها فی بقائها مع الأمة وفسخها ورجوعها إلی أهلها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عدم وجوب إعلامها بالحال، فعلی هذا لو أخفی علیها ذلک أبداً لم یفعل محرّماً</w:t>
      </w:r>
      <w:r>
        <w:rPr>
          <w:rFonts w:eastAsia="IRNazanin" w:cs="IRNazanin"/>
          <w:color w:val="111111"/>
          <w:sz w:val="28"/>
          <w:szCs w:val="28"/>
          <w:rtl w:val="true"/>
          <w:lang w:bidi="fa-IR"/>
        </w:rPr>
        <w:t xml:space="preserve">. </w:t>
      </w:r>
      <w:bookmarkStart w:id="716" w:name="pg13286_153990"/>
    </w:p>
    <w:p>
      <w:pPr>
        <w:pStyle w:val="Heading4"/>
        <w:numPr>
          <w:ilvl w:val="3"/>
          <w:numId w:val="1"/>
        </w:numPr>
        <w:rPr/>
      </w:pPr>
      <w:bookmarkStart w:id="717" w:name="__RefHeading___Toc2138940_2322387425"/>
      <w:bookmarkStart w:id="718" w:name="_Toc263"/>
      <w:bookmarkEnd w:id="716"/>
      <w:bookmarkEnd w:id="717"/>
      <w:r>
        <w:rPr>
          <w:rtl w:val="true"/>
        </w:rPr>
        <w:t>نکاح الحرّة والأمة فی عقد واحد</w:t>
      </w:r>
      <w:bookmarkEnd w:id="7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نکح الحرّة والأمة فی عقدٍ واحدٍ مع علم الحرّة صحّ، ومع جهلها صحّ بالنسبة إلیها وبطل</w:t>
      </w:r>
      <w:r>
        <w:rPr>
          <w:rStyle w:val="FootnoteAnchor"/>
          <w:rtl w:val="true"/>
        </w:rPr>
        <w:footnoteReference w:id="1214"/>
      </w:r>
      <w:r>
        <w:rPr>
          <w:rFonts w:ascii="IRNazanin" w:hAnsi="IRNazanin" w:eastAsia="IRNazanin"/>
          <w:color w:val="111111"/>
          <w:sz w:val="28"/>
          <w:sz w:val="28"/>
          <w:szCs w:val="28"/>
          <w:rtl w:val="true"/>
          <w:lang w:bidi="fa-IR"/>
        </w:rPr>
        <w:t> بالنسبة إلی الأمة، إلّا مع إجازتها</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الصحّة مع إجازتها وکذا فی الفرع التالی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تزوّجهما بعقدَین فی زمانٍ واحدٍ علی الأقوی</w:t>
      </w:r>
      <w:r>
        <w:rPr>
          <w:rFonts w:eastAsia="IRNazanin" w:cs="IRNazanin"/>
          <w:color w:val="111111"/>
          <w:sz w:val="28"/>
          <w:szCs w:val="28"/>
          <w:rtl w:val="true"/>
          <w:lang w:bidi="fa-IR"/>
        </w:rPr>
        <w:t>.</w:t>
      </w:r>
    </w:p>
    <w:p>
      <w:pPr>
        <w:pStyle w:val="Heading4"/>
        <w:numPr>
          <w:ilvl w:val="3"/>
          <w:numId w:val="1"/>
        </w:numPr>
        <w:rPr/>
      </w:pPr>
      <w:bookmarkStart w:id="719" w:name="__RefHeading___Toc2138942_2322387425"/>
      <w:bookmarkStart w:id="720" w:name="_Toc264"/>
      <w:bookmarkEnd w:id="719"/>
      <w:r>
        <w:rPr>
          <w:rtl w:val="true"/>
        </w:rPr>
        <w:t>نکاح المبعّضة علی المبعّضة أو الحرّة</w:t>
      </w:r>
      <w:bookmarkEnd w:id="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w:t>
      </w:r>
      <w:r>
        <w:rPr>
          <w:rStyle w:val="FootnoteAnchor"/>
          <w:rtl w:val="true"/>
        </w:rPr>
        <w:footnoteReference w:id="1216"/>
      </w:r>
      <w:r>
        <w:rPr>
          <w:rFonts w:ascii="IRNazanin" w:hAnsi="IRNazanin" w:eastAsia="IRNazanin"/>
          <w:color w:val="111111"/>
          <w:sz w:val="28"/>
          <w:sz w:val="28"/>
          <w:szCs w:val="28"/>
          <w:rtl w:val="true"/>
          <w:lang w:bidi="fa-IR"/>
        </w:rPr>
        <w:t> فی جواز</w:t>
      </w:r>
      <w:r>
        <w:rPr>
          <w:rStyle w:val="FootnoteAnchor"/>
          <w:rtl w:val="true"/>
        </w:rPr>
        <w:footnoteReference w:id="1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نکاح المُبَعَّضة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المُبعَّضة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علی الحرّة ففیه إشکال</w:t>
      </w:r>
      <w:r>
        <w:rPr>
          <w:rStyle w:val="FootnoteAnchor"/>
          <w:rtl w:val="true"/>
        </w:rPr>
        <w:footnoteReference w:id="1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بالتجنّب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الممنوع</w:t>
      </w:r>
      <w:bookmarkStart w:id="721" w:name="pg13286_153991"/>
    </w:p>
    <w:p>
      <w:pPr>
        <w:pStyle w:val="BookText"/>
        <w:rPr/>
      </w:pPr>
      <w:bookmarkEnd w:id="721"/>
      <w:r>
        <w:rPr>
          <w:rFonts w:ascii="IRNazanin" w:hAnsi="IRNazanin" w:eastAsia="IRNazanin"/>
          <w:color w:val="111111"/>
          <w:sz w:val="28"/>
          <w:sz w:val="28"/>
          <w:szCs w:val="28"/>
          <w:rtl w:val="true"/>
          <w:lang w:bidi="fa-IR"/>
        </w:rPr>
        <w:t>نکاح الأمة علی الحرّة، ولا یصدق الأمة علی المبعّضة وإن کان لا یصدق</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أنّها حرّة أیضاً</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2138944_2322387425"/>
      <w:bookmarkStart w:id="723" w:name="_Toc265"/>
      <w:bookmarkEnd w:id="722"/>
      <w:r>
        <w:rPr>
          <w:rtl w:val="true"/>
        </w:rPr>
        <w:t>حکم موت الحرّة أو طلاقها بعد عقد الأمة</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الأمة علی الحرّة فماتت الحرّة، أو طلّقها، أو وهب مدّتها فی المتعة، أو انقضت لم یثمر فی الصحّة</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یثمر؛ لأنّ اشتراط الإذن حینئذٍ سالبة بانتفاء الموضوع، وبطلان العقد صدوراًإنّما کان بمعنی توقّف الصحّة علی الإذن، لا لخللٍ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لابدّ من العقد علی  الأمة جدیداً إذا أراد</w:t>
      </w:r>
      <w:r>
        <w:rPr>
          <w:rFonts w:eastAsia="IRNazanin" w:cs="IRNazanin"/>
          <w:color w:val="111111"/>
          <w:sz w:val="28"/>
          <w:szCs w:val="28"/>
          <w:rtl w:val="true"/>
          <w:lang w:bidi="fa-IR"/>
        </w:rPr>
        <w:t>.</w:t>
      </w:r>
    </w:p>
    <w:p>
      <w:pPr>
        <w:pStyle w:val="Heading4"/>
        <w:numPr>
          <w:ilvl w:val="3"/>
          <w:numId w:val="1"/>
        </w:numPr>
        <w:rPr/>
      </w:pPr>
      <w:bookmarkStart w:id="724" w:name="__RefHeading___Toc2138946_2322387425"/>
      <w:bookmarkStart w:id="725" w:name="_Toc266"/>
      <w:bookmarkEnd w:id="724"/>
      <w:r>
        <w:rPr>
          <w:rtl w:val="true"/>
        </w:rPr>
        <w:t>حکم التزوّج بالأمة فی عدّة الحرّة</w:t>
      </w:r>
      <w:bookmarkEnd w:id="7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تحته حرّة فطلّقها طلاقاً بائناً یجوز له نکاح الأمة</w:t>
      </w:r>
      <w:r>
        <w:rPr>
          <w:rStyle w:val="FootnoteAnchor"/>
          <w:rtl w:val="true"/>
        </w:rPr>
        <w:footnoteReference w:id="1221"/>
      </w:r>
      <w:r>
        <w:rPr>
          <w:rFonts w:ascii="Amiri" w:hAnsi="Amiri" w:eastAsia="Amiri" w:cs="Amiri"/>
          <w:color w:val="111111"/>
          <w:sz w:val="28"/>
          <w:sz w:val="28"/>
          <w:szCs w:val="28"/>
          <w:rtl w:val="true"/>
          <w:lang w:bidi="ar-SA"/>
        </w:rPr>
        <w:t>فی عدّتها</w:t>
      </w:r>
      <w:r>
        <w:rPr>
          <w:rStyle w:val="FootnoteAnchor"/>
          <w:rtl w:val="true"/>
        </w:rPr>
        <w:footnoteReference w:id="1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الشرطَین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إذا کان الطلاق رجعیّاً ففیه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والاحتیاط فیه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بل الظاهر عدم الجواز؛ لأنّها ما لم تنقضِ عدّتها زوجة،والانصراف 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قویّ؛ لأنّ الرجعیّة زوجة، والانصراف 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لا یبعد</w:t>
      </w:r>
      <w:bookmarkStart w:id="726" w:name="pg13286_153992"/>
    </w:p>
    <w:p>
      <w:pPr>
        <w:pStyle w:val="BookText"/>
        <w:rPr/>
      </w:pPr>
      <w:bookmarkEnd w:id="726"/>
      <w:r>
        <w:rPr>
          <w:rFonts w:ascii="IRNazanin" w:hAnsi="IRNazanin" w:eastAsia="IRNazanin"/>
          <w:color w:val="111111"/>
          <w:sz w:val="28"/>
          <w:sz w:val="28"/>
          <w:szCs w:val="28"/>
          <w:rtl w:val="true"/>
          <w:lang w:bidi="fa-IR"/>
        </w:rPr>
        <w:t>الجواز</w:t>
      </w:r>
      <w:r>
        <w:rPr>
          <w:rStyle w:val="FootnoteAnchor"/>
          <w:rtl w:val="true"/>
        </w:rPr>
        <w:footnoteReference w:id="1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المنع، إلّا بإذنها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والأظهر التمسّک بأدلّة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للقطب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 المبسوط للسَرَخْسی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السرائر لابن إدریس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3/283</w:t>
      </w:r>
      <w:r>
        <w:rPr>
          <w:rFonts w:ascii="IRNazanin" w:hAnsi="IRNazanin" w:eastAsia="IRNazanin"/>
          <w:color w:val="111111"/>
          <w:sz w:val="28"/>
          <w:sz w:val="28"/>
          <w:szCs w:val="28"/>
          <w:rtl w:val="true"/>
          <w:lang w:bidi="fa-IR"/>
        </w:rPr>
        <w:t>، جامع الخلاف والوفاق لعلیّ بن محمّد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بمنزلة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المدرک الأخبار الدالّة علی عدم جواز نکاح الأمة علی الحرّة یمکن دعوی الانصراف، وأمّا ما دلّ من الأخبار والإجماع علی کون المطلّقة الرجعیّةبمنزلة الزوجة بل هی زوجة یشمل ذلک الأثر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هذه الصورة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2138948_2322387425"/>
      <w:bookmarkStart w:id="728" w:name="_Toc267"/>
      <w:bookmarkEnd w:id="727"/>
      <w:r>
        <w:rPr>
          <w:rtl w:val="true"/>
        </w:rPr>
        <w:t>نکاح الأمة بعد التزوّج الفضولی بحرّة</w:t>
      </w:r>
      <w:bookmarkEnd w:id="72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فضولیّ حرّةً فتزوّج أمة ثمّ أجاز عقد الفضولیّ، فعلی النقل</w:t>
      </w:r>
      <w:r>
        <w:rPr>
          <w:rStyle w:val="FootnoteAnchor"/>
          <w:rtl w:val="true"/>
        </w:rPr>
        <w:footnoteReference w:id="1224"/>
      </w:r>
      <w:r>
        <w:rPr>
          <w:rFonts w:ascii="IRNazanin" w:hAnsi="IRNazanin" w:eastAsia="IRNazanin"/>
          <w:color w:val="111111"/>
          <w:sz w:val="28"/>
          <w:sz w:val="28"/>
          <w:szCs w:val="28"/>
          <w:rtl w:val="true"/>
          <w:lang w:bidi="fa-IR"/>
        </w:rPr>
        <w:t> لا یکون من نکاح</w:t>
      </w:r>
      <w:r>
        <w:rPr>
          <w:rStyle w:val="FootnoteAnchor"/>
          <w:rtl w:val="true"/>
        </w:rPr>
        <w:footnoteReference w:id="1225"/>
      </w:r>
      <w:r>
        <w:rPr>
          <w:rFonts w:ascii="IRNazanin" w:hAnsi="IRNazanin" w:eastAsia="IRNazanin"/>
          <w:color w:val="111111"/>
          <w:sz w:val="28"/>
          <w:sz w:val="28"/>
          <w:szCs w:val="28"/>
          <w:rtl w:val="true"/>
          <w:lang w:bidi="fa-IR"/>
        </w:rPr>
        <w:t> الأمة علی الحرّة</w:t>
      </w:r>
      <w:r>
        <w:rPr>
          <w:rStyle w:val="FootnoteAnchor"/>
          <w:rtl w:val="true"/>
        </w:rPr>
        <w:footnoteReference w:id="1226"/>
      </w:r>
      <w:r>
        <w:rPr>
          <w:rFonts w:ascii="IRNazanin" w:hAnsi="IRNazanin" w:eastAsia="IRNazanin"/>
          <w:color w:val="111111"/>
          <w:sz w:val="28"/>
          <w:sz w:val="28"/>
          <w:szCs w:val="28"/>
          <w:rtl w:val="true"/>
          <w:lang w:bidi="fa-IR"/>
        </w:rPr>
        <w:t xml:space="preserve"> فلا مانع </w:t>
      </w:r>
      <w:bookmarkStart w:id="729" w:name="pg13286_153993"/>
    </w:p>
    <w:p>
      <w:pPr>
        <w:pStyle w:val="BookText"/>
        <w:rPr/>
      </w:pPr>
      <w:bookmarkEnd w:id="729"/>
      <w:r>
        <w:rPr>
          <w:rFonts w:ascii="IRNazanin" w:hAnsi="IRNazanin" w:eastAsia="IRNazanin"/>
          <w:color w:val="111111"/>
          <w:sz w:val="28"/>
          <w:sz w:val="28"/>
          <w:szCs w:val="28"/>
          <w:rtl w:val="true"/>
          <w:lang w:bidi="fa-IR"/>
        </w:rPr>
        <w:t>منه</w:t>
      </w:r>
      <w:r>
        <w:rPr>
          <w:rStyle w:val="FootnoteAnchor"/>
          <w:rtl w:val="true"/>
        </w:rPr>
        <w:footnoteReference w:id="1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للحرّة الخیار فی عقد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الخیار للحرّة فی نکاحها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الکشف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الحکمیّ منه، وعلی النقل یکون من نکاح الحرّة علی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138950_2322387425"/>
      <w:bookmarkStart w:id="731" w:name="_Toc268"/>
      <w:bookmarkEnd w:id="730"/>
      <w:r>
        <w:rPr>
          <w:rtl w:val="true"/>
        </w:rPr>
        <w:t>الشکّ فی السابق من عقد الحرّة والأمة</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عقد علی حرّةٍ وعقد وکیله له علی أمةٍ وشکّ فی السابق منهما لا یبعد</w:t>
      </w:r>
      <w:r>
        <w:rPr>
          <w:rStyle w:val="FootnoteAnchor"/>
          <w:rtl w:val="true"/>
        </w:rPr>
        <w:footnoteReference w:id="1228"/>
      </w:r>
      <w:r>
        <w:rPr>
          <w:rFonts w:ascii="Amiri" w:hAnsi="Amiri" w:eastAsia="Amiri" w:cs="Amiri"/>
          <w:color w:val="111111"/>
          <w:sz w:val="28"/>
          <w:sz w:val="28"/>
          <w:szCs w:val="28"/>
          <w:rtl w:val="true"/>
          <w:lang w:bidi="ar-SA"/>
        </w:rPr>
        <w:t> صحّتهما</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قویّ؛ لأنّ الشکّ فی اشتراط إذن الحرّة بَدویّ، وکونه عدلاً لخیار الحرّةفی فسخ عقدها لا یوجب تشکیل عِلمٍ مؤثّرٍ فی البَین، إلّا إذا فسخت الحرّة عقدنفسها ولم تأذن فی عقد الأمة، وحینئذٍ یتشکلّ العلم الإجمالیّ للزوج بحرمةإحداهما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تُخبَر الحرّة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32" w:name="pg13286_153994"/>
    </w:p>
    <w:p>
      <w:pPr>
        <w:pStyle w:val="BookText"/>
        <w:rPr/>
      </w:pPr>
      <w:bookmarkEnd w:id="732"/>
      <w:r>
        <w:rPr>
          <w:rFonts w:ascii="IRNazanin" w:hAnsi="IRNazanin" w:eastAsia="IRNazanin"/>
          <w:color w:val="111111"/>
          <w:sz w:val="28"/>
          <w:sz w:val="28"/>
          <w:szCs w:val="28"/>
          <w:rtl w:val="true"/>
          <w:lang w:bidi="fa-IR"/>
        </w:rPr>
        <w:t>والأحوط</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طلاق الحرّة عند اختیار فسخ عقد نفسها، بل لا یُترک الاحتیاطبطلاقهما عند عدم إجازة الحرّة مطلقاً، اختار الفسخ أوْ لا؛ مراعاةً للعلم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 حسن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إجازة الحرّة</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138952_2322387425"/>
      <w:bookmarkStart w:id="734" w:name="_Toc269"/>
      <w:bookmarkEnd w:id="733"/>
      <w:r>
        <w:rPr>
          <w:rtl w:val="true"/>
        </w:rPr>
        <w:t>الاشتراط فی عقد الحرّة إذنها فی نکاح الأمة</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فی عقد الحرّة أن تأذن فی نکاح الأمة علیها صحّ</w:t>
      </w:r>
      <w:r>
        <w:rPr>
          <w:rStyle w:val="FootnoteAnchor"/>
          <w:rtl w:val="true"/>
        </w:rPr>
        <w:footnoteReference w:id="1231"/>
      </w:r>
      <w:r>
        <w:rPr>
          <w:rFonts w:ascii="IRNazanin" w:hAnsi="IRNazanin" w:eastAsia="IRNazanin"/>
          <w:color w:val="111111"/>
          <w:sz w:val="28"/>
          <w:sz w:val="28"/>
          <w:szCs w:val="28"/>
          <w:rtl w:val="true"/>
          <w:lang w:bidi="fa-IR"/>
        </w:rPr>
        <w:t>، ولکن إذا لم تأذن لم یصحّ، بخلاف ما إذا شرط</w:t>
      </w:r>
      <w:r>
        <w:rPr>
          <w:rStyle w:val="FootnoteAnchor"/>
          <w:rtl w:val="true"/>
        </w:rPr>
        <w:footnoteReference w:id="1232"/>
      </w:r>
      <w:r>
        <w:rPr>
          <w:rFonts w:ascii="IRNazanin" w:hAnsi="IRNazanin" w:eastAsia="IRNazanin"/>
          <w:color w:val="111111"/>
          <w:sz w:val="28"/>
          <w:sz w:val="28"/>
          <w:szCs w:val="28"/>
          <w:rtl w:val="true"/>
          <w:lang w:bidi="fa-IR"/>
        </w:rPr>
        <w:t> علیها</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 واحدة؛ فإنّ قبولها الشرط إذْنٌ إذاً، فالصحّة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هذا الشرط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الشرط المذکور بمنزلة الإذن، فیصحّ نکاح الأمة ما لم تُظهِر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یکون</w:t>
      </w:r>
      <w:r>
        <w:rPr>
          <w:rStyle w:val="FootnoteAnchor"/>
          <w:rtl w:val="true"/>
        </w:rPr>
        <w:footnoteReference w:id="1234"/>
      </w:r>
      <w:r>
        <w:rPr>
          <w:rFonts w:ascii="IRNazanin" w:hAnsi="IRNazanin" w:eastAsia="IRNazanin"/>
          <w:color w:val="111111"/>
          <w:sz w:val="28"/>
          <w:sz w:val="28"/>
          <w:szCs w:val="28"/>
          <w:rtl w:val="true"/>
          <w:lang w:bidi="fa-IR"/>
        </w:rPr>
        <w:t> له</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بطلان هذا الشرط، ولکنّ العقد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وقد تقدّم نظیره وأنّ الشرط مخالف للکتاب،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بعدمإذنه أو کان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مبتنیة علی کونه من الحقّ أو الحکم، فعلی الأوّل صحیح، وأنّه من بابشرط النتیجة، بخلاف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35" w:name="pg13286_153996"/>
    </w:p>
    <w:p>
      <w:pPr>
        <w:pStyle w:val="Heading3"/>
        <w:numPr>
          <w:ilvl w:val="2"/>
          <w:numId w:val="1"/>
        </w:numPr>
        <w:rPr/>
      </w:pPr>
      <w:bookmarkStart w:id="736" w:name="__RefHeading___Toc2138954_2322387425"/>
      <w:bookmarkStart w:id="737" w:name="_Toc270"/>
      <w:bookmarkEnd w:id="735"/>
      <w:bookmarkEnd w:id="736"/>
      <w:r>
        <w:rPr>
          <w:rtl w:val="true"/>
        </w:rPr>
        <w:t>فصل</w:t>
      </w:r>
      <w:r>
        <w:rPr>
          <w:rtl w:val="true"/>
        </w:rPr>
        <w:t>[</w:t>
      </w:r>
      <w:r>
        <w:rPr>
          <w:rtl w:val="true"/>
        </w:rPr>
        <w:t>فی نکاح العبید والإماء</w:t>
      </w:r>
      <w:r>
        <w:rPr>
          <w:rtl w:val="true"/>
        </w:rPr>
        <w:t>]</w:t>
      </w:r>
      <w:bookmarkEnd w:id="737"/>
    </w:p>
    <w:p>
      <w:pPr>
        <w:pStyle w:val="Heading4"/>
        <w:numPr>
          <w:ilvl w:val="3"/>
          <w:numId w:val="1"/>
        </w:numPr>
        <w:rPr/>
      </w:pPr>
      <w:bookmarkStart w:id="738" w:name="__RefHeading___Toc2138956_2322387425"/>
      <w:bookmarkStart w:id="739" w:name="_Toc271"/>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فی نکاح العبید والإماء</w:t>
      </w:r>
      <w:r>
        <w:rPr>
          <w:rStyle w:val="FootnoteAnchor"/>
          <w:rtl w:val="true"/>
        </w:rPr>
        <w:footnoteReference w:id="1236"/>
      </w:r>
    </w:p>
    <w:p>
      <w:pPr>
        <w:pStyle w:val="Heading4"/>
        <w:numPr>
          <w:ilvl w:val="3"/>
          <w:numId w:val="1"/>
        </w:numPr>
        <w:rPr/>
      </w:pPr>
      <w:bookmarkStart w:id="740" w:name="__RefHeading___Toc2138958_2322387425"/>
      <w:bookmarkStart w:id="741" w:name="_Toc272"/>
      <w:bookmarkEnd w:id="740"/>
      <w:r>
        <w:rPr>
          <w:rtl w:val="true"/>
        </w:rPr>
        <w:t>أمر تزویج المملوک عبداً وأمةً لسیّده</w:t>
      </w:r>
      <w:bookmarkEnd w:id="7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تزویج العبد والأمة بید السیّد، فیجوز له تزویجهما ولو من غیر رضاهما، أو إجبارهما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لهما العقد علی نفسهما من غیر إذنه، کما لا یجوز لغیرهما العقد علیهما کذلک، حتّی لو کان لهما أب حرّ</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أوقع العقد علیهما وهما صغیران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حیث أوقع العقد علیهما فی حال صغرهما، وأمّا فی حال کِبَرهما فلا فرقبین الأب والأجنبیّ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وکانا صغیرین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وهما صغیران، وإلّا فالأب والأجنبیّ فیهما سِیّان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یکون إیقاع العقد منهما أو من غیرهما علیهما حراماً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إیقاع العقد علی المملوک ولو بقصد ترتیب الأثر لا یکون تصرّفاً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حراماً شرعیّاً، بل هو داخل فی نیّة المعصیة، وهو نوع من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 بأنّ العزم علی الحرام حرام، أو آلَ الأمر إلی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w:t>
      </w:r>
      <w:r>
        <w:rPr>
          <w:rStyle w:val="FootnoteAnchor"/>
          <w:rtl w:val="true"/>
        </w:rPr>
        <w:footnoteReference w:id="1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حراماً تشریعیّاً؛ لأنّه لیس تصرّفاً فیهما حتّی یکون حراماً ذاتیّاً بدون إذنالمولی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بقصد ترتیب الأثر ولو لا مع إجازة المولی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کان ذلک بتوقّع الإجازة منه فالظاهر عدم حرمته؛ لأنّه لیس تصرّفاً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مال الغیر عرفاً، کبیع الفضولیّ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عقدهما علی نفسهما</w:t>
      </w:r>
      <w:r>
        <w:rPr>
          <w:rStyle w:val="FootnoteAnchor"/>
          <w:rtl w:val="true"/>
        </w:rPr>
        <w:footnoteReference w:id="1239"/>
      </w:r>
      <w:r>
        <w:rPr>
          <w:rFonts w:ascii="IRNazanin" w:hAnsi="IRNazanin" w:eastAsia="IRNazanin"/>
          <w:color w:val="111111"/>
          <w:sz w:val="28"/>
          <w:sz w:val="28"/>
          <w:szCs w:val="28"/>
          <w:rtl w:val="true"/>
          <w:lang w:bidi="fa-IR"/>
        </w:rPr>
        <w:t>من غیر إذن المولی ومن غیرهما</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تشویش، والمراد ظاهر؛ فإنّ موضع هذه العبارة قبل سطرین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وجهه بأدنی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فقد تقدّم حکم غیرهما علیهما، علی أنّ التعلیلبسلب القدرة لا یناسب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بتوقّع  الإجازة فقد یقال بحرمته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2" w:name="pg13286_153998"/>
    </w:p>
    <w:p>
      <w:pPr>
        <w:pStyle w:val="BookText"/>
        <w:rPr/>
      </w:pPr>
      <w:bookmarkEnd w:id="742"/>
      <w:r>
        <w:rPr>
          <w:rFonts w:ascii="Amiri" w:hAnsi="Amiri" w:eastAsia="Amiri" w:cs="Amiri"/>
          <w:color w:val="111111"/>
          <w:sz w:val="28"/>
          <w:sz w:val="28"/>
          <w:szCs w:val="28"/>
          <w:rtl w:val="true"/>
          <w:lang w:bidi="ar-SA"/>
        </w:rPr>
        <w:t>لِسَلب قدرتهما</w:t>
      </w:r>
      <w:r>
        <w:rPr>
          <w:rStyle w:val="FootnoteAnchor"/>
          <w:rtl w:val="true"/>
        </w:rPr>
        <w:footnoteReference w:id="1241"/>
      </w:r>
      <w:r>
        <w:rPr>
          <w:rFonts w:ascii="IRNazanin" w:hAnsi="IRNazanin" w:eastAsia="IRNazanin"/>
          <w:color w:val="111111"/>
          <w:sz w:val="28"/>
          <w:sz w:val="28"/>
          <w:szCs w:val="28"/>
          <w:rtl w:val="true"/>
          <w:lang w:bidi="fa-IR"/>
        </w:rPr>
        <w:t> وإن لم یکونا مسلوبَی العبارة، لکنّه مشکل</w:t>
      </w:r>
      <w:r>
        <w:rPr>
          <w:rStyle w:val="FootnoteAnchor"/>
          <w:rtl w:val="true"/>
        </w:rPr>
        <w:footnoteReference w:id="1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نهی المولی؛ حیث إنّ مخالفته حرام تکلیفاً، وأمّا نفوذه فموقوف علی إجازة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باشر أحدهما العقد للغیر بإذنه أو فضولة؛ فإنّه لیس بحرامٍ علی الأقوی</w:t>
      </w:r>
      <w:r>
        <w:rPr>
          <w:rStyle w:val="FootnoteAnchor"/>
          <w:rtl w:val="true"/>
        </w:rPr>
        <w:footnoteReference w:id="1243"/>
      </w:r>
      <w:r>
        <w:rPr>
          <w:rFonts w:ascii="IRNazanin" w:hAnsi="IRNazanin" w:eastAsia="IRNazanin"/>
          <w:color w:val="111111"/>
          <w:sz w:val="28"/>
          <w:sz w:val="28"/>
          <w:szCs w:val="28"/>
          <w:rtl w:val="true"/>
          <w:lang w:bidi="fa-IR"/>
        </w:rPr>
        <w:t>، وإن قیل بکونه حراماً</w:t>
      </w:r>
      <w:r>
        <w:rPr>
          <w:rFonts w:eastAsia="IRNazanin" w:cs="IRNazanin"/>
          <w:color w:val="111111"/>
          <w:sz w:val="28"/>
          <w:szCs w:val="28"/>
          <w:rtl w:val="true"/>
          <w:lang w:bidi="fa-IR"/>
        </w:rPr>
        <w:t>.</w:t>
      </w:r>
    </w:p>
    <w:p>
      <w:pPr>
        <w:pStyle w:val="Heading4"/>
        <w:numPr>
          <w:ilvl w:val="3"/>
          <w:numId w:val="1"/>
        </w:numPr>
        <w:rPr/>
      </w:pPr>
      <w:bookmarkStart w:id="743" w:name="__RefHeading___Toc2138960_2322387425"/>
      <w:bookmarkStart w:id="744" w:name="_Toc273"/>
      <w:bookmarkEnd w:id="743"/>
      <w:r>
        <w:rPr>
          <w:rtl w:val="true"/>
        </w:rPr>
        <w:t>صحّة زواج المملوک وقف علی إجازة المولی وکونها کاشفة</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 العبد من غیر إذن المولی وقف علی إجازته، فإن أجاز صحّ، وکذا الأمة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والإجازة کاشفة</w:t>
      </w:r>
      <w:r>
        <w:rPr>
          <w:rStyle w:val="FootnoteAnchor"/>
          <w:rtl w:val="true"/>
        </w:rPr>
        <w:footnoteReference w:id="1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کشفاً انقلابیّاً، ومعنی الکشف الانقلابی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بعد تحقّق الإجازة من السیّدیحکم بصحّة عقد العبد، وثبوت مضمونه من أوّل الأمر ومن حین صدور العقد منه،لا حین الإجازة فیکون نقلاً، ولا بمجرّد ترتیب الآثار من أوّل الأمر فیکون کشفاًحکمیّاً، ولا بصحّة العقد بالإجازة علی نحو الشرط المتأخّر فیکون کشفاً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فرق فی صحّته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45" w:name="pg13286_153999"/>
    </w:p>
    <w:p>
      <w:pPr>
        <w:pStyle w:val="BookText"/>
        <w:rPr/>
      </w:pPr>
      <w:bookmarkEnd w:id="745"/>
      <w:r>
        <w:rPr>
          <w:rFonts w:ascii="Amiri" w:hAnsi="Amiri" w:eastAsia="Amiri" w:cs="Amiri"/>
          <w:color w:val="111111"/>
          <w:sz w:val="28"/>
          <w:sz w:val="28"/>
          <w:szCs w:val="28"/>
          <w:rtl w:val="true"/>
          <w:lang w:bidi="ar-SA"/>
        </w:rPr>
        <w:t>بها بین أن یکون بتوقّعها، أوْ لا، بل علی الوجه المحرّم، ولا یضرّه النهی؛ لأنّه متعلّق بأمرٍ خارجٍ</w:t>
      </w:r>
      <w:r>
        <w:rPr>
          <w:rStyle w:val="FootnoteAnchor"/>
          <w:rtl w:val="true"/>
        </w:rPr>
        <w:footnoteReference w:id="1245"/>
      </w:r>
      <w:r>
        <w:rPr>
          <w:rFonts w:ascii="Amiri" w:hAnsi="Amiri" w:eastAsia="Amiri" w:cs="Amiri"/>
          <w:color w:val="111111"/>
          <w:sz w:val="28"/>
          <w:sz w:val="28"/>
          <w:szCs w:val="28"/>
          <w:rtl w:val="true"/>
          <w:lang w:bidi="ar-SA"/>
        </w:rPr>
        <w:t>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اشتراط عدم الردّ منه قبل الإجازة، فلا  تنفع الإجازة</w:t>
      </w:r>
      <w:r>
        <w:rPr>
          <w:rStyle w:val="FootnoteAnchor"/>
          <w:rtl w:val="true"/>
        </w:rPr>
        <w:footnoteReference w:id="1246"/>
      </w:r>
      <w:r>
        <w:rPr>
          <w:rFonts w:ascii="Amiri" w:hAnsi="Amiri" w:eastAsia="Amiri" w:cs="Amiri"/>
          <w:color w:val="111111"/>
          <w:sz w:val="28"/>
          <w:sz w:val="28"/>
          <w:szCs w:val="28"/>
          <w:rtl w:val="true"/>
          <w:lang w:bidi="ar-SA"/>
        </w:rPr>
        <w:t> بعد الردّ</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یشترط فی تأثیرها عدم سَبق النهی من المولی فیکون النهی السابق کالردّ بعد العقد، أوْ لا؟ وجهان، أقواهما</w:t>
      </w:r>
      <w:r>
        <w:rPr>
          <w:rStyle w:val="FootnoteAnchor"/>
          <w:rtl w:val="true"/>
        </w:rPr>
        <w:footnoteReference w:id="1248"/>
      </w:r>
      <w:r>
        <w:rPr>
          <w:rFonts w:ascii="IRNazanin" w:hAnsi="IRNazanin" w:eastAsia="IRNazanin"/>
          <w:color w:val="111111"/>
          <w:sz w:val="28"/>
          <w:sz w:val="28"/>
          <w:szCs w:val="28"/>
          <w:rtl w:val="true"/>
          <w:lang w:bidi="fa-IR"/>
        </w:rPr>
        <w:t> الثانی</w:t>
      </w:r>
      <w:r>
        <w:rPr>
          <w:rStyle w:val="FootnoteAnchor"/>
          <w:rtl w:val="true"/>
        </w:rPr>
        <w:footnoteReference w:id="1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فإنّ النهی قبله أشدّ من الردّ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أقوائیّته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أوّلهما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2138962_2322387425"/>
      <w:bookmarkStart w:id="747" w:name="_Toc274"/>
      <w:bookmarkEnd w:id="746"/>
      <w:r>
        <w:rPr>
          <w:rtl w:val="true"/>
        </w:rPr>
        <w:t>حکم المهر فی تزویج المملوک</w:t>
      </w:r>
      <w:bookmarkEnd w:id="74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باشر المولی تزویج عبده، أو أجبره</w:t>
      </w:r>
      <w:r>
        <w:rPr>
          <w:rStyle w:val="FootnoteAnchor"/>
          <w:rtl w:val="true"/>
        </w:rPr>
        <w:footnoteReference w:id="1250"/>
      </w:r>
      <w:r>
        <w:rPr>
          <w:rFonts w:ascii="IRNazanin" w:hAnsi="IRNazanin" w:eastAsia="IRNazanin"/>
          <w:color w:val="111111"/>
          <w:sz w:val="28"/>
          <w:sz w:val="28"/>
          <w:szCs w:val="28"/>
          <w:rtl w:val="true"/>
          <w:lang w:bidi="fa-IR"/>
        </w:rPr>
        <w:t xml:space="preserve"> علی التزویج   </w:t>
      </w:r>
    </w:p>
    <w:p>
      <w:pPr>
        <w:pStyle w:val="BookText"/>
        <w:rPr/>
      </w:pPr>
      <w:r>
        <w:rPr>
          <w:rFonts w:ascii="Amiri" w:hAnsi="Amiri" w:eastAsia="Amiri" w:cs="Amiri"/>
          <w:color w:val="111111"/>
          <w:sz w:val="28"/>
          <w:sz w:val="28"/>
          <w:szCs w:val="28"/>
          <w:rtl w:val="true"/>
          <w:lang w:bidi="ar-SA"/>
        </w:rPr>
        <w:t>فالمهر إن لم یُعیَّن فی عینٍ یکون فی ذمّة المولی</w:t>
      </w:r>
      <w:r>
        <w:rPr>
          <w:rStyle w:val="FootnoteAnchor"/>
          <w:rtl w:val="true"/>
        </w:rPr>
        <w:footnoteReference w:id="1251"/>
      </w:r>
      <w:r>
        <w:rPr>
          <w:rFonts w:ascii="IRNazanin" w:hAnsi="IRNazanin" w:eastAsia="IRNazanin"/>
          <w:color w:val="111111"/>
          <w:sz w:val="28"/>
          <w:sz w:val="28"/>
          <w:szCs w:val="28"/>
          <w:rtl w:val="true"/>
          <w:lang w:bidi="fa-IR"/>
        </w:rPr>
        <w:t>، ویجوز أن یجعله فی  ذمّة العبد</w:t>
      </w:r>
      <w:r>
        <w:rPr>
          <w:rStyle w:val="FootnoteAnchor"/>
          <w:rtl w:val="true"/>
        </w:rPr>
        <w:footnoteReference w:id="1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جعله فی ذمّة العبد علی هذا الوجه ولو مع رضاه محلّ إشکال، واستدانةالمولی بهذا النحو أشدّ إشکالاً، والتفصیل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سلطنة المولی علی اشتغال ذمّة العبد مستقلّاً بحیث یتبع به بعد العتق محلّإشکال، بل منع ولو مع رضاه؛ لأنّ رضاه غیر موثّرٍ فی شیء، وسلطنة المولیمحدودة بحدود ملکه، ولا معنی لعهدة العبد إلّا عهدة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له ذلک قهراً علیه؟ فیه إشکال</w:t>
      </w:r>
      <w:r>
        <w:rPr>
          <w:rStyle w:val="FootnoteAnchor"/>
          <w:rtl w:val="true"/>
        </w:rPr>
        <w:footnoteReference w:id="1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لأنّه مملوکه وتحت سلطانه یتصرّف فیه کیفما یشاء، إلّافی ما نهی الشارع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 لأنّ عهدة العبد لیست مملوکةً للمولی، نعم، إذا رضی العبد بذلک فیصحّ؛لعدم الموجب للمنع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له ذلک، وکذلک الاستدانة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إذا استدان علی أن یکون</w:t>
      </w:r>
    </w:p>
    <w:p>
      <w:pPr>
        <w:pStyle w:val="BookText"/>
        <w:rPr/>
      </w:pPr>
      <w:r>
        <w:rPr>
          <w:rFonts w:ascii="IRNazanin" w:hAnsi="IRNazanin" w:eastAsia="IRNazanin"/>
          <w:color w:val="111111"/>
          <w:sz w:val="28"/>
          <w:sz w:val="28"/>
          <w:szCs w:val="28"/>
          <w:rtl w:val="true"/>
          <w:lang w:bidi="fa-IR"/>
        </w:rPr>
        <w:t>الدَین فی ذمّة العبد من غیر رضاه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أذِن</w:t>
      </w:r>
      <w:r>
        <w:rPr>
          <w:rStyle w:val="FootnoteAnchor"/>
          <w:rtl w:val="true"/>
        </w:rPr>
        <w:footnoteReference w:id="1254"/>
      </w:r>
      <w:r>
        <w:rPr>
          <w:rFonts w:ascii="IRNazanin" w:hAnsi="IRNazanin" w:eastAsia="IRNazanin"/>
          <w:color w:val="111111"/>
          <w:sz w:val="28"/>
          <w:sz w:val="28"/>
          <w:szCs w:val="28"/>
          <w:rtl w:val="true"/>
          <w:lang w:bidi="fa-IR"/>
        </w:rPr>
        <w:t> له فی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عیَّن کون المهر فی ذمّته</w:t>
      </w:r>
      <w:r>
        <w:rPr>
          <w:rStyle w:val="FootnoteAnchor"/>
          <w:rtl w:val="true"/>
        </w:rPr>
        <w:footnoteReference w:id="1255"/>
      </w:r>
      <w:r>
        <w:rPr>
          <w:rFonts w:ascii="Amiri" w:hAnsi="Amiri" w:eastAsia="Amiri" w:cs="Amiri"/>
          <w:color w:val="111111"/>
          <w:sz w:val="28"/>
          <w:sz w:val="28"/>
          <w:szCs w:val="28"/>
          <w:rtl w:val="true"/>
          <w:lang w:bidi="ar-SA"/>
        </w:rPr>
        <w:t> أو فی ذمّة  العبد أو فی عینٍ معیّنٍ تعیّن، وإن أطلق</w:t>
      </w:r>
      <w:r>
        <w:rPr>
          <w:rStyle w:val="FootnoteAnchor"/>
          <w:rtl w:val="true"/>
        </w:rPr>
        <w:footnoteReference w:id="1256"/>
      </w:r>
      <w:r>
        <w:rPr>
          <w:rFonts w:ascii="IRNazanin" w:hAnsi="IRNazanin" w:eastAsia="IRNazanin"/>
          <w:color w:val="111111"/>
          <w:sz w:val="28"/>
          <w:sz w:val="28"/>
          <w:szCs w:val="28"/>
          <w:rtl w:val="true"/>
          <w:lang w:bidi="fa-IR"/>
        </w:rPr>
        <w:t> ففی کونه فی ذمّته، أو ذمّة العبد مع ضمانه له وتعهّده</w:t>
      </w:r>
      <w:r>
        <w:rPr>
          <w:rStyle w:val="FootnoteAnchor"/>
          <w:rtl w:val="true"/>
        </w:rPr>
        <w:footnoteReference w:id="1257"/>
      </w:r>
      <w:r>
        <w:rPr>
          <w:rFonts w:ascii="IRNazanin" w:hAnsi="IRNazanin" w:eastAsia="IRNazanin"/>
          <w:color w:val="111111"/>
          <w:sz w:val="28"/>
          <w:sz w:val="28"/>
          <w:szCs w:val="28"/>
          <w:rtl w:val="true"/>
          <w:lang w:bidi="fa-IR"/>
        </w:rPr>
        <w:t> أداءَه، عنه أو کونه فی کسب العبد</w:t>
      </w:r>
      <w:r>
        <w:rPr>
          <w:rStyle w:val="FootnoteAnchor"/>
          <w:rtl w:val="true"/>
        </w:rPr>
        <w:footnoteReference w:id="1258"/>
      </w:r>
      <w:r>
        <w:rPr>
          <w:rFonts w:ascii="IRNazanin" w:hAnsi="IRNazanin" w:eastAsia="IRNazanin"/>
          <w:color w:val="111111"/>
          <w:sz w:val="28"/>
          <w:sz w:val="28"/>
          <w:szCs w:val="28"/>
          <w:rtl w:val="true"/>
          <w:lang w:bidi="fa-IR"/>
        </w:rPr>
        <w:t> وجوه</w:t>
      </w:r>
      <w:r>
        <w:rPr>
          <w:rStyle w:val="FootnoteAnchor"/>
          <w:rtl w:val="true"/>
        </w:rPr>
        <w:footnoteReference w:id="1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 المهر والنفقة فی ذمّة العبد، ولکن علی المَولی أن یفی بما فی ذمّةالعبد من بعض أمواله أو أموال العبد، وهذا إذا کان المولی نافذ السلطان فی العبدوفی تصرّفاته، بأن کانت تحت رعایة مولاه فی جمیع شؤونه، وأمّا إذا کان العبدمطلق الإرادة ـ کما تقدّم ـ فلا یبعد عدم تعهّد المولی بذلک، والروایتان لا تدلّانعلی أکثر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260"/>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الشیء</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الظاهر من المقام تعهّد السیّد لِمَهره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فی لوازمه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وکون المهر علیه بعد عدم قدرة العبد علی شیء، وکونه کلّاً علی مولاه من لوازم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الإذن فی التزویج عرفاً، وکذا الکلام فی النفقة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ویدلّ علیه</w:t>
      </w:r>
      <w:r>
        <w:rPr>
          <w:rStyle w:val="FootnoteAnchor"/>
          <w:rtl w:val="true"/>
        </w:rPr>
        <w:footnoteReference w:id="1262"/>
      </w:r>
      <w:r>
        <w:rPr>
          <w:rFonts w:ascii="IRNazanin" w:hAnsi="IRNazanin" w:eastAsia="IRNazanin"/>
          <w:color w:val="111111"/>
          <w:sz w:val="28"/>
          <w:sz w:val="28"/>
          <w:szCs w:val="28"/>
          <w:rtl w:val="true"/>
          <w:lang w:bidi="fa-IR"/>
        </w:rPr>
        <w:t> أیضاً فی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علیّ بن أبی حمزة</w:t>
      </w:r>
      <w:r>
        <w:rPr>
          <w:rStyle w:val="FootnoteAnchor"/>
          <w:rtl w:val="true"/>
        </w:rPr>
        <w:footnoteReference w:id="1263"/>
      </w:r>
      <w:r>
        <w:rPr>
          <w:rFonts w:ascii="IRNazanin" w:hAnsi="IRNazanin" w:eastAsia="IRNazanin"/>
          <w:color w:val="111111"/>
          <w:sz w:val="28"/>
          <w:sz w:val="28"/>
          <w:szCs w:val="28"/>
          <w:rtl w:val="true"/>
          <w:lang w:bidi="fa-IR"/>
        </w:rPr>
        <w:t>، وفی النفقة موثّقة عمّار الساباطی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تزوّج العبد من غیر إذن مولاه، ثمّ أجاز ففی کونه</w:t>
      </w:r>
      <w:r>
        <w:rPr>
          <w:rStyle w:val="FootnoteAnchor"/>
          <w:rtl w:val="true"/>
        </w:rPr>
        <w:footnoteReference w:id="1265"/>
      </w:r>
      <w:r>
        <w:rPr>
          <w:rFonts w:ascii="IRNazanin" w:hAnsi="IRNazanin" w:eastAsia="IRNazanin"/>
          <w:color w:val="111111"/>
          <w:sz w:val="28"/>
          <w:sz w:val="28"/>
          <w:szCs w:val="28"/>
          <w:rtl w:val="true"/>
          <w:lang w:bidi="fa-IR"/>
        </w:rPr>
        <w:t> کالإذن السابق  فی کون المهر علی المولی، أو بتعهّده، أوْ لا؟ وجهان</w:t>
      </w:r>
      <w:r>
        <w:rPr>
          <w:rStyle w:val="FootnoteAnchor"/>
          <w:rtl w:val="true"/>
        </w:rPr>
        <w:footnoteReference w:id="1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الإجازة توجب صحّة العقد علی حسب ما وقع؛ فإنْ کان العبد قد عیّن شیئاًکانت الإجازة تعییناً له عند المولی، وإن لم یعیِّن جری فی الإجازة ما ذکرناه فیالإذن السابق سواء بسواء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الفرق</w:t>
      </w:r>
      <w:r>
        <w:rPr>
          <w:rStyle w:val="FootnoteAnchor"/>
          <w:rtl w:val="true"/>
        </w:rPr>
        <w:footnoteReference w:id="1267"/>
      </w:r>
      <w:r>
        <w:rPr>
          <w:rFonts w:ascii="IRNazanin" w:hAnsi="IRNazanin" w:eastAsia="IRNazanin"/>
          <w:color w:val="111111"/>
          <w:sz w:val="28"/>
          <w:sz w:val="28"/>
          <w:szCs w:val="28"/>
          <w:rtl w:val="true"/>
          <w:lang w:bidi="fa-IR"/>
        </w:rPr>
        <w:t> بین ما لو جعل</w:t>
      </w:r>
      <w:r>
        <w:rPr>
          <w:rStyle w:val="FootnoteAnchor"/>
          <w:rtl w:val="true"/>
        </w:rPr>
        <w:footnoteReference w:id="1268"/>
      </w:r>
      <w:r>
        <w:rPr>
          <w:rFonts w:ascii="IRNazanin" w:hAnsi="IRNazanin" w:eastAsia="IRNazanin"/>
          <w:color w:val="111111"/>
          <w:sz w:val="28"/>
          <w:sz w:val="28"/>
          <w:szCs w:val="28"/>
          <w:rtl w:val="true"/>
          <w:lang w:bidi="fa-IR"/>
        </w:rPr>
        <w:t> المهر فی ذمّته</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له مال، ولم یتمکّن من الاکتساب بإذن المولی، وهذا التفصیل لایخلو من قوّة، ولا یصغی من رجوعه إلی جعله فی ذمّة المولی؛ لمکان حکم العرفباتّحاد ذمّة العبد مع ذمّة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دخل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أدائه فی کسب العبد بعد العتق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بالمولی وإن أجاز العقد، أو فی مالٍ معیّنٍ من المولی، أو فی ذمّته، فیکون کما عیّن أو أطلق فیکون علی المولی</w:t>
      </w:r>
      <w:r>
        <w:rPr>
          <w:rFonts w:eastAsia="IRNazanin" w:cs="IRNazanin"/>
          <w:color w:val="111111"/>
          <w:sz w:val="28"/>
          <w:szCs w:val="28"/>
          <w:rtl w:val="true"/>
          <w:lang w:bidi="fa-IR"/>
        </w:rPr>
        <w:t>.</w:t>
      </w:r>
      <w:bookmarkStart w:id="748" w:name="pg13286_154004"/>
    </w:p>
    <w:p>
      <w:pPr>
        <w:pStyle w:val="BookText"/>
        <w:rPr/>
      </w:pPr>
      <w:bookmarkEnd w:id="748"/>
      <w:r>
        <w:rPr>
          <w:rFonts w:ascii="Amiri" w:hAnsi="Amiri" w:eastAsia="Amiri" w:cs="Amiri"/>
          <w:color w:val="111111"/>
          <w:sz w:val="28"/>
          <w:sz w:val="28"/>
          <w:szCs w:val="28"/>
          <w:rtl w:val="true"/>
          <w:lang w:bidi="ar-SA"/>
        </w:rPr>
        <w:t>ثمّ إنّ المولی</w:t>
      </w:r>
      <w:r>
        <w:rPr>
          <w:rStyle w:val="FootnoteAnchor"/>
          <w:rtl w:val="true"/>
        </w:rPr>
        <w:footnoteReference w:id="1270"/>
      </w:r>
      <w:r>
        <w:rPr>
          <w:rFonts w:ascii="Amiri" w:hAnsi="Amiri" w:eastAsia="Amiri" w:cs="Amiri"/>
          <w:color w:val="111111"/>
          <w:sz w:val="28"/>
          <w:sz w:val="28"/>
          <w:szCs w:val="28"/>
          <w:rtl w:val="true"/>
          <w:lang w:bidi="ar-SA"/>
        </w:rPr>
        <w:t> إذا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یعیّن مقدار المهر، وتارةً یعمّم، وتارةً یطلق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الأوّلَین لا إشکال، وعلی الأخیر ینصرف إلی المتعارف</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مهر المثل، ولیس له التعدّی عنه، وعدم ملاحظة المصلحة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الصورة الّتی یجب فیها علی المولی أن یفی بما فی ذمّة العبد، علی ما تقدّمبیانه، وأمّا فی الصورة الثانیة فإنّ وجوب الوفاء علی العبد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تعدّی وقف علی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Style w:val="FootnoteAnchor"/>
          <w:rtl w:val="true"/>
        </w:rPr>
        <w:footnoteReference w:id="1273"/>
      </w:r>
      <w:r>
        <w:rPr>
          <w:rFonts w:ascii="Amiri" w:hAnsi="Amiri" w:eastAsia="Amiri" w:cs="Amiri"/>
          <w:color w:val="111111"/>
          <w:sz w:val="28"/>
          <w:sz w:val="28"/>
          <w:szCs w:val="28"/>
          <w:rtl w:val="true"/>
          <w:lang w:bidi="ar-SA"/>
        </w:rPr>
        <w:t> الزائد فی ذمّته یَتبَع به بعد العتق</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بالنسبة إلی شخص الزوجة، فإنّه إن لم یعیّن ینصرف إلی اللائق بحال العبد من حیث الشرف والضَعة، فإن تعدّی وقف علی إجازته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2138964_2322387425"/>
      <w:bookmarkStart w:id="750" w:name="_Toc275"/>
      <w:bookmarkEnd w:id="749"/>
      <w:r>
        <w:rPr>
          <w:rtl w:val="true"/>
        </w:rPr>
        <w:t>مهر الأمة المزوّجة للمولی ونفقتها</w:t>
      </w:r>
      <w:bookmarkEnd w:id="75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الأمة المزوَّجة للمولی، سواء کان هو المباشر </w:t>
      </w:r>
    </w:p>
    <w:p>
      <w:pPr>
        <w:pStyle w:val="BookText"/>
        <w:rPr/>
      </w:pPr>
      <w:r>
        <w:rPr>
          <w:rFonts w:ascii="IRNazanin" w:hAnsi="IRNazanin" w:eastAsia="IRNazanin"/>
          <w:color w:val="111111"/>
          <w:sz w:val="28"/>
          <w:sz w:val="28"/>
          <w:szCs w:val="28"/>
          <w:rtl w:val="true"/>
          <w:lang w:bidi="fa-IR"/>
        </w:rPr>
        <w:t>أم هی، بإذنه أو بإجازته، ونفقتها علی الزوج، إلّا إذا منعها</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ونشزت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المناط فی عدم وجوب النفقة علی الزوج، نشوز الزوجة ومنع المولیوعدمه لا تأثیر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بغیر حقّ، کما هو الظاهر؛ فإنّ صحّة التزویج للأمة والتزام المولی بلوازم الزوجیّةتقتضی وجوب التمکین علیها، فلا یملک المولی أن یمنعها عنه، فإذا منعها کذلکوأطاعت فلم تمکّنه کانت ناشزةً فلا نفقة لها، وإذا منعها المولی بحقٍّ ـ کما قد یتّفق ـفأطاعت مولاها ولم تمکّن الزوج لم یکن ذلک نشوزاً، فلا تسقط نفقتها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التمکین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وعملت علی طبق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امتنعت من منعها، أو کان منعه إیّاها منعاً تکوینیّاً بأن حبسها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نفقتها علی الزوج ما لم تصیر ناشزةً 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هذا الاشتراط محلّ إشکال، إلّا أن یؤول إلی اشتراط أداء النفقة علیالمولی، لا أصل ثبوته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أن یشترط الزوج علی المولی أن یقوم بالإنفاق علیها، وأمّا شرط أنتجب النفقة علی المولی فهو شرط مخالف للکتاب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أداءَها لا ثبوتها شرعاً، وإلّا فصحّة مثل هذا الشرط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وللمولی استخدامها بما لا ینافی حقّ 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أنّ للمولی</w:t>
      </w:r>
      <w:r>
        <w:rPr>
          <w:rStyle w:val="FootnoteAnchor"/>
          <w:rtl w:val="true"/>
        </w:rPr>
        <w:footnoteReference w:id="1278"/>
      </w:r>
      <w:r>
        <w:rPr>
          <w:rFonts w:ascii="IRNazanin" w:hAnsi="IRNazanin" w:eastAsia="IRNazanin"/>
          <w:color w:val="111111"/>
          <w:sz w:val="28"/>
          <w:sz w:val="28"/>
          <w:szCs w:val="28"/>
          <w:rtl w:val="true"/>
          <w:lang w:bidi="fa-IR"/>
        </w:rPr>
        <w:t> أن یستخدمها نهاراً</w:t>
      </w:r>
      <w:r>
        <w:rPr>
          <w:rStyle w:val="FootnoteAnchor"/>
          <w:rtl w:val="true"/>
        </w:rPr>
        <w:footnoteReference w:id="1279"/>
      </w:r>
      <w:r>
        <w:rPr>
          <w:rFonts w:ascii="Amiri" w:hAnsi="Amiri" w:eastAsia="Amiri" w:cs="Amiri"/>
          <w:color w:val="111111"/>
          <w:sz w:val="28"/>
          <w:sz w:val="28"/>
          <w:szCs w:val="28"/>
          <w:rtl w:val="true"/>
          <w:lang w:bidi="ar-SA"/>
        </w:rPr>
        <w:t>، ویُخَلِّی بینها وبین الزوج  لیلاً، ولا بأس به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یُستفاد</w:t>
      </w:r>
      <w:r>
        <w:rPr>
          <w:rStyle w:val="FootnoteAnchor"/>
          <w:rtl w:val="true"/>
        </w:rPr>
        <w:footnoteReference w:id="1281"/>
      </w:r>
      <w:r>
        <w:rPr>
          <w:rFonts w:ascii="IRNazanin" w:hAnsi="IRNazanin" w:eastAsia="IRNazanin"/>
          <w:color w:val="111111"/>
          <w:sz w:val="28"/>
          <w:sz w:val="28"/>
          <w:szCs w:val="28"/>
          <w:rtl w:val="true"/>
          <w:lang w:bidi="fa-IR"/>
        </w:rPr>
        <w:t> من بعض</w:t>
      </w:r>
      <w:r>
        <w:rPr>
          <w:rStyle w:val="FootnoteAnchor"/>
          <w:rtl w:val="true"/>
        </w:rPr>
        <w:footnoteReference w:id="1282"/>
      </w:r>
      <w:r>
        <w:rPr>
          <w:rFonts w:ascii="IRNazanin" w:hAnsi="IRNazanin" w:eastAsia="IRNazanin"/>
          <w:color w:val="111111"/>
          <w:sz w:val="28"/>
          <w:sz w:val="28"/>
          <w:szCs w:val="28"/>
          <w:rtl w:val="true"/>
          <w:lang w:bidi="fa-IR"/>
        </w:rPr>
        <w:t>الأخبار</w:t>
      </w:r>
      <w:r>
        <w:rPr>
          <w:rStyle w:val="FootnoteAnchor"/>
          <w:rtl w:val="true"/>
        </w:rPr>
        <w:footnoteReference w:id="1283"/>
      </w:r>
      <w:r>
        <w:rPr>
          <w:rFonts w:ascii="IRNazanin" w:hAnsi="IRNazanin" w:eastAsia="IRNazanin"/>
          <w:color w:val="111111"/>
          <w:sz w:val="28"/>
          <w:sz w:val="28"/>
          <w:szCs w:val="28"/>
          <w:rtl w:val="true"/>
          <w:lang w:bidi="fa-IR"/>
        </w:rPr>
        <w:t> ولو اشترطا غیر ذلک فهما علی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زوجها أن یسافر بها هل له ذلک من دون إذن السیّد؟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w:t>
      </w:r>
      <w:r>
        <w:rPr>
          <w:rStyle w:val="FootnoteAnchor"/>
          <w:rtl w:val="true"/>
        </w:rPr>
        <w:footnoteReference w:id="1284"/>
      </w:r>
      <w:r>
        <w:rPr>
          <w:rFonts w:ascii="IRNazanin" w:hAnsi="IRNazanin" w:eastAsia="IRNazanin"/>
          <w:color w:val="111111"/>
          <w:sz w:val="28"/>
          <w:sz w:val="28"/>
          <w:szCs w:val="28"/>
          <w:rtl w:val="true"/>
          <w:lang w:bidi="fa-IR"/>
        </w:rPr>
        <w:t>، بخلاف ما إذا أراد السیّد أن یسافر بها فإنّه یجوز له من دون 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العکس</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یخلو من المناقشة؛ فإنّ إذن السیّد بالتزویج وإن کان التزاماً بلوازمالزوجیّة وأحکامها إلّا أنّ من أحکامها وجوب إطاعة الزوج لو لم تزاحم بما هوالأهمّ، والتزامه بأحکامها لیس مزیلاً لسیادته وأحکامها ولوازمها، فکما أنّ مقتضیزوجیّة الزوج وجوب طاعته کذلک مقتضی سیادة السیّد وجوب إطاعته، فإذا أمرکلّ منهما بخلاف ما أمره الآخر یقع التزاحم بین الإطاعتَین، فیراعی ما هو الأهمّ،ولا یبعد أن یکون رعایة السیّد الّذی یکون مالکاً لرقبتها ألزم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توقّف الاستمتاع علی المسافرة، وکذا المسافرة لیلاً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أنیُخلّی بینها وبین الزوج 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مناقشة وإشکال، بل الظاهر تقدیم إرادة السیّد عند تزاحمها مع إرادةالزوج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یخلو من المناقشة؛ فإنّ إذن السیّد بالتزویج وإن کان التزاماًبلوازم الزوجیّة وأحکامها إلّا أنّ من أحکامها وجوب اطاعة الزوج لو لم تزاحمبما هو الأهمّ، والتزامه بأحکامها لیس مزیلاً لسیادته وأحکامها ولوازمها، فکماأنّ مقتضی زوجیّة الزوج وجوب إطاعته، فإذا أمر کلّ منهما بخلاف ما أمرهالآخر یقع التزاحم بین الإطاعتَین، فیراعی ما هو الأهمّ، ولا یبعد أن یکونرعایة السیّد الّذی یکون مالکاً لرقبتها ألزم،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 بالتزویج المستلزمللإذن باللوازم بمنزلة إسقاط حقّ المولی بالنسبة إلی آثار المزاوجةمن الاستمتاعات، وهذا ربّما مراد المصنّف قدّس سرّه ؛ وبناءً علیه لا یجب إطاعته حتّی فیغیر الوطء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صورتَی المسافرة لیلاً وإرادة الاستمتاع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یجوز للعبد أن یسافر بها من دون إذن مولاها، دون العکس، لکن المسلَّممنه فیما إذا أراد منها الاستمتاع فی السفر، وإلّا فوجوب السفر علیها بأمر الزوجغیر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مراعاة حقّ السیّد أعمّ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القدر المسلَّم من ذلک ما إذا أراد الزوج الاستمتاع بزوجته فی السفر فلا یجوزللمولی أن یمنعها من ذلک، أمّا فی غیر ذلک فالمسألة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السیّد إذا أذن بالتزویج فقد التزم بلوازم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3286_154009"/>
      <w:bookmarkStart w:id="752" w:name="pg13286_154009"/>
      <w:bookmarkEnd w:id="752"/>
    </w:p>
    <w:p>
      <w:pPr>
        <w:pStyle w:val="BookText"/>
        <w:rPr/>
      </w:pPr>
      <w:bookmarkStart w:id="753" w:name="pg13286_154009"/>
      <w:bookmarkEnd w:id="753"/>
      <w:r>
        <w:rPr>
          <w:rFonts w:ascii="Amiri" w:hAnsi="Amiri" w:eastAsia="Amiri" w:cs="Amiri"/>
          <w:color w:val="111111"/>
          <w:sz w:val="28"/>
          <w:sz w:val="28"/>
          <w:szCs w:val="28"/>
          <w:rtl w:val="true"/>
          <w:lang w:bidi="ar-SA"/>
        </w:rPr>
        <w:t>الزوجیّة</w:t>
      </w:r>
      <w:r>
        <w:rPr>
          <w:rStyle w:val="FootnoteAnchor"/>
          <w:rtl w:val="true"/>
        </w:rPr>
        <w:footnoteReference w:id="12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آلرِّجَالُ قَوَّامُونَ عَلَی آلنِّسَاءِ</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العبد المأذون فی التزویج فأمره بید مولاه، فلو منعه من الاستمتاع یجب علیه طاعته، إلّا ما کان واجباً علیه من الوطء فی کلّ أربعة أشهر، ومن حقّ القسم</w:t>
      </w:r>
      <w:r>
        <w:rPr>
          <w:rFonts w:eastAsia="IRNazanin" w:cs="IRNazanin"/>
          <w:color w:val="111111"/>
          <w:sz w:val="28"/>
          <w:szCs w:val="28"/>
          <w:rtl w:val="true"/>
          <w:lang w:bidi="fa-IR"/>
        </w:rPr>
        <w:t>.</w:t>
      </w:r>
    </w:p>
    <w:p>
      <w:pPr>
        <w:pStyle w:val="Heading4"/>
        <w:numPr>
          <w:ilvl w:val="3"/>
          <w:numId w:val="1"/>
        </w:numPr>
        <w:rPr/>
      </w:pPr>
      <w:bookmarkStart w:id="754" w:name="__RefHeading___Toc2138966_2322387425"/>
      <w:bookmarkStart w:id="755" w:name="_Toc276"/>
      <w:bookmarkEnd w:id="754"/>
      <w:r>
        <w:rPr>
          <w:rtl w:val="true"/>
        </w:rPr>
        <w:t>جعل المهر للأمة المأذونة فی التزویج</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أذِن المولی للأمة فی التزویج وجعل المهر لها صحّ علی الأقوی من ملکیّة العبد والأمة</w:t>
      </w:r>
      <w:r>
        <w:rPr>
          <w:rStyle w:val="FootnoteAnchor"/>
          <w:rtl w:val="true"/>
        </w:rPr>
        <w:footnoteReference w:id="1288"/>
      </w:r>
      <w:r>
        <w:rPr>
          <w:rFonts w:ascii="IRNazanin" w:hAnsi="IRNazanin" w:eastAsia="IRNazanin"/>
          <w:color w:val="111111"/>
          <w:sz w:val="28"/>
          <w:sz w:val="28"/>
          <w:szCs w:val="28"/>
          <w:rtl w:val="true"/>
          <w:lang w:bidi="fa-IR"/>
        </w:rPr>
        <w:t>، وإن کان للمولی أن یتملّک</w:t>
      </w:r>
      <w:r>
        <w:rPr>
          <w:rStyle w:val="FootnoteAnchor"/>
          <w:rtl w:val="true"/>
        </w:rPr>
        <w:footnoteReference w:id="1289"/>
      </w:r>
      <w:r>
        <w:rPr>
          <w:rFonts w:ascii="IRNazanin" w:hAnsi="IRNazanin" w:eastAsia="IRNazanin"/>
          <w:color w:val="111111"/>
          <w:sz w:val="28"/>
          <w:sz w:val="28"/>
          <w:szCs w:val="28"/>
          <w:rtl w:val="true"/>
          <w:lang w:bidi="fa-IR"/>
        </w:rPr>
        <w:t> ما ملکاه، بل الأقوی</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المملوک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المملوکة 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ونظراً لارتباک اللفظ فالصحیح 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الأحرار، ولکنّه محجور علیه، ولا یجوز لهالتصرّفات المالیّة إلّا بإذن مولاه، ومنه تعرف أنّه لیس للمولی التصرّف فی أموال مملوکه، نعم، لو اکتسبها بإذن المولی علی أن تکون له کانت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العدم؛ لدلالة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ونُکتها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المهذّب لابن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2/359</w:t>
      </w:r>
      <w:r>
        <w:rPr>
          <w:rFonts w:ascii="IRNazanin" w:hAnsi="IRNazanin" w:eastAsia="IRNazanin"/>
          <w:color w:val="111111"/>
          <w:sz w:val="28"/>
          <w:sz w:val="28"/>
          <w:szCs w:val="28"/>
          <w:rtl w:val="true"/>
          <w:lang w:bidi="fa-IR"/>
        </w:rPr>
        <w:t>، 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9/244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جواز تملّک السیّد ما ملکهالعبد فکیف بالملکیّة الطولیّة؟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مالکاً لهما ولمالهما</w:t>
      </w:r>
      <w:bookmarkStart w:id="756" w:name="pg13286_154010"/>
    </w:p>
    <w:p>
      <w:pPr>
        <w:pStyle w:val="BookText"/>
        <w:rPr/>
      </w:pPr>
      <w:bookmarkEnd w:id="756"/>
      <w:r>
        <w:rPr>
          <w:rFonts w:ascii="Amiri" w:hAnsi="Amiri" w:eastAsia="Amiri" w:cs="Amiri"/>
          <w:color w:val="111111"/>
          <w:sz w:val="28"/>
          <w:sz w:val="28"/>
          <w:szCs w:val="28"/>
          <w:rtl w:val="true"/>
          <w:lang w:bidi="ar-SA"/>
        </w:rPr>
        <w:t>ملکیّةً طولیّة</w:t>
      </w:r>
      <w:r>
        <w:rPr>
          <w:rStyle w:val="FootnoteAnchor"/>
          <w:rtl w:val="true"/>
        </w:rPr>
        <w:footnoteReference w:id="1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بجعل الملکیّة للعبد بالنسبة إلی المال، وملکیّة المولی للمال المملوک للعبد،وعلیه فالمهر لها وهو ملکها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4"/>
        <w:numPr>
          <w:ilvl w:val="3"/>
          <w:numId w:val="1"/>
        </w:numPr>
        <w:rPr/>
      </w:pPr>
      <w:bookmarkStart w:id="757" w:name="__RefHeading___Toc2138968_2322387425"/>
      <w:bookmarkStart w:id="758" w:name="_Toc277"/>
      <w:bookmarkEnd w:id="757"/>
      <w:r>
        <w:rPr>
          <w:rtl w:val="true"/>
        </w:rPr>
        <w:t>نکاح المملوک عبداً أو أمةً المشترک والمبعّض</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العبد أو الأمة لِمالِکَینِ أو أکثر توقّف صحّة النکاح علی إذن الجمیع أو إجازتهم، ولو کانا مبعَّضَین توقّف علی إذنهما وإذن المالک، ولیس له إجبارهما</w:t>
      </w:r>
      <w:r>
        <w:rPr>
          <w:rFonts w:eastAsia="IRNazanin" w:cs="IRNazanin"/>
          <w:color w:val="111111"/>
          <w:sz w:val="28"/>
          <w:szCs w:val="28"/>
          <w:rtl w:val="true"/>
          <w:lang w:bidi="fa-IR"/>
        </w:rPr>
        <w:t>.</w:t>
      </w:r>
    </w:p>
    <w:p>
      <w:pPr>
        <w:pStyle w:val="Heading4"/>
        <w:numPr>
          <w:ilvl w:val="3"/>
          <w:numId w:val="1"/>
        </w:numPr>
        <w:rPr/>
      </w:pPr>
      <w:bookmarkStart w:id="759" w:name="__RefHeading___Toc2138970_2322387425"/>
      <w:bookmarkStart w:id="760" w:name="_Toc278"/>
      <w:bookmarkEnd w:id="759"/>
      <w:r>
        <w:rPr>
          <w:rtl w:val="true"/>
        </w:rPr>
        <w:t>حکم النکاح والمهر فی فرض شراء الحرّة زوجها المملوک</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اشترت العبدَ زوجتُهُ بطل النکاح، وتستحقّ المهر إن کان ذلک بعد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قبله ففی سقوطه</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فسخ أحد الزوجین بسبب عیبٍ من العیوب المعلومة فی صاحبه، وعلیهلا یلزم خُلوّ البیع عن العوض لترتّب السقوط علی تملّک الزوجة زوجها المتأخّرعن الزوجیّة، المستلزمة لثبوت المهر، ولا یخلو من 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سقوط نصفه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الطلاق قبل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ثبوت تمامه</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الموت قبل الدخول علی ما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أنّه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المهر لها أجمع، فقد ملکته جمیعه بالعقد، ولا دلیل علی سقوطه بالانفساخالطارئ، ولا علی إلحاقه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مبنیّة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القطع بأنّ الشراء لیس فی حکم الطلاق؛ لعدم الدلیل علی هذا التنزیل، وعلیفرض وجوده فلا یدلّ علی عموم التنزیل، فالقول بالسقوط لا تخلو من قوّة، ولمأعرف أنّ ثبوت تمام المهر یترتّب علی أیّ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لها أجمع؛ لأنّها ملکته بالعقد، ولا دلیل علی سقوطه، ولا علی إلحاقه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وجه الأوّل لا یخلو من وجه، لکنّه لا یخلو من الإشکال أیضاً، ثمّ علیتقدیر السقوط لا یلزم بطلان الشراء؛ لخلوّ البیع عن العوض؛ لکون السقوط معلولاًلتملّک الزوجة رقبة زوجها، ومتأخّر عنه رتبة، ففی مرتبة إنشاء البیع المتقدّم علی السقوط یکون المهر ثابتاً، فلا یلزم خلوّ البیع من العوض،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جعلهما المبنی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 بطلان، أو</w:t>
      </w:r>
    </w:p>
    <w:p>
      <w:pPr>
        <w:pStyle w:val="BookText"/>
        <w:rPr/>
      </w:pPr>
      <w:r>
        <w:rPr>
          <w:rFonts w:ascii="IRNazanin" w:hAnsi="IRNazanin" w:eastAsia="IRNazanin"/>
          <w:color w:val="111111"/>
          <w:sz w:val="28"/>
          <w:sz w:val="28"/>
          <w:szCs w:val="28"/>
          <w:rtl w:val="true"/>
          <w:lang w:bidi="fa-IR"/>
        </w:rPr>
        <w:t>انفساخ</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المراد من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العقد کأن لم یکن، ومن الانفساخ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انحلالالعقد من حین الاشتراء، ولا فرق ظاهراً بینهما، إلّا أن یکون المراد بالبطلان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 من الأوّل، وهو لا وجه له، ومقتضی القواعد هو استحقاق تمام المهر أونصفه؛ بناءً علی إلحاقه بالطلاق قبل الدخول لو کان المهر فی ذمّة مولی العبد، وأمّالو کان فی ذمّة نفس العبد فمقتضی القاعدة سقوط تمامه؛ لأنّه لا معنی لاِنْ یکون مالکاً لِما فی ذمّة مملوکه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یظهر الفرق بین البطلان والانفساخ إلّا إذا اُرید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نسخة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ومنالثانی من حین ظهور السبب، ولا یبعد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الانفساخ من أوّل العقد لا فرق بینه وبین البطلان، بل لا یبعد عدمالفرق بینهما فی ما ذکر لو کان من حینه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 یجری علیها حکم الطلاق قبل الدخول، أوْ لا؟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السقوط کلّاً إذا اشترته بالمهر الّذی کان لها فی ذمّة السیّد بطل </w:t>
      </w:r>
    </w:p>
    <w:p>
      <w:pPr>
        <w:pStyle w:val="BookText"/>
        <w:rPr/>
      </w:pPr>
      <w:r>
        <w:rPr>
          <w:rFonts w:ascii="IRNazanin" w:hAnsi="IRNazanin" w:eastAsia="IRNazanin"/>
          <w:color w:val="111111"/>
          <w:sz w:val="28"/>
          <w:sz w:val="28"/>
          <w:szCs w:val="28"/>
          <w:rtl w:val="true"/>
          <w:lang w:bidi="fa-IR"/>
        </w:rPr>
        <w:t>الشراء</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یبطل؛ لأنّ البیع کان مع العوض، وسقوط العوض یستلزم الرجوع إلی بدله، لابطلان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لِلزوم 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لا بأس به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الدخول؛ لاستقرار المهر حینئذٍ</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العلّامة فی القواعد</w:t>
      </w:r>
      <w:r>
        <w:rPr>
          <w:rStyle w:val="FootnoteAnchor"/>
          <w:rtl w:val="true"/>
        </w:rPr>
        <w:footnoteReference w:id="1296"/>
      </w:r>
      <w:r>
        <w:rPr>
          <w:rFonts w:ascii="IRNazanin" w:hAnsi="IRNazanin" w:eastAsia="IRNazanin"/>
          <w:color w:val="111111"/>
          <w:sz w:val="28"/>
          <w:sz w:val="28"/>
          <w:szCs w:val="28"/>
          <w:rtl w:val="true"/>
          <w:lang w:bidi="fa-IR"/>
        </w:rPr>
        <w:t xml:space="preserve">البطلان إذا اشترته بالمهر الّذی فی ذمّة العبد وإن کان بعد الدخول؛ لأنّ تملّکها له یستلزم براءة ذمّته من المهر، فیخلو البیع </w:t>
      </w:r>
    </w:p>
    <w:p>
      <w:pPr>
        <w:pStyle w:val="BookText"/>
        <w:rPr/>
      </w:pPr>
      <w:r>
        <w:rPr>
          <w:rFonts w:ascii="IRNazanin" w:hAnsi="IRNazanin" w:eastAsia="IRNazanin"/>
          <w:color w:val="111111"/>
          <w:sz w:val="28"/>
          <w:sz w:val="28"/>
          <w:szCs w:val="28"/>
          <w:rtl w:val="true"/>
          <w:lang w:bidi="fa-IR"/>
        </w:rPr>
        <w:t>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مبنیّ</w:t>
      </w:r>
      <w:r>
        <w:rPr>
          <w:rStyle w:val="FootnoteAnchor"/>
          <w:rtl w:val="true"/>
        </w:rPr>
        <w:footnoteReference w:id="1297"/>
      </w:r>
      <w:r>
        <w:rPr>
          <w:rFonts w:ascii="Amiri" w:hAnsi="Amiri" w:eastAsia="Amiri" w:cs="Amiri"/>
          <w:color w:val="111111"/>
          <w:sz w:val="28"/>
          <w:sz w:val="28"/>
          <w:szCs w:val="28"/>
          <w:rtl w:val="true"/>
          <w:lang w:bidi="ar-SA"/>
        </w:rPr>
        <w:t> علی عدم صحّة</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ذکره غیر واحدٍ من شرّاح القواعد، لکنّ الظاهر عدم ابتناء خلوّ البیععن الثمن علی ذلک، بل یلزم ذلک ولو علی القول بصحّة ملکیّة المَولی لذمّة عبده؛وذلک لأنّها اشترت عبداً وجعلت ثمنه فراغة ذمّته، وهذا نفع یعود إلی العبد، ولایعود إلی البائع؛ لأنّ براءته بعد الخروج عن ملکه غیر مرتبطةٍ به، فیصدق أنّه بلاثمنٍ یرجع إلی البائع، لکنّ هذا مبنیّ علی أن یکون الثمن براءة ذمّته، لا انتقال ما فیذمّته إلی المولی؛ وعلیه فیأتی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ملکیّة المولی فی ذمّة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لمنع المنع وجه موجّه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المنع غیر موجّه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للمنع؛ لما ذکرنا فی بعض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لا تجتمع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ملکیّتها 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61" w:name="pg13286_154015"/>
    </w:p>
    <w:p>
      <w:pPr>
        <w:pStyle w:val="BookText"/>
        <w:rPr/>
      </w:pPr>
      <w:bookmarkEnd w:id="761"/>
      <w:r>
        <w:rPr>
          <w:rFonts w:ascii="IRNazanin" w:hAnsi="IRNazanin" w:eastAsia="IRNazanin"/>
          <w:color w:val="111111"/>
          <w:sz w:val="28"/>
          <w:sz w:val="28"/>
          <w:szCs w:val="28"/>
          <w:rtl w:val="true"/>
          <w:lang w:bidi="fa-IR"/>
        </w:rPr>
        <w:t>ولما فی ذمّته</w:t>
      </w:r>
      <w:r>
        <w:rPr>
          <w:rStyle w:val="FootnoteAnchor"/>
          <w:rtl w:val="true"/>
        </w:rPr>
        <w:footnoteReference w:id="1299"/>
      </w:r>
      <w:r>
        <w:rPr>
          <w:rFonts w:ascii="IRNazanin" w:hAnsi="IRNazanin" w:eastAsia="IRNazanin"/>
          <w:color w:val="111111"/>
          <w:sz w:val="28"/>
          <w:sz w:val="28"/>
          <w:szCs w:val="28"/>
          <w:rtl w:val="true"/>
          <w:lang w:bidi="fa-IR"/>
        </w:rPr>
        <w:t>، بل ینتقل ما فی ذمّته</w:t>
      </w:r>
      <w:r>
        <w:rPr>
          <w:rStyle w:val="FootnoteAnchor"/>
          <w:rtl w:val="true"/>
        </w:rPr>
        <w:footnoteReference w:id="1300"/>
      </w:r>
      <w:r>
        <w:rPr>
          <w:rFonts w:ascii="IRNazanin" w:hAnsi="IRNazanin" w:eastAsia="IRNazanin"/>
          <w:color w:val="111111"/>
          <w:sz w:val="28"/>
          <w:sz w:val="28"/>
          <w:szCs w:val="28"/>
          <w:rtl w:val="true"/>
          <w:lang w:bidi="fa-IR"/>
        </w:rPr>
        <w:t> إلی المولی</w:t>
      </w:r>
      <w:r>
        <w:rPr>
          <w:rStyle w:val="FootnoteAnchor"/>
          <w:rtl w:val="true"/>
        </w:rPr>
        <w:footnoteReference w:id="1301"/>
      </w:r>
      <w:r>
        <w:rPr>
          <w:rFonts w:ascii="IRNazanin" w:hAnsi="IRNazanin" w:eastAsia="IRNazanin"/>
          <w:color w:val="111111"/>
          <w:sz w:val="28"/>
          <w:sz w:val="28"/>
          <w:szCs w:val="28"/>
          <w:rtl w:val="true"/>
          <w:lang w:bidi="fa-IR"/>
        </w:rPr>
        <w:t> بالبیع حین انتقال</w:t>
      </w:r>
      <w:r>
        <w:rPr>
          <w:rStyle w:val="FootnoteAnchor"/>
          <w:rtl w:val="true"/>
        </w:rPr>
        <w:footnoteReference w:id="1302"/>
      </w:r>
      <w:r>
        <w:rPr>
          <w:rFonts w:ascii="IRNazanin" w:hAnsi="IRNazanin" w:eastAsia="IRNazanin"/>
          <w:color w:val="111111"/>
          <w:sz w:val="28"/>
          <w:sz w:val="28"/>
          <w:szCs w:val="28"/>
          <w:rtl w:val="true"/>
          <w:lang w:bidi="fa-IR"/>
        </w:rPr>
        <w:t> العبد</w:t>
      </w:r>
      <w:r>
        <w:rPr>
          <w:rStyle w:val="FootnoteAnchor"/>
          <w:rtl w:val="true"/>
        </w:rPr>
        <w:footnoteReference w:id="1303"/>
      </w:r>
      <w:r>
        <w:rPr>
          <w:rFonts w:ascii="IRNazanin" w:hAnsi="IRNazanin" w:eastAsia="IRNazanin"/>
          <w:color w:val="111111"/>
          <w:sz w:val="28"/>
          <w:sz w:val="28"/>
          <w:szCs w:val="28"/>
          <w:rtl w:val="true"/>
          <w:lang w:bidi="fa-IR"/>
        </w:rPr>
        <w:t> إلیها</w:t>
      </w:r>
      <w:r>
        <w:rPr>
          <w:rFonts w:eastAsia="IRNazanin" w:cs="IRNazanin"/>
          <w:color w:val="111111"/>
          <w:sz w:val="28"/>
          <w:szCs w:val="28"/>
          <w:rtl w:val="true"/>
          <w:lang w:bidi="fa-IR"/>
        </w:rPr>
        <w:t>.</w:t>
      </w:r>
    </w:p>
    <w:p>
      <w:pPr>
        <w:pStyle w:val="Heading4"/>
        <w:numPr>
          <w:ilvl w:val="3"/>
          <w:numId w:val="1"/>
        </w:numPr>
        <w:rPr/>
      </w:pPr>
      <w:bookmarkStart w:id="762" w:name="__RefHeading___Toc2138972_2322387425"/>
      <w:bookmarkStart w:id="763" w:name="_Toc279"/>
      <w:bookmarkEnd w:id="762"/>
      <w:r>
        <w:rPr>
          <w:rtl w:val="true"/>
        </w:rPr>
        <w:t>الولد الحاصل من المملوکین رق وملحق بالحرّ منهما ما لم یکن عن زنا ونحو ذلک</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بین المملوکَین رِقّ، سواء کان عن تزویجٍ مأذونٍ فیه، أو مجازٍ، أو عن شبهةٍ مع العقد أو مجرّدة، أم عن زناً منهما أو من أحدهما بلا عقد، أو عن عقدٍ معلومِ الفساد عندهما، أو عند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أحد الأبوین حرّاً فالولد حرّ إذا کان عن عقدٍ صحیح،أو شبهةٍ مع العقد أو مجرّدة، حتّی فیما لو دلّست الأمة نفسها بدعواها الحرّیّة فتزوّجها حرّ علی الأقوی</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تراجع المسألة الثانیة عشرة من هذا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یجب علیه حینئذٍ دفع قیمة الولد إلی مولاها</w:t>
      </w:r>
      <w:r>
        <w:rPr>
          <w:rFonts w:eastAsia="IRNazanin" w:cs="IRNazanin"/>
          <w:color w:val="111111"/>
          <w:sz w:val="28"/>
          <w:szCs w:val="28"/>
          <w:rtl w:val="true"/>
          <w:lang w:bidi="fa-IR"/>
        </w:rPr>
        <w:t>.</w:t>
      </w:r>
      <w:bookmarkStart w:id="764" w:name="pg13286_154016"/>
    </w:p>
    <w:p>
      <w:pPr>
        <w:pStyle w:val="BookText"/>
        <w:rPr/>
      </w:pPr>
      <w:bookmarkEnd w:id="764"/>
      <w:r>
        <w:rPr>
          <w:rFonts w:ascii="IRNazanin" w:hAnsi="IRNazanin" w:eastAsia="IRNazanin"/>
          <w:color w:val="111111"/>
          <w:sz w:val="28"/>
          <w:sz w:val="28"/>
          <w:szCs w:val="28"/>
          <w:rtl w:val="true"/>
          <w:lang w:bidi="fa-IR"/>
        </w:rPr>
        <w:t>وأمّا إذا کان عن عقدٍ بلا إذنٍ مع العلم</w:t>
      </w:r>
      <w:r>
        <w:rPr>
          <w:rStyle w:val="FootnoteAnchor"/>
          <w:rtl w:val="true"/>
        </w:rPr>
        <w:footnoteReference w:id="1305"/>
      </w:r>
      <w:r>
        <w:rPr>
          <w:rFonts w:ascii="IRNazanin" w:hAnsi="IRNazanin" w:eastAsia="IRNazanin"/>
          <w:color w:val="111111"/>
          <w:sz w:val="28"/>
          <w:sz w:val="28"/>
          <w:szCs w:val="28"/>
          <w:rtl w:val="true"/>
          <w:lang w:bidi="fa-IR"/>
        </w:rPr>
        <w:t> من الحرّ بفساد العقد، أو عن زناً  من الحرّ أو منهما</w:t>
      </w:r>
      <w:r>
        <w:rPr>
          <w:rStyle w:val="FootnoteAnchor"/>
          <w:rtl w:val="true"/>
        </w:rPr>
        <w:footnoteReference w:id="1306"/>
      </w:r>
      <w:r>
        <w:rPr>
          <w:rFonts w:ascii="Amiri" w:hAnsi="Amiri" w:eastAsia="Amiri" w:cs="Amiri"/>
          <w:color w:val="111111"/>
          <w:sz w:val="28"/>
          <w:sz w:val="28"/>
          <w:szCs w:val="28"/>
          <w:rtl w:val="true"/>
          <w:lang w:bidi="ar-SA"/>
        </w:rPr>
        <w:t> فالولد رِقّ</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2138974_2322387425"/>
      <w:bookmarkStart w:id="766" w:name="_Toc280"/>
      <w:bookmarkEnd w:id="765"/>
      <w:r>
        <w:rPr>
          <w:rtl w:val="true"/>
        </w:rPr>
        <w:t>ملکیّة المولود من مملوکین</w:t>
      </w:r>
      <w:bookmarkEnd w:id="766"/>
    </w:p>
    <w:p>
      <w:pPr>
        <w:pStyle w:val="BookText"/>
        <w:rPr/>
      </w:pPr>
      <w:r>
        <w:rPr>
          <w:rFonts w:ascii="IRNazanin" w:hAnsi="IRNazanin" w:eastAsia="IRNazanin"/>
          <w:color w:val="111111"/>
          <w:sz w:val="28"/>
          <w:sz w:val="28"/>
          <w:szCs w:val="28"/>
          <w:rtl w:val="true"/>
          <w:lang w:bidi="fa-IR"/>
        </w:rPr>
        <w:t>ثمّ إذا کان المملوکان لمالکٍ واحدٍ فالولد له، وإن کان کلّ منهما لمالکٍ فالولد بین المالکَین</w:t>
      </w:r>
      <w:r>
        <w:rPr>
          <w:rStyle w:val="FootnoteAnchor"/>
          <w:rtl w:val="true"/>
        </w:rPr>
        <w:footnoteReference w:id="1308"/>
      </w:r>
      <w:r>
        <w:rPr>
          <w:rFonts w:ascii="Amiri" w:hAnsi="Amiri" w:eastAsia="Amiri" w:cs="Amiri"/>
          <w:color w:val="111111"/>
          <w:sz w:val="28"/>
          <w:sz w:val="28"/>
          <w:szCs w:val="28"/>
          <w:rtl w:val="true"/>
          <w:lang w:bidi="ar-SA"/>
        </w:rPr>
        <w:t> بالسویّة</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المشهور، لکنّ الخروج عن قاعدة تبعیّة الولد للاُمّ فی الملک محلّ تأمّل،وکذا فی ما یتفرّع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اشترطا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التفاوت، أو الاختصاص  بأحدهما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العقد بإذن المالکَین، أو مع عدم الإذن من واحدٍ منهما</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إذا کان بالإذن من أحدهما فالظاهر أنّه کذلک</w:t>
      </w:r>
      <w:r>
        <w:rPr>
          <w:rStyle w:val="FootnoteAnchor"/>
          <w:rtl w:val="true"/>
        </w:rPr>
        <w:footnoteReference w:id="1311"/>
      </w:r>
      <w:r>
        <w:rPr>
          <w:rFonts w:ascii="IRNazanin" w:hAnsi="IRNazanin" w:eastAsia="IRNazanin"/>
          <w:color w:val="111111"/>
          <w:sz w:val="28"/>
          <w:sz w:val="28"/>
          <w:szCs w:val="28"/>
          <w:rtl w:val="true"/>
          <w:lang w:bidi="fa-IR"/>
        </w:rPr>
        <w:t>، ولکنّ المشهور</w:t>
      </w:r>
      <w:r>
        <w:rPr>
          <w:rStyle w:val="FootnoteAnchor"/>
          <w:rtl w:val="true"/>
        </w:rPr>
        <w:footnoteReference w:id="1312"/>
      </w:r>
      <w:r>
        <w:rPr>
          <w:rFonts w:ascii="Amiri" w:hAnsi="Amiri" w:eastAsia="Amiri" w:cs="Amiri"/>
          <w:color w:val="111111"/>
          <w:sz w:val="28"/>
          <w:sz w:val="28"/>
          <w:szCs w:val="28"/>
          <w:rtl w:val="true"/>
          <w:lang w:bidi="ar-SA"/>
        </w:rPr>
        <w:t> أنّ الولد</w:t>
      </w:r>
      <w:r>
        <w:rPr>
          <w:rStyle w:val="FootnoteAnchor"/>
          <w:rtl w:val="true"/>
        </w:rPr>
        <w:footnoteReference w:id="1313"/>
      </w:r>
      <w:r>
        <w:rPr>
          <w:rFonts w:ascii="Amiri" w:hAnsi="Amiri" w:eastAsia="Amiri" w:cs="Amiri"/>
          <w:color w:val="111111"/>
          <w:sz w:val="28"/>
          <w:sz w:val="28"/>
          <w:szCs w:val="28"/>
          <w:rtl w:val="true"/>
          <w:lang w:bidi="ar-SA"/>
        </w:rPr>
        <w:t> حینئذٍ لمن</w:t>
      </w:r>
      <w:r>
        <w:rPr>
          <w:rStyle w:val="FootnoteAnchor"/>
          <w:rtl w:val="true"/>
        </w:rPr>
        <w:footnoteReference w:id="1314"/>
      </w:r>
      <w:r>
        <w:rPr>
          <w:rFonts w:ascii="IRNazanin" w:hAnsi="IRNazanin" w:eastAsia="IRNazanin"/>
          <w:color w:val="111111"/>
          <w:sz w:val="28"/>
          <w:sz w:val="28"/>
          <w:szCs w:val="28"/>
          <w:rtl w:val="true"/>
          <w:lang w:bidi="fa-IR"/>
        </w:rPr>
        <w:t> لم یأذن</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الحرمة لماء المأذون من أحدهما؛ حیث أفرغه فی محلّ لم یؤذَن بالإفراغفیه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یکون مرادهم فی صورة إطلاق الإذن بحیث یُستفاد منه إسقاط حقّ نمائیّة الولد؛ حیث إنّ مقتضی الإطلاق جواز التزویج بالحرّ أو الحرّة، وإلّا فلا وجه له</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الشهرة وادّعاء النصّ من بعض المویّد بذکره فی الکتب المبنیّة علی ذکر ما فیالنصوص بصورة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من الوجه للمشهور أیضاً غیر وجیه، والمسألة محتاجة إلی مزید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الوطء شبهةً منهما، سواء کان مع العقد  أم شبهة مجرّدة فإنّ الولد مشترک</w:t>
      </w:r>
      <w:r>
        <w:rPr>
          <w:rFonts w:eastAsia="IRNazanin" w:cs="IRNazanin"/>
          <w:color w:val="111111"/>
          <w:sz w:val="28"/>
          <w:szCs w:val="28"/>
          <w:rtl w:val="true"/>
          <w:lang w:bidi="fa-IR"/>
        </w:rPr>
        <w:t>.</w:t>
      </w:r>
      <w:bookmarkStart w:id="767" w:name="pg13286_154018"/>
    </w:p>
    <w:p>
      <w:pPr>
        <w:pStyle w:val="BookText"/>
        <w:rPr/>
      </w:pPr>
      <w:bookmarkEnd w:id="767"/>
      <w:r>
        <w:rPr>
          <w:rFonts w:ascii="IRNazanin" w:hAnsi="IRNazanin" w:eastAsia="IRNazanin"/>
          <w:color w:val="111111"/>
          <w:sz w:val="28"/>
          <w:sz w:val="28"/>
          <w:szCs w:val="28"/>
          <w:rtl w:val="true"/>
          <w:lang w:bidi="fa-IR"/>
        </w:rPr>
        <w:t>وأمّا لو کان الولد عن زناً من العبد فالظاهر عدم الخلاف فی أنّ الولد لمالک الأمة</w:t>
      </w:r>
      <w:r>
        <w:rPr>
          <w:rStyle w:val="FootnoteAnchor"/>
          <w:rtl w:val="true"/>
        </w:rPr>
        <w:footnoteReference w:id="1317"/>
      </w:r>
      <w:r>
        <w:rPr>
          <w:rFonts w:ascii="IRNazanin" w:hAnsi="IRNazanin" w:eastAsia="IRNazanin"/>
          <w:color w:val="111111"/>
          <w:sz w:val="28"/>
          <w:sz w:val="28"/>
          <w:szCs w:val="28"/>
          <w:rtl w:val="true"/>
          <w:lang w:bidi="fa-IR"/>
        </w:rPr>
        <w:t>، سواء کان من طرفها شبهةً أو زنا</w:t>
      </w:r>
      <w:r>
        <w:rPr>
          <w:rFonts w:eastAsia="IRNazanin" w:cs="IRNazanin"/>
          <w:color w:val="111111"/>
          <w:sz w:val="28"/>
          <w:szCs w:val="28"/>
          <w:rtl w:val="true"/>
          <w:lang w:bidi="fa-IR"/>
        </w:rPr>
        <w:t>.</w:t>
      </w:r>
    </w:p>
    <w:p>
      <w:pPr>
        <w:pStyle w:val="Heading4"/>
        <w:numPr>
          <w:ilvl w:val="3"/>
          <w:numId w:val="1"/>
        </w:numPr>
        <w:rPr/>
      </w:pPr>
      <w:bookmarkStart w:id="768" w:name="__RefHeading___Toc2138976_2322387425"/>
      <w:bookmarkStart w:id="769" w:name="_Toc281"/>
      <w:bookmarkEnd w:id="768"/>
      <w:r>
        <w:rPr>
          <w:rtl w:val="true"/>
        </w:rPr>
        <w:t>منع اشتراط رقّیّة الولد من الحرّ</w:t>
      </w:r>
      <w:bookmarkEnd w:id="7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أحد الأبوین حرّاً فالولد حرّ، لا یصحّ اشتراط</w:t>
      </w:r>
      <w:r>
        <w:rPr>
          <w:rStyle w:val="FootnoteAnchor"/>
          <w:rtl w:val="true"/>
        </w:rPr>
        <w:footnoteReference w:id="1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هذا الشرط فی ضمن عقد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صحّة اشتراطها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صحّة هذا الشرط ونفوذه إذا کان فی ضمن العقد، وأمّا إذا کان فیضمن عقدٍ خارجٍ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والمشهور علی خلافه؛ لعموم أدلّة الوفاء بالشروط، وعدم کونهمخالفاً للکتاب، ولا لمقتضی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ضمن عقد التزویج، فضلاً عن عقدٍ خارجٍ لازم،</w:t>
      </w:r>
    </w:p>
    <w:p>
      <w:pPr>
        <w:pStyle w:val="BookText"/>
        <w:rPr/>
      </w:pPr>
      <w:r>
        <w:rPr>
          <w:rFonts w:ascii="IRNazanin" w:hAnsi="IRNazanin" w:eastAsia="IRNazanin"/>
          <w:color w:val="111111"/>
          <w:sz w:val="28"/>
          <w:sz w:val="28"/>
          <w:szCs w:val="28"/>
          <w:rtl w:val="true"/>
          <w:lang w:bidi="fa-IR"/>
        </w:rPr>
        <w:t>ولا یضرّ بالعقد إذا کان فی ضمن عقدٍ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کان فی ضمن عقد التزویج فمبنیّ علی فساد العقد بفساد الشرط، وعدمه، والأقوی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r>
        <w:rPr>
          <w:rStyle w:val="FootnoteAnchor"/>
          <w:rtl w:val="true"/>
        </w:rPr>
        <w:footnoteReference w:id="1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بعیداً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الإصفهانی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نقل به فی سائر العقود إذا کان مَن له الشرط جاهلاً بفساده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فی سائر العقود یمکن جبر تخلّف شرطه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بالخیار، بخلاف المقام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الفرق غیر فارق، مع أنّ الخیار بتخلّف الشرط الفاسد غیر مذکورٍ فی کلماتالعلماء، نعم، فی الجواهر لا بأس بالالتزام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إنّه لا یجری 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الاشتراط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العلم بالفساد لا فرق؛ إذ</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0" w:name="pg13286_154020"/>
    </w:p>
    <w:p>
      <w:pPr>
        <w:pStyle w:val="BookText"/>
        <w:rPr/>
      </w:pPr>
      <w:bookmarkEnd w:id="770"/>
      <w:r>
        <w:rPr>
          <w:rFonts w:ascii="IRNazanin" w:hAnsi="IRNazanin" w:eastAsia="IRNazanin"/>
          <w:color w:val="111111"/>
          <w:sz w:val="28"/>
          <w:sz w:val="28"/>
          <w:szCs w:val="28"/>
          <w:rtl w:val="true"/>
          <w:lang w:bidi="fa-IR"/>
        </w:rPr>
        <w:t>لا خیار</w:t>
      </w:r>
      <w:r>
        <w:rPr>
          <w:rStyle w:val="FootnoteAnchor"/>
          <w:rtl w:val="true"/>
        </w:rPr>
        <w:footnoteReference w:id="1320"/>
      </w:r>
      <w:r>
        <w:rPr>
          <w:rFonts w:ascii="IRNazanin" w:hAnsi="IRNazanin" w:eastAsia="IRNazanin"/>
          <w:color w:val="111111"/>
          <w:sz w:val="28"/>
          <w:sz w:val="28"/>
          <w:szCs w:val="28"/>
          <w:rtl w:val="true"/>
          <w:lang w:bidi="fa-IR"/>
        </w:rPr>
        <w:t> فی سائر العقود أیضاً</w:t>
      </w:r>
      <w:r>
        <w:rPr>
          <w:rStyle w:val="FootnoteAnchor"/>
          <w:rtl w:val="true"/>
        </w:rPr>
        <w:footnoteReference w:id="1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Heading4"/>
        <w:numPr>
          <w:ilvl w:val="3"/>
          <w:numId w:val="1"/>
        </w:numPr>
        <w:rPr/>
      </w:pPr>
      <w:bookmarkStart w:id="771" w:name="__RefHeading___Toc2138978_2322387425"/>
      <w:bookmarkStart w:id="772" w:name="_Toc282"/>
      <w:bookmarkEnd w:id="771"/>
      <w:r>
        <w:rPr>
          <w:rtl w:val="true"/>
        </w:rPr>
        <w:t>تزوّج الحرّ مملوکة غیره وحکم الولد والمهر</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تزوّج حرّ أمةً من غیر إذن مولاها حرم علیه وطوها وإن کان بتوقّع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أجاز المولی کشف عن صحّته علی الأقوی من کون الإجازة کاشفة</w:t>
      </w:r>
      <w:r>
        <w:rPr>
          <w:rStyle w:val="FootnoteAnchor"/>
          <w:rtl w:val="true"/>
        </w:rPr>
        <w:footnoteReference w:id="1322"/>
      </w:r>
      <w:r>
        <w:rPr>
          <w:rFonts w:ascii="IRNazanin" w:hAnsi="IRNazanin" w:eastAsia="IRNazanin"/>
          <w:color w:val="111111"/>
          <w:sz w:val="28"/>
          <w:sz w:val="28"/>
          <w:szCs w:val="28"/>
          <w:rtl w:val="true"/>
          <w:lang w:bidi="fa-IR"/>
        </w:rPr>
        <w:t>، وعلیه المهر، والولد حرّ، ولا یحدّ حدّ الزنا</w:t>
      </w:r>
      <w:r>
        <w:rPr>
          <w:rStyle w:val="FootnoteAnchor"/>
          <w:rtl w:val="true"/>
        </w:rPr>
        <w:footnoteReference w:id="1323"/>
      </w:r>
      <w:r>
        <w:rPr>
          <w:rFonts w:ascii="Amiri" w:hAnsi="Amiri" w:eastAsia="Amiri" w:cs="Amiri"/>
          <w:color w:val="111111"/>
          <w:sz w:val="28"/>
          <w:sz w:val="28"/>
          <w:szCs w:val="28"/>
          <w:rtl w:val="true"/>
          <w:lang w:bidi="ar-SA"/>
        </w:rPr>
        <w:t> وإن کان عالماً بالتحریم، بل یُعزَّر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عالماً بلحوق الإجازة فالظاهر</w:t>
      </w:r>
      <w:r>
        <w:rPr>
          <w:rStyle w:val="FootnoteAnchor"/>
          <w:rtl w:val="true"/>
        </w:rPr>
        <w:footnoteReference w:id="1324"/>
      </w:r>
      <w:r>
        <w:rPr>
          <w:rFonts w:ascii="Amiri" w:hAnsi="Amiri" w:eastAsia="Amiri" w:cs="Amiri"/>
          <w:color w:val="111111"/>
          <w:sz w:val="28"/>
          <w:sz w:val="28"/>
          <w:szCs w:val="28"/>
          <w:rtl w:val="true"/>
          <w:lang w:bidi="ar-SA"/>
        </w:rPr>
        <w:t> عدم الحرمة</w:t>
      </w:r>
      <w:r>
        <w:rPr>
          <w:rStyle w:val="FootnoteAnchor"/>
          <w:rtl w:val="true"/>
        </w:rPr>
        <w:footnoteReference w:id="1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ثبوت الحرمة؛ حتّی مع علمه بلحوق الإجازة علی الصحیح فی معنیالکشف، وإن أمکن القول بعدم ثبوت التعزیر؛ لثبوت الخلاف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هی الحرمة إن تصرّف فیها؛ لأنّه فی وقت التصرّف فی مال الغیر لاإذن، ولا إجازة الإنباء علی الکشف الحقیقیّ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التحریم، ولا ینافی ذلک الحکم بعدم الحرمة بعد الإجازة، وکذلکالحال فی التعزیر، إلّا إذا فُرِض أنّه کان مشتبهاً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الحرمة علی ما هو الصحیح من معنی الکشف، نعم، یمکن القول بعدمالتعزیر؛ لوقوع الخلاف فیه، والحدود تُدرَأ بالشبهات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أمّاعلی الکشف الانقلابیّفالحکم قبل تحقّق الإجازة هوالتحریم وإن کان یعلم بلحوقالإجازة، فإذا لم یُحدَّ حتّی تحقّقت الإجازة کان علیه التعزیر، وسقط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الکشف الحقیقیّ،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التعزیر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یُجِزِ المولی کشف عن بطلان التزویج، ویُحَدّ حینئذٍ حدّ الزنا إذا کان عالماً بالحکم، ولم یکن مشتَبهاً من جهةٍ اُخری،وعلیه المهر بالدخول، وإن کانت الأمة</w:t>
      </w:r>
      <w:r>
        <w:rPr>
          <w:rStyle w:val="FootnoteAnchor"/>
          <w:rtl w:val="true"/>
        </w:rPr>
        <w:footnoteReference w:id="1327"/>
      </w:r>
      <w:r>
        <w:rPr>
          <w:rFonts w:ascii="Amiri" w:hAnsi="Amiri" w:eastAsia="Amiri" w:cs="Amiri"/>
          <w:color w:val="111111"/>
          <w:sz w:val="28"/>
          <w:sz w:val="28"/>
          <w:szCs w:val="28"/>
          <w:rtl w:val="true"/>
          <w:lang w:bidi="ar-SA"/>
        </w:rPr>
        <w:t> أیضاً عالمةً</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بل منع، وقد تقدّم منه ما یخالف المقام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التزویج فی عدّة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منه  قدّس سرّه ما ینافی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 المصنّف تقویة عدم استحقاق المهر، فلا وجه لکونه المسمّی أو مهرالمثل، وینحصر فی الأخیر بعنوان الأرش بلا تردید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کونه المسمّی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مهر المثل، أو العشر إن کانت بکراً، ونصفه إن کانت ثَیِّباً وجوه، بل أقوال، أقواها 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کذلک، ولکنّه أرش لا مهر، کما تقدّم فی المسألة الخامسة عشرة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التزویج فی عدّة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الولد لمولی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w:t>
      </w:r>
      <w:r>
        <w:rPr>
          <w:rStyle w:val="FootnoteAnchor"/>
          <w:rtl w:val="true"/>
        </w:rPr>
        <w:footnoteReference w:id="1330"/>
      </w:r>
      <w:r>
        <w:rPr>
          <w:rFonts w:ascii="Amiri" w:hAnsi="Amiri" w:eastAsia="Amiri" w:cs="Amiri"/>
          <w:color w:val="111111"/>
          <w:sz w:val="28"/>
          <w:sz w:val="28"/>
          <w:szCs w:val="28"/>
          <w:rtl w:val="true"/>
          <w:lang w:bidi="ar-SA"/>
        </w:rPr>
        <w:t> جاهلاً بالحکم، أو مشتبهاً من جهةٍ اُخری فلا یُحَدّ، ویکون الولد حرّاً</w:t>
      </w:r>
      <w:r>
        <w:rPr>
          <w:rStyle w:val="FootnoteAnchor"/>
          <w:rtl w:val="true"/>
        </w:rPr>
        <w:footnoteReference w:id="1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جهله بالحکم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عدم المملوکیّة، ولِما یُستفاد من أخبار التزویج علی أنّها حرّة بعد إلغاءخصوصیّة العقد، وإلحاقاً للشبهة بالعقد، حتّی فی أنّ الولد تابع للحرّ من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ذکر بعضهم</w:t>
      </w: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قیمته یوم</w:t>
      </w:r>
      <w:r>
        <w:rPr>
          <w:rStyle w:val="FootnoteAnchor"/>
          <w:rtl w:val="true"/>
        </w:rPr>
        <w:footnoteReference w:id="1333"/>
      </w:r>
      <w:r>
        <w:rPr>
          <w:rFonts w:ascii="IRNazanin" w:hAnsi="IRNazanin" w:eastAsia="IRNazanin"/>
          <w:color w:val="111111"/>
          <w:sz w:val="28"/>
          <w:sz w:val="28"/>
          <w:szCs w:val="28"/>
          <w:rtl w:val="true"/>
          <w:lang w:bidi="fa-IR"/>
        </w:rPr>
        <w:t> سقط</w:t>
      </w:r>
      <w:r>
        <w:rPr>
          <w:rStyle w:val="FootnoteAnchor"/>
          <w:rtl w:val="true"/>
        </w:rPr>
        <w:footnoteReference w:id="1334"/>
      </w:r>
      <w:r>
        <w:rPr>
          <w:rFonts w:ascii="Amiri" w:hAnsi="Amiri" w:eastAsia="Amiri" w:cs="Amiri"/>
          <w:color w:val="111111"/>
          <w:sz w:val="28"/>
          <w:sz w:val="28"/>
          <w:szCs w:val="28"/>
          <w:rtl w:val="true"/>
          <w:lang w:bidi="ar-SA"/>
        </w:rPr>
        <w:t> حیّاً</w:t>
      </w:r>
      <w:r>
        <w:rPr>
          <w:rStyle w:val="FootnoteAnchor"/>
          <w:rtl w:val="true"/>
        </w:rPr>
        <w:footnoteReference w:id="1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لمعتبرة سماعة وغیرها، وعلیه فمن الغریب من الماتن قدّس سرّه حیثإنّه نفی الدلیل علیه فی المقام؛ وذلک لأنّ مورد الروایات هو هذا المقام، وهو ما إذاکان الواطئ جاهلاً بالحکم، أو مشتبهاً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دلیل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أغمض عن موثّقتَی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 والإماء،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ظاهر النصوص المتفرّقة الدالّة علی ضمان قیمة الولد فإنّه إنّما یکون ولداًبولادته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p>
    <w:p>
      <w:pPr>
        <w:pStyle w:val="BookText"/>
        <w:rPr/>
      </w:pPr>
      <w:r>
        <w:rPr>
          <w:rFonts w:ascii="IRNazanin" w:hAnsi="IRNazanin" w:eastAsia="IRNazanin"/>
          <w:color w:val="111111"/>
          <w:sz w:val="28"/>
          <w:sz w:val="28"/>
          <w:szCs w:val="28"/>
          <w:rtl w:val="true"/>
          <w:lang w:bidi="fa-IR"/>
        </w:rPr>
        <w:t>فی المقام</w:t>
      </w:r>
      <w:r>
        <w:rPr>
          <w:rStyle w:val="FootnoteAnchor"/>
          <w:rtl w:val="true"/>
        </w:rPr>
        <w:footnoteReference w:id="1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استفادة ذلک ممّا دلّ علیه فی المسألة الآتیة غیر بعیدةٍ علی فرض القول بالحرّیّةفی المقام، لکنّه 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استفادته من الأخبار الواردة فی اشتراء الأمة فأولدها، ثمّ تبیّن أنّها مالالغیر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نحو استیفاءٍ لمنفعة الأمة عرفاً، فتکون قیمة الولد کعوض المنفعةالمستوفاة، وحیث إنّ یوم الانعقاد من حیث هو لا وجه لاعتباره؛ إذ لا مالیّة فیهأبداً، بل هو طریق محض للبروز والسقوط، فالمدار علی یوم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استفادته من أخبار متفرّقة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الاستیلاد استیفاء للمنفعة من الأمة، فیضمنها المستوفی لها، ویمکناستفادته من أخبار متفرّقة، ومن خصوص روایة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Style w:val="FootnoteAnchor"/>
          <w:rtl w:val="true"/>
        </w:rPr>
        <w:footnoteReference w:id="1337"/>
      </w:r>
      <w:r>
        <w:rPr>
          <w:rFonts w:ascii="IRNazanin" w:hAnsi="IRNazanin" w:eastAsia="IRNazanin"/>
          <w:color w:val="111111"/>
          <w:sz w:val="28"/>
          <w:sz w:val="28"/>
          <w:szCs w:val="28"/>
          <w:rtl w:val="true"/>
          <w:lang w:bidi="fa-IR"/>
        </w:rPr>
        <w:t> أنّه تفویت لمنفعة الأمة کما تری</w:t>
      </w:r>
      <w:r>
        <w:rPr>
          <w:rStyle w:val="FootnoteAnchor"/>
          <w:rtl w:val="true"/>
        </w:rPr>
        <w:footnoteReference w:id="1338"/>
      </w:r>
      <w:r>
        <w:rPr>
          <w:rFonts w:ascii="IRNazanin" w:hAnsi="IRNazanin" w:eastAsia="IRNazanin"/>
          <w:color w:val="111111"/>
          <w:sz w:val="28"/>
          <w:sz w:val="28"/>
          <w:szCs w:val="28"/>
          <w:rtl w:val="true"/>
          <w:lang w:bidi="fa-IR"/>
        </w:rPr>
        <w:t>؛ إذ التفویت إنّما جاء من قِبَل حکم الشارع 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فرضه فلا وجه لقیمة یوم التولّد، بل </w:t>
      </w:r>
      <w:bookmarkStart w:id="773" w:name="pg13286_154025"/>
    </w:p>
    <w:p>
      <w:pPr>
        <w:pStyle w:val="BookText"/>
        <w:rPr/>
      </w:pPr>
      <w:bookmarkEnd w:id="773"/>
      <w:r>
        <w:rPr>
          <w:rFonts w:ascii="IRNazanin" w:hAnsi="IRNazanin" w:eastAsia="IRNazanin"/>
          <w:color w:val="111111"/>
          <w:sz w:val="28"/>
          <w:sz w:val="28"/>
          <w:szCs w:val="28"/>
          <w:rtl w:val="true"/>
          <w:lang w:bidi="fa-IR"/>
        </w:rPr>
        <w:t>مقتضی القاعدة قیمة یوم الانعقاد</w:t>
      </w:r>
      <w:r>
        <w:rPr>
          <w:rStyle w:val="FootnoteAnchor"/>
          <w:rtl w:val="true"/>
        </w:rPr>
        <w:footnoteReference w:id="1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ظاهر النصوص قیمة یوم الولادة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الدلیل النصّ التعبّدیّ، ثمّ لا یخفی أنّ مالیّة یوم الانعقاد لیس إلّابلحاظ حال التولّد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انعقد حرّاً فیکون التفویت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Heading4"/>
        <w:numPr>
          <w:ilvl w:val="3"/>
          <w:numId w:val="1"/>
        </w:numPr>
        <w:rPr/>
      </w:pPr>
      <w:bookmarkStart w:id="774" w:name="__RefHeading___Toc2138980_2322387425"/>
      <w:bookmarkStart w:id="775" w:name="_Toc283"/>
      <w:bookmarkEnd w:id="774"/>
      <w:r>
        <w:rPr>
          <w:rtl w:val="true"/>
        </w:rPr>
        <w:t>هل للوارث إجازة العقد الواقع علی أمةٍ مُورِّثة؟</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یُجِزِ المولی العقد الواقع علی أمته، ولم یردّه أیضاً حتّی مات، فهل یصحّ إجازة وارثه له، أم لا؟ وجهان</w:t>
      </w:r>
      <w:r>
        <w:rPr>
          <w:rStyle w:val="FootnoteAnchor"/>
          <w:rtl w:val="true"/>
        </w:rPr>
        <w:footnoteReference w:id="1340"/>
      </w:r>
      <w:r>
        <w:rPr>
          <w:rFonts w:ascii="IRNazanin" w:hAnsi="IRNazanin" w:eastAsia="IRNazanin"/>
          <w:color w:val="111111"/>
          <w:sz w:val="28"/>
          <w:sz w:val="28"/>
          <w:szCs w:val="28"/>
          <w:rtl w:val="true"/>
          <w:lang w:bidi="fa-IR"/>
        </w:rPr>
        <w:t>، أقواهما</w:t>
      </w:r>
      <w:r>
        <w:rPr>
          <w:rStyle w:val="FootnoteAnchor"/>
          <w:rtl w:val="true"/>
        </w:rPr>
        <w:footnoteReference w:id="1341"/>
      </w:r>
      <w:r>
        <w:rPr>
          <w:rFonts w:ascii="IRNazanin" w:hAnsi="IRNazanin" w:eastAsia="IRNazanin"/>
          <w:color w:val="111111"/>
          <w:sz w:val="28"/>
          <w:sz w:val="28"/>
          <w:szCs w:val="28"/>
          <w:rtl w:val="true"/>
          <w:lang w:bidi="fa-IR"/>
        </w:rPr>
        <w:t> العدم</w:t>
      </w:r>
      <w:r>
        <w:rPr>
          <w:rStyle w:val="FootnoteAnchor"/>
          <w:rtl w:val="true"/>
        </w:rPr>
        <w:footnoteReference w:id="1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أقوی، ولیس هو من باب مَن باع ثمّ ملک، بل حقّ إجازة المورّثانتقل إلی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التأمّل والنظر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ولیس المقام نظیر مَن باع شیئاً ثمّ ملک، وعلی فرض کونه منهفالأقوی صحّة الإجازة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أقوی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نفوذ إجازة الوارث لا یخلو من قوّة، ولکن 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علی فرضها کاشفة، ولا یمکن</w:t>
      </w:r>
      <w:r>
        <w:rPr>
          <w:rStyle w:val="FootnoteAnchor"/>
          <w:rtl w:val="true"/>
        </w:rPr>
        <w:footnoteReference w:id="1343"/>
      </w:r>
      <w:r>
        <w:rPr>
          <w:rFonts w:ascii="IRNazanin" w:hAnsi="IRNazanin" w:eastAsia="IRNazanin"/>
          <w:color w:val="111111"/>
          <w:sz w:val="28"/>
          <w:sz w:val="28"/>
          <w:szCs w:val="28"/>
          <w:rtl w:val="true"/>
          <w:lang w:bidi="fa-IR"/>
        </w:rPr>
        <w:t> الکشف</w:t>
      </w:r>
      <w:r>
        <w:rPr>
          <w:rStyle w:val="FootnoteAnchor"/>
          <w:rtl w:val="true"/>
        </w:rPr>
        <w:footnoteReference w:id="1344"/>
      </w:r>
      <w:r>
        <w:rPr>
          <w:rFonts w:ascii="IRNazanin" w:hAnsi="IRNazanin" w:eastAsia="IRNazanin"/>
          <w:color w:val="111111"/>
          <w:sz w:val="28"/>
          <w:sz w:val="28"/>
          <w:szCs w:val="28"/>
          <w:rtl w:val="true"/>
          <w:lang w:bidi="fa-IR"/>
        </w:rPr>
        <w:t> هنا</w:t>
      </w:r>
      <w:r>
        <w:rPr>
          <w:rStyle w:val="FootnoteAnchor"/>
          <w:rtl w:val="true"/>
        </w:rPr>
        <w:footnoteReference w:id="1345"/>
      </w:r>
      <w:r>
        <w:rPr>
          <w:rFonts w:ascii="Amiri" w:hAnsi="Amiri" w:eastAsia="Amiri" w:cs="Amiri"/>
          <w:color w:val="111111"/>
          <w:sz w:val="28"/>
          <w:sz w:val="28"/>
          <w:szCs w:val="28"/>
          <w:rtl w:val="true"/>
          <w:lang w:bidi="ar-SA"/>
        </w:rPr>
        <w:t xml:space="preserve">؛ لأنّ المفروض أنّها </w:t>
      </w:r>
    </w:p>
    <w:p>
      <w:pPr>
        <w:pStyle w:val="BookText"/>
        <w:rPr/>
      </w:pPr>
      <w:r>
        <w:rPr>
          <w:rFonts w:ascii="IRNazanin" w:hAnsi="IRNazanin" w:eastAsia="IRNazanin"/>
          <w:color w:val="111111"/>
          <w:sz w:val="28"/>
          <w:sz w:val="28"/>
          <w:szCs w:val="28"/>
          <w:rtl w:val="true"/>
          <w:lang w:bidi="fa-IR"/>
        </w:rPr>
        <w:t>کانت للمورّث، وهو نظیر</w:t>
      </w:r>
      <w:r>
        <w:rPr>
          <w:rStyle w:val="FootnoteAnchor"/>
          <w:rtl w:val="true"/>
        </w:rPr>
        <w:footnoteReference w:id="1346"/>
      </w:r>
      <w:r>
        <w:rPr>
          <w:rFonts w:ascii="IRNazanin" w:hAnsi="IRNazanin" w:eastAsia="IRNazanin"/>
          <w:color w:val="111111"/>
          <w:sz w:val="28"/>
          <w:sz w:val="28"/>
          <w:szCs w:val="28"/>
          <w:rtl w:val="true"/>
          <w:lang w:bidi="fa-IR"/>
        </w:rPr>
        <w:t> من باع</w:t>
      </w:r>
      <w:r>
        <w:rPr>
          <w:rStyle w:val="FootnoteAnchor"/>
          <w:rtl w:val="true"/>
        </w:rPr>
        <w:footnoteReference w:id="1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یکون نظیره فی مغایرة المالک حین العقد لمالکٍ حال الإجازة، ولکنّ تلکالمغایرة فی المقام لیست علی حدّها فی غیره أو فی المقام لیس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إلیالوارث نظیر الانتقال من المالک الأوّل إلی الأجنبی؛ فإنّ ملک الوارث کأنّه ملکالمورّث، وبموته یقوم الوارث مقامه فی قیام تلک الإضافة بجمیع شؤونها الّتی منهاالسلطنة علی إجازة العقد الواقع علی ذلک المال وصلوحها للتأثیر مطلقاً، سواء قلنابالنقل أم الکشف، ومن هذه الجهة یحکم ببقاء الحقوق المتعلّقة بذلک المال للوارثإذا انتقل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المقام نظیر ذلک، بل هو نظیر ما إذا بیع دار زیدٍ فضولاً، من عَمرو ثمّ انتقلت الدار منه إلی بکر ببیعٍ أو نحوه، فأجاز بَکر ذلک العقد الواقع فضولاً، هذا، مضافاً إلیأنّه قد ثبت صحّة العقد فیمن باع شیئاً ثمّ ملک بالنصّ، وأمّا المقام فلا نصّ فیه،ومقتضی القاعدة فیه هو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وقوع العقد قبل انتقال الملک إلی المجیز، والأقوی اشتراط کونالإجازة من المالک حین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قبیل اختلاف المالک حین البیع وحین الإجازة، وفی نفوذ الإجازة حینئذٍبحث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الاختلاف لأجل الإرث کما فی المقام یکون أخفّ إشکالاً، بلیمکن تقویة النفوذ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76" w:name="pg13286_154028"/>
    </w:p>
    <w:p>
      <w:pPr>
        <w:pStyle w:val="Heading4"/>
        <w:numPr>
          <w:ilvl w:val="3"/>
          <w:numId w:val="1"/>
        </w:numPr>
        <w:rPr/>
      </w:pPr>
      <w:bookmarkStart w:id="777" w:name="__RefHeading___Toc2138982_2322387425"/>
      <w:bookmarkStart w:id="778" w:name="_Toc284"/>
      <w:bookmarkEnd w:id="776"/>
      <w:bookmarkEnd w:id="777"/>
      <w:r>
        <w:rPr>
          <w:rtl w:val="true"/>
        </w:rPr>
        <w:t>حکم الأمة المدَلّسة علی الحرّ من جهة النکاح والمهر والولد</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دلّست أمة</w:t>
      </w:r>
      <w:r>
        <w:rPr>
          <w:rStyle w:val="FootnoteAnchor"/>
          <w:rtl w:val="true"/>
        </w:rPr>
        <w:footnoteReference w:id="1348"/>
      </w:r>
      <w:r>
        <w:rPr>
          <w:rFonts w:ascii="Amiri" w:hAnsi="Amiri" w:eastAsia="Amiri" w:cs="Amiri"/>
          <w:color w:val="111111"/>
          <w:sz w:val="28"/>
          <w:sz w:val="28"/>
          <w:szCs w:val="28"/>
          <w:rtl w:val="true"/>
          <w:lang w:bidi="ar-SA"/>
        </w:rPr>
        <w:t> فادّعت أنّها حرّة، فتزوّجها حرٌّ ودخل بها،  ثمّ تبیّن الخلاف وجب علیه المفارقة</w:t>
      </w:r>
      <w:r>
        <w:rPr>
          <w:rStyle w:val="FootnoteAnchor"/>
          <w:rtl w:val="true"/>
        </w:rPr>
        <w:footnoteReference w:id="1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تقدیر عدم إجازة مولاها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یُجِزْ مولاها تزویجها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وعلیه المهر لسیّدها وهو العُشُر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ونصف العُشُر علی الأقوی، لا المسمّی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مهر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أعطاها المهر استردّ منها إن کان موجوداً، وإلّا تَبِعت</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خلاف النصّ، ففی صحیح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یجد شیئاً فلا 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لمّاکان الظاهر من بعضٍ أنّ الحکم من المسلّمات فالأحوط التصالح فی ما تلف منالمهر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لأجل دلالة ظاهر النصّ بأنّه لا شیء له مع عدم کونه موجوداً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جاءت بولدٍ ففی کونه حُرّاً أو رِقّاً لمولاها قولان، فعن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رِقّ</w:t>
      </w:r>
      <w:r>
        <w:rPr>
          <w:rStyle w:val="FootnoteAnchor"/>
          <w:rtl w:val="true"/>
        </w:rPr>
        <w:footnoteReference w:id="1351"/>
      </w:r>
      <w:r>
        <w:rPr>
          <w:rFonts w:ascii="Amiri" w:hAnsi="Amiri" w:eastAsia="Amiri" w:cs="Amiri"/>
          <w:color w:val="111111"/>
          <w:sz w:val="28"/>
          <w:sz w:val="28"/>
          <w:szCs w:val="28"/>
          <w:rtl w:val="true"/>
          <w:lang w:bidi="ar-SA"/>
        </w:rPr>
        <w:t>، ولکن یجب علی الأب فَکُّه بدفع قیمته یوم سَقَط حیّاً</w:t>
      </w:r>
      <w:r>
        <w:rPr>
          <w:rStyle w:val="FootnoteAnchor"/>
          <w:rtl w:val="true"/>
        </w:rPr>
        <w:footnoteReference w:id="1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ولاحتمال قیمة یوم الدفع وجه؛ بالنظر إلی ظاهر بعض النصوصوإطلاق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یکن عنده ما یفکّه به سعی فی قیمته، وإن أبی وجب علی الإمام علیه السّلام دفعها من سهم الرقاب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من مطلق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والأقوی کونه حرّاً</w:t>
      </w:r>
      <w:r>
        <w:rPr>
          <w:rStyle w:val="FootnoteAnchor"/>
          <w:rtl w:val="true"/>
        </w:rPr>
        <w:footnoteReference w:id="1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الرجل قد اعتمد فی تزویجه من الأمة علی بیّنةٍ شهدت لها بالحرّیّة، وأمّاإذا اعتمد علی أصل الحرّیّة، أو علی مجرّد دعواها ذلک فالظاهر أنّ الولد رقّ،وعلی الأب أن یفکّه بالقیمة، ولا موجب للتصرّف فی الأخبار الدالّة علی 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سائر موارد اشتباه الحرّ، حیث إنّه لا إشکال فی کون الولد حرّاً، فلا خصوصیّة لهذه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الدالّة علی رقّیّته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منزّلة</w:t>
      </w:r>
      <w:r>
        <w:rPr>
          <w:rStyle w:val="FootnoteAnchor"/>
          <w:rtl w:val="true"/>
        </w:rPr>
        <w:footnoteReference w:id="1354"/>
      </w:r>
      <w:r>
        <w:rPr>
          <w:rFonts w:ascii="IRNazanin" w:hAnsi="IRNazanin" w:eastAsia="IRNazanin"/>
          <w:color w:val="111111"/>
          <w:sz w:val="28"/>
          <w:sz w:val="28"/>
          <w:szCs w:val="28"/>
          <w:rtl w:val="true"/>
          <w:lang w:bidi="fa-IR"/>
        </w:rPr>
        <w:t> علی أنّ للمولی أخذه لیتسلّم القیمة، جمعاً بینها وبین ما دلّ علی کونه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القول أیضاً یجب علیه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القیمة</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صورة شهادة البیّنة لها بالحرّیّة علی ما اخترناه من حرّیّة الولد فیها؟والمراد من القیمة هنا هی قیمة الولد یوم سقوطه حیّاً، وأمّا فی الصورة الثانیة الّتیقلنافیهابرِقّیّة الولدفهل یفکّه الأب بدفع قیمته یوم سقوطه حیّاً، أو بقیمته یوم الدفع؟فیه إشکال، فلا یُترک الاحتیاط ولو بالتصالح، وتُراجَع المسألة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السعی، أو دفع الإمام علیه السّلام ، لموثّقة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طرح ما کان مخالفاً لعمل الأصحاب من مفادها، وهو کون العبرة بقیمتهیوم تسلیمه إلی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ترک ما کان من مضمونها مخالفاً لعمل الأصحاب؛ من کون العبرة بقیمته یوم تسلیمه إلی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یضرّ اشتمالها علی ما لیس بمفتیً به عندنا، لِما تقرّر فی محلّه من باب التراجیح فی الاُصول وفی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الخبر علی جملة لیست بممولةلا یوجب سقوط حجّیّته بالنسبة إلی جملها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مرّ لها من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الوطء حال اعتقاده کونها حرّة، وأمّا إذا وطئها بعد العلم بکونها أمةً فالولد رِقّ؛ لأنّه من زناً حینئذٍ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وکذا لو علم سَبق رِقّیّتها فادّعت أنّ مولاها أعتقها، ولم یحصل له العلم بذلک، ولم یشهد به شاهدان</w:t>
      </w:r>
      <w:r>
        <w:rPr>
          <w:rStyle w:val="FootnoteAnchor"/>
          <w:rtl w:val="true"/>
        </w:rPr>
        <w:footnoteReference w:id="1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یتحقّق شیء آخر یصحّ الاعتماد علیه، أو اعتقد صحّة الاعتماد علیه ولولاعتقاد عدم حجّیة الاستصحاب؛ حیث إنّ الولد فی جمیع ما ذکر ولد شبهةٍ وحرّ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الوطء حینئذٍ أیضاً لا یجوز؛   </w:t>
      </w:r>
    </w:p>
    <w:p>
      <w:pPr>
        <w:pStyle w:val="BookText"/>
        <w:rPr/>
      </w:pPr>
      <w:r>
        <w:rPr>
          <w:rFonts w:ascii="IRNazanin" w:hAnsi="IRNazanin" w:eastAsia="IRNazanin"/>
          <w:color w:val="111111"/>
          <w:sz w:val="28"/>
          <w:sz w:val="28"/>
          <w:szCs w:val="28"/>
          <w:rtl w:val="true"/>
          <w:lang w:bidi="fa-IR"/>
        </w:rPr>
        <w:t>لاستصحاب</w:t>
      </w:r>
      <w:r>
        <w:rPr>
          <w:rStyle w:val="FootnoteAnchor"/>
          <w:rtl w:val="true"/>
        </w:rPr>
        <w:footnoteReference w:id="1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توجّهه إلی حجّیّته فی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الرِقّیّة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لم یعلم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رِقّیّتها جاز له  التعویل علی قولها؛ لأصالة الحرّیّة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تبیّن الخلاف لم یحکم</w:t>
      </w:r>
      <w:r>
        <w:rPr>
          <w:rStyle w:val="FootnoteAnchor"/>
          <w:rtl w:val="true"/>
        </w:rPr>
        <w:footnoteReference w:id="1358"/>
      </w:r>
      <w:r>
        <w:rPr>
          <w:rFonts w:ascii="Amiri" w:hAnsi="Amiri" w:eastAsia="Amiri" w:cs="Amiri"/>
          <w:color w:val="111111"/>
          <w:sz w:val="28"/>
          <w:sz w:val="28"/>
          <w:szCs w:val="28"/>
          <w:rtl w:val="true"/>
          <w:lang w:bidi="ar-SA"/>
        </w:rPr>
        <w:t> برِقّیّة الولد</w:t>
      </w:r>
      <w:r>
        <w:rPr>
          <w:rStyle w:val="FootnoteAnchor"/>
          <w:rtl w:val="true"/>
        </w:rPr>
        <w:footnoteReference w:id="1359"/>
      </w:r>
      <w:r>
        <w:rPr>
          <w:rFonts w:ascii="IRNazanin" w:hAnsi="IRNazanin" w:eastAsia="IRNazanin"/>
          <w:color w:val="111111"/>
          <w:sz w:val="28"/>
          <w:sz w:val="28"/>
          <w:szCs w:val="28"/>
          <w:rtl w:val="true"/>
          <w:lang w:bidi="fa-IR"/>
        </w:rPr>
        <w:t xml:space="preserve">، وکذا مع سَبقها مع قیام </w:t>
      </w:r>
      <w:bookmarkStart w:id="779" w:name="pg13286_154033"/>
    </w:p>
    <w:p>
      <w:pPr>
        <w:pStyle w:val="BookText"/>
        <w:rPr/>
      </w:pPr>
      <w:bookmarkEnd w:id="779"/>
      <w:r>
        <w:rPr>
          <w:rFonts w:ascii="Amiri" w:hAnsi="Amiri" w:eastAsia="Amiri" w:cs="Amiri"/>
          <w:color w:val="111111"/>
          <w:sz w:val="28"/>
          <w:sz w:val="28"/>
          <w:szCs w:val="28"/>
          <w:rtl w:val="true"/>
          <w:lang w:bidi="ar-SA"/>
        </w:rPr>
        <w:t>البیّنة</w:t>
      </w:r>
      <w:r>
        <w:rPr>
          <w:rStyle w:val="FootnoteAnchor"/>
          <w:rtl w:val="true"/>
        </w:rPr>
        <w:footnoteReference w:id="1360"/>
      </w:r>
      <w:r>
        <w:rPr>
          <w:rFonts w:ascii="IRNazanin" w:hAnsi="IRNazanin" w:eastAsia="IRNazanin"/>
          <w:color w:val="111111"/>
          <w:sz w:val="28"/>
          <w:sz w:val="28"/>
          <w:szCs w:val="28"/>
          <w:rtl w:val="true"/>
          <w:lang w:bidi="fa-IR"/>
        </w:rPr>
        <w:t> علی دعواها</w:t>
      </w:r>
      <w:r>
        <w:rPr>
          <w:rFonts w:eastAsia="IRNazanin" w:cs="IRNazanin"/>
          <w:color w:val="111111"/>
          <w:sz w:val="28"/>
          <w:szCs w:val="28"/>
          <w:rtl w:val="true"/>
          <w:lang w:bidi="fa-IR"/>
        </w:rPr>
        <w:t>.</w:t>
      </w:r>
    </w:p>
    <w:p>
      <w:pPr>
        <w:pStyle w:val="Heading4"/>
        <w:numPr>
          <w:ilvl w:val="3"/>
          <w:numId w:val="1"/>
        </w:numPr>
        <w:rPr/>
      </w:pPr>
      <w:bookmarkStart w:id="780" w:name="__RefHeading___Toc2138984_2322387425"/>
      <w:bookmarkStart w:id="781" w:name="_Toc285"/>
      <w:bookmarkEnd w:id="780"/>
      <w:r>
        <w:rPr>
          <w:rtl w:val="true"/>
        </w:rPr>
        <w:t>زواج العبد بحرّة من دون إذن مولاه وإجازته وحکم الولد</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عبد بِحُرّةٍ من دون إذن مولاه ولا إجازته کان النکاح باطلاً، فلا تستحقّ مهراً ولا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تُحَدّ حَدّ الزِنا إذا کانت عالمةً بالحال، وأنّه لا یجوز لها ذلک، نعم، لو کان ذلک لها بتوقّع الإجازة واعتقدت جواز الإقدام حینئذٍ بحیث تکون شبهةً فی حقّها لم تُحَدّ، کما أنّه کذلک</w:t>
      </w:r>
      <w:r>
        <w:rPr>
          <w:rStyle w:val="FootnoteAnchor"/>
          <w:rtl w:val="true"/>
        </w:rPr>
        <w:footnoteReference w:id="1361"/>
      </w:r>
      <w:r>
        <w:rPr>
          <w:rFonts w:ascii="IRNazanin" w:hAnsi="IRNazanin" w:eastAsia="IRNazanin"/>
          <w:color w:val="111111"/>
          <w:sz w:val="28"/>
          <w:sz w:val="28"/>
          <w:szCs w:val="28"/>
          <w:rtl w:val="true"/>
          <w:lang w:bidi="fa-IR"/>
        </w:rPr>
        <w:t> إذا علمت</w:t>
      </w:r>
      <w:r>
        <w:rPr>
          <w:rStyle w:val="FootnoteAnchor"/>
          <w:rtl w:val="true"/>
        </w:rPr>
        <w:footnoteReference w:id="1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إلّا علی بعض الوجوه فی الکشف الّذی لا نقول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الکشف الحقیقیّ، وإلّا ففیه إشکال ونظر، کما مرّ نظیره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بمجیء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یفید العلم بلحوق الإجازة فی درء الحدّ إلّا إذا کان سبباً للشبهة؛ لاعتقاد جوازالإقدام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العلم بتحقّق الإجازة فیما بعدُ لا یوجب سقوط الحدّ عنها ما لم تتحقّق فی الخارج، إلّا إذا کانت مشتبهةً وکانت معتقدةً بالجواز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ذلک شبهةً فی حقّها، فلا تُحدّ حینئذٍ، وأمّا إذا انتفت الشبهة فی حقّهافالظاهر لزوم الحدّ، فإذا هی لم تُحَدَّ حتّی حصلت الإجازة سقط عنها الحدّ، علی ماهو المختار من الکشف الانقلابیّ، ولزم التعزیر، وقد تقدّم نظیر ذلک فی المسألةالعاشرة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بتوقّع الإجازة وعلمت مع ذلک بعدم جواز ذلک فتُحَدّ مع </w:t>
      </w:r>
    </w:p>
    <w:p>
      <w:pPr>
        <w:pStyle w:val="BookText"/>
        <w:rPr/>
      </w:pPr>
      <w:r>
        <w:rPr>
          <w:rFonts w:ascii="IRNazanin" w:hAnsi="IRNazanin" w:eastAsia="IRNazanin"/>
          <w:color w:val="111111"/>
          <w:sz w:val="28"/>
          <w:sz w:val="28"/>
          <w:szCs w:val="28"/>
          <w:rtl w:val="true"/>
          <w:lang w:bidi="fa-IR"/>
        </w:rPr>
        <w:t>عدم حصولها</w:t>
      </w:r>
      <w:r>
        <w:rPr>
          <w:rStyle w:val="FootnoteAnchor"/>
          <w:rtl w:val="true"/>
        </w:rPr>
        <w:footnoteReference w:id="1363"/>
      </w:r>
      <w:r>
        <w:rPr>
          <w:rFonts w:ascii="IRNazanin" w:hAnsi="IRNazanin" w:eastAsia="IRNazanin"/>
          <w:color w:val="111111"/>
          <w:sz w:val="28"/>
          <w:sz w:val="28"/>
          <w:szCs w:val="28"/>
          <w:rtl w:val="true"/>
          <w:lang w:bidi="fa-IR"/>
        </w:rPr>
        <w:t>، بخلاف ما إذا حصلت</w:t>
      </w:r>
      <w:r>
        <w:rPr>
          <w:rStyle w:val="FootnoteAnchor"/>
          <w:rtl w:val="true"/>
        </w:rPr>
        <w:footnoteReference w:id="1364"/>
      </w:r>
      <w:r>
        <w:rPr>
          <w:rFonts w:ascii="Amiri" w:hAnsi="Amiri" w:eastAsia="Amiri" w:cs="Amiri"/>
          <w:color w:val="111111"/>
          <w:sz w:val="28"/>
          <w:sz w:val="28"/>
          <w:szCs w:val="28"/>
          <w:rtl w:val="true"/>
          <w:lang w:bidi="ar-SA"/>
        </w:rPr>
        <w:t> فإنّها تُعَزَّر حینئذٍ؛ لمکان تجرّیها</w:t>
      </w:r>
      <w:r>
        <w:rPr>
          <w:rStyle w:val="FootnoteAnchor"/>
          <w:rtl w:val="true"/>
        </w:rPr>
        <w:footnoteReference w:id="1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لارتکابها المحرّم واقعاً فی ظرفه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لِما فعلت من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جاءت بولدٍ فالولد لمولی</w:t>
      </w:r>
      <w:r>
        <w:rPr>
          <w:rStyle w:val="FootnoteAnchor"/>
          <w:rtl w:val="true"/>
        </w:rPr>
        <w:footnoteReference w:id="1366"/>
      </w:r>
      <w:r>
        <w:rPr>
          <w:rFonts w:ascii="IRNazanin" w:hAnsi="IRNazanin" w:eastAsia="IRNazanin"/>
          <w:color w:val="111111"/>
          <w:sz w:val="28"/>
          <w:sz w:val="28"/>
          <w:szCs w:val="28"/>
          <w:rtl w:val="true"/>
          <w:lang w:bidi="fa-IR"/>
        </w:rPr>
        <w:t> العبد</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کونه مشتبهاً، بل مع کونه زانیاً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الولد فی هذه الصورة أیضاً حرّ، وخبر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العیوب والتدلیس،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مع صحیح محمّد بنمسلم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العیوب والتدلیس، 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لقاعدة النمائیّة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مجیء قاعدة النمائیّة بالنسبة إلی الأبّ مشکل، خصوصاً مع کونه زانیاً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إجراؤها مطلقاً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تثبت هذه القاعدة فی طرف العبد، وإنّما هی ثابتة من طرف الأمة، وعلیتقدیر ثبوتها فلا فرق بین الزنا المجرّد عن العقد الفاسد والزنا المقرون به، ولا دلیلعلی هذا الفرق أصلاً، وأمّا إذا کان المدرک لذلک روایة العلاء بن رَزِین فهی ضعیفةسنداً، ولو تمّت الروایة لم یختصّ الحکم بصورة العلم، بل یعمّ صورة الجهل أیضاً،مع أنّ الماتن  قدّس سرّه قد حکم فی صورة جهل المرأة بکون الولد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تمامیّة تلک القاعدة فی طرف الأب مشکلة، نعم، یمکن التمسّک بخبر علاء بعدحمله علی عدم تحقّق الشبهة من طرف الزوجة؛ لأنّها کانت مکلّفةً بالتفحّص،وزوّجت نفسها متساهلةً فی التکلیف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عدم لحوقه بالحرّة</w:t>
      </w:r>
      <w:r>
        <w:rPr>
          <w:rFonts w:eastAsia="Amiri" w:cs="Amiri" w:ascii="Amiri" w:hAnsi="Amiri"/>
          <w:color w:val="111111"/>
          <w:sz w:val="28"/>
          <w:szCs w:val="28"/>
          <w:rtl w:val="true"/>
          <w:lang w:bidi="ar-SA"/>
        </w:rPr>
        <w:t>.</w:t>
      </w:r>
      <w:bookmarkStart w:id="782" w:name="pg13286_154035"/>
    </w:p>
    <w:p>
      <w:pPr>
        <w:pStyle w:val="BookText"/>
        <w:rPr/>
      </w:pPr>
      <w:bookmarkEnd w:id="782"/>
      <w:r>
        <w:rPr>
          <w:rFonts w:ascii="Amiri" w:hAnsi="Amiri" w:eastAsia="Amiri" w:cs="Amiri"/>
          <w:color w:val="111111"/>
          <w:sz w:val="28"/>
          <w:sz w:val="28"/>
          <w:szCs w:val="28"/>
          <w:rtl w:val="true"/>
          <w:lang w:bidi="ar-SA"/>
        </w:rPr>
        <w:t>وأمّا إذا کانت جاهلةً بالحال فلا حَدّ، والولد حُرّ</w:t>
      </w:r>
      <w:r>
        <w:rPr>
          <w:rStyle w:val="FootnoteAnchor"/>
          <w:rtl w:val="true"/>
        </w:rPr>
        <w:footnoteReference w:id="1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الحکم بحرّیّة الولد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وتستحقّ علیه المهر یَتبَع به بعد العتق</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2138986_2322387425"/>
      <w:bookmarkStart w:id="784" w:name="_Toc286"/>
      <w:bookmarkEnd w:id="783"/>
      <w:r>
        <w:rPr>
          <w:rtl w:val="true"/>
        </w:rPr>
        <w:t>زنا العبد بحرّة من غیر عقد</w:t>
      </w:r>
      <w:bookmarkEnd w:id="7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زنی العبد بِحُرّة من غیر عقدٍ فالولد حرّ</w:t>
      </w:r>
      <w:r>
        <w:rPr>
          <w:rStyle w:val="FootnoteAnchor"/>
          <w:rtl w:val="true"/>
        </w:rPr>
        <w:footnoteReference w:id="1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لأصالة عدم الرِقِّیّة، وعدم تمامیّة قاعدة النماء فی طرف الأب، کما مرّ، وعدمشیءٍ آخر یقتضی الرِقِّیّة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الحرّة مشتبهة، وأمّا إذا کانت زانیةً فالحکم فی الولد مشکل، والفرقبین الزنا المجرَّد عن العقد والزنا المقرون بعقدٍ یعلم فساده فی غایة البعد، وخبرالعلاء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ضعفه لا عامل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w:t>
      </w:r>
    </w:p>
    <w:p>
      <w:pPr>
        <w:pStyle w:val="BookText"/>
        <w:rPr/>
      </w:pPr>
      <w:r>
        <w:rPr>
          <w:rFonts w:ascii="Amiri" w:hAnsi="Amiri" w:eastAsia="Amiri" w:cs="Amiri"/>
          <w:color w:val="111111"/>
          <w:sz w:val="28"/>
          <w:sz w:val="28"/>
          <w:szCs w:val="28"/>
          <w:rtl w:val="true"/>
          <w:lang w:bidi="ar-SA"/>
        </w:rPr>
        <w:t>الحرّة أیضاً زانیة</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w:t>
      </w:r>
      <w:r>
        <w:rPr>
          <w:rStyle w:val="FootnoteAnchor"/>
          <w:rtl w:val="true"/>
        </w:rPr>
        <w:footnoteReference w:id="1371"/>
      </w:r>
      <w:r>
        <w:rPr>
          <w:rFonts w:ascii="IRNazanin" w:hAnsi="IRNazanin" w:eastAsia="IRNazanin"/>
          <w:color w:val="111111"/>
          <w:sz w:val="28"/>
          <w:sz w:val="28"/>
          <w:szCs w:val="28"/>
          <w:rtl w:val="true"/>
          <w:lang w:bidi="fa-IR"/>
        </w:rPr>
        <w:t> بین</w:t>
      </w:r>
      <w:r>
        <w:rPr>
          <w:rStyle w:val="FootnoteAnchor"/>
          <w:rtl w:val="true"/>
        </w:rPr>
        <w:footnoteReference w:id="1372"/>
      </w:r>
      <w:r>
        <w:rPr>
          <w:rFonts w:ascii="IRNazanin" w:hAnsi="IRNazanin" w:eastAsia="IRNazanin"/>
          <w:color w:val="111111"/>
          <w:sz w:val="28"/>
          <w:sz w:val="28"/>
          <w:szCs w:val="28"/>
          <w:rtl w:val="true"/>
          <w:lang w:bidi="fa-IR"/>
        </w:rPr>
        <w:t> الزنا</w:t>
      </w:r>
      <w:r>
        <w:rPr>
          <w:rStyle w:val="FootnoteAnchor"/>
          <w:rtl w:val="true"/>
        </w:rPr>
        <w:footnoteReference w:id="1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جعل الفارق النصّ بناءً علی المستظهر منه، وإلّا فالفرق مشکل، کما أنّالاستظهار المذکور أشکل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والفارق خبر علاء، علی ما مرّ من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خبر ابن رزین، ولکنّه قاصر سنداً، ومهجور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المجرّد عن 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والزنا  المقرون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العلم بفساده، حیث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لمولی العبد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5" w:name="pg13286_154037"/>
    </w:p>
    <w:p>
      <w:pPr>
        <w:pStyle w:val="Heading4"/>
        <w:numPr>
          <w:ilvl w:val="3"/>
          <w:numId w:val="1"/>
        </w:numPr>
        <w:rPr/>
      </w:pPr>
      <w:bookmarkStart w:id="786" w:name="__RefHeading___Toc2138988_2322387425"/>
      <w:bookmarkStart w:id="787" w:name="_Toc287"/>
      <w:bookmarkEnd w:id="785"/>
      <w:bookmarkEnd w:id="786"/>
      <w:r>
        <w:rPr>
          <w:rtl w:val="true"/>
        </w:rPr>
        <w:t>زنا الحرّ بأمة وکذا العبد بأمة الغیر</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زنی حُرّ بأمةٍ فالولد لمولاها، وإن کانت</w:t>
      </w:r>
      <w:r>
        <w:rPr>
          <w:rStyle w:val="FootnoteAnchor"/>
          <w:rtl w:val="true"/>
        </w:rPr>
        <w:footnoteReference w:id="1374"/>
      </w:r>
      <w:r>
        <w:rPr>
          <w:rFonts w:ascii="IRNazanin" w:hAnsi="IRNazanin" w:eastAsia="IRNazanin"/>
          <w:color w:val="111111"/>
          <w:sz w:val="28"/>
          <w:sz w:val="28"/>
          <w:szCs w:val="28"/>
          <w:rtl w:val="true"/>
          <w:lang w:bidi="fa-IR"/>
        </w:rPr>
        <w:t> هی أیضاً زانیة</w:t>
      </w:r>
      <w:r>
        <w:rPr>
          <w:rStyle w:val="FootnoteAnchor"/>
          <w:rtl w:val="true"/>
        </w:rPr>
        <w:footnoteReference w:id="1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لفحوی ما دلّ علیه فی الأمة المدلّسة مع عدم الشبهة من طرف الزوج، لکنّ الإنصاف أنّ الفرق بین زنا العبد بالحرّة وزنا الحرّ بالأمة محلّ إشکال؛ لتحقّقالفحوی فی المسألتین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زنی عبد بأمة الغیر فإنّ الولد لمولاها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2138990_2322387425"/>
      <w:bookmarkStart w:id="789" w:name="_Toc288"/>
      <w:bookmarkEnd w:id="788"/>
      <w:r>
        <w:rPr>
          <w:rtl w:val="true"/>
        </w:rPr>
        <w:t>تحلیل المولی أمته لعبده وتزویجها منه وفروع ذلک</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للمولی تحلیل أمتِه لعبده، وکذا یجوز له أن یُنکِحَه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أنّه حینئذٍ نکاح، لا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الأقوی کفایة</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الاحتیاط، وکذا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یکفی، وإطلاق الأخبار غیر ناظرٍ إلی تلک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القبول فی الجمیع، بل فی الوکیل والولیّ لا یخلو من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أنکحتُکَ</w:t>
      </w:r>
      <w:r>
        <w:rPr>
          <w:rStyle w:val="FootnoteAnchor"/>
          <w:rtl w:val="true"/>
        </w:rPr>
        <w:footnoteReference w:id="1378"/>
      </w:r>
      <w:r>
        <w:rPr>
          <w:rFonts w:ascii="Amiri" w:hAnsi="Amiri" w:eastAsia="Amiri" w:cs="Amiri"/>
          <w:color w:val="111111"/>
          <w:sz w:val="28"/>
          <w:sz w:val="28"/>
          <w:szCs w:val="28"/>
          <w:rtl w:val="true"/>
          <w:lang w:bidi="ar-SA"/>
        </w:rPr>
        <w:t> فلانَةَ، ولا یحتاج</w:t>
      </w:r>
      <w:r>
        <w:rPr>
          <w:rStyle w:val="FootnoteAnchor"/>
          <w:rtl w:val="true"/>
        </w:rPr>
        <w:footnoteReference w:id="1379"/>
      </w:r>
      <w:r>
        <w:rPr>
          <w:rFonts w:ascii="IRNazanin" w:hAnsi="IRNazanin" w:eastAsia="IRNazanin"/>
          <w:color w:val="111111"/>
          <w:sz w:val="28"/>
          <w:sz w:val="28"/>
          <w:szCs w:val="28"/>
          <w:rtl w:val="true"/>
          <w:lang w:bidi="fa-IR"/>
        </w:rPr>
        <w:t> إلی القبول</w:t>
      </w:r>
      <w:r>
        <w:rPr>
          <w:rStyle w:val="FootnoteAnchor"/>
          <w:rtl w:val="true"/>
        </w:rPr>
        <w:footnoteReference w:id="1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القبول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أو من العبد؛ 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ولأنّ الأمر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فإیجابه مغنٍ عن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القبول فی جمیع هذه الموارد ممّن بیده أمر العقد إن لم یکن هوالأقوی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یعتبر القبول فی جمیع الفروض علی الأحوط، وخصوصاً فی الولیّ والوکیل عنالطرفین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یخلو من قوّةٍ فی الولیّ والوکیل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القبول فی الفرض یکون منالمولی، أو من العبد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w:t>
      </w:r>
      <w:r>
        <w:rPr>
          <w:rStyle w:val="FootnoteAnchor"/>
          <w:rtl w:val="true"/>
        </w:rPr>
        <w:footnoteReference w:id="1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یکون الأمر     </w:t>
      </w:r>
      <w:r>
        <w:rPr>
          <w:rFonts w:eastAsia="IRNazanin" w:cs="IRNazanin"/>
          <w:color w:val="111111"/>
          <w:sz w:val="28"/>
          <w:szCs w:val="28"/>
          <w:rtl w:val="true"/>
          <w:lang w:bidi="fa-IR"/>
        </w:rPr>
        <w:t>.     .     .     .     .     .</w:t>
      </w:r>
      <w:bookmarkStart w:id="790" w:name="pg13286_154039"/>
    </w:p>
    <w:p>
      <w:pPr>
        <w:pStyle w:val="BookText"/>
        <w:rPr/>
      </w:pPr>
      <w:bookmarkEnd w:id="790"/>
      <w:r>
        <w:rPr>
          <w:rFonts w:ascii="IRNazanin" w:hAnsi="IRNazanin" w:eastAsia="IRNazanin"/>
          <w:color w:val="111111"/>
          <w:sz w:val="28"/>
          <w:sz w:val="28"/>
          <w:szCs w:val="28"/>
          <w:rtl w:val="true"/>
          <w:lang w:bidi="fa-IR"/>
        </w:rPr>
        <w:t>کذلک</w:t>
      </w:r>
      <w:r>
        <w:rPr>
          <w:rStyle w:val="FootnoteAnchor"/>
          <w:rtl w:val="true"/>
        </w:rPr>
        <w:footnoteReference w:id="1382"/>
      </w:r>
      <w:r>
        <w:rPr>
          <w:rFonts w:ascii="IRNazanin" w:hAnsi="IRNazanin" w:eastAsia="IRNazanin"/>
          <w:color w:val="111111"/>
          <w:sz w:val="28"/>
          <w:sz w:val="28"/>
          <w:szCs w:val="28"/>
          <w:rtl w:val="true"/>
          <w:lang w:bidi="fa-IR"/>
        </w:rPr>
        <w:t> فی سائر المقامات</w:t>
      </w:r>
      <w:r>
        <w:rPr>
          <w:rStyle w:val="FootnoteAnchor"/>
          <w:rtl w:val="true"/>
        </w:rPr>
        <w:footnoteReference w:id="1383"/>
      </w:r>
      <w:r>
        <w:rPr>
          <w:rFonts w:ascii="IRNazanin" w:hAnsi="IRNazanin" w:eastAsia="IRNazanin"/>
          <w:color w:val="111111"/>
          <w:sz w:val="28"/>
          <w:sz w:val="28"/>
          <w:szCs w:val="28"/>
          <w:rtl w:val="true"/>
          <w:lang w:bidi="fa-IR"/>
        </w:rPr>
        <w:t>، مثل الولیِّ والوکیل عن الطرفین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إذا وَکّل غیره فی التزویج فیکفی قول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 أمَةَ موکِّلِی لعبدِهِ فلان، أو أنکحتُ عبدَ موکِّلی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أذِن للعبد والأمة فی التزویج بینهما فالظاهر الحاجة إلی الإیجاب والقبول</w:t>
      </w:r>
      <w:r>
        <w:rPr>
          <w:rFonts w:eastAsia="IRNazanin" w:cs="IRNazanin"/>
          <w:color w:val="111111"/>
          <w:sz w:val="28"/>
          <w:szCs w:val="28"/>
          <w:rtl w:val="true"/>
          <w:lang w:bidi="fa-IR"/>
        </w:rPr>
        <w:t>.</w:t>
      </w:r>
    </w:p>
    <w:p>
      <w:pPr>
        <w:pStyle w:val="Heading4"/>
        <w:numPr>
          <w:ilvl w:val="3"/>
          <w:numId w:val="1"/>
        </w:numPr>
        <w:rPr/>
      </w:pPr>
      <w:bookmarkStart w:id="791" w:name="__RefHeading___Toc2138992_2322387425"/>
      <w:bookmarkStart w:id="792" w:name="_Toc289"/>
      <w:bookmarkEnd w:id="791"/>
      <w:r>
        <w:rPr>
          <w:rtl w:val="true"/>
        </w:rPr>
        <w:t>إرادة المولی التفریق بین عبده وأمته</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المولی التفریق بینهما لا حاجة إلی الطلاق، بل یکفی أمره إیّاهما بالمفارقة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جواز الطلاق أیضاً، بأن یأمر عبده بطلاقها، وإن کان لا یخلو من إشکالٍ</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ظاهرهم التسالم علی الصحّة إن کان بإذن السیّد وأمره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138994_2322387425"/>
      <w:bookmarkStart w:id="794" w:name="_Toc290"/>
      <w:bookmarkEnd w:id="793"/>
      <w:r>
        <w:rPr>
          <w:rtl w:val="true"/>
        </w:rPr>
        <w:t>إعطاء المولی شیئاً لأمته لو زوّجها من عبده</w:t>
      </w:r>
      <w:bookmarkEnd w:id="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عبدَهُ أمَتَهَ یستحبّ</w:t>
      </w:r>
      <w:r>
        <w:rPr>
          <w:rStyle w:val="FootnoteAnchor"/>
          <w:rtl w:val="true"/>
        </w:rPr>
        <w:footnoteReference w:id="1385"/>
      </w:r>
      <w:r>
        <w:rPr>
          <w:rFonts w:ascii="IRNazanin" w:hAnsi="IRNazanin" w:eastAsia="IRNazanin"/>
          <w:color w:val="111111"/>
          <w:sz w:val="28"/>
          <w:sz w:val="28"/>
          <w:szCs w:val="28"/>
          <w:rtl w:val="true"/>
          <w:lang w:bidi="fa-IR"/>
        </w:rPr>
        <w:t> أن یعطیها شیئاً</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ذکره فی العقد أم لا، بل 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وتملک الأمة ذلک بناءً علی المختار</w:t>
      </w:r>
      <w:bookmarkStart w:id="795" w:name="pg13286_154040"/>
    </w:p>
    <w:p>
      <w:pPr>
        <w:pStyle w:val="BookText"/>
        <w:rPr/>
      </w:pPr>
      <w:bookmarkEnd w:id="795"/>
      <w:r>
        <w:rPr>
          <w:rFonts w:ascii="IRNazanin" w:hAnsi="IRNazanin" w:eastAsia="IRNazanin"/>
          <w:color w:val="111111"/>
          <w:sz w:val="28"/>
          <w:sz w:val="28"/>
          <w:szCs w:val="28"/>
          <w:rtl w:val="true"/>
          <w:lang w:bidi="fa-IR"/>
        </w:rPr>
        <w:t>من صحّة ملکیّة المملوک إذا ملّکه مولاه أو غیره</w:t>
      </w:r>
      <w:r>
        <w:rPr>
          <w:rFonts w:eastAsia="IRNazanin" w:cs="IRNazanin"/>
          <w:color w:val="111111"/>
          <w:sz w:val="28"/>
          <w:szCs w:val="28"/>
          <w:rtl w:val="true"/>
          <w:lang w:bidi="fa-IR"/>
        </w:rPr>
        <w:t>.</w:t>
      </w:r>
    </w:p>
    <w:p>
      <w:pPr>
        <w:pStyle w:val="Heading4"/>
        <w:numPr>
          <w:ilvl w:val="3"/>
          <w:numId w:val="1"/>
        </w:numPr>
        <w:rPr/>
      </w:pPr>
      <w:bookmarkStart w:id="796" w:name="__RefHeading___Toc2138996_2322387425"/>
      <w:bookmarkStart w:id="797" w:name="_Toc291"/>
      <w:bookmarkEnd w:id="796"/>
      <w:r>
        <w:rPr>
          <w:rtl w:val="true"/>
        </w:rPr>
        <w:t>انتقال الأمر بالمفارقة لورثة المولی</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المولی وانتقلا إلی الورثة فلهم أیضاً الأمر بالمفارقة بدون الطلاق، والظاهر کفایة</w:t>
      </w:r>
      <w:r>
        <w:rPr>
          <w:rStyle w:val="FootnoteAnchor"/>
          <w:rtl w:val="true"/>
        </w:rPr>
        <w:footnoteReference w:id="1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الوطء، لا فی بطلان الزوجیّة وتحقّق الفرقة، وإطلاق الإخبار ناظر إلیجهةٍ اُخری، فالأحوط اعتبار القبول فی ما نحن فیه وغیره من الموارد الشبیهة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حرمة الوطء، لا فی الخروج عن الزوجیّة مطلقاً، إلّا إذا کانت ملازمة بینهماعرفاً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تحرم علیه مقاربتها بذلک ، وأمّا حصول الفرقة بینهما فلا یکون إلّا بأمر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2138998_2322387425"/>
      <w:bookmarkStart w:id="799" w:name="_Toc292"/>
      <w:bookmarkEnd w:id="798"/>
      <w:r>
        <w:rPr>
          <w:rtl w:val="true"/>
        </w:rPr>
        <w:t>لو زوّج الأمة غیر مولاها من حرّ</w:t>
      </w:r>
      <w:bookmarkEnd w:id="79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الأمةَ غیر مولاها من حُرٍّ فأولدها جاهلاً بکونها لغیره علیه العُشُرُ أو نصف العُشُرِ لمولاها وقیمة الولد، ویرجع بها علی </w:t>
      </w:r>
      <w:bookmarkStart w:id="800" w:name="pg13286_154041"/>
    </w:p>
    <w:p>
      <w:pPr>
        <w:pStyle w:val="BookText"/>
        <w:rPr/>
      </w:pPr>
      <w:bookmarkEnd w:id="800"/>
      <w:r>
        <w:rPr>
          <w:rFonts w:ascii="IRNazanin" w:hAnsi="IRNazanin" w:eastAsia="IRNazanin"/>
          <w:color w:val="111111"/>
          <w:sz w:val="28"/>
          <w:sz w:val="28"/>
          <w:szCs w:val="28"/>
          <w:rtl w:val="true"/>
          <w:lang w:bidi="fa-IR"/>
        </w:rPr>
        <w:t>ذلک</w:t>
      </w:r>
      <w:r>
        <w:rPr>
          <w:rStyle w:val="FootnoteAnchor"/>
          <w:rtl w:val="true"/>
        </w:rPr>
        <w:footnoteReference w:id="1388"/>
      </w:r>
      <w:r>
        <w:rPr>
          <w:rFonts w:ascii="Amiri" w:hAnsi="Amiri" w:eastAsia="Amiri" w:cs="Amiri"/>
          <w:color w:val="111111"/>
          <w:sz w:val="28"/>
          <w:sz w:val="28"/>
          <w:szCs w:val="28"/>
          <w:rtl w:val="true"/>
          <w:lang w:bidi="ar-SA"/>
        </w:rPr>
        <w:t> الغیر، لأنّه کان مغروراً من قِبَلِه، کما أنّه إذا غرّته الأمة بتدلیسها  ودعواها الحرّیّةَ تضمن القیمة وتَتبَع به بعد العتق</w:t>
      </w:r>
      <w:r>
        <w:rPr>
          <w:rStyle w:val="FootnoteAnchor"/>
          <w:rtl w:val="true"/>
        </w:rPr>
        <w:footnoteReference w:id="1389"/>
      </w:r>
      <w:r>
        <w:rPr>
          <w:rFonts w:ascii="Amiri" w:hAnsi="Amiri" w:eastAsia="Amiri" w:cs="Amiri"/>
          <w:color w:val="111111"/>
          <w:sz w:val="28"/>
          <w:sz w:val="28"/>
          <w:szCs w:val="28"/>
          <w:rtl w:val="true"/>
          <w:lang w:bidi="ar-SA"/>
        </w:rPr>
        <w:t>، وکذا إذا صار مغروراً من قِبَل الشاهِدَین علی حرّیّتها</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2139000_2322387425"/>
      <w:bookmarkStart w:id="802" w:name="_Toc293"/>
      <w:bookmarkEnd w:id="801"/>
      <w:r>
        <w:rPr>
          <w:rtl w:val="true"/>
        </w:rPr>
        <w:t>من تزوّج بأمة بین شریکین ثمّ اشتری بعضها</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تزوّج أمةً بین شریکَین بإذنهما، ثمّ اشتری حصّة أحدِهِما أو بعضها، أو بعضاً من حصّة کلٍّ منهما بطل نکاحه، ولا یجوز له بعد ذلک وطوها</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کانت لواحدٍ واشتری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له وطوها إذا حلّلها الشریک؟ قولان، أقواهما نعم؛</w:t>
      </w:r>
      <w:r>
        <w:rPr>
          <w:rStyle w:val="FootnoteAnchor"/>
          <w:rtl w:val="true"/>
        </w:rPr>
        <w:footnoteReference w:id="1391"/>
      </w:r>
      <w:r>
        <w:rPr>
          <w:rFonts w:ascii="Amiri" w:hAnsi="Amiri" w:eastAsia="Amiri" w:cs="Amiri"/>
          <w:color w:val="111111"/>
          <w:sz w:val="28"/>
          <w:sz w:val="28"/>
          <w:szCs w:val="28"/>
          <w:rtl w:val="true"/>
          <w:lang w:bidi="ar-SA"/>
        </w:rPr>
        <w:t> للنصّ</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وطء من بعضه حرّ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إذا اشتری نصیب الرقّیّة لا بالعقد ولا بالتحلیل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هایاها فالأقوی جواز التمتّع</w:t>
      </w:r>
      <w:r>
        <w:rPr>
          <w:rStyle w:val="FootnoteAnchor"/>
          <w:rtl w:val="true"/>
        </w:rPr>
        <w:footnoteReference w:id="1393"/>
      </w:r>
      <w:r>
        <w:rPr>
          <w:rFonts w:ascii="IRNazanin" w:hAnsi="IRNazanin" w:eastAsia="IRNazanin"/>
          <w:color w:val="111111"/>
          <w:sz w:val="28"/>
          <w:sz w:val="28"/>
          <w:szCs w:val="28"/>
          <w:rtl w:val="true"/>
          <w:lang w:bidi="fa-IR"/>
        </w:rPr>
        <w:t> بها فی الزمان الّذی لها، عملاً بالنصّ الصحیح وإن کان</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1394"/>
      </w:r>
      <w:r>
        <w:rPr>
          <w:rFonts w:ascii="IRNazanin" w:hAnsi="IRNazanin" w:eastAsia="IRNazanin"/>
          <w:color w:val="111111"/>
          <w:sz w:val="28"/>
          <w:sz w:val="28"/>
          <w:szCs w:val="28"/>
          <w:rtl w:val="true"/>
          <w:lang w:bidi="fa-IR"/>
        </w:rPr>
        <w:t> خلافه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03" w:name="pg13286_154043"/>
    </w:p>
    <w:p>
      <w:pPr>
        <w:pStyle w:val="Heading3"/>
        <w:numPr>
          <w:ilvl w:val="2"/>
          <w:numId w:val="1"/>
        </w:numPr>
        <w:rPr/>
      </w:pPr>
      <w:bookmarkStart w:id="804" w:name="__RefHeading___Toc2139002_2322387425"/>
      <w:bookmarkStart w:id="805" w:name="_Toc294"/>
      <w:bookmarkEnd w:id="803"/>
      <w:bookmarkEnd w:id="804"/>
      <w:r>
        <w:rPr>
          <w:rtl w:val="true"/>
        </w:rPr>
        <w:t xml:space="preserve">فصل </w:t>
      </w:r>
      <w:r>
        <w:rPr>
          <w:rtl w:val="true"/>
        </w:rPr>
        <w:t>[</w:t>
      </w:r>
      <w:r>
        <w:rPr>
          <w:rtl w:val="true"/>
        </w:rPr>
        <w:t>فی الطوارئ</w:t>
      </w:r>
      <w:r>
        <w:rPr>
          <w:rtl w:val="true"/>
        </w:rPr>
        <w:t>]</w:t>
      </w:r>
      <w:bookmarkEnd w:id="805"/>
    </w:p>
    <w:p>
      <w:pPr>
        <w:pStyle w:val="Heading4"/>
        <w:numPr>
          <w:ilvl w:val="3"/>
          <w:numId w:val="1"/>
        </w:numPr>
        <w:rPr/>
      </w:pPr>
      <w:bookmarkStart w:id="806" w:name="__RefHeading___Toc2139004_2322387425"/>
      <w:bookmarkStart w:id="807" w:name="_Toc295"/>
      <w:bookmarkEnd w:id="806"/>
      <w:r>
        <w:rPr>
          <w:rtl w:val="true"/>
        </w:rPr>
        <w:t>اشارة</w:t>
      </w:r>
      <w:bookmarkEnd w:id="807"/>
    </w:p>
    <w:p>
      <w:pPr>
        <w:pStyle w:val="BookText"/>
        <w:rPr/>
      </w:pPr>
      <w:r>
        <w:rPr>
          <w:rFonts w:ascii="IRNazanin" w:hAnsi="IRNazanin" w:eastAsia="IRNazanin"/>
          <w:color w:val="111111"/>
          <w:sz w:val="28"/>
          <w:sz w:val="28"/>
          <w:szCs w:val="28"/>
          <w:rtl w:val="true"/>
          <w:lang w:bidi="fa-IR"/>
        </w:rPr>
        <w:t>وهی العِتق والبیع والطلاق</w:t>
      </w:r>
      <w:r>
        <w:rPr>
          <w:rFonts w:eastAsia="IRNazanin" w:cs="IRNazanin"/>
          <w:color w:val="111111"/>
          <w:sz w:val="28"/>
          <w:szCs w:val="28"/>
          <w:rtl w:val="true"/>
          <w:lang w:bidi="fa-IR"/>
        </w:rPr>
        <w:t>.</w:t>
      </w:r>
    </w:p>
    <w:p>
      <w:pPr>
        <w:pStyle w:val="Heading4"/>
        <w:numPr>
          <w:ilvl w:val="3"/>
          <w:numId w:val="1"/>
        </w:numPr>
        <w:rPr/>
      </w:pPr>
      <w:bookmarkStart w:id="808" w:name="__RefHeading___Toc2139006_2322387425"/>
      <w:bookmarkStart w:id="809" w:name="_Toc296"/>
      <w:bookmarkEnd w:id="808"/>
      <w:r>
        <w:rPr>
          <w:rtl w:val="true"/>
        </w:rPr>
        <w:t>عتق الأمة المزوّجة وثبوت الخیار لها</w:t>
      </w:r>
      <w:bookmarkEnd w:id="809"/>
    </w:p>
    <w:p>
      <w:pPr>
        <w:pStyle w:val="BookText"/>
        <w:rPr/>
      </w:pPr>
      <w:r>
        <w:rPr>
          <w:rFonts w:ascii="IRNazanin" w:hAnsi="IRNazanin" w:eastAsia="IRNazanin"/>
          <w:color w:val="111111"/>
          <w:sz w:val="28"/>
          <w:sz w:val="28"/>
          <w:szCs w:val="28"/>
          <w:rtl w:val="true"/>
          <w:lang w:bidi="fa-IR"/>
        </w:rPr>
        <w:t>أمّا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اُعتِقت الأمة المزوّجة کان لها فسخ نکاحها إذا کانت تحت عبد، بل مطلقاً وإن کانت تحت حرٍّ علی الأقوی</w:t>
      </w:r>
      <w:r>
        <w:rPr>
          <w:rStyle w:val="FootnoteAnchor"/>
          <w:rtl w:val="true"/>
        </w:rPr>
        <w:footnoteReference w:id="1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الفرق بین النکاح الدائم والمنقطع، نعم، الحکم مخصوص بما إذا اُعتِق کلّها فلا خیار لها مع عتق بعضها علی الأقوی، نعم، إذا اُعتق البعض الآخر أیضاً ولو بعد مدّةٍ کان لها الخیار</w:t>
      </w:r>
      <w:r>
        <w:rPr>
          <w:rFonts w:eastAsia="IRNazanin" w:cs="IRNazanin"/>
          <w:color w:val="111111"/>
          <w:sz w:val="28"/>
          <w:szCs w:val="28"/>
          <w:rtl w:val="true"/>
          <w:lang w:bidi="fa-IR"/>
        </w:rPr>
        <w:t>.</w:t>
      </w:r>
    </w:p>
    <w:p>
      <w:pPr>
        <w:pStyle w:val="Heading4"/>
        <w:numPr>
          <w:ilvl w:val="3"/>
          <w:numId w:val="1"/>
        </w:numPr>
        <w:rPr/>
      </w:pPr>
      <w:bookmarkStart w:id="810" w:name="__RefHeading___Toc2139008_2322387425"/>
      <w:bookmarkStart w:id="811" w:name="_Toc297"/>
      <w:bookmarkEnd w:id="810"/>
      <w:r>
        <w:rPr>
          <w:rtl w:val="true"/>
        </w:rPr>
        <w:t>حکم المهر لو کان العتق بعد الدخول وقبله</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عتقها بعد الدخول ثبت تمام المهر، وهل هو لمولاها</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بلا إشکال، ولا یصحّ جعل المهر لها علی وجهٍ لا یرجع إلیالمولی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والتردید لا یلائم ما سبق منه  قدّس سرّه فی المسألة الرابعة من الجزمبکونه للمولی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المتعیّن، وقد مرّ منه  قدّس سرّه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الفصل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لها، أو تابع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لمولاها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أوّلاً وبالذات، أو من جهة أنّه یملک ماتملکه أمته، وسلطانه علیها وعلی 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للجُعل</w:t>
      </w:r>
      <w:r>
        <w:rPr>
          <w:rStyle w:val="FootnoteAnchor"/>
          <w:rtl w:val="true"/>
        </w:rPr>
        <w:footnoteReference w:id="1398"/>
      </w:r>
      <w:r>
        <w:rPr>
          <w:rFonts w:ascii="IRNazanin" w:hAnsi="IRNazanin" w:eastAsia="IRNazanin"/>
          <w:color w:val="111111"/>
          <w:sz w:val="28"/>
          <w:sz w:val="28"/>
          <w:szCs w:val="28"/>
          <w:rtl w:val="true"/>
          <w:lang w:bidi="fa-IR"/>
        </w:rPr>
        <w:t> فی العقد؟ فإن جعل لها فلها، وإلّا فله، ولمولاها فی الصورة الاُولی  تملّکه، کما فی سائر الموارد؛ إذ له تملّک مال مملوکه</w:t>
      </w:r>
      <w:r>
        <w:rPr>
          <w:rStyle w:val="FootnoteAnchor"/>
          <w:rtl w:val="true"/>
        </w:rPr>
        <w:footnoteReference w:id="1399"/>
      </w:r>
      <w:r>
        <w:rPr>
          <w:rFonts w:ascii="IRNazanin" w:hAnsi="IRNazanin" w:eastAsia="IRNazanin"/>
          <w:color w:val="111111"/>
          <w:sz w:val="28"/>
          <w:sz w:val="28"/>
          <w:szCs w:val="28"/>
          <w:rtl w:val="true"/>
          <w:lang w:bidi="fa-IR"/>
        </w:rPr>
        <w:t> بناءً علی القول بالملکیّة، لکن هذا إذا کان قبل انعتاقها، وأمّا بعد انعتاقها فلیس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الدخول ففی سقوطه أو سقوط نصفه أو عدم سقوطه أصلاً وجوه</w:t>
      </w:r>
      <w:r>
        <w:rPr>
          <w:rStyle w:val="FootnoteAnchor"/>
          <w:rtl w:val="true"/>
        </w:rPr>
        <w:footnoteReference w:id="1400"/>
      </w:r>
      <w:r>
        <w:rPr>
          <w:rFonts w:ascii="IRNazanin" w:hAnsi="IRNazanin" w:eastAsia="IRNazanin"/>
          <w:color w:val="111111"/>
          <w:sz w:val="28"/>
          <w:sz w:val="28"/>
          <w:szCs w:val="28"/>
          <w:rtl w:val="true"/>
          <w:lang w:bidi="fa-IR"/>
        </w:rPr>
        <w:t>، أقواها الأخیر</w:t>
      </w:r>
      <w:r>
        <w:rPr>
          <w:rStyle w:val="FootnoteAnchor"/>
          <w:rtl w:val="true"/>
        </w:rPr>
        <w:footnoteReference w:id="1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وکونه من باب الفسخ لا شبهة فیه، کما أنّ کون مقتضاه ذلک ممّا لامریة تعتریه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وإشکال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وکون المقام من باب الفسخ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فی بعض المسائل السابقة ما هو الحقّ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والظاهر کونه من الفسخ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والأحوط 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مقتضی الفسخ الأوّل؛ وذلک لعدم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2" w:name="pg13286_154045"/>
    </w:p>
    <w:p>
      <w:pPr>
        <w:pStyle w:val="BookText"/>
        <w:rPr/>
      </w:pPr>
      <w:bookmarkEnd w:id="812"/>
      <w:r>
        <w:rPr>
          <w:rFonts w:ascii="Amiri" w:hAnsi="Amiri" w:eastAsia="Amiri" w:cs="Amiri"/>
          <w:color w:val="111111"/>
          <w:sz w:val="28"/>
          <w:sz w:val="28"/>
          <w:szCs w:val="28"/>
          <w:rtl w:val="true"/>
          <w:lang w:bidi="ar-SA"/>
        </w:rPr>
        <w:t>معلومیّة</w:t>
      </w:r>
      <w:r>
        <w:rPr>
          <w:rStyle w:val="FootnoteAnchor"/>
          <w:rtl w:val="true"/>
        </w:rPr>
        <w:footnoteReference w:id="1402"/>
      </w:r>
      <w:r>
        <w:rPr>
          <w:rFonts w:ascii="IRNazanin" w:hAnsi="IRNazanin" w:eastAsia="IRNazanin"/>
          <w:color w:val="111111"/>
          <w:sz w:val="28"/>
          <w:sz w:val="28"/>
          <w:szCs w:val="28"/>
          <w:rtl w:val="true"/>
          <w:lang w:bidi="fa-IR"/>
        </w:rPr>
        <w:t> کون المقام من باب</w:t>
      </w:r>
      <w:r>
        <w:rPr>
          <w:rStyle w:val="FootnoteAnchor"/>
          <w:rtl w:val="true"/>
        </w:rPr>
        <w:footnoteReference w:id="1403"/>
      </w:r>
      <w:r>
        <w:rPr>
          <w:rFonts w:ascii="IRNazanin" w:hAnsi="IRNazanin" w:eastAsia="IRNazanin"/>
          <w:color w:val="111111"/>
          <w:sz w:val="28"/>
          <w:sz w:val="28"/>
          <w:szCs w:val="28"/>
          <w:rtl w:val="true"/>
          <w:lang w:bidi="fa-IR"/>
        </w:rPr>
        <w:t> الفسخ</w:t>
      </w:r>
      <w:r>
        <w:rPr>
          <w:rStyle w:val="FootnoteAnchor"/>
          <w:rtl w:val="true"/>
        </w:rPr>
        <w:footnoteReference w:id="1404"/>
      </w:r>
      <w:r>
        <w:rPr>
          <w:rFonts w:ascii="IRNazanin" w:hAnsi="IRNazanin" w:eastAsia="IRNazanin"/>
          <w:color w:val="111111"/>
          <w:sz w:val="28"/>
          <w:sz w:val="28"/>
          <w:szCs w:val="28"/>
          <w:rtl w:val="true"/>
          <w:lang w:bidi="fa-IR"/>
        </w:rPr>
        <w:t>؛ لاحتمال</w:t>
      </w:r>
      <w:r>
        <w:rPr>
          <w:rStyle w:val="FootnoteAnchor"/>
          <w:rtl w:val="true"/>
        </w:rPr>
        <w:footnoteReference w:id="1405"/>
      </w:r>
      <w:r>
        <w:rPr>
          <w:rFonts w:ascii="IRNazanin" w:hAnsi="IRNazanin" w:eastAsia="IRNazanin"/>
          <w:color w:val="111111"/>
          <w:sz w:val="28"/>
          <w:sz w:val="28"/>
          <w:szCs w:val="28"/>
          <w:rtl w:val="true"/>
          <w:lang w:bidi="fa-IR"/>
        </w:rPr>
        <w:t> کونه من باب بطلان النکاح</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من الأخبار أنّه مفارقة ونزع شبه الطلاق، ومع ذلک لا یقاس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اختیارها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والقیاس علی الطلاق فی ثبوت النصف لا  وجه له</w:t>
      </w:r>
      <w:r>
        <w:rPr>
          <w:rFonts w:eastAsia="IRNazanin" w:cs="IRNazanin"/>
          <w:color w:val="111111"/>
          <w:sz w:val="28"/>
          <w:szCs w:val="28"/>
          <w:rtl w:val="true"/>
          <w:lang w:bidi="fa-IR"/>
        </w:rPr>
        <w:t>.</w:t>
      </w:r>
    </w:p>
    <w:p>
      <w:pPr>
        <w:pStyle w:val="Heading4"/>
        <w:numPr>
          <w:ilvl w:val="3"/>
          <w:numId w:val="1"/>
        </w:numPr>
        <w:rPr/>
      </w:pPr>
      <w:bookmarkStart w:id="813" w:name="__RefHeading___Toc2139010_2322387425"/>
      <w:bookmarkStart w:id="814" w:name="_Toc298"/>
      <w:bookmarkEnd w:id="813"/>
      <w:r>
        <w:rPr>
          <w:rtl w:val="true"/>
        </w:rPr>
        <w:t>حکم المهر لو کان العتق قبل الدخول والفسخ بعده</w:t>
      </w:r>
      <w:bookmarkEnd w:id="8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العِتق قبل الدخول والفسخ بعده</w:t>
      </w:r>
      <w:r>
        <w:rPr>
          <w:rStyle w:val="FootnoteAnchor"/>
          <w:rtl w:val="true"/>
        </w:rPr>
        <w:footnoteReference w:id="14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عدم سقوط خیارها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المهر         </w:t>
      </w:r>
      <w:bookmarkStart w:id="815" w:name="pg13286_154046"/>
    </w:p>
    <w:p>
      <w:pPr>
        <w:pStyle w:val="BookText"/>
        <w:rPr/>
      </w:pPr>
      <w:bookmarkEnd w:id="815"/>
      <w:r>
        <w:rPr>
          <w:rFonts w:ascii="IRNazanin" w:hAnsi="IRNazanin" w:eastAsia="IRNazanin"/>
          <w:color w:val="111111"/>
          <w:sz w:val="28"/>
          <w:sz w:val="28"/>
          <w:szCs w:val="28"/>
          <w:rtl w:val="true"/>
          <w:lang w:bidi="fa-IR"/>
        </w:rPr>
        <w:t>جعل لها فلها، وإن جعل للمولی أو اُطلق</w:t>
      </w:r>
      <w:r>
        <w:rPr>
          <w:rStyle w:val="FootnoteAnchor"/>
          <w:rtl w:val="true"/>
        </w:rPr>
        <w:footnoteReference w:id="1408"/>
      </w:r>
      <w:r>
        <w:rPr>
          <w:rFonts w:ascii="IRNazanin" w:hAnsi="IRNazanin" w:eastAsia="IRNazanin"/>
          <w:color w:val="111111"/>
          <w:sz w:val="28"/>
          <w:sz w:val="28"/>
          <w:szCs w:val="28"/>
          <w:rtl w:val="true"/>
          <w:lang w:bidi="fa-IR"/>
        </w:rPr>
        <w:t> ففی کونه لها أوله قولان، أقواهما</w:t>
      </w:r>
    </w:p>
    <w:p>
      <w:pPr>
        <w:pStyle w:val="BookText"/>
        <w:rPr/>
      </w:pPr>
      <w:r>
        <w:rPr>
          <w:rFonts w:ascii="IRNazanin" w:hAnsi="IRNazanin" w:eastAsia="IRNazanin"/>
          <w:color w:val="111111"/>
          <w:sz w:val="28"/>
          <w:sz w:val="28"/>
          <w:szCs w:val="28"/>
          <w:rtl w:val="true"/>
          <w:lang w:bidi="fa-IR"/>
        </w:rPr>
        <w:t>الثانی؛ لأنّه ثابت بالعقد وإن کان یستقرّ بالدخول، والمفروض أنّها کانت أمةًحین العقد</w:t>
      </w:r>
      <w:r>
        <w:rPr>
          <w:rFonts w:eastAsia="IRNazanin" w:cs="IRNazanin"/>
          <w:color w:val="111111"/>
          <w:sz w:val="28"/>
          <w:szCs w:val="28"/>
          <w:rtl w:val="true"/>
          <w:lang w:bidi="fa-IR"/>
        </w:rPr>
        <w:t>.</w:t>
      </w:r>
    </w:p>
    <w:p>
      <w:pPr>
        <w:pStyle w:val="Heading4"/>
        <w:numPr>
          <w:ilvl w:val="3"/>
          <w:numId w:val="1"/>
        </w:numPr>
        <w:rPr/>
      </w:pPr>
      <w:bookmarkStart w:id="816" w:name="__RefHeading___Toc2139012_2322387425"/>
      <w:bookmarkStart w:id="817" w:name="_Toc299"/>
      <w:bookmarkEnd w:id="816"/>
      <w:r>
        <w:rPr>
          <w:rtl w:val="true"/>
        </w:rPr>
        <w:t>نکاح الأمة بتفویض المهر أو البضع</w:t>
      </w:r>
      <w:bookmarkEnd w:id="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نکاحها بالتفویض</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بتفویض المهر</w:t>
      </w:r>
      <w:r>
        <w:rPr>
          <w:rStyle w:val="FootnoteAnchor"/>
          <w:rtl w:val="true"/>
        </w:rPr>
        <w:footnoteReference w:id="1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أن یذکر المهر فی العقد علی وجه الإجمال، ویفوِّض تعیینه إلی أحدالزوجَین، وتفویض البِضع أن لا یذکر المهر فی العقد، لا علی وجه الإجمال، ولاعلی وجه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حاله حال ما إذا عیّن فی العقد، وإن کان بتفویض البِضع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بعدم ذکره أصلاً، حتّی علی نحو الإجمال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الانعتاق بعد الدخول وبعد التعیین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قبل الدخول وبعد التعیین، وأمّا قبل التعیین وبعد الدخول فمهر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المراد أحدهما، بمعنی أنّه مع الدخول أو مع التعیین قبلالدخول یکون حال المهر حاله مع التعیین حال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کان قبل الدخول وبعد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للمسألة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یتحقّق الدخول وتعیین المهر، ثمّ یحصل بعدهماالانعتاق واختیار الفراق، فیجب المهر المعیّن ویکون للسیّد، من غیر فرقٍ بین أنیتقدّم الدخول أو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التعیین، ثمّ یکون بعده العتق، ثمّ یکون بعدهماالدخول، فیجب المهر المعیّن، ویکون للسیّد کما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الصورة الثالثة،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التعیین، ثمّ حصل العتق واختیارالفراق من غیر دخول؛ بناءً علی ما اخترناه فی ما تقدّم من عدم سقوط المهر بذلک،وعدم تنصیفه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بها من غیر تعیین، ثمّ یحصل بعده الانعتاق، فیثبتمهر المثل ویکون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العتق، ثمّ یکون بعده الدخول، ثمّ یکون بعدهاختیار الفراق، فیثبت مهر المثل ویکون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العتق واختیار الفراق، من غیر دخولٍ ولا تعیین،وفی ثبوت المهر فی هذه الصورة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فحاله حال ما إذا عیّن حین العقد،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8" w:name="pg13286_154047"/>
    </w:p>
    <w:p>
      <w:pPr>
        <w:pStyle w:val="BookText"/>
        <w:rPr/>
      </w:pPr>
      <w:bookmarkEnd w:id="818"/>
      <w:r>
        <w:rPr>
          <w:rFonts w:ascii="IRNazanin" w:hAnsi="IRNazanin" w:eastAsia="IRNazanin"/>
          <w:color w:val="111111"/>
          <w:sz w:val="28"/>
          <w:sz w:val="28"/>
          <w:szCs w:val="28"/>
          <w:rtl w:val="true"/>
          <w:lang w:bidi="fa-IR"/>
        </w:rPr>
        <w:t>وإن کان قبل الدخول</w:t>
      </w:r>
      <w:r>
        <w:rPr>
          <w:rStyle w:val="FootnoteAnchor"/>
          <w:rtl w:val="true"/>
        </w:rPr>
        <w:footnoteReference w:id="1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أنّ المهر لها؛ لأنّه یثبت حینئذٍ بالدخول،  والمفروض حرّیّتها حینه</w:t>
      </w:r>
      <w:r>
        <w:rPr>
          <w:rFonts w:eastAsia="IRNazanin" w:cs="IRNazanin"/>
          <w:color w:val="111111"/>
          <w:sz w:val="28"/>
          <w:szCs w:val="28"/>
          <w:rtl w:val="true"/>
          <w:lang w:bidi="fa-IR"/>
        </w:rPr>
        <w:t>.</w:t>
      </w:r>
    </w:p>
    <w:p>
      <w:pPr>
        <w:pStyle w:val="Heading4"/>
        <w:numPr>
          <w:ilvl w:val="3"/>
          <w:numId w:val="1"/>
        </w:numPr>
        <w:rPr/>
      </w:pPr>
      <w:bookmarkStart w:id="819" w:name="__RefHeading___Toc2139014_2322387425"/>
      <w:bookmarkStart w:id="820" w:name="_Toc300"/>
      <w:bookmarkEnd w:id="819"/>
      <w:r>
        <w:rPr>
          <w:rtl w:val="true"/>
        </w:rPr>
        <w:t>الحکم لو کان العتق فی العدّة الرجعیّة أو البائنة</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العِتق فی العِدّة الرجعیّة فالظاهر أنّ الخیار باقٍ</w:t>
      </w:r>
      <w:r>
        <w:rPr>
          <w:rStyle w:val="FootnoteAnchor"/>
          <w:rtl w:val="true"/>
        </w:rPr>
        <w:footnoteReference w:id="1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الخیار بالعتق فی العِدّة محلّ تأمّل، فلا یُترک مراعاة الاحتیاط فیها بعدماختیار الزوجة الفسخ، وعدم رجوع الزوج لو اختارت الفسخ، وعدم إمساکها بلاعقدٍ جدیدٍ إذا رجع بعد الفسخ، وعدم تزویج الزوجة بدون الطلاق مع الرجوع بعدالفسخ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1" w:name="pg13286_154048"/>
    </w:p>
    <w:p>
      <w:pPr>
        <w:pStyle w:val="BookText"/>
        <w:rPr/>
      </w:pPr>
      <w:bookmarkEnd w:id="821"/>
      <w:r>
        <w:rPr>
          <w:rFonts w:ascii="IRNazanin" w:hAnsi="IRNazanin" w:eastAsia="IRNazanin"/>
          <w:color w:val="111111"/>
          <w:sz w:val="28"/>
          <w:sz w:val="28"/>
          <w:szCs w:val="28"/>
          <w:rtl w:val="true"/>
          <w:lang w:bidi="fa-IR"/>
        </w:rPr>
        <w:t>فإن اختارت الفسخ لم یبقَ للزوج الرجوع حینئذٍ، وإن اختارت البقاء بقی له حقّ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اختارت الفسخ لا تتعدّد العِدّة، بل یکفیها عِدّة واحدة، ولکن علیها تتمیمها</w:t>
      </w:r>
      <w:r>
        <w:rPr>
          <w:rStyle w:val="FootnoteAnchor"/>
          <w:rtl w:val="true"/>
        </w:rPr>
        <w:footnoteReference w:id="1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فی الفرض استئناف عدّة الحُرّة من حین 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علیها استئناف عدّة الحُرّة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استئناف العِدّة من حین الفسخ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کانت العِدّة بائنةً فلا خیار لها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2139016_2322387425"/>
      <w:bookmarkStart w:id="823" w:name="_Toc301"/>
      <w:bookmarkEnd w:id="822"/>
      <w:r>
        <w:rPr>
          <w:rtl w:val="true"/>
        </w:rPr>
        <w:t>عدم افتقار الفسخ لإذن الحاکم</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یحتاج فسخها إلی إذن الحاکم</w:t>
      </w:r>
      <w:r>
        <w:rPr>
          <w:rFonts w:eastAsia="IRNazanin" w:cs="IRNazanin"/>
          <w:color w:val="111111"/>
          <w:sz w:val="28"/>
          <w:szCs w:val="28"/>
          <w:rtl w:val="true"/>
          <w:lang w:bidi="fa-IR"/>
        </w:rPr>
        <w:t>.</w:t>
      </w:r>
    </w:p>
    <w:p>
      <w:pPr>
        <w:pStyle w:val="Heading4"/>
        <w:numPr>
          <w:ilvl w:val="3"/>
          <w:numId w:val="1"/>
        </w:numPr>
        <w:rPr/>
      </w:pPr>
      <w:bookmarkStart w:id="824" w:name="__RefHeading___Toc2139018_2322387425"/>
      <w:bookmarkStart w:id="825" w:name="_Toc302"/>
      <w:bookmarkEnd w:id="824"/>
      <w:r>
        <w:rPr>
          <w:rtl w:val="true"/>
        </w:rPr>
        <w:t>فوریّة الخیار بعد العتق للأمة المزوّجة</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الخیار علی الفور علی الأحوط</w:t>
      </w:r>
      <w:r>
        <w:rPr>
          <w:rStyle w:val="FootnoteAnchor"/>
          <w:rtl w:val="true"/>
        </w:rPr>
        <w:footnoteReference w:id="1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ذلک، فلا تختار الفراق مع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هی اختارتالفراق فلا تتزوّج غیر زوجها إلّا بعد الطلاق منه، ولا ترجع إلیه إلّا بعقدٍ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کونه فوریّاً إن لم یثبت الإجماع علی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فوراً عرفیّاً، نعم، لو کانت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6" w:name="pg13286_154049"/>
    </w:p>
    <w:p>
      <w:pPr>
        <w:pStyle w:val="BookText"/>
        <w:rPr/>
      </w:pPr>
      <w:bookmarkEnd w:id="826"/>
      <w:r>
        <w:rPr>
          <w:rFonts w:ascii="IRNazanin" w:hAnsi="IRNazanin" w:eastAsia="IRNazanin"/>
          <w:color w:val="111111"/>
          <w:sz w:val="28"/>
          <w:sz w:val="28"/>
          <w:szCs w:val="28"/>
          <w:rtl w:val="true"/>
          <w:lang w:bidi="fa-IR"/>
        </w:rPr>
        <w:t>جاهلةً بالعِتق أو بالخیار أو بالفوریّة</w:t>
      </w:r>
      <w:r>
        <w:rPr>
          <w:rStyle w:val="FootnoteAnchor"/>
          <w:rtl w:val="true"/>
        </w:rPr>
        <w:footnoteReference w:id="1415"/>
      </w:r>
      <w:r>
        <w:rPr>
          <w:rFonts w:ascii="IRNazanin" w:hAnsi="IRNazanin" w:eastAsia="IRNazanin"/>
          <w:color w:val="111111"/>
          <w:sz w:val="28"/>
          <w:sz w:val="28"/>
          <w:szCs w:val="28"/>
          <w:rtl w:val="true"/>
          <w:lang w:bidi="fa-IR"/>
        </w:rPr>
        <w:t> جاز لها الفسخ</w:t>
      </w:r>
      <w:r>
        <w:rPr>
          <w:rStyle w:val="FootnoteAnchor"/>
          <w:rtl w:val="true"/>
        </w:rPr>
        <w:footnoteReference w:id="1416"/>
      </w:r>
      <w:r>
        <w:rPr>
          <w:rFonts w:ascii="IRNazanin" w:hAnsi="IRNazanin" w:eastAsia="IRNazanin"/>
          <w:color w:val="111111"/>
          <w:sz w:val="28"/>
          <w:sz w:val="28"/>
          <w:szCs w:val="28"/>
          <w:rtl w:val="true"/>
          <w:lang w:bidi="fa-IR"/>
        </w:rPr>
        <w:t> بعد العلم، ولا یضرّه التأخیر حینئذٍ</w:t>
      </w:r>
      <w:r>
        <w:rPr>
          <w:rFonts w:eastAsia="IRNazanin" w:cs="IRNazanin"/>
          <w:color w:val="111111"/>
          <w:sz w:val="28"/>
          <w:szCs w:val="28"/>
          <w:rtl w:val="true"/>
          <w:lang w:bidi="fa-IR"/>
        </w:rPr>
        <w:t>.</w:t>
      </w:r>
    </w:p>
    <w:p>
      <w:pPr>
        <w:pStyle w:val="Heading4"/>
        <w:numPr>
          <w:ilvl w:val="3"/>
          <w:numId w:val="1"/>
        </w:numPr>
        <w:rPr/>
      </w:pPr>
      <w:bookmarkStart w:id="827" w:name="__RefHeading___Toc2139020_2322387425"/>
      <w:bookmarkStart w:id="828" w:name="_Toc303"/>
      <w:bookmarkEnd w:id="827"/>
      <w:r>
        <w:rPr>
          <w:rtl w:val="true"/>
        </w:rPr>
        <w:t>الخیار فیمن لا یصحّ منها الاختیار</w:t>
      </w:r>
      <w:bookmarkEnd w:id="8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کانت صبیّةً أو مجنونةً فالأقوی</w:t>
      </w:r>
      <w:r>
        <w:rPr>
          <w:rStyle w:val="FootnoteAnchor"/>
          <w:rtl w:val="true"/>
        </w:rPr>
        <w:footnoteReference w:id="1417"/>
      </w:r>
      <w:r>
        <w:rPr>
          <w:rFonts w:ascii="Amiri" w:hAnsi="Amiri" w:eastAsia="Amiri" w:cs="Amiri"/>
          <w:color w:val="111111"/>
          <w:sz w:val="28"/>
          <w:sz w:val="28"/>
          <w:szCs w:val="28"/>
          <w:rtl w:val="true"/>
          <w:lang w:bidi="ar-SA"/>
        </w:rPr>
        <w:t> أنّ ولیّها</w:t>
      </w:r>
      <w:r>
        <w:rPr>
          <w:rStyle w:val="FootnoteAnchor"/>
          <w:rtl w:val="true"/>
        </w:rPr>
        <w:footnoteReference w:id="1418"/>
      </w:r>
      <w:r>
        <w:rPr>
          <w:rFonts w:ascii="IRNazanin" w:hAnsi="IRNazanin" w:eastAsia="IRNazanin"/>
          <w:color w:val="111111"/>
          <w:sz w:val="28"/>
          <w:sz w:val="28"/>
          <w:szCs w:val="28"/>
          <w:rtl w:val="true"/>
          <w:lang w:bidi="fa-IR"/>
        </w:rPr>
        <w:t> یتولّی خیارها</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2139022_2322387425"/>
      <w:bookmarkStart w:id="830" w:name="_Toc304"/>
      <w:bookmarkEnd w:id="829"/>
      <w:r>
        <w:rPr>
          <w:rtl w:val="true"/>
        </w:rPr>
        <w:t>إعلام المعتقة بالحال</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الزوج إعلامها بالعتق أو بالخیار إذا لم تعلم، بل یجوز له إخفاء الأمر علیها</w:t>
      </w:r>
      <w:r>
        <w:rPr>
          <w:rFonts w:eastAsia="IRNazanin" w:cs="IRNazanin"/>
          <w:color w:val="111111"/>
          <w:sz w:val="28"/>
          <w:szCs w:val="28"/>
          <w:rtl w:val="true"/>
          <w:lang w:bidi="fa-IR"/>
        </w:rPr>
        <w:t>.</w:t>
      </w:r>
    </w:p>
    <w:p>
      <w:pPr>
        <w:pStyle w:val="Heading4"/>
        <w:numPr>
          <w:ilvl w:val="3"/>
          <w:numId w:val="1"/>
        </w:numPr>
        <w:rPr/>
      </w:pPr>
      <w:bookmarkStart w:id="831" w:name="__RefHeading___Toc2139024_2322387425"/>
      <w:bookmarkStart w:id="832" w:name="_Toc305"/>
      <w:bookmarkEnd w:id="831"/>
      <w:r>
        <w:rPr>
          <w:rtl w:val="true"/>
        </w:rPr>
        <w:t>ثبوت الخیار ولو کان التزویج برضاها</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المشهور</w:t>
      </w:r>
      <w:r>
        <w:rPr>
          <w:rStyle w:val="FootnoteAnchor"/>
          <w:rtl w:val="true"/>
        </w:rPr>
        <w:footnoteReference w:id="1420"/>
      </w:r>
      <w:r>
        <w:rPr>
          <w:rFonts w:ascii="IRNazanin" w:hAnsi="IRNazanin" w:eastAsia="IRNazanin"/>
          <w:color w:val="111111"/>
          <w:sz w:val="28"/>
          <w:sz w:val="28"/>
          <w:szCs w:val="28"/>
          <w:rtl w:val="true"/>
          <w:lang w:bidi="fa-IR"/>
        </w:rPr>
        <w:t> عدم</w:t>
      </w:r>
      <w:r>
        <w:rPr>
          <w:rStyle w:val="FootnoteAnchor"/>
          <w:rtl w:val="true"/>
        </w:rPr>
        <w:footnoteReference w:id="1421"/>
      </w:r>
      <w:r>
        <w:rPr>
          <w:rFonts w:ascii="IRNazanin" w:hAnsi="IRNazanin" w:eastAsia="IRNazanin"/>
          <w:color w:val="111111"/>
          <w:sz w:val="28"/>
          <w:sz w:val="28"/>
          <w:szCs w:val="28"/>
          <w:rtl w:val="true"/>
          <w:lang w:bidi="fa-IR"/>
        </w:rPr>
        <w:t> الفرق</w:t>
      </w:r>
      <w:r>
        <w:rPr>
          <w:rStyle w:val="FootnoteAnchor"/>
          <w:rtl w:val="true"/>
        </w:rPr>
        <w:footnoteReference w:id="1422"/>
      </w:r>
      <w:r>
        <w:rPr>
          <w:rFonts w:ascii="IRNazanin" w:hAnsi="IRNazanin" w:eastAsia="IRNazanin"/>
          <w:color w:val="111111"/>
          <w:sz w:val="28"/>
          <w:sz w:val="28"/>
          <w:szCs w:val="28"/>
          <w:rtl w:val="true"/>
          <w:lang w:bidi="fa-IR"/>
        </w:rPr>
        <w:t> فی ثبوت الخیار لها بین أن یکون المولی هو المباشر لتزویجها أو أذِنَها فاختارت هی زوجاً برضاها، ولکن یمکن دعوی</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ولکنّها غیر مسموعة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لکنّها بعیدة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لا تخلو من مجازفة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غیر مسموعة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لکنّها غیر مسموعة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3" w:name="pg13286_154050"/>
    </w:p>
    <w:p>
      <w:pPr>
        <w:pStyle w:val="BookText"/>
        <w:rPr/>
      </w:pPr>
      <w:bookmarkEnd w:id="833"/>
      <w:r>
        <w:rPr>
          <w:rFonts w:ascii="IRNazanin" w:hAnsi="IRNazanin" w:eastAsia="IRNazanin"/>
          <w:color w:val="111111"/>
          <w:sz w:val="28"/>
          <w:sz w:val="28"/>
          <w:szCs w:val="28"/>
          <w:rtl w:val="true"/>
          <w:lang w:bidi="fa-IR"/>
        </w:rPr>
        <w:t>انصراف</w:t>
      </w:r>
      <w:r>
        <w:rPr>
          <w:rStyle w:val="FootnoteAnchor"/>
          <w:rtl w:val="true"/>
        </w:rPr>
        <w:footnoteReference w:id="1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الدعوی ضعیفة جدّاً؛ لأنّ الأخبار مطلقة، والإنصراف بدویّ لا اعتباربه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مجازفة فلا اعتبار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لهذه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الانصراف فی المقام لا وجه لها، ولا مانع من الأخذ بالإطلاق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ضعیفة، بل لا تخلو من مجازفة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صورة مباشرة المولی بلا اختیارٍ منها</w:t>
      </w:r>
      <w:r>
        <w:rPr>
          <w:rFonts w:eastAsia="IRNazanin" w:cs="IRNazanin"/>
          <w:color w:val="111111"/>
          <w:sz w:val="28"/>
          <w:szCs w:val="28"/>
          <w:rtl w:val="true"/>
          <w:lang w:bidi="fa-IR"/>
        </w:rPr>
        <w:t>.</w:t>
      </w:r>
    </w:p>
    <w:p>
      <w:pPr>
        <w:pStyle w:val="Heading4"/>
        <w:numPr>
          <w:ilvl w:val="3"/>
          <w:numId w:val="1"/>
        </w:numPr>
        <w:rPr/>
      </w:pPr>
      <w:bookmarkStart w:id="834" w:name="__RefHeading___Toc2139026_2322387425"/>
      <w:bookmarkStart w:id="835" w:name="_Toc306"/>
      <w:bookmarkEnd w:id="834"/>
      <w:r>
        <w:rPr>
          <w:rtl w:val="true"/>
        </w:rPr>
        <w:t>اشتراط المولی فی العتق عدم الخیار فی الفسخ</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w:t>
      </w:r>
      <w:r>
        <w:rPr>
          <w:rStyle w:val="FootnoteAnchor"/>
          <w:rtl w:val="true"/>
        </w:rPr>
        <w:footnoteReference w:id="1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لا یفسخ، أو أن یسقط حقّ الفسخ، لا أن یشترط عدم الاستحقاق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     .     .     .     .     .     .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6" w:name="pg13286_154051"/>
    </w:p>
    <w:p>
      <w:pPr>
        <w:pStyle w:val="BookText"/>
        <w:rPr/>
      </w:pPr>
      <w:bookmarkEnd w:id="836"/>
      <w:r>
        <w:rPr>
          <w:rFonts w:ascii="IRNazanin" w:hAnsi="IRNazanin" w:eastAsia="IRNazanin"/>
          <w:color w:val="111111"/>
          <w:sz w:val="28"/>
          <w:sz w:val="28"/>
          <w:szCs w:val="28"/>
          <w:rtl w:val="true"/>
          <w:lang w:bidi="fa-IR"/>
        </w:rPr>
        <w:t>مولاها</w:t>
      </w:r>
      <w:r>
        <w:rPr>
          <w:rStyle w:val="FootnoteAnchor"/>
          <w:rtl w:val="true"/>
        </w:rPr>
        <w:footnoteReference w:id="1426"/>
      </w:r>
      <w:r>
        <w:rPr>
          <w:rFonts w:ascii="IRNazanin" w:hAnsi="IRNazanin" w:eastAsia="IRNazanin"/>
          <w:color w:val="111111"/>
          <w:sz w:val="28"/>
          <w:sz w:val="28"/>
          <w:szCs w:val="28"/>
          <w:rtl w:val="true"/>
          <w:lang w:bidi="fa-IR"/>
        </w:rPr>
        <w:t> فی العتق</w:t>
      </w:r>
      <w:r>
        <w:rPr>
          <w:rStyle w:val="FootnoteAnchor"/>
          <w:rtl w:val="true"/>
        </w:rPr>
        <w:footnoteReference w:id="1427"/>
      </w:r>
      <w:r>
        <w:rPr>
          <w:rFonts w:ascii="IRNazanin" w:hAnsi="IRNazanin" w:eastAsia="IRNazanin"/>
          <w:color w:val="111111"/>
          <w:sz w:val="28"/>
          <w:sz w:val="28"/>
          <w:szCs w:val="28"/>
          <w:rtl w:val="true"/>
          <w:lang w:bidi="fa-IR"/>
        </w:rPr>
        <w:t> عدم فسخها</w:t>
      </w:r>
      <w:r>
        <w:rPr>
          <w:rStyle w:val="FootnoteAnchor"/>
          <w:rtl w:val="true"/>
        </w:rPr>
        <w:footnoteReference w:id="1428"/>
      </w:r>
      <w:r>
        <w:rPr>
          <w:rFonts w:ascii="IRNazanin" w:hAnsi="IRNazanin" w:eastAsia="IRNazanin"/>
          <w:color w:val="111111"/>
          <w:sz w:val="28"/>
          <w:sz w:val="28"/>
          <w:szCs w:val="28"/>
          <w:rtl w:val="true"/>
          <w:lang w:bidi="fa-IR"/>
        </w:rPr>
        <w:t> فالظاهر صحّته</w:t>
      </w:r>
      <w:r>
        <w:rPr>
          <w:rStyle w:val="FootnoteAnchor"/>
          <w:rtl w:val="true"/>
        </w:rPr>
        <w:footnoteReference w:id="1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الشرط وإن کان صحیحاً ویجب علیها العمل به إلّا أنّها إذا فسخت کانفسخها موثّراً وموجباً لبطلان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اشتراط القبول وجه، لکنّه غیر موجّه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2139028_2322387425"/>
      <w:bookmarkStart w:id="838" w:name="_Toc307"/>
      <w:bookmarkEnd w:id="837"/>
      <w:r>
        <w:rPr>
          <w:rtl w:val="true"/>
        </w:rPr>
        <w:t>عدم الخیار للعبد المعتق</w:t>
      </w:r>
      <w:bookmarkEnd w:id="8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اُعتق العبد لا خیار له</w:t>
      </w:r>
      <w:r>
        <w:rPr>
          <w:rStyle w:val="FootnoteAnchor"/>
          <w:rtl w:val="true"/>
        </w:rPr>
        <w:footnoteReference w:id="1430"/>
      </w:r>
      <w:r>
        <w:rPr>
          <w:rFonts w:ascii="IRNazanin" w:hAnsi="IRNazanin" w:eastAsia="IRNazanin"/>
          <w:color w:val="111111"/>
          <w:sz w:val="28"/>
          <w:sz w:val="28"/>
          <w:szCs w:val="28"/>
          <w:rtl w:val="true"/>
          <w:lang w:bidi="fa-IR"/>
        </w:rPr>
        <w:t> ولا لزوجته</w:t>
      </w:r>
      <w:r>
        <w:rPr>
          <w:rFonts w:eastAsia="IRNazanin" w:cs="IRNazanin"/>
          <w:color w:val="111111"/>
          <w:sz w:val="28"/>
          <w:szCs w:val="28"/>
          <w:rtl w:val="true"/>
          <w:lang w:bidi="fa-IR"/>
        </w:rPr>
        <w:t>.</w:t>
      </w:r>
    </w:p>
    <w:p>
      <w:pPr>
        <w:pStyle w:val="Heading4"/>
        <w:numPr>
          <w:ilvl w:val="3"/>
          <w:numId w:val="1"/>
        </w:numPr>
        <w:rPr/>
      </w:pPr>
      <w:bookmarkStart w:id="839" w:name="__RefHeading___Toc2139030_2322387425"/>
      <w:bookmarkStart w:id="840" w:name="_Toc308"/>
      <w:bookmarkEnd w:id="839"/>
      <w:r>
        <w:rPr>
          <w:rtl w:val="true"/>
        </w:rPr>
        <w:t>الحکم لو کان للعبد حرّة وأمتان واُعتقت إحداهما</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عند العبد حرّة وأمتان فاُعتِقت</w:t>
      </w:r>
      <w:r>
        <w:rPr>
          <w:rStyle w:val="FootnoteAnchor"/>
          <w:rtl w:val="true"/>
        </w:rPr>
        <w:footnoteReference w:id="1431"/>
      </w:r>
      <w:r>
        <w:rPr>
          <w:rFonts w:ascii="IRNazanin" w:hAnsi="IRNazanin" w:eastAsia="IRNazanin"/>
          <w:color w:val="111111"/>
          <w:sz w:val="28"/>
          <w:sz w:val="28"/>
          <w:szCs w:val="28"/>
          <w:rtl w:val="true"/>
          <w:lang w:bidi="fa-IR"/>
        </w:rPr>
        <w:t> إحدی الأمتَین فهل</w:t>
      </w:r>
    </w:p>
    <w:p>
      <w:pPr>
        <w:pStyle w:val="BookText"/>
        <w:rPr/>
      </w:pPr>
      <w:r>
        <w:rPr>
          <w:rFonts w:ascii="IRNazanin" w:hAnsi="IRNazanin" w:eastAsia="IRNazanin"/>
          <w:color w:val="111111"/>
          <w:sz w:val="28"/>
          <w:sz w:val="28"/>
          <w:szCs w:val="28"/>
          <w:rtl w:val="true"/>
          <w:lang w:bidi="fa-IR"/>
        </w:rPr>
        <w:t>لها الخیار، أوْ لا؟ وجهان</w:t>
      </w:r>
      <w:r>
        <w:rPr>
          <w:rStyle w:val="FootnoteAnchor"/>
          <w:rtl w:val="true"/>
        </w:rPr>
        <w:footnoteReference w:id="1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الوجه الأوّل؛ 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اختارت الفسخ بطل نکاحها فحسب، وإناختارت البقاء فالأظهر رجوع الزوج إلی القرعة، کما مرّ نظیره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الأشبه بطلان نکاح الجمیع، وکذلک فی بقیّة 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عندالعبد ثلاث إماءٍ واُعتِقت إحداهنّ یکون قد جمع بین حُرّةٍ وأَمَتَین، ولا إشکال فیذلک، فلا مانع من تخییر المعتَقَة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لها الخیار إن لم نقل ببطلان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الأوّل إن اختارت البقاء فهل یثبت للزوج</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التخییر</w:t>
      </w:r>
      <w:r>
        <w:rPr>
          <w:rStyle w:val="FootnoteAnchor"/>
          <w:rtl w:val="true"/>
        </w:rPr>
        <w:footnoteReference w:id="1433"/>
      </w:r>
      <w:r>
        <w:rPr>
          <w:rFonts w:ascii="IRNazanin" w:hAnsi="IRNazanin" w:eastAsia="IRNazanin"/>
          <w:color w:val="111111"/>
          <w:sz w:val="28"/>
          <w:sz w:val="28"/>
          <w:szCs w:val="28"/>
          <w:rtl w:val="true"/>
          <w:lang w:bidi="fa-IR"/>
        </w:rPr>
        <w:t>، أو یبطل نکاحها؟ وجهان</w:t>
      </w:r>
      <w:r>
        <w:rPr>
          <w:rStyle w:val="FootnoteAnchor"/>
          <w:rtl w:val="true"/>
        </w:rPr>
        <w:footnoteReference w:id="1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التخییر للزوج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 عنده 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سهو القلم؛ فإنّه إذا اُعتِقت واحدة منها فلا مانع من الجمع بینها وبینالأمتَین الباقیتَین؛ حیث إنّه من الجمع بین حرّةٍ وأمتَین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عنده ثلاث إماءٍ واُعتِقت إحداها فقد جمع بین حرّةٍ وأمتَین، ومرّ أنّه لاإشکال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أربع  إماءٍ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فاُعتقت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 فی هذا الفرض جمیعهنّ دفعةً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کون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الزوج مخیّراً، وبعد اختیاره</w:t>
      </w:r>
      <w:r>
        <w:rPr>
          <w:rStyle w:val="FootnoteAnchor"/>
          <w:rtl w:val="true"/>
        </w:rPr>
        <w:footnoteReference w:id="1435"/>
      </w:r>
      <w:r>
        <w:rPr>
          <w:rFonts w:ascii="IRNazanin" w:hAnsi="IRNazanin" w:eastAsia="IRNazanin"/>
          <w:color w:val="111111"/>
          <w:sz w:val="28"/>
          <w:sz w:val="28"/>
          <w:szCs w:val="28"/>
          <w:rtl w:val="true"/>
          <w:lang w:bidi="fa-IR"/>
        </w:rPr>
        <w:t> یکون التخییر للباقیات، أو التخییر من الأوّل للزوجات، فإن اخترن البقاء فله التخییر، أو یبطل نکاح الجمیع؟ وجوه</w:t>
      </w:r>
      <w:r>
        <w:rPr>
          <w:rStyle w:val="FootnoteAnchor"/>
          <w:rtl w:val="true"/>
        </w:rPr>
        <w:footnoteReference w:id="1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الأظهر هو ثبوت الخیار لهنّ جمیعاً، فإن اخترنَ البقاء فالأظهررجوع الزوج إلی القُرعة، وإن اخترنَ الفسخ بطل نکاحهنّ جمیعاً، وبذلک یظهر حالالتبعیض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الماتن  قدّس سرّه لم یتعرّض لحکم البیع والطلاق، فالمناسب أن نتعرّض له،فنقول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المالک أمته المزوّجة کان ذلک طلاقاً، سواء کان زوجها حرّاً أم کانعبداً، ولکن یتخیّر المشتری بین إمضاء عقد النکاح وفسخه، والمشهور علی أنّخیاره فوریّ، وفیه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أمضی المشتری العقد ولم یفسخه سقطخیاره، ولیس له الفسخ بعد ذلک، وکذلک العبد المزوّج من أمته فإذا بیع کان ذلکطلاق زوجته، وکان للمشتری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کانت زوجته حرّةً فبِیع فالمشهور أنّبیعه أیضاً طلاق زوجته، إلّا أنّه لا یخلو من إشکال،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زوّج المولی عبَدهمن أمته کان الطلاق بید المولی، بل له أن یفرِّق بینهما بلا طلاق،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إذازوّجه من أمةٍ لغیره، أو حرّةٍ، أو تزوّج العبد بإذنه فالطلاق بید العبد، ولیس للمولیإجباره علی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بِیعَت الأمة المطلّقة أثناء عدّتها أتمّت العِدّة، وهل علیهاالاستبراء زائداً علی ذلک؟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ascii="IRNazanin" w:hAnsi="IRNazanin" w:eastAsia="IRNazanin"/>
          <w:color w:val="111111"/>
          <w:sz w:val="28"/>
          <w:sz w:val="28"/>
          <w:szCs w:val="28"/>
          <w:rtl w:val="true"/>
          <w:lang w:bidi="fa-IR"/>
        </w:rPr>
        <w:t>، 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ولکنّ الأظهر عدم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3286_154054"/>
    </w:p>
    <w:p>
      <w:pPr>
        <w:pStyle w:val="Heading3"/>
        <w:numPr>
          <w:ilvl w:val="2"/>
          <w:numId w:val="1"/>
        </w:numPr>
        <w:rPr/>
      </w:pPr>
      <w:bookmarkStart w:id="842" w:name="__RefHeading___Toc2139032_2322387425"/>
      <w:bookmarkStart w:id="843" w:name="_Toc309"/>
      <w:bookmarkEnd w:id="841"/>
      <w:bookmarkEnd w:id="842"/>
      <w:r>
        <w:rPr>
          <w:rtl w:val="true"/>
        </w:rPr>
        <w:t xml:space="preserve">فصل </w:t>
      </w:r>
      <w:r>
        <w:rPr>
          <w:rtl w:val="true"/>
        </w:rPr>
        <w:t>[</w:t>
      </w:r>
      <w:r>
        <w:rPr>
          <w:rtl w:val="true"/>
        </w:rPr>
        <w:t>فی العقد وأحکامه</w:t>
      </w:r>
      <w:r>
        <w:rPr>
          <w:rtl w:val="true"/>
        </w:rPr>
        <w:t>]</w:t>
      </w:r>
      <w:bookmarkEnd w:id="843"/>
    </w:p>
    <w:p>
      <w:pPr>
        <w:pStyle w:val="Heading4"/>
        <w:numPr>
          <w:ilvl w:val="3"/>
          <w:numId w:val="1"/>
        </w:numPr>
        <w:rPr/>
      </w:pPr>
      <w:bookmarkStart w:id="844" w:name="__RefHeading___Toc2139034_2322387425"/>
      <w:bookmarkStart w:id="845" w:name="_Toc310"/>
      <w:bookmarkEnd w:id="844"/>
      <w:r>
        <w:rPr>
          <w:rtl w:val="true"/>
        </w:rPr>
        <w:t>الصیغة وشرائطها فی النکاح</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الصیغة، بمعنی الإیجاب والقبول اللفظیَّین، فلا یکفی التراضی الباطنیّ، ولا الإیجاب والقبول الفعلیَّین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w:t>
      </w:r>
      <w:r>
        <w:rPr>
          <w:rStyle w:val="FootnoteAnchor"/>
          <w:rtl w:val="true"/>
        </w:rPr>
        <w:footnoteReference w:id="1437"/>
      </w:r>
      <w:r>
        <w:rPr>
          <w:rFonts w:ascii="IRNazanin" w:hAnsi="IRNazanin" w:eastAsia="IRNazanin"/>
          <w:color w:val="111111"/>
          <w:sz w:val="28"/>
          <w:sz w:val="28"/>
          <w:szCs w:val="28"/>
          <w:rtl w:val="true"/>
          <w:lang w:bidi="fa-IR"/>
        </w:rPr>
        <w:t xml:space="preserve"> یکون الإیجاب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Style w:val="FootnoteAnchor"/>
          <w:rtl w:val="true"/>
        </w:rPr>
        <w:footnoteReference w:id="1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الماضویّة لا یُترک،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 البروجردی، البجنوردی، عبدالله الشیرازی،المرعشی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أمر النکاح خطیراً جدّاً أبقینا جملةً من الاحتیاطات، وأمّا بحسبالصناعة فیمکن الحکم بأوسعیّة أمر الإیجاب والقبول ممّا اعتبره الفقهاء فی المقام،والاحتیاط المذکور من جملة ما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یکفی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النکاح الدائم، وإن کان لا یبعد کفایته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یدلّ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یجعله ظاهراً فی الدوام، ومع ذلک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علیإرادة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العربیّة</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اشتراطها فی النکاح وسائر العقود، والوجوه المتمسّکة بهاللاشتراط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کالإجماع والشهرة، وکون غیر العربیّة من الکنایات، ورجحان الاحتیاط فی الفروج کلّها مردودة غیر مصغاةٍ إلیها بعد وجود الإطلاقات والعمومات، ومنأقوی ما 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 بصاحب الشرع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خبیر بفساده بعدالتأمّل فی أنّه صلی الله علیه و آله وخلفاءَه کانوا عَربیِّی اللسان واللغة، وإذا أنشؤوا عقداً بألسنتهم فهل یُصار إلی اشتراط العربیّة فی تأثیره ؟ ولا أظنّ أن یُلتَزَمَ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التمکّن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بالتوکیل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کفایة غیرها لغیر المتمکّن منها ولو مع التمکّن من التوکیل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للعاجز وإن تمکّن من التوکیل، بل مطلقاً ولو لغیر العاجز،ولکن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النکاح من کلّ قومٍ بلسانهم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کان الظاهر صحّة نکاح کلّ قومٍ إذا اُنشِئَ بلسانهم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بغیر العربیّة مع عدم تمکّنهما من العربیّة وإن أمکن التوکیل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عدم التمکّن</w:t>
      </w:r>
      <w:r>
        <w:rPr>
          <w:rStyle w:val="FootnoteAnchor"/>
          <w:rtl w:val="true"/>
        </w:rPr>
        <w:footnoteReference w:id="1440"/>
      </w:r>
      <w:r>
        <w:rPr>
          <w:rFonts w:ascii="IRNazanin" w:hAnsi="IRNazanin" w:eastAsia="IRNazanin"/>
          <w:color w:val="111111"/>
          <w:sz w:val="28"/>
          <w:sz w:val="28"/>
          <w:szCs w:val="28"/>
          <w:rtl w:val="true"/>
          <w:lang w:bidi="fa-IR"/>
        </w:rPr>
        <w:t> منها ولو بالتوکیل یکفی غیرها من الألسنة إذا أتی بترجمة اللفظَین</w:t>
      </w:r>
      <w:r>
        <w:rPr>
          <w:rStyle w:val="FootnoteAnchor"/>
          <w:rtl w:val="true"/>
        </w:rPr>
        <w:footnoteReference w:id="1441"/>
      </w:r>
      <w:r>
        <w:rPr>
          <w:rFonts w:ascii="IRNazanin" w:hAnsi="IRNazanin" w:eastAsia="IRNazanin"/>
          <w:color w:val="111111"/>
          <w:sz w:val="28"/>
          <w:sz w:val="28"/>
          <w:szCs w:val="28"/>
          <w:rtl w:val="true"/>
          <w:lang w:bidi="fa-IR"/>
        </w:rPr>
        <w:t> من النکاح والتزویج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w:t>
      </w:r>
      <w:r>
        <w:rPr>
          <w:rStyle w:val="FootnoteAnchor"/>
          <w:rtl w:val="true"/>
        </w:rPr>
        <w:footnoteReference w:id="1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 باب الصیغة وإن کانت القواعد غیر موجبة لها، لکنّشدّة الاهتمام بأمر النکاح أوجبت النهی عن ترکها أجمع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عدمه، فیکفی المستقبَل والجملة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الخبریّة، کأن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اُزوِّجکَ، أو أنا مزوِّجُکَ فلانة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الأحوط</w:t>
      </w:r>
      <w:r>
        <w:rPr>
          <w:rStyle w:val="FootnoteAnchor"/>
          <w:rtl w:val="true"/>
        </w:rPr>
        <w:footnoteReference w:id="1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 الإیجاب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القبول، وإن کان الأقوی</w:t>
      </w:r>
    </w:p>
    <w:p>
      <w:pPr>
        <w:pStyle w:val="BookText"/>
        <w:rPr/>
      </w:pPr>
      <w:r>
        <w:rPr>
          <w:rFonts w:ascii="IRNazanin" w:hAnsi="IRNazanin" w:eastAsia="IRNazanin"/>
          <w:color w:val="111111"/>
          <w:sz w:val="28"/>
          <w:sz w:val="28"/>
          <w:szCs w:val="28"/>
          <w:rtl w:val="true"/>
          <w:lang w:bidi="fa-IR"/>
        </w:rPr>
        <w:t>جواز</w:t>
      </w:r>
      <w:r>
        <w:rPr>
          <w:rStyle w:val="FootnoteAnchor"/>
          <w:rtl w:val="true"/>
        </w:rPr>
        <w:footnoteReference w:id="1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خصوص ما یدلّ علی إنشاء النکاح،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یدلّ علیالمطاوعة، کـ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بأفعال المطاوعة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القبول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ما یدلّ علی المطاوعة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بالعکس إیجاب الزوج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فصحّته محلّ إشکال،بل عدمها لا یخلو من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إیجابه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لکنّه راجع إلی تقدیم القبول،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تقدیم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کانالأحوط فیه أیضاً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القبول بألفاظ المطاوعة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القبول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القبول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ولعلّهإیجاب من جانب الزوج، کما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القبول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 ذلک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فتقول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کان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نفسی،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ونحوهما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الأحوط</w:t>
      </w:r>
      <w:r>
        <w:rPr>
          <w:rStyle w:val="FootnoteAnchor"/>
          <w:rtl w:val="true"/>
        </w:rPr>
        <w:footnoteReference w:id="1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لأنّ حقیقة النکاح علی ما هو الظاهر اعتبار إضافة، وعلاقة بینالزوجین، مستلزمة لتسلّط الزوج علی الزوجة فی لوازم المزاوجة وآثارها، وإنکان لها علیه حقوق أیضاً، فیعتبر الإیجاب من قبل الزوجة باعتبار تسلّطها علینفسها بأن تجعلها تحت سلطنة الزوج بإنشاء زوجیّتها له، ولا سلطنة للزوج علیهاحتّی یجعلها تحت سلطنته بإنشاء زوجیّتها لنفسه أو زوجیّته لها، فلا محالة یعتبرمنه قبول ما أنشأت، والقول بأنّ المزاوجة علاقة بینهما من دون استلزام سَلطنةٍ منأحدهما علی الآخر، وإنّما أوجب علیهما الشارع ما أوجب لمصالح، فهو خلاف مایُتراءی من العرف والشرع، حیث قال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وخیّرهم فی إمساکهنّ بالمعروف، أو تسریحهنّ بالإحسان، وغیر ذلک من الأحکام ممّا لا مجال لذکره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إذا کانت المادّة التزویج دون النکاح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الإیجاب</w:t>
      </w:r>
      <w:r>
        <w:rPr>
          <w:rStyle w:val="FootnoteAnchor"/>
          <w:rtl w:val="true"/>
        </w:rPr>
        <w:footnoteReference w:id="1446"/>
      </w:r>
      <w:r>
        <w:rPr>
          <w:rFonts w:ascii="IRNazanin" w:hAnsi="IRNazanin" w:eastAsia="IRNazanin"/>
          <w:color w:val="111111"/>
          <w:sz w:val="28"/>
          <w:sz w:val="28"/>
          <w:szCs w:val="28"/>
          <w:rtl w:val="true"/>
          <w:lang w:bidi="fa-IR"/>
        </w:rPr>
        <w:t> من جانب</w:t>
      </w:r>
      <w:r>
        <w:rPr>
          <w:rStyle w:val="FootnoteAnchor"/>
          <w:rtl w:val="true"/>
        </w:rPr>
        <w:footnoteReference w:id="1447"/>
      </w:r>
      <w:r>
        <w:rPr>
          <w:rFonts w:ascii="IRNazanin" w:hAnsi="IRNazanin" w:eastAsia="IRNazanin"/>
          <w:color w:val="111111"/>
          <w:sz w:val="28"/>
          <w:sz w:val="28"/>
          <w:szCs w:val="28"/>
          <w:rtl w:val="true"/>
          <w:lang w:bidi="fa-IR"/>
        </w:rPr>
        <w:t> الزوجة، والقبول من جانب الزوج، وإن کان الأقوی</w:t>
      </w:r>
      <w:r>
        <w:rPr>
          <w:rStyle w:val="FootnoteAnchor"/>
          <w:rtl w:val="true"/>
        </w:rPr>
        <w:footnoteReference w:id="1448"/>
      </w:r>
      <w:r>
        <w:rPr>
          <w:rFonts w:ascii="IRNazanin" w:hAnsi="IRNazanin" w:eastAsia="IRNazanin"/>
          <w:color w:val="111111"/>
          <w:sz w:val="28"/>
          <w:sz w:val="28"/>
          <w:szCs w:val="28"/>
          <w:rtl w:val="true"/>
          <w:lang w:bidi="fa-IR"/>
        </w:rPr>
        <w:t> جواز العکس</w:t>
      </w:r>
      <w:r>
        <w:rPr>
          <w:rStyle w:val="FootnoteAnchor"/>
          <w:rtl w:val="true"/>
        </w:rPr>
        <w:footnoteReference w:id="1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الإیجاب من طرف الزوج غیر ظاهرة، بل الظاهر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الموافق للایات الکریمة،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أُنکِحَکَ إِحْدَی آبْنَتَیَّ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مفاد الإیجاب من الزوج إنشاء الزوجیّة بضمّ الزوجة إلیه وتبعیّتها له، کماإذا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نَکِحتُکِ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یدلّ علی تبعیّته هوللزوجة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یکون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یبعد</w:t>
      </w:r>
      <w:r>
        <w:rPr>
          <w:rStyle w:val="FootnoteAnchor"/>
          <w:rtl w:val="true"/>
        </w:rPr>
        <w:footnoteReference w:id="1450"/>
      </w:r>
      <w:r>
        <w:rPr>
          <w:rFonts w:ascii="IRNazanin" w:hAnsi="IRNazanin" w:eastAsia="IRNazanin"/>
          <w:color w:val="111111"/>
          <w:sz w:val="28"/>
          <w:sz w:val="28"/>
          <w:szCs w:val="28"/>
          <w:rtl w:val="true"/>
          <w:lang w:bidi="fa-IR"/>
        </w:rPr>
        <w:t xml:space="preserve">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 xml:space="preserve">. </w:t>
      </w:r>
      <w:bookmarkStart w:id="846" w:name="pg13286_154060"/>
    </w:p>
    <w:p>
      <w:pPr>
        <w:pStyle w:val="BookText"/>
        <w:rPr/>
      </w:pPr>
      <w:bookmarkEnd w:id="846"/>
      <w:r>
        <w:rPr>
          <w:rFonts w:ascii="IRNazanin" w:hAnsi="IRNazanin" w:eastAsia="IRNazanin"/>
          <w:color w:val="111111"/>
          <w:sz w:val="28"/>
          <w:sz w:val="28"/>
          <w:szCs w:val="28"/>
          <w:rtl w:val="true"/>
          <w:lang w:bidi="fa-IR"/>
        </w:rPr>
        <w:t xml:space="preserve">ولا یشترط ذکر المتعلّقات، فیجوز الاقتصار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لموکّلی بالمهر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1452"/>
      </w:r>
      <w:r>
        <w:rPr>
          <w:rFonts w:ascii="IRNazanin" w:hAnsi="IRNazanin" w:eastAsia="IRNazanin"/>
          <w:color w:val="111111"/>
          <w:sz w:val="28"/>
          <w:sz w:val="28"/>
          <w:szCs w:val="28"/>
          <w:rtl w:val="true"/>
          <w:lang w:bidi="fa-IR"/>
        </w:rPr>
        <w:t> کفایة</w:t>
      </w:r>
      <w:r>
        <w:rPr>
          <w:rStyle w:val="FootnoteAnchor"/>
          <w:rtl w:val="true"/>
        </w:rPr>
        <w:footnoteReference w:id="1453"/>
      </w:r>
      <w:r>
        <w:rPr>
          <w:rFonts w:ascii="IRNazanin" w:hAnsi="IRNazanin" w:eastAsia="IRNazanin"/>
          <w:color w:val="111111"/>
          <w:sz w:val="28"/>
          <w:sz w:val="28"/>
          <w:szCs w:val="28"/>
          <w:rtl w:val="true"/>
          <w:lang w:bidi="fa-IR"/>
        </w:rPr>
        <w:t> الإتیان</w:t>
      </w:r>
      <w:r>
        <w:rPr>
          <w:rStyle w:val="FootnoteAnchor"/>
          <w:rtl w:val="true"/>
        </w:rPr>
        <w:footnoteReference w:id="1454"/>
      </w:r>
      <w:r>
        <w:rPr>
          <w:rFonts w:ascii="IRNazanin" w:hAnsi="IRNazanin" w:eastAsia="IRNazanin"/>
          <w:color w:val="111111"/>
          <w:sz w:val="28"/>
          <w:sz w:val="28"/>
          <w:szCs w:val="28"/>
          <w:rtl w:val="true"/>
          <w:lang w:bidi="fa-IR"/>
        </w:rPr>
        <w:t xml:space="preserve">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فلانة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زوّجتکها،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عبدالهادی الشیرازی، الخمینی،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2139036_2322387425"/>
      <w:bookmarkStart w:id="848" w:name="_Toc311"/>
      <w:bookmarkEnd w:id="847"/>
      <w:r>
        <w:rPr>
          <w:rtl w:val="true"/>
        </w:rPr>
        <w:t>التعاقد بالإشارة وبالکتابة</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الأخرس یکفیه</w:t>
      </w:r>
      <w:r>
        <w:rPr>
          <w:rStyle w:val="FootnoteAnchor"/>
          <w:rtl w:val="true"/>
        </w:rPr>
        <w:footnoteReference w:id="1456"/>
      </w:r>
      <w:r>
        <w:rPr>
          <w:rFonts w:ascii="IRNazanin" w:hAnsi="IRNazanin" w:eastAsia="IRNazanin"/>
          <w:color w:val="111111"/>
          <w:sz w:val="28"/>
          <w:sz w:val="28"/>
          <w:szCs w:val="28"/>
          <w:rtl w:val="true"/>
          <w:lang w:bidi="fa-IR"/>
        </w:rPr>
        <w:t> الإیجاب والقبول بالإشارة</w:t>
      </w:r>
      <w:r>
        <w:rPr>
          <w:rStyle w:val="FootnoteAnchor"/>
          <w:rtl w:val="true"/>
        </w:rPr>
        <w:footnoteReference w:id="1457"/>
      </w:r>
      <w:r>
        <w:rPr>
          <w:rFonts w:ascii="IRNazanin" w:hAnsi="IRNazanin" w:eastAsia="IRNazanin"/>
          <w:color w:val="111111"/>
          <w:sz w:val="28"/>
          <w:sz w:val="28"/>
          <w:szCs w:val="28"/>
          <w:rtl w:val="true"/>
          <w:lang w:bidi="fa-IR"/>
        </w:rPr>
        <w:t> مع قصد الإنشاء، وإن تمکّن من التوکیل علی الأقوی</w:t>
      </w:r>
      <w:r>
        <w:rPr>
          <w:rStyle w:val="FootnoteAnchor"/>
          <w:rtl w:val="true"/>
        </w:rPr>
        <w:footnoteReference w:id="14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والأحوط التوکیل مع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bookmarkStart w:id="849" w:name="pg13286_154061"/>
    </w:p>
    <w:p>
      <w:pPr>
        <w:pStyle w:val="Heading4"/>
        <w:numPr>
          <w:ilvl w:val="3"/>
          <w:numId w:val="1"/>
        </w:numPr>
        <w:rPr/>
      </w:pPr>
      <w:bookmarkStart w:id="850" w:name="__RefHeading___Toc2139038_2322387425"/>
      <w:bookmarkStart w:id="851" w:name="_Toc312"/>
      <w:bookmarkEnd w:id="849"/>
      <w:bookmarkEnd w:id="850"/>
      <w:r>
        <w:rPr>
          <w:rtl w:val="true"/>
        </w:rPr>
        <w:t>التطابق بین الإیجاب والقبول فی ألفاظ المتعلّقات</w:t>
      </w:r>
      <w:bookmarkEnd w:id="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یکفی</w:t>
      </w:r>
      <w:r>
        <w:rPr>
          <w:rStyle w:val="FootnoteAnchor"/>
          <w:rtl w:val="true"/>
        </w:rPr>
        <w:footnoteReference w:id="14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المختار القادر علی التکلّم، وأمّا العاجز فعدم الکفایة بالنسبة إلیهمحلّ إشکال، بل لا یبعد تقدّمها علی الإشارة الکافیة فی الأخرس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والقبول الکتابة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التطابق</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التطابق فیما إذا لم یترادفا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المترادفات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الإیجاب والقبول فی ألفاظ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المتعلّقات،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بالعکس 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الأولی رعایة المطابقة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المهر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سائر المتعلّقات</w:t>
      </w:r>
      <w:r>
        <w:rPr>
          <w:rFonts w:eastAsia="IRNazanin" w:cs="IRNazanin"/>
          <w:color w:val="111111"/>
          <w:sz w:val="28"/>
          <w:szCs w:val="28"/>
          <w:rtl w:val="true"/>
          <w:lang w:bidi="fa-IR"/>
        </w:rPr>
        <w:t>.</w:t>
      </w:r>
      <w:bookmarkStart w:id="852" w:name="pg13286_154062"/>
    </w:p>
    <w:p>
      <w:pPr>
        <w:pStyle w:val="Heading4"/>
        <w:numPr>
          <w:ilvl w:val="3"/>
          <w:numId w:val="1"/>
        </w:numPr>
        <w:rPr/>
      </w:pPr>
      <w:bookmarkStart w:id="853" w:name="__RefHeading___Toc2139040_2322387425"/>
      <w:bookmarkStart w:id="854" w:name="_Toc313"/>
      <w:bookmarkEnd w:id="852"/>
      <w:bookmarkEnd w:id="853"/>
      <w:r>
        <w:rPr>
          <w:rtl w:val="true"/>
        </w:rPr>
        <w:t xml:space="preserve">الاکتفاء بلفظ </w:t>
      </w:r>
      <w:r>
        <w:rPr>
          <w:rtl w:val="true"/>
        </w:rPr>
        <w:t>«</w:t>
      </w:r>
      <w:r>
        <w:rPr>
          <w:rtl w:val="true"/>
        </w:rPr>
        <w:t>نعم</w:t>
      </w:r>
      <w:r>
        <w:rPr>
          <w:rtl w:val="true"/>
        </w:rPr>
        <w:t xml:space="preserve">» </w:t>
      </w:r>
      <w:r>
        <w:rPr>
          <w:rtl w:val="true"/>
        </w:rPr>
        <w:t>بعد الاستفهام</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علی الأقوی فی الإیجاب</w:t>
      </w:r>
      <w:r>
        <w:rPr>
          <w:rStyle w:val="FootnoteAnchor"/>
          <w:rtl w:val="true"/>
        </w:rPr>
        <w:footnoteReference w:id="1461"/>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الاستفهام،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زوَّجتَنی فلانة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الأحوط</w:t>
      </w:r>
      <w:r>
        <w:rPr>
          <w:rStyle w:val="FootnoteAnchor"/>
          <w:rtl w:val="true"/>
        </w:rPr>
        <w:footnoteReference w:id="1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عبدالهادی الشیرازی، عبدالله الشیرازی، الخمینی،المرعشی، محمّد رضا الگلپایگانی، السبزواری، 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الاکتفاء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یکون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2139042_2322387425"/>
      <w:bookmarkStart w:id="856" w:name="_Toc314"/>
      <w:bookmarkEnd w:id="855"/>
      <w:r>
        <w:rPr>
          <w:rtl w:val="true"/>
        </w:rPr>
        <w:t>اللحن فی الصیغة</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لَحنَ فی الصیغة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مغیّراً للمعنی لم یکفِ</w:t>
      </w:r>
      <w:r>
        <w:rPr>
          <w:rStyle w:val="FootnoteAnchor"/>
          <w:rtl w:val="true"/>
        </w:rPr>
        <w:footnoteReference w:id="1464"/>
      </w:r>
      <w:r>
        <w:rPr>
          <w:rFonts w:ascii="IRNazanin" w:hAnsi="IRNazanin" w:eastAsia="IRNazanin"/>
          <w:color w:val="111111"/>
          <w:sz w:val="28"/>
          <w:sz w:val="28"/>
          <w:szCs w:val="28"/>
          <w:rtl w:val="true"/>
          <w:lang w:bidi="fa-IR"/>
        </w:rPr>
        <w:t>،وإن لم یکن مغیّراً فلا بأس به إذا کان فی المتعلّقات، وإن کان فی نفس اللفظَین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جوّزتُکِ</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اللحن المغیّر للمعنی، ولا یکفی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اللغة الدارجة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المصریّة لیس مغیّراً للمعنی، وإلّا فکونه بحسباللغة الفُصحی مغیّراً للمعنی واضح، وکیف کان فلا یُترک الاحتیاط بعدم الاکتفاءبمثله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بمثل ذلک ممّا یکون اللحن مغیّراً للمعنی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 لأنّه لحن مغیّر للمعنی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اللحن المغیِّر للمعنی، ولا وجه للاکتفاء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w:t>
      </w:r>
      <w:bookmarkStart w:id="857" w:name="pg13286_154063"/>
    </w:p>
    <w:p>
      <w:pPr>
        <w:pStyle w:val="BookText"/>
        <w:rPr/>
      </w:pPr>
      <w:bookmarkEnd w:id="8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w:t>
      </w:r>
      <w:r>
        <w:rPr>
          <w:rFonts w:eastAsia="Amiri" w:cs="Amiri" w:ascii="Amiri" w:hAnsi="Amiri"/>
          <w:color w:val="111111"/>
          <w:sz w:val="28"/>
          <w:szCs w:val="28"/>
          <w:rtl w:val="true"/>
          <w:lang w:bidi="ar-SA"/>
        </w:rPr>
        <w:t>»</w:t>
      </w:r>
      <w:r>
        <w:rPr>
          <w:rStyle w:val="FootnoteAnchor"/>
          <w:rtl w:val="true"/>
        </w:rPr>
        <w:footnoteReference w:id="1466"/>
      </w:r>
      <w:r>
        <w:rPr>
          <w:rFonts w:ascii="IRNazanin" w:hAnsi="IRNazanin" w:eastAsia="IRNazanin"/>
          <w:color w:val="111111"/>
          <w:sz w:val="28"/>
          <w:sz w:val="28"/>
          <w:szCs w:val="28"/>
          <w:rtl w:val="true"/>
          <w:lang w:bidi="fa-IR"/>
        </w:rPr>
        <w:t>، فالأحوط</w:t>
      </w:r>
      <w:r>
        <w:rPr>
          <w:rStyle w:val="FootnoteAnchor"/>
          <w:rtl w:val="true"/>
        </w:rPr>
        <w:footnoteReference w:id="1467"/>
      </w:r>
      <w:r>
        <w:rPr>
          <w:rFonts w:ascii="IRNazanin" w:hAnsi="IRNazanin" w:eastAsia="IRNazanin"/>
          <w:color w:val="111111"/>
          <w:sz w:val="28"/>
          <w:sz w:val="28"/>
          <w:szCs w:val="28"/>
          <w:rtl w:val="true"/>
          <w:lang w:bidi="fa-IR"/>
        </w:rPr>
        <w:t> عدم الاکتفاء</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الاکتفاء إن کان بنحوٍ لا یضرّ بظهور الکلام عرفاً فی إرادةالنکاح، وعدم الاکتفاء إن لم یکن له ذلک، ولعلّ المثال المذکور فی المتنیختلف بحسب الأمکنة والأفراد،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أهالی سواد العراق فی هذاالزمان، محرَّفةً عن اللغة العربیّة الأصیلة، فلا بأس به إذا کان المباشر للعقدمن أهالی تلک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اللَحن فی الإعراب</w:t>
      </w:r>
      <w:r>
        <w:rPr>
          <w:rFonts w:eastAsia="IRNazanin" w:cs="IRNazanin"/>
          <w:color w:val="111111"/>
          <w:sz w:val="28"/>
          <w:szCs w:val="28"/>
          <w:rtl w:val="true"/>
          <w:lang w:bidi="fa-IR"/>
        </w:rPr>
        <w:t>.</w:t>
      </w:r>
    </w:p>
    <w:p>
      <w:pPr>
        <w:pStyle w:val="Heading4"/>
        <w:numPr>
          <w:ilvl w:val="3"/>
          <w:numId w:val="1"/>
        </w:numPr>
        <w:rPr/>
      </w:pPr>
      <w:bookmarkStart w:id="858" w:name="__RefHeading___Toc2139044_2322387425"/>
      <w:bookmarkStart w:id="859" w:name="_Toc315"/>
      <w:bookmarkEnd w:id="858"/>
      <w:r>
        <w:rPr>
          <w:rtl w:val="true"/>
        </w:rPr>
        <w:t>قصد الانشاء فی إجراء الصیغة</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قصد الإنشاء</w:t>
      </w:r>
      <w:r>
        <w:rPr>
          <w:rStyle w:val="FootnoteAnchor"/>
          <w:rtl w:val="true"/>
        </w:rPr>
        <w:footnoteReference w:id="1469"/>
      </w:r>
      <w:r>
        <w:rPr>
          <w:rFonts w:ascii="IRNazanin" w:hAnsi="IRNazanin" w:eastAsia="IRNazanin"/>
          <w:color w:val="111111"/>
          <w:sz w:val="28"/>
          <w:sz w:val="28"/>
          <w:szCs w:val="28"/>
          <w:rtl w:val="true"/>
          <w:lang w:bidi="fa-IR"/>
        </w:rPr>
        <w:t> فی إجراء الصیغة</w:t>
      </w:r>
      <w:r>
        <w:rPr>
          <w:rFonts w:eastAsia="IRNazanin" w:cs="IRNazanin"/>
          <w:color w:val="111111"/>
          <w:sz w:val="28"/>
          <w:szCs w:val="28"/>
          <w:rtl w:val="true"/>
          <w:lang w:bidi="fa-IR"/>
        </w:rPr>
        <w:t>.</w:t>
      </w:r>
    </w:p>
    <w:p>
      <w:pPr>
        <w:pStyle w:val="Heading4"/>
        <w:numPr>
          <w:ilvl w:val="3"/>
          <w:numId w:val="1"/>
        </w:numPr>
        <w:rPr/>
      </w:pPr>
      <w:bookmarkStart w:id="860" w:name="__RefHeading___Toc2139046_2322387425"/>
      <w:bookmarkStart w:id="861" w:name="_Toc316"/>
      <w:bookmarkEnd w:id="860"/>
      <w:r>
        <w:rPr>
          <w:rtl w:val="true"/>
        </w:rPr>
        <w:t>معرفة معنی الصیغة تفصیلاً</w:t>
      </w:r>
      <w:bookmarkEnd w:id="8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فی المُجرِی للصیغة أن یکون عارفاً بمعنی </w:t>
      </w:r>
      <w:bookmarkStart w:id="862" w:name="pg13286_154064"/>
    </w:p>
    <w:p>
      <w:pPr>
        <w:pStyle w:val="BookText"/>
        <w:rPr/>
      </w:pPr>
      <w:bookmarkEnd w:id="862"/>
      <w:r>
        <w:rPr>
          <w:rFonts w:ascii="IRNazanin" w:hAnsi="IRNazanin" w:eastAsia="IRNazanin"/>
          <w:color w:val="111111"/>
          <w:sz w:val="28"/>
          <w:sz w:val="28"/>
          <w:szCs w:val="28"/>
          <w:rtl w:val="true"/>
          <w:lang w:bidi="fa-IR"/>
        </w:rPr>
        <w:t>الصیغة تفصیلاً، بأن یکون ممیِّزاً للفعل والفاعل والمفعول، بل یکفی</w:t>
      </w:r>
      <w:r>
        <w:rPr>
          <w:rStyle w:val="FootnoteAnchor"/>
          <w:rtl w:val="true"/>
        </w:rPr>
        <w:footnoteReference w:id="1470"/>
      </w:r>
      <w:r>
        <w:rPr>
          <w:rFonts w:ascii="IRNazanin" w:hAnsi="IRNazanin" w:eastAsia="IRNazanin"/>
          <w:color w:val="111111"/>
          <w:sz w:val="28"/>
          <w:sz w:val="28"/>
          <w:szCs w:val="28"/>
          <w:rtl w:val="true"/>
          <w:lang w:bidi="fa-IR"/>
        </w:rPr>
        <w:t> علمه  إجمالاً</w:t>
      </w:r>
      <w:r>
        <w:rPr>
          <w:rStyle w:val="FootnoteAnchor"/>
          <w:rtl w:val="true"/>
        </w:rPr>
        <w:footnoteReference w:id="1471"/>
      </w:r>
      <w:r>
        <w:rPr>
          <w:rFonts w:ascii="IRNazanin" w:hAnsi="IRNazanin" w:eastAsia="IRNazanin"/>
          <w:color w:val="111111"/>
          <w:sz w:val="28"/>
          <w:sz w:val="28"/>
          <w:szCs w:val="28"/>
          <w:rtl w:val="true"/>
          <w:lang w:bidi="fa-IR"/>
        </w:rPr>
        <w:t> بأنّ معنی هذه الصیغة</w:t>
      </w:r>
      <w:r>
        <w:rPr>
          <w:rStyle w:val="FootnoteAnchor"/>
          <w:rtl w:val="true"/>
        </w:rPr>
        <w:footnoteReference w:id="1472"/>
      </w:r>
      <w:r>
        <w:rPr>
          <w:rFonts w:ascii="IRNazanin" w:hAnsi="IRNazanin" w:eastAsia="IRNazanin"/>
          <w:color w:val="111111"/>
          <w:sz w:val="28"/>
          <w:sz w:val="28"/>
          <w:szCs w:val="28"/>
          <w:rtl w:val="true"/>
          <w:lang w:bidi="fa-IR"/>
        </w:rPr>
        <w:t> إنشاء النکاح والتزویج، لکنّ الأحوط</w:t>
      </w:r>
      <w:r>
        <w:rPr>
          <w:rStyle w:val="FootnoteAnchor"/>
          <w:rtl w:val="true"/>
        </w:rPr>
        <w:footnoteReference w:id="1473"/>
      </w:r>
      <w:r>
        <w:rPr>
          <w:rFonts w:ascii="IRNazanin" w:hAnsi="IRNazanin" w:eastAsia="IRNazanin"/>
          <w:color w:val="111111"/>
          <w:sz w:val="28"/>
          <w:sz w:val="28"/>
          <w:szCs w:val="28"/>
          <w:rtl w:val="true"/>
          <w:lang w:bidi="fa-IR"/>
        </w:rPr>
        <w:t>العلم التفصیلیّ</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2139048_2322387425"/>
      <w:bookmarkStart w:id="864" w:name="_Toc317"/>
      <w:bookmarkEnd w:id="863"/>
      <w:r>
        <w:rPr>
          <w:rtl w:val="true"/>
        </w:rPr>
        <w:t>الموالاة بین الإیجاب والقبول</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الموالاة</w:t>
      </w:r>
      <w:r>
        <w:rPr>
          <w:rStyle w:val="FootnoteAnchor"/>
          <w:rtl w:val="true"/>
        </w:rPr>
        <w:footnoteReference w:id="1475"/>
      </w:r>
      <w:r>
        <w:rPr>
          <w:rFonts w:ascii="IRNazanin" w:hAnsi="IRNazanin" w:eastAsia="IRNazanin"/>
          <w:color w:val="111111"/>
          <w:sz w:val="28"/>
          <w:sz w:val="28"/>
          <w:szCs w:val="28"/>
          <w:rtl w:val="true"/>
          <w:lang w:bidi="fa-IR"/>
        </w:rPr>
        <w:t> بین الإیجاب والقبول</w:t>
      </w:r>
      <w:r>
        <w:rPr>
          <w:rStyle w:val="FootnoteAnchor"/>
          <w:rtl w:val="true"/>
        </w:rPr>
        <w:footnoteReference w:id="1476"/>
      </w:r>
      <w:r>
        <w:rPr>
          <w:rFonts w:ascii="IRNazanin" w:hAnsi="IRNazanin" w:eastAsia="IRNazanin"/>
          <w:color w:val="111111"/>
          <w:sz w:val="28"/>
          <w:sz w:val="28"/>
          <w:szCs w:val="28"/>
          <w:rtl w:val="true"/>
          <w:lang w:bidi="fa-IR"/>
        </w:rPr>
        <w:t>، وتکفی العرفیّة منها، فلا یضرّ الفصل فی الجملة بحیث یصدق معه أنّ هذا قبول لذلک الإیجاب، کما لا یضرّ الفصل بمتعلّقات العقد من القیود والشروط وغیرها وإن کثرت</w:t>
      </w:r>
      <w:r>
        <w:rPr>
          <w:rFonts w:eastAsia="IRNazanin" w:cs="IRNazanin"/>
          <w:color w:val="111111"/>
          <w:sz w:val="28"/>
          <w:szCs w:val="28"/>
          <w:rtl w:val="true"/>
          <w:lang w:bidi="fa-IR"/>
        </w:rPr>
        <w:t>.</w:t>
      </w:r>
    </w:p>
    <w:p>
      <w:pPr>
        <w:pStyle w:val="Heading4"/>
        <w:numPr>
          <w:ilvl w:val="3"/>
          <w:numId w:val="1"/>
        </w:numPr>
        <w:rPr/>
      </w:pPr>
      <w:bookmarkStart w:id="865" w:name="__RefHeading___Toc2139050_2322387425"/>
      <w:bookmarkStart w:id="866" w:name="_Toc318"/>
      <w:bookmarkEnd w:id="865"/>
      <w:r>
        <w:rPr>
          <w:rtl w:val="true"/>
        </w:rPr>
        <w:t>اتّحاد مجلس الإیجاب والقبول</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یشترط اتّحاد مجلس الإیجاب والقبول، فلو کان القابل غائباً عن المجلس فقال الموجِب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فلاناً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بلوغ الخبر إلیه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یصحّ</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علی اعتباره من حیث هو، وعدم الصحّة فی الفرض </w:t>
      </w:r>
      <w:bookmarkStart w:id="867" w:name="pg13286_154065"/>
    </w:p>
    <w:p>
      <w:pPr>
        <w:pStyle w:val="BookText"/>
        <w:rPr/>
      </w:pPr>
      <w:bookmarkEnd w:id="867"/>
      <w:r>
        <w:rPr>
          <w:rFonts w:ascii="IRNazanin" w:hAnsi="IRNazanin" w:eastAsia="IRNazanin"/>
          <w:color w:val="111111"/>
          <w:sz w:val="28"/>
          <w:sz w:val="28"/>
          <w:szCs w:val="28"/>
          <w:rtl w:val="true"/>
          <w:lang w:bidi="fa-IR"/>
        </w:rPr>
        <w:t>المذکور إنّما هو من جهة الفصل الطویل، أو عدم صدق المعاقدة والمعاهدة؛ لعدم التخاطب، وإلّا فلو فُرِض صدق المعاقدة وعدم الفصل مع تعدّد المجلس صحّ، کما إذا خاطبه وهو فی مکانٍ آخر لکنّه یسمع</w:t>
      </w:r>
      <w:r>
        <w:rPr>
          <w:rStyle w:val="FootnoteAnchor"/>
          <w:rtl w:val="true"/>
        </w:rPr>
        <w:footnoteReference w:id="1477"/>
      </w:r>
      <w:r>
        <w:rPr>
          <w:rFonts w:ascii="IRNazanin" w:hAnsi="IRNazanin" w:eastAsia="IRNazanin"/>
          <w:color w:val="111111"/>
          <w:sz w:val="28"/>
          <w:sz w:val="28"/>
          <w:szCs w:val="28"/>
          <w:rtl w:val="true"/>
          <w:lang w:bidi="fa-IR"/>
        </w:rPr>
        <w:t> صوته</w:t>
      </w:r>
      <w:r>
        <w:rPr>
          <w:rStyle w:val="FootnoteAnchor"/>
          <w:rtl w:val="true"/>
        </w:rPr>
        <w:footnoteReference w:id="1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بواسطة الأدوات الجدیدة الاختراع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الحال فی بعض وسائل المخابرات کالتلفون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ذلک بسبب آلات المخابرات الحدیثة، بشرط الجزم بکونه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بالآلات المستحدَثَة فی عصرنا علی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فصلٍ مضرٍّ فإنّه یصدق علیه المعاقدة</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2139052_2322387425"/>
      <w:bookmarkStart w:id="869" w:name="_Toc319"/>
      <w:bookmarkEnd w:id="868"/>
      <w:r>
        <w:rPr>
          <w:rtl w:val="true"/>
        </w:rPr>
        <w:t>التنجیز فی العقد</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ویشترط فیه التنجیز، کما فی سائر العقود، فلو علّقه علی شرطٍ أو مجیء زمانٍ بطل، نعم، لو علّقه علی أمرٍ محقّقٍ معلومٍ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هذا یوم الجمعة زوّجتُکَ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بأنّه یوم الجمعة صحّ، وأمّا مع عدم علمه</w:t>
      </w:r>
      <w:r>
        <w:rPr>
          <w:rStyle w:val="FootnoteAnchor"/>
          <w:rtl w:val="true"/>
        </w:rPr>
        <w:footnoteReference w:id="1479"/>
      </w:r>
      <w:r>
        <w:rPr>
          <w:rFonts w:ascii="IRNazanin" w:hAnsi="IRNazanin" w:eastAsia="IRNazanin"/>
          <w:color w:val="111111"/>
          <w:sz w:val="28"/>
          <w:sz w:val="28"/>
          <w:szCs w:val="28"/>
          <w:rtl w:val="true"/>
          <w:lang w:bidi="fa-IR"/>
        </w:rPr>
        <w:t> فمشکل</w:t>
      </w:r>
      <w:r>
        <w:rPr>
          <w:rStyle w:val="FootnoteAnchor"/>
          <w:rtl w:val="true"/>
        </w:rPr>
        <w:footnoteReference w:id="1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یصحّ قطعاً، بل فی الصورة الاُولی أیضاً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غیر صحیح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الفرض الأوّل، وأمّا الثانی فباطل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بطلانه، کما أنّ الصورة الاُولی لا تخلو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باطل، ومع علمه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الإشکال فی الفرض الأوّل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هذه الصورة أیضاً، ولا إجماع یشمل المورد قابلاً للاعتمادعلیه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0" w:name="pg13286_154066"/>
    </w:p>
    <w:p>
      <w:pPr>
        <w:pStyle w:val="Heading4"/>
        <w:numPr>
          <w:ilvl w:val="3"/>
          <w:numId w:val="1"/>
        </w:numPr>
        <w:rPr/>
      </w:pPr>
      <w:bookmarkStart w:id="871" w:name="__RefHeading___Toc2139054_2322387425"/>
      <w:bookmarkStart w:id="872" w:name="_Toc320"/>
      <w:bookmarkEnd w:id="870"/>
      <w:bookmarkEnd w:id="871"/>
      <w:r>
        <w:rPr>
          <w:rtl w:val="true"/>
        </w:rPr>
        <w:t>وقوع العقد علی وجه یخالف الاحتیاط</w:t>
      </w:r>
      <w:bookmarkEnd w:id="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أوقَعا العقدَ علی وجهٍ یخالف الاحتیاط اللازم مراعاته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أرادا البقاء فاللازم الإعادة علی الوجه الصحیح، وإن أرادا الفراق فالأحوط</w:t>
      </w:r>
      <w:r>
        <w:rPr>
          <w:rStyle w:val="FootnoteAnchor"/>
          <w:rtl w:val="true"/>
        </w:rPr>
        <w:footnoteReference w:id="1481"/>
      </w:r>
      <w:r>
        <w:rPr>
          <w:rFonts w:ascii="IRNazanin" w:hAnsi="IRNazanin" w:eastAsia="IRNazanin"/>
          <w:color w:val="111111"/>
          <w:sz w:val="28"/>
          <w:sz w:val="28"/>
          <w:szCs w:val="28"/>
          <w:rtl w:val="true"/>
          <w:lang w:bidi="fa-IR"/>
        </w:rPr>
        <w:t> الطلاق</w:t>
      </w:r>
      <w:r>
        <w:rPr>
          <w:rStyle w:val="FootnoteAnchor"/>
          <w:rtl w:val="true"/>
        </w:rPr>
        <w:footnoteReference w:id="1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محیصَ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وظیفة المجتهد، ویُفتی نتیجته للمقلِّد الشاکّ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إجراء الأصل فی الشبهات الحکمیّة من وظیفة المجتهد، ولو کانالمجتهد جازماً بجریان الأصل، أو أمکنه ذلک لَما حکم بالاحتیاط اللازم، فلامحیصَ عن الطلاق لو أرادا الفراق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التمسّک بأصالة عدم التأثیر کالتمسّک بمطلقات الصحّة، ینافی الحکم بالاحتیاطالوجوبیّ؛ إذ مع جریان الإطلاق أو الرجوع إلی أصالة الفساد لا معنی للاحتیاطالوجوبیّ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للمجتهد بشروطه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بأصالة</w:t>
      </w:r>
      <w:r>
        <w:rPr>
          <w:rStyle w:val="FootnoteAnchor"/>
          <w:rtl w:val="true"/>
        </w:rPr>
        <w:footnoteReference w:id="1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یمکن للفقیه التمسّک بأصالة عدم التأثیر فی الزوجیّة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یَرِدُ علی التمسّک بهذا الأصل ـ مضافاً إلی کونه موجباً للخروج عن الفرض ـ أنّإجراءه فی الشبهات الحکمیّة من وظائف المجتهد، مع أنّ جریان الأصل فی الأعدام الأزلیّة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التأثیر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الأصل ممّا لا أصل له، نعم، یجری بعض اُصول اُخر، لکنّ المُجرِی هوالمجتهد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والمجرِی لها هو المجتهد، وجریانها متوقّف علی عدم جریان أصالة الصحّة فی الشبهات الحکمیّة، وإلّا فهی حاکمة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تجرِ أصالة الصحّة فی الشبهات الحُکمیّة، وعلی کلّ حالٍ فإجراء مثل هذه الاُصول من وظائف المجتهد المتفحّص الجازم بمجراها دون المتردّد، فکیفبالعامّیّ؟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3" w:name="pg13286_154068"/>
    </w:p>
    <w:p>
      <w:pPr>
        <w:pStyle w:val="BookText"/>
        <w:rPr/>
      </w:pPr>
      <w:bookmarkEnd w:id="873"/>
      <w:r>
        <w:rPr>
          <w:rFonts w:ascii="Amiri" w:hAnsi="Amiri" w:eastAsia="Amiri" w:cs="Amiri"/>
          <w:color w:val="111111"/>
          <w:sz w:val="28"/>
          <w:sz w:val="28"/>
          <w:szCs w:val="28"/>
          <w:rtl w:val="true"/>
          <w:lang w:bidi="ar-SA"/>
        </w:rPr>
        <w:t>فی الزوجیّة</w:t>
      </w:r>
      <w:r>
        <w:rPr>
          <w:rStyle w:val="FootnoteAnchor"/>
          <w:rtl w:val="true"/>
        </w:rPr>
        <w:footnoteReference w:id="1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 التمسّک بالأصل المذکور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غیر واجب المراعاة، وهوخلاف المفروض فی المسألة، أمّا فی فرض المسألة فلابدّ من الطلاق الاحتیاطیّ إذا أراد الفراق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علی وجهٍ یخالف الاحتیاط الاستحبابیّ فمع إرادة البقاء الأحوط الاستحبابیّ إعادته علی الوجه المعلوم صحّته، ومع إرادة الفراق فاللازم الطلاق</w:t>
      </w:r>
      <w:r>
        <w:rPr>
          <w:rFonts w:eastAsia="IRNazanin" w:cs="IRNazanin"/>
          <w:color w:val="111111"/>
          <w:sz w:val="28"/>
          <w:szCs w:val="28"/>
          <w:rtl w:val="true"/>
          <w:lang w:bidi="fa-IR"/>
        </w:rPr>
        <w:t>.</w:t>
      </w:r>
    </w:p>
    <w:p>
      <w:pPr>
        <w:pStyle w:val="Heading4"/>
        <w:numPr>
          <w:ilvl w:val="3"/>
          <w:numId w:val="1"/>
        </w:numPr>
        <w:rPr/>
      </w:pPr>
      <w:bookmarkStart w:id="874" w:name="__RefHeading___Toc2139056_2322387425"/>
      <w:bookmarkStart w:id="875" w:name="_Toc321"/>
      <w:bookmarkEnd w:id="874"/>
      <w:r>
        <w:rPr>
          <w:rtl w:val="true"/>
        </w:rPr>
        <w:t>شرط کمال العاقد</w:t>
      </w:r>
      <w:bookmarkEnd w:id="8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العاقد المُجرِی للصِیغة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 سواء کان عاقداً لنفسه، أم لغیره، وکالةً</w:t>
      </w:r>
      <w:r>
        <w:rPr>
          <w:rStyle w:val="FootnoteAnchor"/>
          <w:rtl w:val="true"/>
        </w:rPr>
        <w:footnoteReference w:id="1485"/>
      </w:r>
      <w:r>
        <w:rPr>
          <w:rFonts w:ascii="IRNazanin" w:hAnsi="IRNazanin" w:eastAsia="IRNazanin"/>
          <w:color w:val="111111"/>
          <w:sz w:val="28"/>
          <w:sz w:val="28"/>
          <w:szCs w:val="28"/>
          <w:rtl w:val="true"/>
          <w:lang w:bidi="fa-IR"/>
        </w:rPr>
        <w:t> أو ولایةً أو فضولاً، فلا اعتبار</w:t>
      </w:r>
      <w:r>
        <w:rPr>
          <w:rStyle w:val="FootnoteAnchor"/>
          <w:rtl w:val="true"/>
        </w:rPr>
        <w:footnoteReference w:id="1486"/>
      </w:r>
      <w:r>
        <w:rPr>
          <w:rFonts w:ascii="IRNazanin" w:hAnsi="IRNazanin" w:eastAsia="IRNazanin"/>
          <w:color w:val="111111"/>
          <w:sz w:val="28"/>
          <w:sz w:val="28"/>
          <w:szCs w:val="28"/>
          <w:rtl w:val="true"/>
          <w:lang w:bidi="fa-IR"/>
        </w:rPr>
        <w:t> بعقد الصبیِّ، ولا المجنون ولو کان أدواریّاً حال جنونه، وإن أجاز ولیّه أو أجاز هو بعد بلوغه أو إفاقته علی</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بل لا خلاف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لکنّه فی الصبیّ الوکیل عن الغیر محلّ تأمّل</w:t>
      </w:r>
      <w:r>
        <w:rPr>
          <w:rStyle w:val="FootnoteAnchor"/>
          <w:rtl w:val="true"/>
        </w:rPr>
        <w:footnoteReference w:id="1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تأمّل فی عدم الاعتبار به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فیه مراعاة الاحتیاط وکذا فی عقده لنفسه بإذن الولیّ أو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نفوذ عقد الصبیّ إذا کان بإذن الولیّ، أو کان وکیلاً فی إجراء الصیغةخاصّة، وبطلانه إذا کان مستقلّاً فی التصرّف، وبه یظهر الحال فی ما قبله وما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الاعتداد بعقده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الخاصّ دالّ علی أنّ عمده وخطأه واحد، فلا أثر لفعله علی الإطلاق، ولایصحّ عقده بإجازته بعد البلوغ، ولا بإجازة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الدلیل هو الإجماع، بل الضرورة، کما ادّعاها صاحب الجواهر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علیکون الصبیّ مسلوب العبارة؛ وعلیه لا فرق بین هذه الصورة وما إذا کان لنفسه بإذنالولیّ أو إجازته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سلب عبارته</w:t>
      </w:r>
      <w:r>
        <w:rPr>
          <w:rStyle w:val="FootnoteAnchor"/>
          <w:rtl w:val="true"/>
        </w:rPr>
        <w:footnoteReference w:id="1488"/>
      </w:r>
      <w:r>
        <w:rPr>
          <w:rFonts w:ascii="IRNazanin" w:hAnsi="IRNazanin" w:eastAsia="IRNazanin"/>
          <w:color w:val="111111"/>
          <w:sz w:val="28"/>
          <w:sz w:val="28"/>
          <w:szCs w:val="28"/>
          <w:rtl w:val="true"/>
          <w:lang w:bidi="fa-IR"/>
        </w:rPr>
        <w:t> إذا کان عارفاً بالعربیّة وعلم قصده</w:t>
      </w:r>
      <w:r>
        <w:rPr>
          <w:rStyle w:val="FootnoteAnchor"/>
          <w:rtl w:val="true"/>
        </w:rPr>
        <w:footnoteReference w:id="1489"/>
      </w:r>
      <w:r>
        <w:rPr>
          <w:rFonts w:ascii="Amiri" w:hAnsi="Amiri" w:eastAsia="Amiri" w:cs="Amiri"/>
          <w:color w:val="111111"/>
          <w:sz w:val="28"/>
          <w:sz w:val="28"/>
          <w:szCs w:val="28"/>
          <w:rtl w:val="true"/>
          <w:lang w:bidi="ar-SA"/>
        </w:rPr>
        <w:t> حقیقةً</w:t>
      </w:r>
      <w:r>
        <w:rPr>
          <w:rStyle w:val="FootnoteAnchor"/>
          <w:rtl w:val="true"/>
        </w:rPr>
        <w:footnoteReference w:id="1490"/>
      </w:r>
      <w:r>
        <w:rPr>
          <w:rFonts w:ascii="IRNazanin" w:hAnsi="IRNazanin" w:eastAsia="IRNazanin"/>
          <w:color w:val="111111"/>
          <w:sz w:val="28"/>
          <w:sz w:val="28"/>
          <w:szCs w:val="28"/>
          <w:rtl w:val="true"/>
          <w:lang w:bidi="fa-IR"/>
        </w:rPr>
        <w:t>، وحدیث</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Style w:val="FootnoteAnchor"/>
          <w:rtl w:val="true"/>
        </w:rPr>
        <w:footnoteReference w:id="1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منصرف عن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 لنفسه بإذن الولیِّ</w:t>
      </w:r>
      <w:r>
        <w:rPr>
          <w:rStyle w:val="FootnoteAnchor"/>
          <w:rtl w:val="true"/>
        </w:rPr>
        <w:footnoteReference w:id="1493"/>
      </w:r>
      <w:r>
        <w:rPr>
          <w:rFonts w:ascii="IRNazanin" w:hAnsi="IRNazanin" w:eastAsia="IRNazanin"/>
          <w:color w:val="111111"/>
          <w:sz w:val="28"/>
          <w:sz w:val="28"/>
          <w:szCs w:val="28"/>
          <w:rtl w:val="true"/>
          <w:lang w:bidi="fa-IR"/>
        </w:rPr>
        <w:t>، أو إجازته، أو إجازته هو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اعتبار بعقد السکران</w:t>
      </w:r>
      <w:r>
        <w:rPr>
          <w:rStyle w:val="FootnoteAnchor"/>
          <w:rtl w:val="true"/>
        </w:rPr>
        <w:footnoteReference w:id="1494"/>
      </w:r>
      <w:r>
        <w:rPr>
          <w:rFonts w:ascii="IRNazanin" w:hAnsi="IRNazanin" w:eastAsia="IRNazanin"/>
          <w:color w:val="111111"/>
          <w:sz w:val="28"/>
          <w:sz w:val="28"/>
          <w:szCs w:val="28"/>
          <w:rtl w:val="true"/>
          <w:lang w:bidi="fa-IR"/>
        </w:rPr>
        <w:t>، فلا یصحّ ولو مع الإجازة بعد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عقد السَکرَی إذا أجازت بعد الإفاقة ففیه قولان</w:t>
      </w:r>
      <w:r>
        <w:rPr>
          <w:rStyle w:val="FootnoteAnchor"/>
          <w:rtl w:val="true"/>
        </w:rPr>
        <w:footnoteReference w:id="1495"/>
      </w:r>
      <w:r>
        <w:rPr>
          <w:rFonts w:ascii="IRNazanin" w:hAnsi="IRNazanin" w:eastAsia="IRNazanin"/>
          <w:color w:val="111111"/>
          <w:sz w:val="28"/>
          <w:sz w:val="28"/>
          <w:szCs w:val="28"/>
          <w:rtl w:val="true"/>
          <w:lang w:bidi="fa-IR"/>
        </w:rPr>
        <w:t>، فالمشهور</w:t>
      </w:r>
      <w:r>
        <w:rPr>
          <w:rStyle w:val="FootnoteAnchor"/>
          <w:rtl w:val="true"/>
        </w:rPr>
        <w:footnoteReference w:id="1496"/>
      </w:r>
      <w:r>
        <w:rPr>
          <w:rFonts w:ascii="Amiri" w:hAnsi="Amiri" w:eastAsia="Amiri" w:cs="Amiri"/>
          <w:color w:val="111111"/>
          <w:sz w:val="28"/>
          <w:sz w:val="28"/>
          <w:szCs w:val="28"/>
          <w:rtl w:val="true"/>
          <w:lang w:bidi="ar-SA"/>
        </w:rPr>
        <w:t>أنّه کذلک</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6" w:name="pg13286_154071"/>
    </w:p>
    <w:p>
      <w:pPr>
        <w:pStyle w:val="BookText"/>
        <w:rPr/>
      </w:pPr>
      <w:bookmarkEnd w:id="876"/>
      <w:r>
        <w:rPr>
          <w:rFonts w:ascii="Amiri" w:hAnsi="Amiri" w:eastAsia="Amiri" w:cs="Amiri"/>
          <w:color w:val="111111"/>
          <w:sz w:val="28"/>
          <w:sz w:val="28"/>
          <w:szCs w:val="28"/>
          <w:rtl w:val="true"/>
          <w:lang w:bidi="ar-SA"/>
        </w:rPr>
        <w:t>وذهب جماعة</w:t>
      </w:r>
      <w:r>
        <w:rPr>
          <w:rStyle w:val="FootnoteAnchor"/>
          <w:rtl w:val="true"/>
        </w:rPr>
        <w:footnoteReference w:id="1498"/>
      </w:r>
      <w:r>
        <w:rPr>
          <w:rFonts w:ascii="IRNazanin" w:hAnsi="IRNazanin" w:eastAsia="IRNazanin"/>
          <w:color w:val="111111"/>
          <w:sz w:val="28"/>
          <w:sz w:val="28"/>
          <w:szCs w:val="28"/>
          <w:rtl w:val="true"/>
          <w:lang w:bidi="fa-IR"/>
        </w:rPr>
        <w:t>إلی الصحّة؛ مستندین إلی صحیحة ابن بزیع</w:t>
      </w:r>
      <w:r>
        <w:rPr>
          <w:rStyle w:val="FootnoteAnchor"/>
          <w:rtl w:val="true"/>
        </w:rPr>
        <w:footnoteReference w:id="1499"/>
      </w:r>
      <w:r>
        <w:rPr>
          <w:rFonts w:ascii="IRNazanin" w:hAnsi="IRNazanin" w:eastAsia="IRNazanin"/>
          <w:color w:val="111111"/>
          <w:sz w:val="28"/>
          <w:sz w:val="28"/>
          <w:szCs w:val="28"/>
          <w:rtl w:val="true"/>
          <w:lang w:bidi="fa-IR"/>
        </w:rPr>
        <w:t>، ولا بأس</w:t>
      </w:r>
      <w:r>
        <w:rPr>
          <w:rStyle w:val="FootnoteAnchor"/>
          <w:rtl w:val="true"/>
        </w:rPr>
        <w:footnoteReference w:id="1500"/>
      </w:r>
      <w:r>
        <w:rPr>
          <w:rFonts w:ascii="IRNazanin" w:hAnsi="IRNazanin" w:eastAsia="IRNazanin"/>
          <w:color w:val="111111"/>
          <w:sz w:val="28"/>
          <w:sz w:val="28"/>
          <w:szCs w:val="28"/>
          <w:rtl w:val="true"/>
          <w:lang w:bidi="fa-IR"/>
        </w:rPr>
        <w:t> بالعمل بها</w:t>
      </w:r>
      <w:r>
        <w:rPr>
          <w:rStyle w:val="FootnoteAnchor"/>
          <w:rtl w:val="true"/>
        </w:rPr>
        <w:footnoteReference w:id="1501"/>
      </w:r>
      <w:r>
        <w:rPr>
          <w:rFonts w:ascii="IRNazanin" w:hAnsi="IRNazanin" w:eastAsia="IRNazanin"/>
          <w:color w:val="111111"/>
          <w:sz w:val="28"/>
          <w:sz w:val="28"/>
          <w:szCs w:val="28"/>
          <w:rtl w:val="true"/>
          <w:lang w:bidi="fa-IR"/>
        </w:rPr>
        <w:t> وإن کان الأحوط خلافه؛ لإمکان حملها</w:t>
      </w:r>
      <w:r>
        <w:rPr>
          <w:rStyle w:val="FootnoteAnchor"/>
          <w:rtl w:val="true"/>
        </w:rPr>
        <w:footnoteReference w:id="1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بعید جدّاً، والعمدة دعوی إعراض المشهور، وهی غیر ثابتةٍ؛ لعمل جماعةٍ من المتقدِّمِین بها علی أنّ کبری هذه الدعوی غیر 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للحمل المذکور؛ فإنّ الحدیث تامّ سنداً ودلالةً، فلابدّ من العمل علی طبقه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الظاهر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إذا  لم یکن سُکرها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لا التفات لها إلی ما تقول، مع أنّ المشهور لم یعملوا بها وحملوها علی محامل، فلا یُترک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p>
    <w:p>
      <w:pPr>
        <w:pStyle w:val="Heading4"/>
        <w:numPr>
          <w:ilvl w:val="3"/>
          <w:numId w:val="1"/>
        </w:numPr>
        <w:rPr/>
      </w:pPr>
      <w:bookmarkStart w:id="877" w:name="__RefHeading___Toc2139058_2322387425"/>
      <w:bookmarkStart w:id="878" w:name="_Toc322"/>
      <w:bookmarkEnd w:id="877"/>
      <w:r>
        <w:rPr>
          <w:rtl w:val="true"/>
        </w:rPr>
        <w:t>وکالة السفیه عن الغیر فی العقد</w:t>
      </w:r>
      <w:bookmarkEnd w:id="8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بعقد السَفِیه إذا کان وکیلاً عن الغیر فی إجراء</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9" w:name="pg13286_154072"/>
    </w:p>
    <w:p>
      <w:pPr>
        <w:pStyle w:val="BookText"/>
        <w:rPr/>
      </w:pPr>
      <w:bookmarkEnd w:id="879"/>
      <w:r>
        <w:rPr>
          <w:rFonts w:ascii="IRNazanin" w:hAnsi="IRNazanin" w:eastAsia="IRNazanin"/>
          <w:color w:val="111111"/>
          <w:sz w:val="28"/>
          <w:sz w:val="28"/>
          <w:szCs w:val="28"/>
          <w:rtl w:val="true"/>
          <w:lang w:bidi="fa-IR"/>
        </w:rPr>
        <w:t>الصیغة، أو أصیلاً مع إجازة</w:t>
      </w:r>
      <w:r>
        <w:rPr>
          <w:rStyle w:val="FootnoteAnchor"/>
          <w:rtl w:val="true"/>
        </w:rPr>
        <w:footnoteReference w:id="1503"/>
      </w:r>
      <w:r>
        <w:rPr>
          <w:rFonts w:ascii="IRNazanin" w:hAnsi="IRNazanin" w:eastAsia="IRNazanin"/>
          <w:color w:val="111111"/>
          <w:sz w:val="28"/>
          <w:sz w:val="28"/>
          <w:szCs w:val="28"/>
          <w:rtl w:val="true"/>
          <w:lang w:bidi="fa-IR"/>
        </w:rPr>
        <w:t>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بأس</w:t>
      </w:r>
      <w:r>
        <w:rPr>
          <w:rStyle w:val="FootnoteAnchor"/>
          <w:rtl w:val="true"/>
        </w:rPr>
        <w:footnoteReference w:id="1504"/>
      </w:r>
      <w:r>
        <w:rPr>
          <w:rFonts w:ascii="IRNazanin" w:hAnsi="IRNazanin" w:eastAsia="IRNazanin"/>
          <w:color w:val="111111"/>
          <w:sz w:val="28"/>
          <w:sz w:val="28"/>
          <w:szCs w:val="28"/>
          <w:rtl w:val="true"/>
          <w:lang w:bidi="fa-IR"/>
        </w:rPr>
        <w:t> بعقد المُکرَه علی إجراء الصیغة للغیر، أو لنفسه إذا أجاز</w:t>
      </w:r>
      <w:r>
        <w:rPr>
          <w:rStyle w:val="FootnoteAnchor"/>
          <w:rtl w:val="true"/>
        </w:rPr>
        <w:footnoteReference w:id="1505"/>
      </w:r>
      <w:r>
        <w:rPr>
          <w:rFonts w:ascii="IRNazanin" w:hAnsi="IRNazanin" w:eastAsia="IRNazanin"/>
          <w:color w:val="111111"/>
          <w:sz w:val="28"/>
          <w:sz w:val="28"/>
          <w:szCs w:val="28"/>
          <w:rtl w:val="true"/>
          <w:lang w:bidi="fa-IR"/>
        </w:rPr>
        <w:t> بعد ذلک</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2139060_2322387425"/>
      <w:bookmarkStart w:id="881" w:name="_Toc323"/>
      <w:bookmarkEnd w:id="880"/>
      <w:r>
        <w:rPr>
          <w:rtl w:val="true"/>
        </w:rPr>
        <w:t>شرط الذکورة فی العاقد</w:t>
      </w:r>
      <w:bookmarkEnd w:id="8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تُشترط الذکورة فی العاقد، فیجوز للمرأة الوکالة عن الغیر فی إجراء الصیغة، کما یجوز إجراوها لنفسها</w:t>
      </w:r>
      <w:r>
        <w:rPr>
          <w:rFonts w:eastAsia="IRNazanin" w:cs="IRNazanin"/>
          <w:color w:val="111111"/>
          <w:sz w:val="28"/>
          <w:szCs w:val="28"/>
          <w:rtl w:val="true"/>
          <w:lang w:bidi="fa-IR"/>
        </w:rPr>
        <w:t>.</w:t>
      </w:r>
    </w:p>
    <w:p>
      <w:pPr>
        <w:pStyle w:val="Heading4"/>
        <w:numPr>
          <w:ilvl w:val="3"/>
          <w:numId w:val="1"/>
        </w:numPr>
        <w:rPr/>
      </w:pPr>
      <w:bookmarkStart w:id="882" w:name="__RefHeading___Toc2139062_2322387425"/>
      <w:bookmarkStart w:id="883" w:name="_Toc324"/>
      <w:bookmarkEnd w:id="882"/>
      <w:r>
        <w:rPr>
          <w:rtl w:val="true"/>
        </w:rPr>
        <w:t>شرط بقاء أهلیّة المتعاقدین إلی تمام العقد</w:t>
      </w:r>
      <w:bookmarkEnd w:id="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بقاء المتعاقدَین علی الأهلیّة إلی تمام العقد،</w:t>
      </w:r>
    </w:p>
    <w:p>
      <w:pPr>
        <w:pStyle w:val="BookText"/>
        <w:rPr/>
      </w:pPr>
      <w:r>
        <w:rPr>
          <w:rFonts w:ascii="Amiri" w:hAnsi="Amiri" w:eastAsia="Amiri" w:cs="Amiri"/>
          <w:color w:val="111111"/>
          <w:sz w:val="28"/>
          <w:sz w:val="28"/>
          <w:szCs w:val="28"/>
          <w:rtl w:val="true"/>
          <w:lang w:bidi="ar-SA"/>
        </w:rPr>
        <w:t>فلو أوجب ثمّ جُنَّ أو اُغمِیَ علیه قبل مجیء القبول لم یصحّ</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أوجب ثمّ نام، بل أو غفل عن العقد بالمرّة، وکذا الحال فی سائر العقود، والوجه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صدق المعاقدة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والمعاهدة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مضافاً إلی دعوی الإجماع وانصراف الأدلّة</w:t>
      </w:r>
      <w:r>
        <w:rPr>
          <w:rFonts w:eastAsia="IRNazanin" w:cs="IRNazanin"/>
          <w:color w:val="111111"/>
          <w:sz w:val="28"/>
          <w:szCs w:val="28"/>
          <w:rtl w:val="true"/>
          <w:lang w:bidi="fa-IR"/>
        </w:rPr>
        <w:t>.</w:t>
      </w:r>
    </w:p>
    <w:p>
      <w:pPr>
        <w:pStyle w:val="Heading4"/>
        <w:numPr>
          <w:ilvl w:val="3"/>
          <w:numId w:val="1"/>
        </w:numPr>
        <w:rPr/>
      </w:pPr>
      <w:bookmarkStart w:id="884" w:name="__RefHeading___Toc2139064_2322387425"/>
      <w:bookmarkStart w:id="885" w:name="_Toc325"/>
      <w:bookmarkEnd w:id="884"/>
      <w:r>
        <w:rPr>
          <w:rtl w:val="true"/>
        </w:rPr>
        <w:t>شرط تعیین الزوج والزوجة</w:t>
      </w:r>
      <w:bookmarkEnd w:id="88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تعیین الزوج والزوجة علی وجهٍ یمتاز کلّ منهما عن غیره بالاسم، أو الوصف الموجب له، أو الإشارة،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زوّجتُکَ </w:t>
      </w:r>
    </w:p>
    <w:p>
      <w:pPr>
        <w:pStyle w:val="BookText"/>
        <w:rPr/>
      </w:pPr>
      <w:r>
        <w:rPr>
          <w:rFonts w:ascii="IRNazanin" w:hAnsi="IRNazanin" w:eastAsia="IRNazanin"/>
          <w:color w:val="111111"/>
          <w:sz w:val="28"/>
          <w:sz w:val="28"/>
          <w:szCs w:val="28"/>
          <w:rtl w:val="true"/>
          <w:lang w:bidi="fa-IR"/>
        </w:rPr>
        <w:t>إحدی بناتی</w:t>
      </w:r>
      <w:r>
        <w:rPr>
          <w:rFonts w:eastAsia="IRNazanin" w:cs="IRNazanin"/>
          <w:color w:val="111111"/>
          <w:sz w:val="28"/>
          <w:szCs w:val="28"/>
          <w:rtl w:val="true"/>
          <w:lang w:bidi="fa-IR"/>
        </w:rPr>
        <w:t>»</w:t>
      </w:r>
      <w:r>
        <w:rPr>
          <w:rStyle w:val="FootnoteAnchor"/>
          <w:rtl w:val="true"/>
        </w:rPr>
        <w:footnoteReference w:id="1508"/>
      </w:r>
      <w:r>
        <w:rPr>
          <w:rFonts w:ascii="IRNazanin" w:hAnsi="IRNazanin" w:eastAsia="IRNazanin"/>
          <w:color w:val="111111"/>
          <w:sz w:val="28"/>
          <w:sz w:val="28"/>
          <w:szCs w:val="28"/>
          <w:rtl w:val="true"/>
          <w:lang w:bidi="fa-IR"/>
        </w:rPr>
        <w:t>، بطل، 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بنتی أحد ابنیک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عیّن</w:t>
      </w:r>
      <w:r>
        <w:rPr>
          <w:rStyle w:val="FootnoteAnchor"/>
          <w:rtl w:val="true"/>
        </w:rPr>
        <w:footnoteReference w:id="1509"/>
      </w:r>
      <w:r>
        <w:rPr>
          <w:rFonts w:ascii="Amiri" w:hAnsi="Amiri" w:eastAsia="Amiri" w:cs="Amiri"/>
          <w:color w:val="111111"/>
          <w:sz w:val="28"/>
          <w:sz w:val="28"/>
          <w:szCs w:val="28"/>
          <w:rtl w:val="true"/>
          <w:lang w:bidi="ar-SA"/>
        </w:rPr>
        <w:t> کلّ منهما غیر ما عیّنه الآخر، بل وکذا لو عیّنا معیّناً من غیر</w:t>
      </w:r>
      <w:r>
        <w:rPr>
          <w:rStyle w:val="FootnoteAnchor"/>
          <w:rtl w:val="true"/>
        </w:rPr>
        <w:footnoteReference w:id="1510"/>
      </w:r>
      <w:r>
        <w:rPr>
          <w:rFonts w:ascii="IRNazanin" w:hAnsi="IRNazanin" w:eastAsia="IRNazanin"/>
          <w:color w:val="111111"/>
          <w:sz w:val="28"/>
          <w:sz w:val="28"/>
          <w:szCs w:val="28"/>
          <w:rtl w:val="true"/>
          <w:lang w:bidi="fa-IR"/>
        </w:rPr>
        <w:t> معاهدةٍ بینهما، بل من باب الاتّفاق صار ما قصده أحدهما عین ما  قصده الآخر، وأمّا لو کان ذلک</w:t>
      </w:r>
      <w:r>
        <w:rPr>
          <w:rStyle w:val="FootnoteAnchor"/>
          <w:rtl w:val="true"/>
        </w:rPr>
        <w:footnoteReference w:id="1511"/>
      </w:r>
      <w:r>
        <w:rPr>
          <w:rFonts w:ascii="Amiri" w:hAnsi="Amiri" w:eastAsia="Amiri" w:cs="Amiri"/>
          <w:color w:val="111111"/>
          <w:sz w:val="28"/>
          <w:sz w:val="28"/>
          <w:szCs w:val="28"/>
          <w:rtl w:val="true"/>
          <w:lang w:bidi="ar-SA"/>
        </w:rPr>
        <w:t> مع المعاهدة</w:t>
      </w:r>
      <w:r>
        <w:rPr>
          <w:rStyle w:val="FootnoteAnchor"/>
          <w:rtl w:val="true"/>
        </w:rPr>
        <w:footnoteReference w:id="1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الزوجان معلومَین عندهما، من غیر أن یذکرا فی العقد إلّا بعباراتٍمشترکة،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وبِنتی، وابنَک وبِنتَک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فی اللفظ أیضاً ما یدلّ بظاهره علی خلافه، مثل أن یقول بعد التعاهدعلی معیّنة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البطلان فی مثل هذا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هناک دالّ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المعاهدة الخارجیّة ملازمة مع تحقّق الدالّ عرفاً، فکیف یفرض الانفکاک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 ذلک</w:t>
      </w:r>
      <w:r>
        <w:rPr>
          <w:rStyle w:val="FootnoteAnchor"/>
          <w:rtl w:val="true"/>
        </w:rPr>
        <w:footnoteReference w:id="1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اتّفقا علی معیَّنٍ ولم یذکراه فی العقد إلّا باللفظ المشترک، فقال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زوّجتُکَ 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 بناته فی الخارج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 أو فعلٍ، أو قرینةٍ خارجیّةٍ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مفهمةٍ فلا یبعد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قیل بوقوع العقد مبنیّاً وکفایة البناء فی باب الإنشاء، ولا تخلو الصغریوالکبری من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خلافه، ولا یلزم تمیّز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المعیّن عندهما حال العقد، بل یکفی التمیّز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نظر وإشکال، بل الأحوط اعتبار التمییز عندهما حال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إمکان العلم به بعد ذلک،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بِنتِی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حال العقد عالماً بتاریخ تولّد البنتَین،</w:t>
      </w:r>
    </w:p>
    <w:p>
      <w:pPr>
        <w:pStyle w:val="BookText"/>
        <w:rPr/>
      </w:pPr>
      <w:r>
        <w:rPr>
          <w:rFonts w:ascii="IRNazanin" w:hAnsi="IRNazanin" w:eastAsia="IRNazanin"/>
          <w:color w:val="111111"/>
          <w:sz w:val="28"/>
          <w:sz w:val="28"/>
          <w:szCs w:val="28"/>
          <w:rtl w:val="true"/>
          <w:lang w:bidi="fa-IR"/>
        </w:rPr>
        <w:t>لکن بالرجوع إلی الدفتر یحصل له العلم، نعم، إذا کان ممیِّزاً واقعاً ولکن لم یمکن العلم به ظاهراً ـ کما إذا نسی تاریخ ولادتهما ولم یمکنه العلم به ـ فالأقوی</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فیه إن لم یکن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فلا یُترک الاحتیاط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لزوم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رعایة الاحتیاط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التخلّص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ولاحتمال القرعة وجه، ولکن لا یُترک الاحتیاط بالطلاق؛ حتّی یکون عدم المانعمن التزویج بالغیر محرَزاً بالوجدان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بل الصحّة غیر بعیدة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فیه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التخلّص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فلا تُترک فیه مراعاة الاحتیاط بالطلاق، ثمّ تجدید العقد علی المعیَّنإذا أراد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لا تخلو من وجهٍ وجیه، فلا یُترک الاحتیاط بالطلاق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لانصراف الأدلّة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بالصحّة والتشخیص بالقرعة ضعیف</w:t>
      </w:r>
      <w:r>
        <w:rPr>
          <w:rFonts w:eastAsia="IRNazanin" w:cs="IRNazanin"/>
          <w:color w:val="111111"/>
          <w:sz w:val="28"/>
          <w:szCs w:val="28"/>
          <w:rtl w:val="true"/>
          <w:lang w:bidi="fa-IR"/>
        </w:rPr>
        <w:t>.</w:t>
      </w:r>
      <w:bookmarkStart w:id="886" w:name="pg13286_154076"/>
    </w:p>
    <w:p>
      <w:pPr>
        <w:pStyle w:val="Heading4"/>
        <w:numPr>
          <w:ilvl w:val="3"/>
          <w:numId w:val="1"/>
        </w:numPr>
        <w:rPr/>
      </w:pPr>
      <w:bookmarkStart w:id="887" w:name="__RefHeading___Toc2139066_2322387425"/>
      <w:bookmarkStart w:id="888" w:name="_Toc326"/>
      <w:bookmarkEnd w:id="886"/>
      <w:bookmarkEnd w:id="887"/>
      <w:r>
        <w:rPr>
          <w:rtl w:val="true"/>
        </w:rPr>
        <w:t>اختلاف الاسم والوصف أو أحدهما مع الإشارة</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اختلف الاسم والوصف أو أحدهما مع الإشارة</w:t>
      </w:r>
      <w:r>
        <w:rPr>
          <w:rStyle w:val="FootnoteAnchor"/>
          <w:rtl w:val="true"/>
        </w:rPr>
        <w:footnoteReference w:id="1515"/>
      </w:r>
      <w:r>
        <w:rPr>
          <w:rFonts w:ascii="IRNazanin" w:hAnsi="IRNazanin" w:eastAsia="IRNazanin"/>
          <w:color w:val="111111"/>
          <w:sz w:val="28"/>
          <w:sz w:val="28"/>
          <w:szCs w:val="28"/>
          <w:rtl w:val="true"/>
          <w:lang w:bidi="fa-IR"/>
        </w:rPr>
        <w:t> اُخذ بما هو المقصود واُلغی ما وقع غلطاً</w:t>
      </w:r>
      <w:r>
        <w:rPr>
          <w:rStyle w:val="FootnoteAnchor"/>
          <w:rtl w:val="true"/>
        </w:rPr>
        <w:footnoteReference w:id="1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وتمییز ما هو المقصود منهما عمّا وقع غلطاً إنّما یکون بالقرائن الدالّة علی ذلک،ولیس ذکره أوّلاً دلیلاً علی أنّه هو المقصود دائماً، وذکره ثانیاً دلیلاً علی أنّه وقعغلطاً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الکبری من بَناتَی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وتبیّن أنّ اسمها خدیجة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علی خدیجة الّتی هی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الکبری، فتبیّن أنّها صغری صحّ علی فاطمة؛ لأنّها المقصود</w:t>
      </w:r>
      <w:r>
        <w:rPr>
          <w:rStyle w:val="FootnoteAnchor"/>
          <w:rtl w:val="true"/>
        </w:rPr>
        <w:footnoteReference w:id="1517"/>
      </w:r>
      <w:r>
        <w:rPr>
          <w:rFonts w:ascii="IRNazanin" w:hAnsi="IRNazanin" w:eastAsia="IRNazanin"/>
          <w:color w:val="111111"/>
          <w:sz w:val="28"/>
          <w:sz w:val="28"/>
          <w:szCs w:val="28"/>
          <w:rtl w:val="true"/>
          <w:lang w:bidi="fa-IR"/>
        </w:rPr>
        <w:t>، ووصفها بأنّها کبری وقع غلطاً فیُلغی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فاطمة أو وهی الکبری فتبیّن أنّ </w:t>
      </w:r>
      <w:bookmarkStart w:id="889" w:name="pg13286_154077"/>
    </w:p>
    <w:p>
      <w:pPr>
        <w:pStyle w:val="BookText"/>
        <w:rPr/>
      </w:pPr>
      <w:bookmarkEnd w:id="889"/>
      <w:r>
        <w:rPr>
          <w:rFonts w:ascii="IRNazanin" w:hAnsi="IRNazanin" w:eastAsia="IRNazanin"/>
          <w:color w:val="111111"/>
          <w:sz w:val="28"/>
          <w:sz w:val="28"/>
          <w:szCs w:val="28"/>
          <w:rtl w:val="true"/>
          <w:lang w:bidi="fa-IR"/>
        </w:rPr>
        <w:t>اسمها خدیجة، أو أنّها صغری فإنّ المقصود تزویج المشار إلیها، وتسمیتها بفاطمة، أو وصفها بأنّها الکبری وقع غلطاً فیلغی</w:t>
      </w:r>
      <w:r>
        <w:rPr>
          <w:rFonts w:eastAsia="IRNazanin" w:cs="IRNazanin"/>
          <w:color w:val="111111"/>
          <w:sz w:val="28"/>
          <w:szCs w:val="28"/>
          <w:rtl w:val="true"/>
          <w:lang w:bidi="fa-IR"/>
        </w:rPr>
        <w:t>.</w:t>
      </w:r>
    </w:p>
    <w:p>
      <w:pPr>
        <w:pStyle w:val="Heading4"/>
        <w:numPr>
          <w:ilvl w:val="3"/>
          <w:numId w:val="1"/>
        </w:numPr>
        <w:rPr/>
      </w:pPr>
      <w:bookmarkStart w:id="890" w:name="__RefHeading___Toc2139068_2322387425"/>
      <w:bookmarkStart w:id="891" w:name="_Toc327"/>
      <w:bookmarkEnd w:id="890"/>
      <w:r>
        <w:rPr>
          <w:rtl w:val="true"/>
        </w:rPr>
        <w:t>تنازع الزوجین فی التعیین وعدمه</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تنازع</w:t>
      </w:r>
      <w:r>
        <w:rPr>
          <w:rStyle w:val="FootnoteAnchor"/>
          <w:rtl w:val="true"/>
        </w:rPr>
        <w:footnoteReference w:id="1518"/>
      </w:r>
      <w:r>
        <w:rPr>
          <w:rFonts w:ascii="Amiri" w:hAnsi="Amiri" w:eastAsia="Amiri" w:cs="Amiri"/>
          <w:color w:val="111111"/>
          <w:sz w:val="28"/>
          <w:sz w:val="28"/>
          <w:szCs w:val="28"/>
          <w:rtl w:val="true"/>
          <w:lang w:bidi="ar-SA"/>
        </w:rPr>
        <w:t> الزوج والزوجة</w:t>
      </w:r>
      <w:r>
        <w:rPr>
          <w:rStyle w:val="FootnoteAnchor"/>
          <w:rtl w:val="true"/>
        </w:rPr>
        <w:footnoteReference w:id="1519"/>
      </w:r>
      <w:r>
        <w:rPr>
          <w:rFonts w:ascii="IRNazanin" w:hAnsi="IRNazanin" w:eastAsia="IRNazanin"/>
          <w:color w:val="111111"/>
          <w:sz w:val="28"/>
          <w:sz w:val="28"/>
          <w:szCs w:val="28"/>
          <w:rtl w:val="true"/>
          <w:lang w:bidi="fa-IR"/>
        </w:rPr>
        <w:t> فی التعیین</w:t>
      </w:r>
      <w:r>
        <w:rPr>
          <w:rStyle w:val="FootnoteAnchor"/>
          <w:rtl w:val="true"/>
        </w:rPr>
        <w:footnoteReference w:id="1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اتّفاقهما فی وقوع العقد، والاختلاف فی التعیین واللاتعیین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یکون العقد صحیحاً أو باطلاً فالقول قول مدّعِی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راجعاً إلی التنازع فی وقوع العقد علی المعیَّن، وعدمه، وإلّا فالقول قول المنکِر بیمینه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النزاع إلی إنکار الزوجة إنشاء الزوجیّة لنفسها، أو إنکار الزوج قبول الزوجیّة لنفسه، وإلّا فالقول قول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أصل النسخة، والکلمة مبهمة،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التنازع إلی النزاع فی وقوع العقد علی المعیّن قبل العقد أوعدمه، وإلّا فالأصل عدمه، والقول قول منکره مع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اعترفا بوقوع العقد وکان النزاع فی وجود الخصوصیّات الّتی تشترط فیصحّة العقد وعدمها، وأمّا إذا کان النزاع فی أصل وقوع العقد علی المعیّن وعدمه فالقول قول المنکر، ولا مجال لأصالة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فی التردید أو عدم التعیین نظراً إلی الأمثلة الّتی ذکرها الماتن فی المسألة السابعة عشرة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أحدهما التعیین، والآخر یدّعی وقوعه علی وجه التردید، فتقول 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زوجتنی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زوّجتُإحدی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أصالة الصحّة لا تُثبِت وقوع العقد علی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أحدهما الإیجاب والقبول فی المعیّن، ویدّعی الآخر اتّفاقهما علی هندٍ مثلاً، وفی هذه الصورة ـ مضافاً إلی ما ذکر فی الأوّل ـ أنّ أصالة الصحّة إنّماتجری إذا اُحرز عنوان العقد، والفرض احتمال اختلاف الإیجاب والقبول فیالمعیَّن، وعلی الاحتمال فلا عقد حتّی تجری فیه أصالة الصحّة؛ إذ العقد لا یتحقّق إلّا مع القبول، ولا قبول إلّا إذا تضمّن الرضا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یتّفقا علی التعیینوالمعیّن، ویختلفا فی نصب القرینة، وفی مثله تجری أصالة الصحّة، فتحصّل أنّإجراء أصالة الصحّة لا یصحّ إلّا فی الفرض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النزاع فی وقوع العقد علی المعیّن وعدمه ـ کما هو ظاهر العبارة ـ لم یکن مجال للتمسّک بأصالة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اتّفاقهما علی وقوع العقد علی معیّن، والنزاع فی صحّته وفساده، وإن کان النزاع فی أصل وقوع العقد علی المعیّن وعدمه فیقدَّم قول المنکِر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الزوجة والزوج من مقوّمات عقد النکاح، وإذا شکّ فیه لم یحرز موضوع العقد، وأصالة الصحّة إنّما تجری بعد إحراز عنوان العقد، فالقول قول المنکِر معیمینه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یرجع النزاع فی وقوع العقد علی المعیّن وعدم وقوعه، وإلّا فالقول قول المنکِر مع یمینه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أصالة الصحّة مع عدم إحراز أرکان العقد محلّ الإشکال؛ وعلیه لا یمکن الحکم بالصحّة فی مفروض الکلام، بل النتیجة هی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فی سائر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13286_154079"/>
      <w:bookmarkStart w:id="893" w:name="pg13286_154079"/>
      <w:bookmarkEnd w:id="893"/>
    </w:p>
    <w:p>
      <w:pPr>
        <w:pStyle w:val="BookText"/>
        <w:rPr/>
      </w:pPr>
      <w:bookmarkStart w:id="894" w:name="pg13286_154079"/>
      <w:bookmarkEnd w:id="894"/>
      <w:r>
        <w:rPr>
          <w:rFonts w:ascii="IRNazanin" w:hAnsi="IRNazanin" w:eastAsia="IRNazanin"/>
          <w:color w:val="111111"/>
          <w:sz w:val="28"/>
          <w:sz w:val="28"/>
          <w:szCs w:val="28"/>
          <w:rtl w:val="true"/>
          <w:lang w:bidi="fa-IR"/>
        </w:rPr>
        <w:t>الشروط إذا اختلفا فیها، وکما فی سائر العقود</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2139070_2322387425"/>
      <w:bookmarkStart w:id="896" w:name="_Toc328"/>
      <w:bookmarkEnd w:id="895"/>
      <w:r>
        <w:rPr>
          <w:rtl w:val="true"/>
        </w:rPr>
        <w:t>الاتّفاق علی التعیین والاختلاف فی المعیّن</w:t>
      </w:r>
      <w:bookmarkEnd w:id="896"/>
    </w:p>
    <w:p>
      <w:pPr>
        <w:pStyle w:val="BookText"/>
        <w:rPr/>
      </w:pPr>
      <w:r>
        <w:rPr>
          <w:rFonts w:ascii="IRNazanin" w:hAnsi="IRNazanin" w:eastAsia="IRNazanin"/>
          <w:color w:val="111111"/>
          <w:sz w:val="28"/>
          <w:sz w:val="28"/>
          <w:szCs w:val="28"/>
          <w:rtl w:val="true"/>
          <w:lang w:bidi="fa-IR"/>
        </w:rPr>
        <w:t>وإن اتّفقا الزوج وولیّ الزوجة علی أنّهما عیّنا معیّناً وتنازعا فیه أنّها فاطمة أو خدیجة فمع عدم البیّنة المرجع التحالف</w:t>
      </w:r>
      <w:r>
        <w:rPr>
          <w:rStyle w:val="FootnoteAnchor"/>
          <w:rtl w:val="true"/>
        </w:rPr>
        <w:footnoteReference w:id="1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هذا الحکم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یترتّب علیه فساد العقد، بل لکلّ واحدٍ من الطرفَین العمل بما تکونوظیفته له بینه وبین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فی سائر 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هنا صورة واحدة اختلفوا فیها،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لرجلٍ عدّة بناتٍ فزوّج واحدةً ولم یسمِّها عند العقد، ولا عیّنها بغیر الاسم، لکنّه قصدها معیّنةً واختلفا فیها فالمشهور علی الرجوع</w:t>
      </w:r>
      <w:r>
        <w:rPr>
          <w:rStyle w:val="FootnoteAnchor"/>
          <w:rtl w:val="true"/>
        </w:rPr>
        <w:footnoteReference w:id="1523"/>
      </w:r>
      <w:r>
        <w:rPr>
          <w:rFonts w:ascii="IRNazanin" w:hAnsi="IRNazanin" w:eastAsia="IRNazanin"/>
          <w:color w:val="111111"/>
          <w:sz w:val="28"/>
          <w:sz w:val="28"/>
          <w:szCs w:val="28"/>
          <w:rtl w:val="true"/>
          <w:lang w:bidi="fa-IR"/>
        </w:rPr>
        <w:t> إلی التحالف</w:t>
      </w:r>
      <w:r>
        <w:rPr>
          <w:rStyle w:val="FootnoteAnchor"/>
          <w:rtl w:val="true"/>
        </w:rPr>
        <w:footnoteReference w:id="1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المشهور بین مَن تعرّض للمسألة هو ما تضمّنته الروایة، فقد أفتی بها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ونُکتها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لابن البرّاج</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نعم، خرّجها المتأخّرون علی أنّه إذا رآهنّ کان قد وکّل التعیین إلی أبیهنّ وقبل نکاح مَن نواها هو، فیرجع النزاع إلی تعیین مَن نواها، فیکون القول قوله؛ لأنّه کالوکیل، وهو أعرف بنیّته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هو مقتضی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قاعدة الدعاوی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جماعة</w:t>
      </w:r>
      <w:r>
        <w:rPr>
          <w:rStyle w:val="FootnoteAnchor"/>
          <w:rtl w:val="true"/>
        </w:rPr>
        <w:footnoteReference w:id="1525"/>
      </w:r>
      <w:r>
        <w:rPr>
          <w:rFonts w:ascii="IRNazanin" w:hAnsi="IRNazanin" w:eastAsia="IRNazanin"/>
          <w:color w:val="111111"/>
          <w:sz w:val="28"/>
          <w:sz w:val="28"/>
          <w:szCs w:val="28"/>
          <w:rtl w:val="true"/>
          <w:lang w:bidi="fa-IR"/>
        </w:rPr>
        <w:t>إلی التفصیل بین ما لو کان الزوج رآهُنّ جمیعاً فالقول قول الأب</w:t>
      </w:r>
      <w:r>
        <w:rPr>
          <w:rStyle w:val="FootnoteAnchor"/>
          <w:rtl w:val="true"/>
        </w:rPr>
        <w:footnoteReference w:id="1526"/>
      </w:r>
      <w:r>
        <w:rPr>
          <w:rFonts w:ascii="Amiri" w:hAnsi="Amiri" w:eastAsia="Amiri" w:cs="Amiri"/>
          <w:color w:val="111111"/>
          <w:sz w:val="28"/>
          <w:sz w:val="28"/>
          <w:szCs w:val="28"/>
          <w:rtl w:val="true"/>
          <w:lang w:bidi="ar-SA"/>
        </w:rPr>
        <w:t>، وما لو لم یَرَهُنَّ فالنکاح باطل، ومستندهم صحیحة أبی عُبَیدة الحذّاء</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 وإن کانت صحیحةً إلّا أنّ إعراض</w:t>
      </w:r>
      <w:r>
        <w:rPr>
          <w:rStyle w:val="FootnoteAnchor"/>
          <w:rtl w:val="true"/>
        </w:rPr>
        <w:footnoteReference w:id="1528"/>
      </w:r>
      <w:r>
        <w:rPr>
          <w:rFonts w:ascii="IRNazanin" w:hAnsi="IRNazanin" w:eastAsia="IRNazanin"/>
          <w:color w:val="111111"/>
          <w:sz w:val="28"/>
          <w:sz w:val="28"/>
          <w:szCs w:val="28"/>
          <w:rtl w:val="true"/>
          <w:lang w:bidi="fa-IR"/>
        </w:rPr>
        <w:t> المشهور</w:t>
      </w:r>
      <w:r>
        <w:rPr>
          <w:rStyle w:val="FootnoteAnchor"/>
          <w:rtl w:val="true"/>
        </w:rPr>
        <w:footnoteReference w:id="1529"/>
      </w:r>
      <w:r>
        <w:rPr>
          <w:rFonts w:ascii="IRNazanin" w:hAnsi="IRNazanin" w:eastAsia="IRNazanin"/>
          <w:color w:val="111111"/>
          <w:sz w:val="28"/>
          <w:sz w:val="28"/>
          <w:szCs w:val="28"/>
          <w:rtl w:val="true"/>
          <w:lang w:bidi="fa-IR"/>
        </w:rPr>
        <w:t> عنها</w:t>
      </w:r>
      <w:r>
        <w:rPr>
          <w:rStyle w:val="FootnoteAnchor"/>
          <w:rtl w:val="true"/>
        </w:rPr>
        <w:footnoteReference w:id="1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ثابت إعراض المشهور؛ ولذا فالاحتیاط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الأصحاب لم یُعرِضوا عنها، نعم، جماعة منهم حملوها علی غیر ظاهرها، فإذاالعمل بما تضمّنه الصحیح متعیّن، ومع ذلک الاحتیاط برعایة ما علیه المشهور لاینبغی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مضافاً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97" w:name="pg13286_154082"/>
    </w:p>
    <w:p>
      <w:pPr>
        <w:pStyle w:val="BookText"/>
        <w:rPr/>
      </w:pPr>
      <w:bookmarkEnd w:id="897"/>
      <w:r>
        <w:rPr>
          <w:rFonts w:ascii="IRNazanin" w:hAnsi="IRNazanin" w:eastAsia="IRNazanin"/>
          <w:color w:val="111111"/>
          <w:sz w:val="28"/>
          <w:sz w:val="28"/>
          <w:szCs w:val="28"/>
          <w:rtl w:val="true"/>
          <w:lang w:bidi="fa-IR"/>
        </w:rPr>
        <w:t>إلی مخالفتها للقواعد مع إمکان حملها</w:t>
      </w:r>
      <w:r>
        <w:rPr>
          <w:rStyle w:val="FootnoteAnchor"/>
          <w:rtl w:val="true"/>
        </w:rPr>
        <w:footnoteReference w:id="1531"/>
      </w:r>
      <w:r>
        <w:rPr>
          <w:rFonts w:ascii="IRNazanin" w:hAnsi="IRNazanin" w:eastAsia="IRNazanin"/>
          <w:color w:val="111111"/>
          <w:sz w:val="28"/>
          <w:sz w:val="28"/>
          <w:szCs w:val="28"/>
          <w:rtl w:val="true"/>
          <w:lang w:bidi="fa-IR"/>
        </w:rPr>
        <w:t> علی بعض المحامل یمنع عن العمل  بها، فقول المشهور لایخلو من قوّة</w:t>
      </w:r>
      <w:r>
        <w:rPr>
          <w:rStyle w:val="FootnoteAnchor"/>
          <w:rtl w:val="true"/>
        </w:rPr>
        <w:footnoteReference w:id="1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منع،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الصناعة تقتضی العمل بما یُستفاد من الروایة بعد کونها معتبرةً سنداً وواضحةًدلالةً، وإعراض المشهور عنها لا یوجب سقوطها عن الاعتبار، نعم، الاحتیاط حَسَن، وهو طریق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ذلک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وکیف کان لا یتعدّی عن موردها</w:t>
      </w:r>
      <w:r>
        <w:rPr>
          <w:rFonts w:eastAsia="IRNazanin" w:cs="IRNazanin"/>
          <w:color w:val="111111"/>
          <w:sz w:val="28"/>
          <w:szCs w:val="28"/>
          <w:rtl w:val="true"/>
          <w:lang w:bidi="fa-IR"/>
        </w:rPr>
        <w:t>.</w:t>
      </w:r>
    </w:p>
    <w:p>
      <w:pPr>
        <w:pStyle w:val="Heading4"/>
        <w:numPr>
          <w:ilvl w:val="3"/>
          <w:numId w:val="1"/>
        </w:numPr>
        <w:rPr/>
      </w:pPr>
      <w:bookmarkStart w:id="898" w:name="__RefHeading___Toc2139072_2322387425"/>
      <w:bookmarkStart w:id="899" w:name="_Toc329"/>
      <w:bookmarkEnd w:id="898"/>
      <w:r>
        <w:rPr>
          <w:rtl w:val="true"/>
        </w:rPr>
        <w:t>نکاح الحمل وإنکاحه</w:t>
      </w:r>
      <w:bookmarkEnd w:id="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نکاح الحمل</w:t>
      </w:r>
      <w:r>
        <w:rPr>
          <w:rStyle w:val="FootnoteAnchor"/>
          <w:rtl w:val="true"/>
        </w:rPr>
        <w:footnoteReference w:id="1533"/>
      </w:r>
      <w:r>
        <w:rPr>
          <w:rFonts w:ascii="IRNazanin" w:hAnsi="IRNazanin" w:eastAsia="IRNazanin"/>
          <w:color w:val="111111"/>
          <w:sz w:val="28"/>
          <w:sz w:val="28"/>
          <w:szCs w:val="28"/>
          <w:rtl w:val="true"/>
          <w:lang w:bidi="fa-IR"/>
        </w:rPr>
        <w:t>وإنکاحه وإن علم ذکوریّته أو اُنوثیّته؛ وذلک لانصراف</w:t>
      </w:r>
      <w:r>
        <w:rPr>
          <w:rStyle w:val="FootnoteAnchor"/>
          <w:rtl w:val="true"/>
        </w:rPr>
        <w:footnoteReference w:id="1534"/>
      </w:r>
      <w:r>
        <w:rPr>
          <w:rFonts w:ascii="Amiri" w:hAnsi="Amiri" w:eastAsia="Amiri" w:cs="Amiri"/>
          <w:color w:val="111111"/>
          <w:sz w:val="28"/>
          <w:sz w:val="28"/>
          <w:szCs w:val="28"/>
          <w:rtl w:val="true"/>
          <w:lang w:bidi="ar-SA"/>
        </w:rPr>
        <w:t> الأدلّة</w:t>
      </w:r>
      <w:r>
        <w:rPr>
          <w:rStyle w:val="FootnoteAnchor"/>
          <w:rtl w:val="true"/>
        </w:rPr>
        <w:footnoteReference w:id="1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 النکاح للحمل عند العرف، فلا یکون نکاحه نکاحاً حتّی یحتاج إلی التمسّک بانصراف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لقصور أدلّة الولایة عن شموله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 قبل ولوج الروح لیس إنساناً، وبعده وإن کان إنساناً إلّا أنّه لم یثبت الولایةعلی الحمل بالنسبة إلی ذلک، فیکون المتصرّف قاصراً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لا یصحّ</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0" w:name="pg13286_154083"/>
    </w:p>
    <w:p>
      <w:pPr>
        <w:pStyle w:val="BookText"/>
        <w:rPr/>
      </w:pPr>
      <w:bookmarkEnd w:id="900"/>
      <w:r>
        <w:rPr>
          <w:rFonts w:ascii="IRNazanin" w:hAnsi="IRNazanin" w:eastAsia="IRNazanin"/>
          <w:color w:val="111111"/>
          <w:sz w:val="28"/>
          <w:sz w:val="28"/>
          <w:szCs w:val="28"/>
          <w:rtl w:val="true"/>
          <w:lang w:bidi="fa-IR"/>
        </w:rPr>
        <w:t>البیع</w:t>
      </w:r>
      <w:r>
        <w:rPr>
          <w:rStyle w:val="FootnoteAnchor"/>
          <w:rtl w:val="true"/>
        </w:rPr>
        <w:footnoteReference w:id="1536"/>
      </w:r>
      <w:r>
        <w:rPr>
          <w:rFonts w:ascii="IRNazanin" w:hAnsi="IRNazanin" w:eastAsia="IRNazanin"/>
          <w:color w:val="111111"/>
          <w:sz w:val="28"/>
          <w:sz w:val="28"/>
          <w:szCs w:val="28"/>
          <w:rtl w:val="true"/>
          <w:lang w:bidi="fa-IR"/>
        </w:rPr>
        <w:t> أو الشراء منه ولو بتولّی الولیّ</w:t>
      </w:r>
      <w:r>
        <w:rPr>
          <w:rStyle w:val="FootnoteAnchor"/>
          <w:rtl w:val="true"/>
        </w:rPr>
        <w:footnoteReference w:id="1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قلنا بصحّة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الوصیّة له عهدیّة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منضمّاً إلی البالغ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أو تملیکیّة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2139074_2322387425"/>
      <w:bookmarkStart w:id="902" w:name="_Toc330"/>
      <w:bookmarkEnd w:id="901"/>
      <w:r>
        <w:rPr>
          <w:rtl w:val="true"/>
        </w:rPr>
        <w:t>اشتراط علم کلّ من الزوجین بأوصاف الآخر</w:t>
      </w:r>
      <w:bookmarkEnd w:id="9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w:t>
      </w:r>
      <w:r>
        <w:rPr>
          <w:rStyle w:val="FootnoteAnchor"/>
          <w:rtl w:val="true"/>
        </w:rPr>
        <w:footnoteReference w:id="1538"/>
      </w:r>
      <w:r>
        <w:rPr>
          <w:rFonts w:ascii="IRNazanin" w:hAnsi="IRNazanin" w:eastAsia="IRNazanin"/>
          <w:color w:val="111111"/>
          <w:sz w:val="28"/>
          <w:sz w:val="28"/>
          <w:szCs w:val="28"/>
          <w:rtl w:val="true"/>
          <w:lang w:bidi="fa-IR"/>
        </w:rPr>
        <w:t> فی النکاح علم کلٍّ من الزوج والزوجة</w:t>
      </w:r>
    </w:p>
    <w:p>
      <w:pPr>
        <w:pStyle w:val="BookText"/>
        <w:rPr/>
      </w:pPr>
      <w:r>
        <w:rPr>
          <w:rFonts w:ascii="IRNazanin" w:hAnsi="IRNazanin" w:eastAsia="IRNazanin"/>
          <w:color w:val="111111"/>
          <w:sz w:val="28"/>
          <w:sz w:val="28"/>
          <w:szCs w:val="28"/>
          <w:rtl w:val="true"/>
          <w:lang w:bidi="fa-IR"/>
        </w:rPr>
        <w:t>بأوصاف الآخر ممّا تختلف به الرغبات، وتکون موجبةً لزیادة المهر أو قلّته، فلا یضرّ بعد تعیین شخصها الجهل بأوصافها، فلا تجری قاعدة الغَرر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03" w:name="pg13286_154084"/>
    </w:p>
    <w:p>
      <w:pPr>
        <w:pStyle w:val="Heading3"/>
        <w:numPr>
          <w:ilvl w:val="2"/>
          <w:numId w:val="1"/>
        </w:numPr>
        <w:rPr/>
      </w:pPr>
      <w:bookmarkStart w:id="904" w:name="__RefHeading___Toc2139076_2322387425"/>
      <w:bookmarkStart w:id="905" w:name="_Toc331"/>
      <w:bookmarkEnd w:id="903"/>
      <w:bookmarkEnd w:id="904"/>
      <w:r>
        <w:rPr>
          <w:rtl w:val="true"/>
        </w:rPr>
        <w:t xml:space="preserve">فصل </w:t>
      </w:r>
      <w:r>
        <w:rPr>
          <w:rtl w:val="true"/>
        </w:rPr>
        <w:t>[</w:t>
      </w:r>
      <w:r>
        <w:rPr>
          <w:rtl w:val="true"/>
        </w:rPr>
        <w:t>فی مسائل متفرّقة</w:t>
      </w:r>
      <w:r>
        <w:rPr>
          <w:rtl w:val="true"/>
        </w:rPr>
        <w:t>]</w:t>
      </w:r>
      <w:bookmarkEnd w:id="905"/>
    </w:p>
    <w:p>
      <w:pPr>
        <w:pStyle w:val="Heading4"/>
        <w:numPr>
          <w:ilvl w:val="3"/>
          <w:numId w:val="1"/>
        </w:numPr>
        <w:rPr/>
      </w:pPr>
      <w:bookmarkStart w:id="906" w:name="__RefHeading___Toc2139078_2322387425"/>
      <w:bookmarkStart w:id="907" w:name="_Toc332"/>
      <w:bookmarkEnd w:id="906"/>
      <w:r>
        <w:rPr>
          <w:rtl w:val="true"/>
        </w:rPr>
        <w:t>اشتراط الخیار فی نفس العقد وفی المهر</w:t>
      </w:r>
      <w:bookmarkEnd w:id="907"/>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539"/>
      </w:r>
      <w:r>
        <w:rPr>
          <w:rFonts w:ascii="IRNazanin" w:hAnsi="IRNazanin" w:eastAsia="IRNazanin"/>
          <w:color w:val="111111"/>
          <w:sz w:val="28"/>
          <w:sz w:val="28"/>
          <w:szCs w:val="28"/>
          <w:rtl w:val="true"/>
          <w:lang w:bidi="fa-IR"/>
        </w:rPr>
        <w:t> فی النکاح دواماً أو متعةً اشتراط الخیار فی نفس العقد، فلو شرطه بطل، وفی بطلان العقد به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1540"/>
      </w:r>
      <w:r>
        <w:rPr>
          <w:rFonts w:ascii="Amiri" w:hAnsi="Amiri" w:eastAsia="Amiri" w:cs="Amiri"/>
          <w:color w:val="111111"/>
          <w:sz w:val="28"/>
          <w:sz w:val="28"/>
          <w:szCs w:val="28"/>
          <w:rtl w:val="true"/>
          <w:lang w:bidi="ar-SA"/>
        </w:rPr>
        <w:t> علی أنّه</w:t>
      </w:r>
      <w:r>
        <w:rPr>
          <w:rStyle w:val="FootnoteAnchor"/>
          <w:rtl w:val="true"/>
        </w:rPr>
        <w:footnoteReference w:id="1541"/>
      </w:r>
      <w:r>
        <w:rPr>
          <w:rFonts w:ascii="IRNazanin" w:hAnsi="IRNazanin" w:eastAsia="IRNazanin"/>
          <w:color w:val="111111"/>
          <w:sz w:val="28"/>
          <w:sz w:val="28"/>
          <w:szCs w:val="28"/>
          <w:rtl w:val="true"/>
          <w:lang w:bidi="fa-IR"/>
        </w:rPr>
        <w:t>باطل</w:t>
      </w:r>
      <w:r>
        <w:rPr>
          <w:rStyle w:val="FootnoteAnchor"/>
          <w:rtl w:val="true"/>
        </w:rPr>
        <w:footnoteReference w:id="1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الصحیح، والفرق بینه وبین سائر الشروط الفاسدة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الخیاریرجع إلی تحدید الزوجیّة بما قبل الفسخ لا محالة، وهو ینافی قصد الزواج الدائم أوالموجّل إلی أجلٍ معلوم، وهذا بخلاف سائر الشروط الفاسدة؛ فإنّها بحسبالارتکاز العرفیّ لا ترجع فی خصوص النکاح إلی جعل الخیار علی تقدیر التخلّف،وإنّما ترجع إلی تعلیق الالتزام بترتیب الآثار علی وجود الشرط ففسادها لا یسریإلی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بتجدید العقد إذا أراد الإمساک، وإیقاع الطلاق إذا أراد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هذا القول من وجه،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وعن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یبطل ببطلان الشرط المذکور، ولا یخلو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من قوّة</w:t>
      </w:r>
      <w:r>
        <w:rPr>
          <w:rStyle w:val="FootnoteAnchor"/>
          <w:rtl w:val="true"/>
        </w:rPr>
        <w:footnoteReference w:id="1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ممنوعة، والفرق بین شرط الخیار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الخیار یرجع إلی تجدیدالزوجیّة، بخلاف الدوام المقصود فی الدائم، وخلاف ما عیّن فی المنقطع، بخلاف سائر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 الإجماع علی خلافه، کما ادّعاه الشیخ قدّس سرّه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إذ لا 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الفرق هو رجوع اشتراط الخیار إلی تحدید الزوجیّة بما قبل الفسخ لا محالة ـ وهو ینافی قصد الزواج الدائم أو المؤجّل إلی أجلٍ معلوم، بخلاف سائرالشروط الفاسدة ـ مدفوعة، بمنع رجوع اشتراط الخیار إلی ذلک؛ فإنّ حقیقة الفسختغایر مع الغایة والحدّ، بل هی رفع الأمر الثابت المستمرّ، کیف، وإلّا یلزم بطلان البیعومثله من سائر العقود إذا اشترط الخیار فیها؛ لرجوعه إلی التحدید المنافی لحقیقةالبیع ونحوه؟ فإنّ الدوام وإن لم یکن ملحوظاً فیها إلّا أنّ التحدید خصوصاً بالأمرالمجهول من حیث الوقت ینافیها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وبین سائر الشروط الفاسدة فیه، مع أنّ المشهور علی عدم کونها مفسدةً للعقد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کون هذا الشرط منافیاً</w:t>
      </w:r>
      <w:r>
        <w:rPr>
          <w:rStyle w:val="FootnoteAnchor"/>
          <w:rtl w:val="true"/>
        </w:rPr>
        <w:footnoteReference w:id="1544"/>
      </w:r>
      <w:r>
        <w:rPr>
          <w:rFonts w:ascii="IRNazanin" w:hAnsi="IRNazanin" w:eastAsia="IRNazanin"/>
          <w:color w:val="111111"/>
          <w:sz w:val="28"/>
          <w:sz w:val="28"/>
          <w:szCs w:val="28"/>
          <w:rtl w:val="true"/>
          <w:lang w:bidi="fa-IR"/>
        </w:rPr>
        <w:t xml:space="preserve"> لمقتضی العقد بخلاف سائر الشروط </w:t>
      </w:r>
    </w:p>
    <w:p>
      <w:pPr>
        <w:pStyle w:val="BookText"/>
        <w:rPr/>
      </w:pPr>
      <w:r>
        <w:rPr>
          <w:rFonts w:ascii="IRNazanin" w:hAnsi="IRNazanin" w:eastAsia="IRNazanin"/>
          <w:color w:val="111111"/>
          <w:sz w:val="28"/>
          <w:sz w:val="28"/>
          <w:szCs w:val="28"/>
          <w:rtl w:val="true"/>
          <w:lang w:bidi="fa-IR"/>
        </w:rPr>
        <w:t>الفاسدة ـ الّتی لا یقولون بکونها مفسدةً ـ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اشتراط الخیار فی المهر</w:t>
      </w:r>
      <w:r>
        <w:rPr>
          <w:rStyle w:val="FootnoteAnchor"/>
          <w:rtl w:val="true"/>
        </w:rPr>
        <w:footnoteReference w:id="1545"/>
      </w:r>
      <w:r>
        <w:rPr>
          <w:rFonts w:ascii="IRNazanin" w:hAnsi="IRNazanin" w:eastAsia="IRNazanin"/>
          <w:color w:val="111111"/>
          <w:sz w:val="28"/>
          <w:sz w:val="28"/>
          <w:szCs w:val="28"/>
          <w:rtl w:val="true"/>
          <w:lang w:bidi="fa-IR"/>
        </w:rPr>
        <w:t> فلا مانع منه</w:t>
      </w:r>
      <w:r>
        <w:rPr>
          <w:rStyle w:val="FootnoteAnchor"/>
          <w:rtl w:val="true"/>
        </w:rPr>
        <w:footnoteReference w:id="1546"/>
      </w:r>
      <w:r>
        <w:rPr>
          <w:rFonts w:ascii="IRNazanin" w:hAnsi="IRNazanin" w:eastAsia="IRNazanin"/>
          <w:color w:val="111111"/>
          <w:sz w:val="28"/>
          <w:sz w:val="28"/>
          <w:szCs w:val="28"/>
          <w:rtl w:val="true"/>
          <w:lang w:bidi="fa-IR"/>
        </w:rPr>
        <w:t>، ولکن لابدّ من تعیین مدّته</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فسخ قبل انقضاء  المدّة یکون کالعقد بلا ذکر المهر فیرجع</w:t>
      </w:r>
      <w:r>
        <w:rPr>
          <w:rStyle w:val="FootnoteAnchor"/>
          <w:rtl w:val="true"/>
        </w:rPr>
        <w:footnoteReference w:id="1548"/>
      </w:r>
      <w:r>
        <w:rPr>
          <w:rFonts w:ascii="IRNazanin" w:hAnsi="IRNazanin" w:eastAsia="IRNazanin"/>
          <w:color w:val="111111"/>
          <w:sz w:val="28"/>
          <w:sz w:val="28"/>
          <w:szCs w:val="28"/>
          <w:rtl w:val="true"/>
          <w:lang w:bidi="fa-IR"/>
        </w:rPr>
        <w:t>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العقد الدائم الّذی لا یلزم فیه ذکر المهر، وأمّا فی المتعة ـ حیث إنّها لا تصحّ بلا مهر ـ فاشتراط الخیار فی المهر فیها مشکل</w:t>
      </w:r>
      <w:r>
        <w:rPr>
          <w:rStyle w:val="FootnoteAnchor"/>
          <w:rtl w:val="true"/>
        </w:rPr>
        <w:footnoteReference w:id="1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وحکم مفسدیّتها، کما تقدّم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عیّن المهر وجعل له الخیار فی فسخ ذلک فلا یبعد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الخیار فی المهر 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یشترط أنّ له الخیار أن یعیّن مهراً، أولا یعیّن، وهذا یصحّ فی الدوام، فإن عیّن لزم، وإلّا فمهر المثل، وفی المتعة یبطل؛لاتّفاقهم علی أنّ المهر رکن فیه یبطل بدون ذکره، ولکن لو قیل بأنّه یُراعی فإن عیّنصحّ وإلّا بطل لم یکن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أن یعیّن المهر ثوباً مثلاً ویشترط أنّ له الخیارأن یبدله بدراهم إلی سنة، وهذا لا مانع منه متعةً ودواماً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لأوّله إلی اشتراط الخیار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رجع الخیار فیه إلی الخیار فی أصل العقد، وإلّا فلا إشکال فیه، ومن ذلک یُعلم حکم جعل الخیار فی المدّة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السابق؛ لأنّه من الخیار فی نفس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عیّن مهراً فی المتعة وشرط أنّ له الخیار فی أن یبدّله فی مدّةٍ فالظاهر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الخیار فی أصل المهر، وإن کان الخیار فی المهر کمّاً أو کیفاً فینبغی عدم الإشکال فیه، والاحتیاط سبیل النجاة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8" w:name="pg13286_154087"/>
    </w:p>
    <w:p>
      <w:pPr>
        <w:pStyle w:val="Heading4"/>
        <w:numPr>
          <w:ilvl w:val="3"/>
          <w:numId w:val="1"/>
        </w:numPr>
        <w:rPr/>
      </w:pPr>
      <w:bookmarkStart w:id="909" w:name="__RefHeading___Toc2139080_2322387425"/>
      <w:bookmarkStart w:id="910" w:name="_Toc333"/>
      <w:bookmarkEnd w:id="908"/>
      <w:bookmarkEnd w:id="909"/>
      <w:r>
        <w:rPr>
          <w:rtl w:val="true"/>
        </w:rPr>
        <w:t>تصادق الرجل والمرأة علی الزوجیّة ونکرانها من أحدهما</w:t>
      </w:r>
      <w:bookmarkEnd w:id="910"/>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رجل زوجیّة امرأةٍ فصدّقته، أو ادّعت امرأةٌ زوجیّةَ رجلٍ فصدّقها حکم لهما</w:t>
      </w:r>
      <w:r>
        <w:rPr>
          <w:rStyle w:val="FootnoteAnchor"/>
          <w:rtl w:val="true"/>
        </w:rPr>
        <w:footnoteReference w:id="1550"/>
      </w:r>
      <w:r>
        <w:rPr>
          <w:rFonts w:ascii="IRNazanin" w:hAnsi="IRNazanin" w:eastAsia="IRNazanin"/>
          <w:color w:val="111111"/>
          <w:sz w:val="28"/>
          <w:sz w:val="28"/>
          <w:szCs w:val="28"/>
          <w:rtl w:val="true"/>
          <w:lang w:bidi="fa-IR"/>
        </w:rPr>
        <w:t> بذلک فی ظاهر الشرع، ویرتّب جمیع آثار الزوجیّة بینهما؛ لأنّ الحقّ لا یعدوهما، ولقاعدة الإقرار</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أحدهما  ورثه الآخر</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کونهما بلدیّین معروفَین أو غریبَین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ادّعی أحدهما الزوجیّة وأنکر الآخر فتجری علیهما قواعد الدعوی، فإن کان للمدّعی بیّنة، وإلّا فیحلف</w:t>
      </w:r>
      <w:r>
        <w:rPr>
          <w:rStyle w:val="FootnoteAnchor"/>
          <w:rtl w:val="true"/>
        </w:rPr>
        <w:footnoteReference w:id="1553"/>
      </w:r>
      <w:r>
        <w:rPr>
          <w:rFonts w:ascii="Amiri" w:hAnsi="Amiri" w:eastAsia="Amiri" w:cs="Amiri"/>
          <w:color w:val="111111"/>
          <w:sz w:val="28"/>
          <w:sz w:val="28"/>
          <w:szCs w:val="28"/>
          <w:rtl w:val="true"/>
          <w:lang w:bidi="ar-SA"/>
        </w:rPr>
        <w:t xml:space="preserve"> المنکِر، </w:t>
      </w:r>
    </w:p>
    <w:p>
      <w:pPr>
        <w:pStyle w:val="BookText"/>
        <w:rPr/>
      </w:pPr>
      <w:r>
        <w:rPr>
          <w:rFonts w:ascii="IRNazanin" w:hAnsi="IRNazanin" w:eastAsia="IRNazanin"/>
          <w:color w:val="111111"/>
          <w:sz w:val="28"/>
          <w:sz w:val="28"/>
          <w:szCs w:val="28"/>
          <w:rtl w:val="true"/>
          <w:lang w:bidi="fa-IR"/>
        </w:rPr>
        <w:t>أو یردّ الیمین فیحلف المدّعی ویحکم له بالزوجیّة، وعلی المنکر ترتیب آثاره</w:t>
      </w:r>
      <w:r>
        <w:rPr>
          <w:rStyle w:val="FootnoteAnchor"/>
          <w:rtl w:val="true"/>
        </w:rPr>
        <w:footnoteReference w:id="1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بقدر اضطراره من المحرّمات والواجبات فی نظره وما لا مندوحة عنه، حیثکان إنکاره عن بتٍّ وجزم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آثارها المحلّلة، مثل الإنفاق علی الزوجة، وترک الخروج بدون إذن الزوج،وأمّا المحرّمة مثل الوطء فیجب علی المحکوم علیه العالِم بالخلاف طلاق المرأةفی الظاهر؛ لئلّا یُجبَر علی وطء المحرّم باعتقاده، ویجب علی المحکوم علیهاإرضاء الزوج بالطلاق، أو ترک الوطء ولو ببذل المال، وعلی فرض عدم التمکّن منالتخلّص لکلٍّ منهما فلیقتصر علی المقدار المضطرّ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الآثار المحلّلة، کالإنفاق، وعدم الخروج إلّا بإذن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المضطرّ إلیه مع العلم ببطلان الدعوی، کما هو المفروض؛ فإنّه لو کانالمنکِر هی الزوجة فالواجب علیها أوّلاً التخلّص منه بإرضائه بالطلاق، أو ترک الوطء من أیّ طریقٍ أمکن ولو ببذل المال، ومع عدم الإمکان یقتصر علی مقدارٍ لایمکن التخلّص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المنکر هو الزوج فاللازم علیه أوّلاً الطلاق، ولو بأنیقول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هذه زوجتی فهی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تجدید النکاح لو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من الآثار المحرّمة باعتقاده، وإلّا فبالمقدار الّذی هو مجبور علیه، ولایمکنه 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بمقدارٍ لا یمکن التخلّص عنه لو کان عالماً بخلاف مدّعی الزوجیّة، وإن کان المنکر هو الزوج یجب علیه الطلاق فی الظاهر، أو تجدید النکاح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یجب علی کلٍّ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منهما</w:t>
      </w:r>
      <w:r>
        <w:rPr>
          <w:rStyle w:val="FootnoteAnchor"/>
          <w:rtl w:val="true"/>
        </w:rPr>
        <w:footnoteReference w:id="1555"/>
      </w:r>
      <w:r>
        <w:rPr>
          <w:rFonts w:ascii="IRNazanin" w:hAnsi="IRNazanin" w:eastAsia="IRNazanin"/>
          <w:color w:val="111111"/>
          <w:sz w:val="28"/>
          <w:sz w:val="28"/>
          <w:szCs w:val="28"/>
          <w:rtl w:val="true"/>
          <w:lang w:bidi="fa-IR"/>
        </w:rPr>
        <w:t> العمل علی الواقع بینه وبین الله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حلف المنکِر حُکِم بعدم الزوجیّة بینهما، لکنّ المدّعی مأخوذ بإقراره المستفاد من دعواه، فلیس له ـ إن کان هو الرجل ـ تزویج الخامسة، ولا اُمّ المنکرة، ولا بنتها مع الدخول بها، ولا بنت أخیها أو اُختها إلّا برضاها، ویجب</w:t>
      </w:r>
      <w:r>
        <w:rPr>
          <w:rStyle w:val="FootnoteAnchor"/>
          <w:rtl w:val="true"/>
        </w:rPr>
        <w:footnoteReference w:id="1557"/>
      </w:r>
      <w:r>
        <w:rPr>
          <w:rFonts w:ascii="IRNazanin" w:hAnsi="IRNazanin" w:eastAsia="IRNazanin"/>
          <w:color w:val="111111"/>
          <w:sz w:val="28"/>
          <w:sz w:val="28"/>
          <w:szCs w:val="28"/>
          <w:rtl w:val="true"/>
          <w:lang w:bidi="fa-IR"/>
        </w:rPr>
        <w:t> علیه إیصال المهر</w:t>
      </w:r>
      <w:r>
        <w:rPr>
          <w:rStyle w:val="FootnoteAnchor"/>
          <w:rtl w:val="true"/>
        </w:rPr>
        <w:footnoteReference w:id="1558"/>
      </w:r>
      <w:r>
        <w:rPr>
          <w:rFonts w:ascii="IRNazanin" w:hAnsi="IRNazanin" w:eastAsia="IRNazanin"/>
          <w:color w:val="111111"/>
          <w:sz w:val="28"/>
          <w:sz w:val="28"/>
          <w:szCs w:val="28"/>
          <w:rtl w:val="true"/>
          <w:lang w:bidi="fa-IR"/>
        </w:rPr>
        <w:t> إلیها</w:t>
      </w:r>
      <w:r>
        <w:rPr>
          <w:rStyle w:val="FootnoteAnchor"/>
          <w:rtl w:val="true"/>
        </w:rPr>
        <w:footnoteReference w:id="1559"/>
      </w:r>
      <w:r>
        <w:rPr>
          <w:rFonts w:ascii="IRNazanin" w:hAnsi="IRNazanin" w:eastAsia="IRNazanin"/>
          <w:color w:val="111111"/>
          <w:sz w:val="28"/>
          <w:sz w:val="28"/>
          <w:szCs w:val="28"/>
          <w:rtl w:val="true"/>
          <w:lang w:bidi="fa-IR"/>
        </w:rPr>
        <w:t>، نعم، لا یجب علیه نفقتها؛  </w:t>
      </w:r>
    </w:p>
    <w:p>
      <w:pPr>
        <w:pStyle w:val="BookText"/>
        <w:rPr/>
      </w:pPr>
      <w:r>
        <w:rPr>
          <w:rFonts w:ascii="IRNazanin" w:hAnsi="IRNazanin" w:eastAsia="IRNazanin"/>
          <w:color w:val="111111"/>
          <w:sz w:val="28"/>
          <w:sz w:val="28"/>
          <w:szCs w:val="28"/>
          <w:rtl w:val="true"/>
          <w:lang w:bidi="fa-IR"/>
        </w:rPr>
        <w:t>لنشوزها بالإنکار</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عملت وفق إنکارها وکانت غیر معذورةٍ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الإنکار لیس نُشُوزاً؛ فإنّه تمرّد علی الزوج، والامتناع من أداء حقوقه الواجبة، فإن لم تمتنع منها فلیست ناشزة، فإن امتنعت بغیر عذرٍ شرعیٍّ فهی ناشزة،وإن امتنعت لعذرٍ شرعیٍّ ففیه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1" w:name="pg13286_154090"/>
    </w:p>
    <w:p>
      <w:pPr>
        <w:pStyle w:val="BookText"/>
        <w:rPr/>
      </w:pPr>
      <w:bookmarkEnd w:id="911"/>
      <w:r>
        <w:rPr>
          <w:rFonts w:ascii="IRNazanin" w:hAnsi="IRNazanin" w:eastAsia="IRNazanin"/>
          <w:color w:val="111111"/>
          <w:sz w:val="28"/>
          <w:sz w:val="28"/>
          <w:szCs w:val="28"/>
          <w:rtl w:val="true"/>
          <w:lang w:bidi="fa-IR"/>
        </w:rPr>
        <w:t>وإن کانت هی المدّعیة لا یجوز لها التزویج بغیره إلّا إذا طلّقها</w:t>
      </w:r>
      <w:r>
        <w:rPr>
          <w:rStyle w:val="FootnoteAnchor"/>
          <w:rtl w:val="true"/>
        </w:rPr>
        <w:footnoteReference w:id="1561"/>
      </w:r>
      <w:r>
        <w:rPr>
          <w:rFonts w:ascii="IRNazanin" w:hAnsi="IRNazanin" w:eastAsia="IRNazanin"/>
          <w:color w:val="111111"/>
          <w:sz w:val="28"/>
          <w:sz w:val="28"/>
          <w:szCs w:val="28"/>
          <w:rtl w:val="true"/>
          <w:lang w:bidi="fa-IR"/>
        </w:rPr>
        <w:t>، ولو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إن کانت زوجتی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w:t>
      </w:r>
      <w:r>
        <w:rPr>
          <w:rStyle w:val="FootnoteAnchor"/>
          <w:rtl w:val="true"/>
        </w:rPr>
        <w:footnoteReference w:id="1562"/>
      </w:r>
      <w:r>
        <w:rPr>
          <w:rFonts w:ascii="IRNazanin" w:hAnsi="IRNazanin" w:eastAsia="IRNazanin"/>
          <w:color w:val="111111"/>
          <w:sz w:val="28"/>
          <w:sz w:val="28"/>
          <w:szCs w:val="28"/>
          <w:rtl w:val="true"/>
          <w:lang w:bidi="fa-IR"/>
        </w:rPr>
        <w:t> لها</w:t>
      </w:r>
      <w:r>
        <w:rPr>
          <w:rStyle w:val="FootnoteAnchor"/>
          <w:rtl w:val="true"/>
        </w:rPr>
        <w:footnoteReference w:id="1563"/>
      </w:r>
      <w:r>
        <w:rPr>
          <w:rFonts w:ascii="IRNazanin" w:hAnsi="IRNazanin" w:eastAsia="IRNazanin"/>
          <w:color w:val="111111"/>
          <w:sz w:val="28"/>
          <w:sz w:val="28"/>
          <w:szCs w:val="28"/>
          <w:rtl w:val="true"/>
          <w:lang w:bidi="fa-IR"/>
        </w:rPr>
        <w:t> السفر من دون</w:t>
      </w:r>
      <w:r>
        <w:rPr>
          <w:rStyle w:val="FootnoteAnchor"/>
          <w:rtl w:val="true"/>
        </w:rPr>
        <w:footnoteReference w:id="1564"/>
      </w:r>
      <w:r>
        <w:rPr>
          <w:rFonts w:ascii="IRNazanin" w:hAnsi="IRNazanin" w:eastAsia="IRNazanin"/>
          <w:color w:val="111111"/>
          <w:sz w:val="28"/>
          <w:sz w:val="28"/>
          <w:szCs w:val="28"/>
          <w:rtl w:val="true"/>
          <w:lang w:bidi="fa-IR"/>
        </w:rPr>
        <w:t> إذنه</w:t>
      </w:r>
      <w:r>
        <w:rPr>
          <w:rStyle w:val="FootnoteAnchor"/>
          <w:rtl w:val="true"/>
        </w:rPr>
        <w:footnoteReference w:id="1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انصراف الأدلّة عن منکِر الزوجیّة، بل لا یبعد أنّ إنکاره لزوجیّتها إسقاطلحقّه، من وجوب استئذانه فی السفر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کلّ ما یتوقّف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إذنه</w:t>
      </w:r>
      <w:r>
        <w:rPr>
          <w:rFonts w:eastAsia="IRNazanin" w:cs="IRNazanin"/>
          <w:color w:val="111111"/>
          <w:sz w:val="28"/>
          <w:szCs w:val="28"/>
          <w:rtl w:val="true"/>
          <w:lang w:bidi="fa-IR"/>
        </w:rPr>
        <w:t>.</w:t>
      </w:r>
    </w:p>
    <w:p>
      <w:pPr>
        <w:pStyle w:val="Heading4"/>
        <w:numPr>
          <w:ilvl w:val="3"/>
          <w:numId w:val="1"/>
        </w:numPr>
        <w:rPr/>
      </w:pPr>
      <w:bookmarkStart w:id="912" w:name="__RefHeading___Toc2139082_2322387425"/>
      <w:bookmarkStart w:id="913" w:name="_Toc334"/>
      <w:bookmarkEnd w:id="912"/>
      <w:r>
        <w:rPr>
          <w:rtl w:val="true"/>
        </w:rPr>
        <w:t>الإقرار بعد الإنکار ورجوع المدّعی عن دعواه</w:t>
      </w:r>
      <w:bookmarkEnd w:id="913"/>
    </w:p>
    <w:p>
      <w:pPr>
        <w:pStyle w:val="BookText"/>
        <w:rPr/>
      </w:pPr>
      <w:r>
        <w:rPr>
          <w:rFonts w:ascii="IRNazanin" w:hAnsi="IRNazanin" w:eastAsia="IRNazanin"/>
          <w:color w:val="111111"/>
          <w:sz w:val="28"/>
          <w:sz w:val="28"/>
          <w:szCs w:val="28"/>
          <w:rtl w:val="true"/>
          <w:lang w:bidi="fa-IR"/>
        </w:rPr>
        <w:t>ولو رجع المنکِر إلی الإقرار هل یُسمَع منه ویُحکَم بالزوجیّة بینهما؟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السماع</w:t>
      </w:r>
      <w:r>
        <w:rPr>
          <w:rStyle w:val="FootnoteAnchor"/>
          <w:rtl w:val="true"/>
        </w:rPr>
        <w:footnoteReference w:id="1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الحقوق الّتی تکون علیه محلّ إشکال، وفیها اعتبار إظهار العذر، وعدمکونه متَّهَماً محلّ نظر، وکذلک فی رجوع المدّعی عن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یختلج بالبال فی هذه العجالة أن یفصل بین الموارد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قوله بالنسبة إلی ما یکون علیه، وأمّا بالنسبة إلی ما یکون له فهو مجرّد ادّعاءٍ بعدالإنکار، ویحتاج إلی الإثبات، بلا فرقٍ فی ما ذکر بین إظهار العذر وعدمه، وبلا فرقٍبین کون الرجوع قبل إقامة البیّنة أو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الحقوق الّتی تکون علی المدّعی، وأمّا بالنسبة إلی الحقوق الّتیادّعی علیه فالظاهر أنّه لا یعتبر فی السماع شیء من القیدَین، وکذا الحال فیما إذارجع المدّعی عن دعواه وکذَّب نفسه، من غیر فرقٍ بین الرجوع قبل إقامة البیّنة أوبعدها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عدم الشرطَین، خصوصاً إذا کان قبل الحلف، ولا فرق فی ذلک بین الحقوق الّتی ادّعی علیه، وبین الحقوق الّتی ادّعاها علی المدّعی برجوعه عن الإنکار بعد إقراره علی نفسه، وعدم تجاوز الحقّ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أظهر عذراً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لإنکاره</w:t>
      </w:r>
      <w:r>
        <w:rPr>
          <w:rStyle w:val="FootnoteAnchor"/>
          <w:rtl w:val="true"/>
        </w:rPr>
        <w:footnoteReference w:id="1567"/>
      </w:r>
      <w:r>
        <w:rPr>
          <w:rFonts w:ascii="Amiri" w:hAnsi="Amiri" w:eastAsia="Amiri" w:cs="Amiri"/>
          <w:color w:val="111111"/>
          <w:sz w:val="28"/>
          <w:sz w:val="28"/>
          <w:szCs w:val="28"/>
          <w:rtl w:val="true"/>
          <w:lang w:bidi="ar-SA"/>
        </w:rPr>
        <w:t>، ولم یکن متّهماً</w:t>
      </w:r>
      <w:r>
        <w:rPr>
          <w:rStyle w:val="FootnoteAnchor"/>
          <w:rtl w:val="true"/>
        </w:rPr>
        <w:footnoteReference w:id="1568"/>
      </w:r>
      <w:r>
        <w:rPr>
          <w:rFonts w:ascii="IRNazanin" w:hAnsi="IRNazanin" w:eastAsia="IRNazanin"/>
          <w:color w:val="111111"/>
          <w:sz w:val="28"/>
          <w:sz w:val="28"/>
          <w:szCs w:val="28"/>
          <w:rtl w:val="true"/>
          <w:lang w:bidi="fa-IR"/>
        </w:rPr>
        <w:t>، وإن کان ذلک بعد الحلف</w:t>
      </w:r>
      <w:r>
        <w:rPr>
          <w:rStyle w:val="FootnoteAnchor"/>
          <w:rtl w:val="true"/>
        </w:rPr>
        <w:footnoteReference w:id="1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حلف منکِر النکاح علی نفیه ثمّ کذّب نفسه یشکل سماعه؛ لقوّة احتمال أنیکون حلفه فاسخاً تعبّدیّاً للزوجیّة، ولو حلف المدّعی یمین الردّ ثمّ رجع عندعواه، وکذّب نفسه فالظاهر بطلان یمینه وسقوط دعواه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الحلف یشکل سماعه؛ لأنّه یحتمل قویّاً کون حلفه فاسخاً تعبّدیّاً للزوجیّة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السماع بعد الحلف مطلقاً وفی حقوقه علی المدّعی علیه ولو قبل الحلفإشکال، وکذا الحال بالنسبة إلی المدّعی إذا رجع عن دعواه، ویحتمل عدم الفرقبین قیام البیّنة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کونه فسخاً تعبّدیّاً للزوجیّة غیر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کون الحلف فسخاً، کما احتمله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المدّعی إذا    </w:t>
      </w:r>
    </w:p>
    <w:p>
      <w:pPr>
        <w:pStyle w:val="BookText"/>
        <w:rPr/>
      </w:pPr>
      <w:r>
        <w:rPr>
          <w:rFonts w:ascii="IRNazanin" w:hAnsi="IRNazanin" w:eastAsia="IRNazanin"/>
          <w:color w:val="111111"/>
          <w:sz w:val="28"/>
          <w:sz w:val="28"/>
          <w:szCs w:val="28"/>
          <w:rtl w:val="true"/>
          <w:lang w:bidi="fa-IR"/>
        </w:rPr>
        <w:t>رجع عن دعواه وکذّب نفسه، نعم، یشکل</w:t>
      </w:r>
      <w:r>
        <w:rPr>
          <w:rStyle w:val="FootnoteAnchor"/>
          <w:rtl w:val="true"/>
        </w:rPr>
        <w:footnoteReference w:id="1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إذا کان ذلک بعد إقامة البیّنة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دعواه، إلّا إذا کذّبت البیّنة</w:t>
      </w:r>
      <w:bookmarkStart w:id="914" w:name="pg13286_154093"/>
    </w:p>
    <w:p>
      <w:pPr>
        <w:pStyle w:val="BookText"/>
        <w:rPr/>
      </w:pPr>
      <w:bookmarkEnd w:id="914"/>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 نفسها</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2139084_2322387425"/>
      <w:bookmarkStart w:id="916" w:name="_Toc335"/>
      <w:bookmarkEnd w:id="915"/>
      <w:r>
        <w:rPr>
          <w:rtl w:val="true"/>
        </w:rPr>
        <w:t>من تزوّج امرأة ادّعی غیره سبق زوجیّتها</w:t>
      </w:r>
      <w:bookmarkEnd w:id="916"/>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تدّعی خلوّها من الزوج، فادّعی زوجیّتها رجلٌ آخر لم تُسمَع دعواه</w:t>
      </w:r>
      <w:r>
        <w:rPr>
          <w:rStyle w:val="FootnoteAnchor"/>
          <w:rtl w:val="true"/>
        </w:rPr>
        <w:footnoteReference w:id="1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کانت موجبةً للحکم ببطلان الزوجیّة الفعلیّة وعدم صحّتها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أنّه حینئذٍ لیس له إحلاف الزوج ولا الزوجة، أمّا الزوج فیکفی له عدمعلمه بالحال، وأمّا الزوجة فلأنّ اعترافها بالزوجیّة لا أثر له حتّی یکون لحلفها أثر،وبذلک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اُخری وردت حاشیة له  قدّس سرّه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حینئذٍ لیس له إحلاف الزوج ولاالزوجة، نعم، إذا کان المدّعی ثقةً فالأحوط للزوج أن یطلِّقها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أقام البیّنة تُسمَع دعواه، وإلّا فإن کان ثقةً فالأحوط أن یطلِّقها الزوج، وإن لمیکن ثقةً لا تُسمع دعواه، ولیس له حینئذٍ إحلاف الزوج ولا الزوجة، وبذلک یظهرالحال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w:t>
      </w:r>
    </w:p>
    <w:p>
      <w:pPr>
        <w:pStyle w:val="BookText"/>
        <w:rPr/>
      </w:pPr>
      <w:r>
        <w:rPr>
          <w:rFonts w:ascii="IRNazanin" w:hAnsi="IRNazanin" w:eastAsia="IRNazanin"/>
          <w:color w:val="111111"/>
          <w:sz w:val="28"/>
          <w:sz w:val="28"/>
          <w:szCs w:val="28"/>
          <w:rtl w:val="true"/>
          <w:lang w:bidi="fa-IR"/>
        </w:rPr>
        <w:t>له</w:t>
      </w:r>
      <w:r>
        <w:rPr>
          <w:rStyle w:val="FootnoteAnchor"/>
          <w:rtl w:val="true"/>
        </w:rPr>
        <w:footnoteReference w:id="1573"/>
      </w:r>
      <w:r>
        <w:rPr>
          <w:rFonts w:ascii="IRNazanin" w:hAnsi="IRNazanin" w:eastAsia="IRNazanin"/>
          <w:color w:val="111111"/>
          <w:sz w:val="28"/>
          <w:sz w:val="28"/>
          <w:szCs w:val="28"/>
          <w:rtl w:val="true"/>
          <w:lang w:bidi="fa-IR"/>
        </w:rPr>
        <w:t> مع عدمها</w:t>
      </w:r>
      <w:r>
        <w:rPr>
          <w:rStyle w:val="FootnoteAnchor"/>
          <w:rtl w:val="true"/>
        </w:rPr>
        <w:footnoteReference w:id="1574"/>
      </w:r>
      <w:r>
        <w:rPr>
          <w:rFonts w:ascii="Amiri" w:hAnsi="Amiri" w:eastAsia="Amiri" w:cs="Amiri"/>
          <w:color w:val="111111"/>
          <w:sz w:val="28"/>
          <w:sz w:val="28"/>
          <w:szCs w:val="28"/>
          <w:rtl w:val="true"/>
          <w:lang w:bidi="ar-SA"/>
        </w:rPr>
        <w:t> علی کلٍّ منهما</w:t>
      </w:r>
      <w:r>
        <w:rPr>
          <w:rStyle w:val="FootnoteAnchor"/>
          <w:rtl w:val="true"/>
        </w:rPr>
        <w:footnoteReference w:id="1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لیس له ذلک، ولا علی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تکون له الیمین علی الزوج إذا کان منکِراً لدعواه علی سبیل القطع، أمّاإذا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تزوّجتها اعتماداً علی أخبارها بأنّها خلیة فالظاهر عدمالیمین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وجّه الدعوی علی الامرأة  فأنکرت وحلفت سقطت دعواه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نکلت أو ردّت الیمین علیه فحلف لا یکون حلفه حجّةً علی الزوج</w:t>
      </w:r>
      <w:r>
        <w:rPr>
          <w:rStyle w:val="FootnoteAnchor"/>
          <w:rtl w:val="true"/>
        </w:rPr>
        <w:footnoteReference w:id="15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 الإنکار البتّیّ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وتبقی علی زوجیّة الزوج مع عدمها، سواء کان عالماً بکذب</w:t>
      </w:r>
    </w:p>
    <w:p>
      <w:pPr>
        <w:pStyle w:val="BookText"/>
        <w:rPr/>
      </w:pPr>
      <w:r>
        <w:rPr>
          <w:rFonts w:ascii="IRNazanin" w:hAnsi="IRNazanin" w:eastAsia="IRNazanin"/>
          <w:color w:val="111111"/>
          <w:sz w:val="28"/>
          <w:sz w:val="28"/>
          <w:szCs w:val="28"/>
          <w:rtl w:val="true"/>
          <w:lang w:bidi="fa-IR"/>
        </w:rPr>
        <w:t>المدّعی، أم لا، وإن أخبر ثقة</w:t>
      </w:r>
      <w:r>
        <w:rPr>
          <w:rStyle w:val="FootnoteAnchor"/>
          <w:rtl w:val="true"/>
        </w:rPr>
        <w:footnoteReference w:id="1577"/>
      </w:r>
      <w:r>
        <w:rPr>
          <w:rFonts w:ascii="IRNazanin" w:hAnsi="IRNazanin" w:eastAsia="IRNazanin"/>
          <w:color w:val="111111"/>
          <w:sz w:val="28"/>
          <w:sz w:val="28"/>
          <w:szCs w:val="28"/>
          <w:rtl w:val="true"/>
          <w:lang w:bidi="fa-IR"/>
        </w:rPr>
        <w:t> واحد</w:t>
      </w:r>
      <w:r>
        <w:rPr>
          <w:rStyle w:val="FootnoteAnchor"/>
          <w:rtl w:val="true"/>
        </w:rPr>
        <w:footnoteReference w:id="1578"/>
      </w:r>
      <w:r>
        <w:rPr>
          <w:rFonts w:ascii="IRNazanin" w:hAnsi="IRNazanin" w:eastAsia="IRNazanin"/>
          <w:color w:val="111111"/>
          <w:sz w:val="28"/>
          <w:sz w:val="28"/>
          <w:szCs w:val="28"/>
          <w:rtl w:val="true"/>
          <w:lang w:bidi="fa-IR"/>
        </w:rPr>
        <w:t> بصدق المدّعی، وإن کان الأحوط</w:t>
      </w:r>
      <w:r>
        <w:rPr>
          <w:rStyle w:val="FootnoteAnchor"/>
          <w:rtl w:val="true"/>
        </w:rPr>
        <w:footnoteReference w:id="1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منشأ الاحتیاط فی هذه الصورة وجود روایةٍ دالّةٍ علی تصدیق الثقة،لکنّ المفروض فیها ما إذا کان المدّعی ثقةً، لا ما إذا أخبر ثقة بصدق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حینئذٍ طلاقها، فیبقی النزاع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وبین الزوج، فإن حلف سقطت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نکل</w:t>
      </w:r>
      <w:r>
        <w:rPr>
          <w:rStyle w:val="FootnoteAnchor"/>
          <w:rtl w:val="true"/>
        </w:rPr>
        <w:footnoteReference w:id="1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ردّ القاضی الیمین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ردّ الیمین علیه فحلف حکم له بالزوجیّة إذا کان ذلک بعد أن حلف فی الدعوی علی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الردّ علیه، وإن کان قبل تمامیّة الدعوی مع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فیبقی النزاع بینه وبینها،کما إذا وجّه الدعوی أوّلاً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دعوی علی کلٍّ من الزوج والزوجة، فمع عدم البیّنة إن حلفا سقطت دعواه علیهما، وإن نکلا</w:t>
      </w:r>
      <w:r>
        <w:rPr>
          <w:rStyle w:val="FootnoteAnchor"/>
          <w:rtl w:val="true"/>
        </w:rPr>
        <w:footnoteReference w:id="1581"/>
      </w:r>
      <w:r>
        <w:rPr>
          <w:rFonts w:ascii="IRNazanin" w:hAnsi="IRNazanin" w:eastAsia="IRNazanin"/>
          <w:color w:val="111111"/>
          <w:sz w:val="28"/>
          <w:sz w:val="28"/>
          <w:szCs w:val="28"/>
          <w:rtl w:val="true"/>
          <w:lang w:bidi="fa-IR"/>
        </w:rPr>
        <w:t> أو ردّ الیمین علیه فحلف ثبت مدّعاه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حلف أحدهما دون الآخر فلکلٍّ حکمه، فإذا حلف الزوج فی الدعوی علیه فسقطت بالنسبة إلیه، والزوجة لم تحلف بل ردّت الیمین علی المدّعی، أو نکلت وردّ الحاکم علیه فحلف وإن کان لا یتسلّط علیها لمکان حقّ الزوج إلّا أنّه لو طلّقها أو مات عنها رُدَّت إلیه،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الیمین المردودة بمنزلة الإقرار</w:t>
      </w:r>
      <w:r>
        <w:rPr>
          <w:rStyle w:val="FootnoteAnchor"/>
          <w:rtl w:val="true"/>
        </w:rPr>
        <w:footnoteReference w:id="1582"/>
      </w:r>
      <w:r>
        <w:rPr>
          <w:rFonts w:ascii="IRNazanin" w:hAnsi="IRNazanin" w:eastAsia="IRNazanin"/>
          <w:color w:val="111111"/>
          <w:sz w:val="28"/>
          <w:sz w:val="28"/>
          <w:szCs w:val="28"/>
          <w:rtl w:val="true"/>
          <w:lang w:bidi="fa-IR"/>
        </w:rPr>
        <w:t>، أم بمنزلة البیّنة</w:t>
      </w:r>
      <w:r>
        <w:rPr>
          <w:rStyle w:val="FootnoteAnchor"/>
          <w:rtl w:val="true"/>
        </w:rPr>
        <w:footnoteReference w:id="1583"/>
      </w:r>
      <w:r>
        <w:rPr>
          <w:rFonts w:ascii="IRNazanin" w:hAnsi="IRNazanin" w:eastAsia="IRNazanin"/>
          <w:color w:val="111111"/>
          <w:sz w:val="28"/>
          <w:sz w:val="28"/>
          <w:szCs w:val="28"/>
          <w:rtl w:val="true"/>
          <w:lang w:bidi="fa-IR"/>
        </w:rPr>
        <w:t>، أم قسم ثالث</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bookmarkStart w:id="917" w:name="pg13286_154097"/>
    </w:p>
    <w:p>
      <w:pPr>
        <w:pStyle w:val="BookText"/>
        <w:rPr/>
      </w:pPr>
      <w:bookmarkEnd w:id="917"/>
      <w:r>
        <w:rPr>
          <w:rFonts w:ascii="IRNazanin" w:hAnsi="IRNazanin" w:eastAsia="IRNazanin"/>
          <w:color w:val="111111"/>
          <w:sz w:val="28"/>
          <w:sz w:val="28"/>
          <w:szCs w:val="28"/>
          <w:rtl w:val="true"/>
          <w:lang w:bidi="fa-IR"/>
        </w:rPr>
        <w:t>نعم، فی استحقاقها النفقة والمهر المسمّی علی الزوج إشکال</w:t>
      </w:r>
      <w:r>
        <w:rPr>
          <w:rStyle w:val="FootnoteAnchor"/>
          <w:rtl w:val="true"/>
        </w:rPr>
        <w:footnoteReference w:id="1585"/>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1586"/>
      </w:r>
      <w:r>
        <w:rPr>
          <w:rFonts w:ascii="IRNazanin" w:hAnsi="IRNazanin" w:eastAsia="IRNazanin"/>
          <w:color w:val="111111"/>
          <w:sz w:val="28"/>
          <w:sz w:val="28"/>
          <w:szCs w:val="28"/>
          <w:rtl w:val="true"/>
          <w:lang w:bidi="fa-IR"/>
        </w:rPr>
        <w:t>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الإقرار أو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إذا کانت منکرةً لدعوی المدّعی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صدّقته وأقرّت بزوجیّته فلا تُسمَع بالنسبة إلی حقّ الزوج، ولکنّها مأخوذة بإقرارها، فلا تستحقّ</w:t>
      </w:r>
      <w:r>
        <w:rPr>
          <w:rStyle w:val="FootnoteAnchor"/>
          <w:rtl w:val="true"/>
        </w:rPr>
        <w:footnoteReference w:id="1587"/>
      </w:r>
      <w:r>
        <w:rPr>
          <w:rFonts w:ascii="IRNazanin" w:hAnsi="IRNazanin" w:eastAsia="IRNazanin"/>
          <w:color w:val="111111"/>
          <w:sz w:val="28"/>
          <w:sz w:val="28"/>
          <w:szCs w:val="28"/>
          <w:rtl w:val="true"/>
          <w:lang w:bidi="fa-IR"/>
        </w:rPr>
        <w:t> النفقة علی الزوج، ولا المهر المسمّی، بل ولا مهر المثل إذا دخل بها؛ لأنّها بَغِیّة بمقتضی إقرارها، إلّا أن تُظهِر عذراً فی ذلک، وتردّ علی المدّعی بعد موت الزوج، أو طلاقه، إلی غیر ذلک</w:t>
      </w:r>
      <w:r>
        <w:rPr>
          <w:rFonts w:eastAsia="IRNazanin" w:cs="IRNazanin"/>
          <w:color w:val="111111"/>
          <w:sz w:val="28"/>
          <w:szCs w:val="28"/>
          <w:rtl w:val="true"/>
          <w:lang w:bidi="fa-IR"/>
        </w:rPr>
        <w:t>.</w:t>
      </w:r>
    </w:p>
    <w:p>
      <w:pPr>
        <w:pStyle w:val="Heading4"/>
        <w:numPr>
          <w:ilvl w:val="3"/>
          <w:numId w:val="1"/>
        </w:numPr>
        <w:rPr/>
      </w:pPr>
      <w:bookmarkStart w:id="918" w:name="__RefHeading___Toc2139086_2322387425"/>
      <w:bookmarkStart w:id="919" w:name="_Toc336"/>
      <w:bookmarkEnd w:id="918"/>
      <w:r>
        <w:rPr>
          <w:rtl w:val="true"/>
        </w:rPr>
        <w:t>تزوّج من ادّعی زوجیّتها رجل مع إنکارها</w:t>
      </w:r>
      <w:bookmarkEnd w:id="919"/>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رجل زوجیّة امرأةٍ وأنکرت، فهل یجوز لها أن تتزوّج من غیره قبل تمامیّة الدعوی مع الأوّل، وکذا یجوز لذلک الغیر تزویجها، أو لا إلّا بعد فراغها من المدّعی؟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قبل ثبوت دعوی المدّعی خلیّة ومسلّطة علی نفسها، ومن تعلّق</w:t>
      </w:r>
      <w:r>
        <w:rPr>
          <w:rStyle w:val="FootnoteAnchor"/>
          <w:rtl w:val="true"/>
        </w:rPr>
        <w:footnoteReference w:id="1588"/>
      </w:r>
      <w:r>
        <w:rPr>
          <w:rFonts w:ascii="Amiri" w:hAnsi="Amiri" w:eastAsia="Amiri" w:cs="Amiri"/>
          <w:color w:val="111111"/>
          <w:sz w:val="28"/>
          <w:sz w:val="28"/>
          <w:szCs w:val="28"/>
          <w:rtl w:val="true"/>
          <w:lang w:bidi="ar-SA"/>
        </w:rPr>
        <w:t> حقّ المدّعی</w:t>
      </w:r>
      <w:r>
        <w:rPr>
          <w:rStyle w:val="FootnoteAnchor"/>
          <w:rtl w:val="true"/>
        </w:rPr>
        <w:footnoteReference w:id="1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دعوی المدّعی لا یثبت له حقّاً حتّی یحرم تفویته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وکونها فی معرض  </w:t>
      </w:r>
    </w:p>
    <w:p>
      <w:pPr>
        <w:pStyle w:val="BookText"/>
        <w:rPr/>
      </w:pPr>
      <w:r>
        <w:rPr>
          <w:rFonts w:ascii="IRNazanin" w:hAnsi="IRNazanin" w:eastAsia="IRNazanin"/>
          <w:color w:val="111111"/>
          <w:sz w:val="28"/>
          <w:sz w:val="28"/>
          <w:szCs w:val="28"/>
          <w:rtl w:val="true"/>
          <w:lang w:bidi="fa-IR"/>
        </w:rPr>
        <w:t>ثبوت زوجیّتها للمدّعی، مع أنّ ذلک تفویت حقّ المدّعی إذا ردّت الحلف علیه وحلف، فإنّه لیس حجّةً علی غیرها وهو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التفصیل بین ما إذا طالت الدعوی ـ فیجوز للضرر علیها بمنعها حینئذٍ ـ وبین غیر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الوجه</w:t>
      </w:r>
      <w:r>
        <w:rPr>
          <w:rStyle w:val="FootnoteAnchor"/>
          <w:rtl w:val="true"/>
        </w:rPr>
        <w:footnoteReference w:id="1590"/>
      </w:r>
      <w:r>
        <w:rPr>
          <w:rFonts w:ascii="Amiri" w:hAnsi="Amiri" w:eastAsia="Amiri" w:cs="Amiri"/>
          <w:color w:val="111111"/>
          <w:sz w:val="28"/>
          <w:sz w:val="28"/>
          <w:szCs w:val="28"/>
          <w:rtl w:val="true"/>
          <w:lang w:bidi="ar-SA"/>
        </w:rPr>
        <w:t> الأوّل</w:t>
      </w:r>
      <w:r>
        <w:rPr>
          <w:rStyle w:val="FootnoteAnchor"/>
          <w:rtl w:val="true"/>
        </w:rPr>
        <w:footnoteReference w:id="1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الأقوی هو الثانی، إلّا إذا استوجب ضرراً علیها فتتزوّج، وإذا ثبتت دعوی مدّعِی الزوجیّة السابقة ظهر بطلان عقد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تعلّق الحقّ بمجرّد الدعوی قبل ثبوتها، وعدم کون التزویج موجباً للتفویت فیما إذا حلف بعد الردّ علیه؛ لعدم ثبوت الحقّ حاله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وحینئذٍ فإن أقام  المدّعی بیّنةً وحُکِم له بها کشف عن فساد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له بیّنة وحلفت</w:t>
      </w:r>
      <w:r>
        <w:rPr>
          <w:rStyle w:val="FootnoteAnchor"/>
          <w:rtl w:val="true"/>
        </w:rPr>
        <w:footnoteReference w:id="1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الطریق الوحید للمدّعی إقامة البیّنة، ومع عدمها لا مجال للترافع، فلاتصل النوبة إلی الحلف أو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بعدم ثبوت حقّ الحلف للمدّعی فی مثل هذه الموارد، وعدمسماع دعواه إلّا مع البیّنة، کما أشرنا إلیه فی 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بقیت علی     </w:t>
      </w:r>
      <w:r>
        <w:rPr>
          <w:rFonts w:eastAsia="IRNazanin" w:cs="IRNazanin"/>
          <w:color w:val="111111"/>
          <w:sz w:val="28"/>
          <w:szCs w:val="28"/>
          <w:rtl w:val="true"/>
          <w:lang w:bidi="fa-IR"/>
        </w:rPr>
        <w:t>.     .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زوجیّتها</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ردّت الیمین علی المدّعی وحلف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w:t>
      </w:r>
    </w:p>
    <w:p>
      <w:pPr>
        <w:pStyle w:val="BookText"/>
        <w:rPr/>
      </w:pPr>
      <w:r>
        <w:rPr>
          <w:rFonts w:ascii="IRNazanin" w:hAnsi="IRNazanin" w:eastAsia="IRNazanin"/>
          <w:color w:val="111111"/>
          <w:sz w:val="28"/>
          <w:sz w:val="28"/>
          <w:szCs w:val="28"/>
          <w:rtl w:val="true"/>
          <w:lang w:bidi="fa-IR"/>
        </w:rPr>
        <w:t>کونها زوجةً للمدّعی فیبطل العقد علیها، ومن أنّ الیمین المردودة لا یکون مسقطاً لحقّ الغیر وهو الزوج، وهذا هو الأوجه</w:t>
      </w:r>
      <w:r>
        <w:rPr>
          <w:rStyle w:val="FootnoteAnchor"/>
          <w:rtl w:val="true"/>
        </w:rPr>
        <w:footnoteReference w:id="1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هذه المسألة وسابقتها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هو الأوّل؛ لأنّ الیمین المردودة بمنزلة البیّنة علی الزوجیّة السابقةعلی العقد، فیکشف عن بطلان العقد، ووقوعه علی زوجة‌الغیر إثباتاً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کون الأوجه هو الأوّل؛ فإنّه إنّما یحلف الیمین المردودة لإثبات ما کانادّعاه علیها حین ما کانت خلیّةً من هذا الزوج، ولم یکن لدعواه توجّه إلیه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الدعوی فی هذه المسألة سابقة علی العقد فتفترق عن المسألة السابقةوعن مورد النصّ، فیتوجّه الیمین علی المرأة، ومع الردّ یتوجّه علی المدّعی، وبعدیمینه تثبت زوجیّته، ومعه یمکن الحکم بانتفاء زوجیّة الآخر؛ لأنّه من أحکامها، ولکن 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الوجه الأوّل أظهر؛ من جهة أنّ الیمین المردودة تُثبت الدعوی حینما کانت خلیّةً من الزوج، ولم یکن لدعواه توجّه إلیه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فیثمر فیما إذا طلّقها  </w:t>
      </w:r>
      <w:bookmarkStart w:id="920" w:name="pg13286_154100"/>
    </w:p>
    <w:p>
      <w:pPr>
        <w:pStyle w:val="BookText"/>
        <w:rPr/>
      </w:pPr>
      <w:bookmarkEnd w:id="920"/>
      <w:r>
        <w:rPr>
          <w:rFonts w:ascii="IRNazanin" w:hAnsi="IRNazanin" w:eastAsia="IRNazanin"/>
          <w:color w:val="111111"/>
          <w:sz w:val="28"/>
          <w:sz w:val="28"/>
          <w:szCs w:val="28"/>
          <w:rtl w:val="true"/>
          <w:lang w:bidi="fa-IR"/>
        </w:rPr>
        <w:t>الزوج أو مات عنها فإنّها حینئذٍ تردّ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سیّالة تجری فی دعوی الأملاک وغیرها</w:t>
      </w:r>
      <w:r>
        <w:rPr>
          <w:rStyle w:val="FootnoteAnchor"/>
          <w:rtl w:val="true"/>
        </w:rPr>
        <w:footnoteReference w:id="1595"/>
      </w:r>
      <w:r>
        <w:rPr>
          <w:rFonts w:ascii="IRNazanin" w:hAnsi="IRNazanin" w:eastAsia="IRNazanin"/>
          <w:color w:val="111111"/>
          <w:sz w:val="28"/>
          <w:sz w:val="28"/>
          <w:szCs w:val="28"/>
          <w:rtl w:val="true"/>
          <w:lang w:bidi="fa-IR"/>
        </w:rPr>
        <w:t> أیضاً، والله العالم</w:t>
      </w:r>
      <w:r>
        <w:rPr>
          <w:rFonts w:eastAsia="IRNazanin" w:cs="IRNazanin"/>
          <w:color w:val="111111"/>
          <w:sz w:val="28"/>
          <w:szCs w:val="28"/>
          <w:rtl w:val="true"/>
          <w:lang w:bidi="fa-IR"/>
        </w:rPr>
        <w:t>.</w:t>
      </w:r>
    </w:p>
    <w:p>
      <w:pPr>
        <w:pStyle w:val="Heading4"/>
        <w:numPr>
          <w:ilvl w:val="3"/>
          <w:numId w:val="1"/>
        </w:numPr>
        <w:rPr/>
      </w:pPr>
      <w:bookmarkStart w:id="921" w:name="__RefHeading___Toc2139088_2322387425"/>
      <w:bookmarkStart w:id="922" w:name="_Toc337"/>
      <w:bookmarkEnd w:id="921"/>
      <w:r>
        <w:rPr>
          <w:rtl w:val="true"/>
        </w:rPr>
        <w:t>من أنکرت دعوی زوجیّتها من رجل وادّعت زوجیّته من اُختها أو اُمّها أو بنتها</w:t>
      </w:r>
      <w:bookmarkEnd w:id="922"/>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رجل زوجیّة امرأة، فأنکرت وادّعت زوجیّة امرأةٍ اُخری لا یصحّ شرعاً</w:t>
      </w:r>
      <w:r>
        <w:rPr>
          <w:rStyle w:val="FootnoteAnchor"/>
          <w:rtl w:val="true"/>
        </w:rPr>
        <w:footnoteReference w:id="1596"/>
      </w:r>
      <w:r>
        <w:rPr>
          <w:rFonts w:ascii="IRNazanin" w:hAnsi="IRNazanin" w:eastAsia="IRNazanin"/>
          <w:color w:val="111111"/>
          <w:sz w:val="28"/>
          <w:sz w:val="28"/>
          <w:szCs w:val="28"/>
          <w:rtl w:val="true"/>
          <w:lang w:bidi="fa-IR"/>
        </w:rPr>
        <w:t xml:space="preserve"> زوجیّتها لذلک الرجل مع الامرأة الاُولی، کما إذا کانت اُخت الاُولی أو اُمّها أو بنتها، فهناک دعویان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علی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الامرأة الاُخری علی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لا یکون هناک بیّنة لواحدٍ من المدّعیَین، أو یکون لأحدهما دون الآخر، أو لکلیهما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الأوّل</w:t>
      </w:r>
      <w:r>
        <w:rPr>
          <w:rStyle w:val="FootnoteAnchor"/>
          <w:rtl w:val="true"/>
        </w:rPr>
        <w:footnoteReference w:id="1597"/>
      </w:r>
      <w:r>
        <w:rPr>
          <w:rFonts w:ascii="IRNazanin" w:hAnsi="IRNazanin" w:eastAsia="IRNazanin"/>
          <w:color w:val="111111"/>
          <w:sz w:val="28"/>
          <w:sz w:val="28"/>
          <w:szCs w:val="28"/>
          <w:rtl w:val="true"/>
          <w:lang w:bidi="fa-IR"/>
        </w:rPr>
        <w:t> یتوجّه الیمین علی المنکِر فی کلتا الدعویَین،فإن حلفا سقطت الدعویان</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نکلا</w:t>
      </w:r>
      <w:r>
        <w:rPr>
          <w:rStyle w:val="FootnoteAnchor"/>
          <w:rtl w:val="true"/>
        </w:rPr>
        <w:footnoteReference w:id="1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سقوط الدعویَین فی صورة النکول للتعارض والتساقط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سقطت الدعویان، لکن لتعارض الحِلفَین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السقوط فی هذه الصورة إنّما هو لأجل عدم إمکان الثبوت؛ للتعارض الموجب للتساقط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وحلفت کلّ من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المدّعیَین</w:t>
      </w:r>
      <w:r>
        <w:rPr>
          <w:rStyle w:val="FootnoteAnchor"/>
          <w:rtl w:val="true"/>
        </w:rPr>
        <w:footnoteReference w:id="1600"/>
      </w:r>
      <w:r>
        <w:rPr>
          <w:rFonts w:ascii="IRNazanin" w:hAnsi="IRNazanin" w:eastAsia="IRNazanin"/>
          <w:color w:val="111111"/>
          <w:sz w:val="28"/>
          <w:sz w:val="28"/>
          <w:szCs w:val="28"/>
          <w:rtl w:val="true"/>
          <w:lang w:bidi="fa-IR"/>
        </w:rPr>
        <w:t> الیمین المردودة</w:t>
      </w:r>
      <w:r>
        <w:rPr>
          <w:rStyle w:val="FootnoteAnchor"/>
          <w:rtl w:val="true"/>
        </w:rPr>
        <w:footnoteReference w:id="1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الدعویَین فی الفرض الأوّل للعمل بحلف کلٍّ من المنکرین، وسقوطهما فی الفرض الثانی لتعارض الیمین المردودة من المدّعِیَین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حلف أحدهما ونکل الآخر وحلف  مدّعیه الیمین المردودة سقطت دعوی الأوّل وثبت مدّعی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الثانی ـ وهو ما إذا کان لأحدهما بیّنة</w:t>
      </w:r>
      <w:r>
        <w:rPr>
          <w:rStyle w:val="FootnoteAnchor"/>
          <w:rtl w:val="true"/>
        </w:rPr>
        <w:footnoteReference w:id="1602"/>
      </w:r>
      <w:r>
        <w:rPr>
          <w:rFonts w:ascii="IRNazanin" w:hAnsi="IRNazanin" w:eastAsia="IRNazanin"/>
          <w:color w:val="111111"/>
          <w:sz w:val="28"/>
          <w:sz w:val="28"/>
          <w:szCs w:val="28"/>
          <w:rtl w:val="true"/>
          <w:lang w:bidi="fa-IR"/>
        </w:rPr>
        <w:t xml:space="preserve"> ـ ثبت مدّعی مَن له  البیّنة، وهل تسقط دعوی الآخر، أو تجری علیه قواعد الدعوی من حلف المنکِر أو ردّه؟ </w:t>
      </w:r>
    </w:p>
    <w:p>
      <w:pPr>
        <w:pStyle w:val="BookText"/>
        <w:rPr/>
      </w:pPr>
      <w:r>
        <w:rPr>
          <w:rFonts w:ascii="Amiri" w:hAnsi="Amiri" w:eastAsia="Amiri" w:cs="Amiri"/>
          <w:color w:val="111111"/>
          <w:sz w:val="28"/>
          <w:sz w:val="28"/>
          <w:szCs w:val="28"/>
          <w:rtl w:val="true"/>
          <w:lang w:bidi="ar-SA"/>
        </w:rPr>
        <w:t>قد یُدّعی القطع بالثانی</w:t>
      </w:r>
      <w:r>
        <w:rPr>
          <w:rStyle w:val="FootnoteAnchor"/>
          <w:rtl w:val="true"/>
        </w:rPr>
        <w:footnoteReference w:id="1603"/>
      </w:r>
      <w:r>
        <w:rPr>
          <w:rFonts w:ascii="Amiri" w:hAnsi="Amiri" w:eastAsia="Amiri" w:cs="Amiri"/>
          <w:color w:val="111111"/>
          <w:sz w:val="28"/>
          <w:sz w:val="28"/>
          <w:szCs w:val="28"/>
          <w:rtl w:val="true"/>
          <w:lang w:bidi="ar-SA"/>
        </w:rPr>
        <w:t>؛ لأنّ کلّ دعوی لابدّ فیها من البیّنة أو 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یبعد</w:t>
      </w:r>
      <w:r>
        <w:rPr>
          <w:rStyle w:val="FootnoteAnchor"/>
          <w:rtl w:val="true"/>
        </w:rPr>
        <w:footnoteReference w:id="1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تقویة الوجه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البیّنة حجّة شرعیّة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البیّنة فی اللوازم فی غیر مقام القضاء لا یوجب أن یکون کذلک فی مقام القضاء إذا کان هناک دَعویان أحدهما فی الملزوم، والآخر فی اللازم، والمدّعی فیأحدهما غیر المّدعی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تمام اللوازم بها حتّی فی صورة کونها مورد النزاع غیر صافٍ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تکفی البیّنة لإثبات الدعوی الثانیة، فلابدّ فیها من فصلٍ جدید؛ فإنّ حجّیّةالبیّنة فی اللوازم فی مقام العمل لا تلازم حجّیّتها فی فصل الخصومات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ثبت بها زوجیّة إحدی الامرأتَین لا یمکن معه زوجیّة الاُخری؛ لأنّ المفروض عدم إمکان الجمع بین الامرأتَین، فلازم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زوجیّة إحداهما بالأمارة الشرعیّة عدم زوجیّة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الثالث</w:t>
      </w:r>
      <w:r>
        <w:rPr>
          <w:rStyle w:val="FootnoteAnchor"/>
          <w:rtl w:val="true"/>
        </w:rPr>
        <w:footnoteReference w:id="1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تکون البیّنتان مطلقتَین</w:t>
      </w:r>
      <w:r>
        <w:rPr>
          <w:rStyle w:val="FootnoteAnchor"/>
          <w:rtl w:val="true"/>
        </w:rPr>
        <w:footnoteReference w:id="1606"/>
      </w:r>
      <w:r>
        <w:rPr>
          <w:rFonts w:ascii="Amiri" w:hAnsi="Amiri" w:eastAsia="Amiri" w:cs="Amiri"/>
          <w:color w:val="111111"/>
          <w:sz w:val="28"/>
          <w:sz w:val="28"/>
          <w:szCs w:val="28"/>
          <w:rtl w:val="true"/>
          <w:lang w:bidi="ar-SA"/>
        </w:rPr>
        <w:t>، أو مورّختَین</w:t>
      </w:r>
      <w:r>
        <w:rPr>
          <w:rStyle w:val="FootnoteAnchor"/>
          <w:rtl w:val="true"/>
        </w:rPr>
        <w:footnoteReference w:id="1607"/>
      </w:r>
      <w:r>
        <w:rPr>
          <w:rFonts w:ascii="IRNazanin" w:hAnsi="IRNazanin" w:eastAsia="IRNazanin"/>
          <w:color w:val="111111"/>
          <w:sz w:val="28"/>
          <w:sz w:val="28"/>
          <w:szCs w:val="28"/>
          <w:rtl w:val="true"/>
          <w:lang w:bidi="fa-IR"/>
        </w:rPr>
        <w:t>، متقارنتَین، أو تاریخ إحداهما أسبق</w:t>
      </w:r>
      <w:r>
        <w:rPr>
          <w:rStyle w:val="FootnoteAnchor"/>
          <w:rtl w:val="true"/>
        </w:rPr>
        <w:footnoteReference w:id="1608"/>
      </w:r>
      <w:r>
        <w:rPr>
          <w:rFonts w:ascii="Amiri" w:hAnsi="Amiri" w:eastAsia="Amiri" w:cs="Amiri"/>
          <w:color w:val="111111"/>
          <w:sz w:val="28"/>
          <w:sz w:val="28"/>
          <w:szCs w:val="28"/>
          <w:rtl w:val="true"/>
          <w:lang w:bidi="ar-SA"/>
        </w:rPr>
        <w:t> من الاُخری</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الأوّلَین تتساقطان، ویکون کما لو لم یکن بیّنة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ترجّح الأسبق</w:t>
      </w:r>
      <w:r>
        <w:rPr>
          <w:rStyle w:val="FootnoteAnchor"/>
          <w:rtl w:val="true"/>
        </w:rPr>
        <w:footnoteReference w:id="16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مستند بیّنة اللاحق العلم ومستند بیّنة الأسبق الاستصحاب فتُقدَّم بیّنةاللاحق، کما أنّه إن کان مستندهما جمیعاً هو العلم فالظاهر أنّهما یتعارضان، فلابدّمن ملاحظة المستند فی البیّنة،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تشهد بالزوجیّة من ذلک التاریخ</w:t>
      </w:r>
    </w:p>
    <w:p>
      <w:pPr>
        <w:pStyle w:val="BookText"/>
        <w:rPr/>
      </w:pPr>
      <w:r>
        <w:rPr>
          <w:rFonts w:ascii="IRNazanin" w:hAnsi="IRNazanin" w:eastAsia="IRNazanin"/>
          <w:color w:val="111111"/>
          <w:sz w:val="28"/>
          <w:sz w:val="28"/>
          <w:szCs w:val="28"/>
          <w:rtl w:val="true"/>
          <w:lang w:bidi="fa-IR"/>
        </w:rPr>
        <w:t>إلی زمان الثانیة</w:t>
      </w:r>
      <w:r>
        <w:rPr>
          <w:rStyle w:val="FootnoteAnchor"/>
          <w:rtl w:val="true"/>
        </w:rPr>
        <w:footnoteReference w:id="1611"/>
      </w:r>
      <w:r>
        <w:rPr>
          <w:rFonts w:ascii="IRNazanin" w:hAnsi="IRNazanin" w:eastAsia="IRNazanin"/>
          <w:color w:val="111111"/>
          <w:sz w:val="28"/>
          <w:sz w:val="28"/>
          <w:szCs w:val="28"/>
          <w:rtl w:val="true"/>
          <w:lang w:bidi="fa-IR"/>
        </w:rPr>
        <w:t>، وإن لم تشهد ببقائها إلی زمان الثانیة فکذلک إذا کانت   </w:t>
      </w:r>
    </w:p>
    <w:p>
      <w:pPr>
        <w:pStyle w:val="BookText"/>
        <w:rPr/>
      </w:pPr>
      <w:r>
        <w:rPr>
          <w:rFonts w:ascii="IRNazanin" w:hAnsi="IRNazanin" w:eastAsia="IRNazanin"/>
          <w:color w:val="111111"/>
          <w:sz w:val="28"/>
          <w:sz w:val="28"/>
          <w:szCs w:val="28"/>
          <w:rtl w:val="true"/>
          <w:lang w:bidi="fa-IR"/>
        </w:rPr>
        <w:t>الامرأتان الاُمّ والبنت مع تقدّم تاریخ البنت، بخلاف الاُختین والاُمّ والبنت مع تقدّم تاریخ الاُمّ؛ لإمکان صحّة العقدَین بأن طلّق الاُولی وعقد علی الثانیة فی الاُختَین، وطلّق الاُمّ مع عدم الدخول بها، وحینئذٍ ففی ترجیح الثانیة أو التساقط وجهان</w:t>
      </w:r>
      <w:r>
        <w:rPr>
          <w:rStyle w:val="FootnoteAnchor"/>
          <w:rtl w:val="true"/>
        </w:rPr>
        <w:footnoteReference w:id="1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یفرض شهادة البیّنتَین علی العقد، واُخری یفرض شهادتهما علی الزوجیّة،فعلی الأوّل لا تنافی بینهما إلّا فی الاُمّ والبنت، وکان تاریخ عقد البنت مقدَّماً علی تاریخ عقد الاُمّ، وفی مثله تتقدّم البیّنة الاُولی علی البیّنة الثانیة؛ لأنّها ترفع موضوعها، وأمّا فی غیر الاُمّ والبنت کما فی الاُختین أو فیهما إذا کان تاریخ عقدالاُمّ متقدِّماً علی عقد البنت فعندئذ لا تنافی بین البیّنتَین؛ لإمکان صحّة کلا العقدَین معاً؛ إذ من المحتمل أن یطلِّق الاُولی ویتزوّج بالاُخری؛ وعلیه فیوخذ علی طبقالبیّنة الثانیة، فیحکم بصحّة العقد علی المرأة الاُخری؛ لأصالة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الثانیفإن کانت البیّنة الاُولی قائمةً علی زوجیّة المرأة الاُولی فعلاً فعندئذٍ تسقط من جهةالمعارضة مع البیّنة الثانیة الّتی تدلّ علی زوجیّة المرأة الاُخری، فیکون المرجع فیالمسألة هو استصحاب بقاء زوجیّة الاُولی، إلّا فیما کانت المعارضة بینهما فی الاُمّوالبنت وکانت زوجیّة البنت متقدِّمةً علی زوجیّة الاُمّ؛ فإنّه حینئذٍ کما أنّ البیّنةالثانیة تعارض البیّنة الاُولی فی البقاء کذلک تعارضها فی الحدوث؛ وعلیه فبعدسقوطهما لا یمکن الرجوع إلی استصحاب بقاء زوجیّة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الروایة الواردةفی المسألة فهی ضعیفة لا یمکن الاعتماد علیها؛ وبذلک یظهر ما فی قول الماتن قبلأسطر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ترجّح الأسبق إذا کانت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البیّنة الاُولی قائمةًعلی زوجیّة المرأة الاُولی فحسب من دون دلالتها علی أنّها زوجته فعلاً فعندئذٍحال هذا الفرض حال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إمکان الجمع لا وجه للتردید بین الترجیح والتساقط، بل یعمل بکلتاالبیّنتَین، ولو شهدت کلتاهما بالزوجیّة الفعلیّة فلا وجه إلّا التساقط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دعوی أقربیّة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کان المفروض عدم شهادة الأسبق بالبقاء إلی زمان الثانیة ـ ولازم ذلک الشهادة بنفس وقوع العقد صحیحاً، وحدوث الزوجیّة قبلاً ـ لا مجال للتردید فیترجیح الثانیة علیها؛ لإمکان صدقها واجتماعها مع الاُولی، من دون فرقٍ بین أنتشهد بالزوجیّة الفعلیّة أو بوقوع العقد الظاهر فی کونه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وردت روایة</w:t>
      </w:r>
      <w:r>
        <w:rPr>
          <w:rStyle w:val="FootnoteAnchor"/>
          <w:rtl w:val="true"/>
        </w:rPr>
        <w:footnoteReference w:id="1613"/>
      </w:r>
      <w:r>
        <w:rPr>
          <w:rFonts w:ascii="IRNazanin" w:hAnsi="IRNazanin" w:eastAsia="IRNazanin"/>
          <w:color w:val="111111"/>
          <w:sz w:val="28"/>
          <w:sz w:val="28"/>
          <w:szCs w:val="28"/>
          <w:rtl w:val="true"/>
          <w:lang w:bidi="fa-IR"/>
        </w:rPr>
        <w:t> تدلّ علی تقدیم بیّنة الرجل، إلّا مع سبق بیّنة الامرأة المدّعیة أو الدخول بها فی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بها المشهور فی خصوص الاُختَین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من تعدّی</w:t>
      </w:r>
      <w:r>
        <w:rPr>
          <w:rStyle w:val="FootnoteAnchor"/>
          <w:rtl w:val="true"/>
        </w:rPr>
        <w:footnoteReference w:id="1614"/>
      </w:r>
      <w:r>
        <w:rPr>
          <w:rFonts w:ascii="Amiri" w:hAnsi="Amiri" w:eastAsia="Amiri" w:cs="Amiri"/>
          <w:color w:val="111111"/>
          <w:sz w:val="28"/>
          <w:sz w:val="28"/>
          <w:szCs w:val="28"/>
          <w:rtl w:val="true"/>
          <w:lang w:bidi="ar-SA"/>
        </w:rPr>
        <w:t> إلی الاُمّ</w:t>
      </w:r>
      <w:r>
        <w:rPr>
          <w:rStyle w:val="FootnoteAnchor"/>
          <w:rtl w:val="true"/>
        </w:rPr>
        <w:footnoteReference w:id="1615"/>
      </w:r>
      <w:r>
        <w:rPr>
          <w:rFonts w:ascii="IRNazanin" w:hAnsi="IRNazanin" w:eastAsia="IRNazanin"/>
          <w:color w:val="111111"/>
          <w:sz w:val="28"/>
          <w:sz w:val="28"/>
          <w:szCs w:val="28"/>
          <w:rtl w:val="true"/>
          <w:lang w:bidi="fa-IR"/>
        </w:rPr>
        <w:t> والبنت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العمل بها حتّی فی موردها مشکل</w:t>
      </w:r>
      <w:r>
        <w:rPr>
          <w:rStyle w:val="FootnoteAnchor"/>
          <w:rtl w:val="true"/>
        </w:rPr>
        <w:footnoteReference w:id="1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بالروایة فی موردها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بالعمل بها فی موردها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ولا بأس بمخالفتها للقواعد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العمل بها فی موردها، نعم، فی التعدّی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بها فی موردها، ولا یتعدّی إلی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بالعمل بها فی موردها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بالروایة فی موردها متعیّن، نعم، لا وجه للتعدّی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ومجرّد المخالفة للقواعد علی فرضها لا یمنع عن العمل بالروایة،خصوصاً بعد عمل المشهور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لمخالفتها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مخالفتها للقواعد بعد انجبار ضعفها بالعمل، ولزوم الشاهد فی الحمل المفقود فیالمقام لا توجب طرحها، فالعمل بها فی موردها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للقواعد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کالتقدیم بلا مرجّح، وکالأخذ ببیّنة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وإمکان حملها علی بعض</w:t>
      </w:r>
      <w:bookmarkStart w:id="923" w:name="pg13286_154107"/>
    </w:p>
    <w:p>
      <w:pPr>
        <w:pStyle w:val="BookText"/>
        <w:rPr/>
      </w:pPr>
      <w:bookmarkEnd w:id="923"/>
      <w:r>
        <w:rPr>
          <w:rFonts w:ascii="IRNazanin" w:hAnsi="IRNazanin" w:eastAsia="IRNazanin"/>
          <w:color w:val="111111"/>
          <w:sz w:val="28"/>
          <w:sz w:val="28"/>
          <w:szCs w:val="28"/>
          <w:rtl w:val="true"/>
          <w:lang w:bidi="fa-IR"/>
        </w:rPr>
        <w:t>المحامل</w:t>
      </w:r>
      <w:r>
        <w:rPr>
          <w:rStyle w:val="FootnoteAnchor"/>
          <w:rtl w:val="true"/>
        </w:rPr>
        <w:footnoteReference w:id="1617"/>
      </w:r>
      <w:r>
        <w:rPr>
          <w:rFonts w:ascii="IRNazanin" w:hAnsi="IRNazanin" w:eastAsia="IRNazanin"/>
          <w:color w:val="111111"/>
          <w:sz w:val="28"/>
          <w:sz w:val="28"/>
          <w:szCs w:val="28"/>
          <w:rtl w:val="true"/>
          <w:lang w:bidi="fa-IR"/>
        </w:rPr>
        <w:t> الّتی لا تخالف القواعد</w:t>
      </w:r>
      <w:r>
        <w:rPr>
          <w:rFonts w:eastAsia="IRNazanin" w:cs="IRNazanin"/>
          <w:color w:val="111111"/>
          <w:sz w:val="28"/>
          <w:szCs w:val="28"/>
          <w:rtl w:val="true"/>
          <w:lang w:bidi="fa-IR"/>
        </w:rPr>
        <w:t>.</w:t>
      </w:r>
    </w:p>
    <w:p>
      <w:pPr>
        <w:pStyle w:val="Heading4"/>
        <w:numPr>
          <w:ilvl w:val="3"/>
          <w:numId w:val="1"/>
        </w:numPr>
        <w:rPr/>
      </w:pPr>
      <w:bookmarkStart w:id="924" w:name="__RefHeading___Toc2139090_2322387425"/>
      <w:bookmarkStart w:id="925" w:name="_Toc338"/>
      <w:bookmarkEnd w:id="924"/>
      <w:r>
        <w:rPr>
          <w:rtl w:val="true"/>
        </w:rPr>
        <w:t>زوجیّة العبد من مملوکة اشتراها لاحقاً له أو للمولی أو مطلقاً</w:t>
      </w:r>
      <w:bookmarkEnd w:id="925"/>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العبد بمملوکةٍ ثمّ اشتراها بإذن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اشتراها للمولی بقی نکاحها</w:t>
      </w:r>
      <w:r>
        <w:rPr>
          <w:rStyle w:val="FootnoteAnchor"/>
          <w:rtl w:val="true"/>
        </w:rPr>
        <w:footnoteReference w:id="1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بیع الأمة طلاقها، وعلی هذا فیثبت الخیار للمولی علی أساس أنّه المشتری لها، فإن أجاز بقی النکاح، وإلّا انفسخ؛ وعلیه فلا یجوز للعبد وطوها إلّابإجازة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للمولی الخیار فی الفسخ والإمضاء، والأحوط للعبد ترک وطئها بدون إمضاء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إشکال فی جواز وطئها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یفسخ الولیّ نکاحهما، أو یعلم بعدم إذنه فی وطئها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رضِیَ مولاها الجدید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الاستئذان لا بلحاظه، بل بلحاظها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اشتراها لنفسه بطل نکاحها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وحلّت له بالملک علی الأقوی من ملکیّة العبد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ملکیّته محلّ تأمّل، کما أنّ بطلان النکاح بها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یفتقر وطوها حینئذٍ إلی الإذن من المولی، أو لا؟ وجهان </w:t>
      </w:r>
      <w:r>
        <w:rPr>
          <w:rFonts w:eastAsia="IRNazanin" w:cs="IRNazanin"/>
          <w:color w:val="111111"/>
          <w:sz w:val="28"/>
          <w:szCs w:val="28"/>
          <w:rtl w:val="true"/>
          <w:lang w:bidi="fa-IR"/>
        </w:rPr>
        <w:t>:  </w:t>
      </w:r>
      <w:bookmarkStart w:id="926" w:name="pg13286_154108"/>
    </w:p>
    <w:p>
      <w:pPr>
        <w:pStyle w:val="BookText"/>
        <w:rPr/>
      </w:pPr>
      <w:bookmarkEnd w:id="926"/>
      <w:r>
        <w:rPr>
          <w:rFonts w:ascii="IRNazanin" w:hAnsi="IRNazanin" w:eastAsia="IRNazanin"/>
          <w:color w:val="111111"/>
          <w:sz w:val="28"/>
          <w:sz w:val="28"/>
          <w:szCs w:val="28"/>
          <w:rtl w:val="true"/>
          <w:lang w:bidi="fa-IR"/>
        </w:rPr>
        <w:t>أقواهما ذلک</w:t>
      </w:r>
      <w:r>
        <w:rPr>
          <w:rStyle w:val="FootnoteAnchor"/>
          <w:rtl w:val="true"/>
        </w:rPr>
        <w:footnoteReference w:id="1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الوجه الثانی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الإذن السابق إنّما کان بعنوان الزوجیّة، وقد زالت بالملک فیحتاج إلی الإذن الجدید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اشتراها لا بقصد کونها لنفسه أو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اشتراها بعین مال المولی کانت له وتبقی الزوجیّة</w:t>
      </w:r>
      <w:r>
        <w:rPr>
          <w:rStyle w:val="FootnoteAnchor"/>
          <w:rtl w:val="true"/>
        </w:rPr>
        <w:footnoteReference w:id="1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الخیار للمولی بنحو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ما مرّ، وکذا البطلان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اشتراها بعین ماله کانت له وبطلت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اشتراها فی الذمّة؛ لانصرافه إلی ذمّة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الحاجة إلی الإذن الجدید وعدمها الوجهان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الاحتیاج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أنّ الأوفق بالقواعد عدم الحاجة إلی الإذن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2139092_2322387425"/>
      <w:bookmarkStart w:id="928" w:name="_Toc339"/>
      <w:bookmarkEnd w:id="927"/>
      <w:r>
        <w:rPr>
          <w:rtl w:val="true"/>
        </w:rPr>
        <w:t>تصدیق دعوی عدم الزوجیّة من غیر فحص</w:t>
      </w:r>
      <w:bookmarkEnd w:id="92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تزویج امرأةٍ تدّعی أنّها خلیّة من الزوج، من غیر فحصٍ مع عدم حصول العلم</w:t>
      </w:r>
      <w:r>
        <w:rPr>
          <w:rStyle w:val="FootnoteAnchor"/>
          <w:rtl w:val="true"/>
        </w:rPr>
        <w:footnoteReference w:id="1621"/>
      </w:r>
      <w:r>
        <w:rPr>
          <w:rFonts w:ascii="IRNazanin" w:hAnsi="IRNazanin" w:eastAsia="IRNazanin"/>
          <w:color w:val="111111"/>
          <w:sz w:val="28"/>
          <w:sz w:val="28"/>
          <w:szCs w:val="28"/>
          <w:rtl w:val="true"/>
          <w:lang w:bidi="fa-IR"/>
        </w:rPr>
        <w:t> بقولها، بل وکذا</w:t>
      </w:r>
      <w:r>
        <w:rPr>
          <w:rStyle w:val="FootnoteAnchor"/>
          <w:rtl w:val="true"/>
        </w:rPr>
        <w:footnoteReference w:id="1622"/>
      </w:r>
      <w:r>
        <w:rPr>
          <w:rFonts w:ascii="Amiri" w:hAnsi="Amiri" w:eastAsia="Amiri" w:cs="Amiri"/>
          <w:color w:val="111111"/>
          <w:sz w:val="28"/>
          <w:sz w:val="28"/>
          <w:szCs w:val="28"/>
          <w:rtl w:val="true"/>
          <w:lang w:bidi="ar-SA"/>
        </w:rPr>
        <w:t xml:space="preserve"> إذا لم تدّعِ ذلک ولکن دعت   </w:t>
      </w:r>
    </w:p>
    <w:p>
      <w:pPr>
        <w:pStyle w:val="BookText"/>
        <w:rPr/>
      </w:pPr>
      <w:r>
        <w:rPr>
          <w:rFonts w:ascii="IRNazanin" w:hAnsi="IRNazanin" w:eastAsia="IRNazanin"/>
          <w:color w:val="111111"/>
          <w:sz w:val="28"/>
          <w:sz w:val="28"/>
          <w:szCs w:val="28"/>
          <w:rtl w:val="true"/>
          <w:lang w:bidi="fa-IR"/>
        </w:rPr>
        <w:t>الرجل إلی تزویجها، أو أجابت إذا دَعت إلیه، بل الظاهر ذلک وإن عُلِم کونها ذات بعلٍ سابقاً وادّعت طلاقها، أو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متّهمةً فی دعواها فالأحوط</w:t>
      </w:r>
      <w:r>
        <w:rPr>
          <w:rStyle w:val="FootnoteAnchor"/>
          <w:rtl w:val="true"/>
        </w:rPr>
        <w:footnoteReference w:id="1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هذا الاحتیاط، لکنّ ترکه لیس ینبغی، وکذا الاحتیاط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ظهر جواز تزویج زوجة مَن غاب غیبةً منقطعةً ولم یُعلَم موته وحیاته إذا ادّعت حصول العلم لها بموته</w:t>
      </w:r>
      <w:r>
        <w:rPr>
          <w:rStyle w:val="FootnoteAnchor"/>
          <w:rtl w:val="true"/>
        </w:rPr>
        <w:footnoteReference w:id="1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إذا أخبرت بأنّها لا زوج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والقرائن، أو بإخبار المُخبِرِین وإن لم یحصل العلم بقولها، ویجوز للوکیل أن یجری العقد علیها ما لم یعلم کذبها فی دعوی العلم،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هذا الاحتیاط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فی مثل هذه الفروع أو الفروض الرجوع إلی حاکم الشرع العارف بالشوون العرفیّة، مضافاً إلی الموازین الشرعیّة، فیطلّق ویزوّج أو یمنع حسبما یظهر له بعد التحرّی والتحقیق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خصوصاً</w:t>
      </w:r>
      <w:bookmarkStart w:id="929" w:name="pg13286_154112"/>
    </w:p>
    <w:p>
      <w:pPr>
        <w:pStyle w:val="BookText"/>
        <w:rPr/>
      </w:pPr>
      <w:bookmarkEnd w:id="929"/>
      <w:r>
        <w:rPr>
          <w:rFonts w:ascii="Amiri" w:hAnsi="Amiri" w:eastAsia="Amiri" w:cs="Amiri"/>
          <w:color w:val="111111"/>
          <w:sz w:val="28"/>
          <w:sz w:val="28"/>
          <w:szCs w:val="28"/>
          <w:rtl w:val="true"/>
          <w:lang w:bidi="ar-SA"/>
        </w:rPr>
        <w:t>إذا کانت متّهَمة</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2139094_2322387425"/>
      <w:bookmarkStart w:id="931" w:name="_Toc340"/>
      <w:bookmarkEnd w:id="930"/>
      <w:r>
        <w:rPr>
          <w:rtl w:val="true"/>
        </w:rPr>
        <w:t>ادّعاء المرأة الزوجیّة بعد التزوّج بها</w:t>
      </w:r>
      <w:bookmarkEnd w:id="931"/>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امرأة أنّها خلیّة فتزوّجها رجل، ثمّ ادّعت بعد ذلک کونها ذاتَ بعلٍ</w:t>
      </w:r>
      <w:r>
        <w:rPr>
          <w:rStyle w:val="FootnoteAnchor"/>
          <w:rtl w:val="true"/>
        </w:rPr>
        <w:footnoteReference w:id="1625"/>
      </w:r>
      <w:r>
        <w:rPr>
          <w:rFonts w:ascii="Amiri" w:hAnsi="Amiri" w:eastAsia="Amiri" w:cs="Amiri"/>
          <w:color w:val="111111"/>
          <w:sz w:val="28"/>
          <w:sz w:val="28"/>
          <w:szCs w:val="28"/>
          <w:rtl w:val="true"/>
          <w:lang w:bidi="ar-SA"/>
        </w:rPr>
        <w:t> لم تُسمَع دعواها</w:t>
      </w:r>
      <w:r>
        <w:rPr>
          <w:rStyle w:val="FootnoteAnchor"/>
          <w:rtl w:val="true"/>
        </w:rPr>
        <w:footnoteReference w:id="1626"/>
      </w:r>
      <w:r>
        <w:rPr>
          <w:rFonts w:ascii="IRNazanin" w:hAnsi="IRNazanin" w:eastAsia="IRNazanin"/>
          <w:color w:val="111111"/>
          <w:sz w:val="28"/>
          <w:sz w:val="28"/>
          <w:szCs w:val="28"/>
          <w:rtl w:val="true"/>
          <w:lang w:bidi="fa-IR"/>
        </w:rPr>
        <w:t>، نعم، لو أقامت البیّنة علی ذلک فُرِّق بینها وبینه</w:t>
      </w:r>
      <w:r>
        <w:rPr>
          <w:rStyle w:val="FootnoteAnchor"/>
          <w:rtl w:val="true"/>
        </w:rPr>
        <w:footnoteReference w:id="1627"/>
      </w:r>
      <w:r>
        <w:rPr>
          <w:rFonts w:ascii="IRNazanin" w:hAnsi="IRNazanin" w:eastAsia="IRNazanin"/>
          <w:color w:val="111111"/>
          <w:sz w:val="28"/>
          <w:sz w:val="28"/>
          <w:szCs w:val="28"/>
          <w:rtl w:val="true"/>
          <w:lang w:bidi="fa-IR"/>
        </w:rPr>
        <w:t>، وإن لم یکن هناک زوج معیّن بل شهدت بأنّها ذات</w:t>
      </w:r>
      <w:r>
        <w:rPr>
          <w:rStyle w:val="FootnoteAnchor"/>
          <w:rtl w:val="true"/>
        </w:rPr>
        <w:footnoteReference w:id="1628"/>
      </w:r>
      <w:r>
        <w:rPr>
          <w:rFonts w:ascii="IRNazanin" w:hAnsi="IRNazanin" w:eastAsia="IRNazanin"/>
          <w:color w:val="111111"/>
          <w:sz w:val="28"/>
          <w:sz w:val="28"/>
          <w:szCs w:val="28"/>
          <w:rtl w:val="true"/>
          <w:lang w:bidi="fa-IR"/>
        </w:rPr>
        <w:t> بعلٍ علی وجه الإجمال</w:t>
      </w:r>
      <w:r>
        <w:rPr>
          <w:rFonts w:eastAsia="IRNazanin" w:cs="IRNazanin"/>
          <w:color w:val="111111"/>
          <w:sz w:val="28"/>
          <w:szCs w:val="28"/>
          <w:rtl w:val="true"/>
          <w:lang w:bidi="fa-IR"/>
        </w:rPr>
        <w:t>.</w:t>
      </w:r>
    </w:p>
    <w:p>
      <w:pPr>
        <w:pStyle w:val="Heading4"/>
        <w:numPr>
          <w:ilvl w:val="3"/>
          <w:numId w:val="1"/>
        </w:numPr>
        <w:rPr/>
      </w:pPr>
      <w:bookmarkStart w:id="932" w:name="__RefHeading___Toc2139096_2322387425"/>
      <w:bookmarkStart w:id="933" w:name="_Toc341"/>
      <w:bookmarkEnd w:id="932"/>
      <w:r>
        <w:rPr>
          <w:rtl w:val="true"/>
        </w:rPr>
        <w:t>لزوم العلم بایقاع الوکیل للعقد فی زمان معین قبل المقاربة منهما</w:t>
      </w:r>
      <w:bookmarkEnd w:id="933"/>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وکّلا وکیلا فی إجراء الصیغة فی زمانٍ معیّنٍ لا یجوز لهما المقاربة بعد مضیِّ ذلک الزمان، إلّا إذا حصل لهما العلم</w:t>
      </w:r>
      <w:r>
        <w:rPr>
          <w:rStyle w:val="FootnoteAnchor"/>
          <w:rtl w:val="true"/>
        </w:rPr>
        <w:footnoteReference w:id="1629"/>
      </w:r>
      <w:r>
        <w:rPr>
          <w:rFonts w:ascii="IRNazanin" w:hAnsi="IRNazanin" w:eastAsia="IRNazanin"/>
          <w:color w:val="111111"/>
          <w:sz w:val="28"/>
          <w:sz w:val="28"/>
          <w:szCs w:val="28"/>
          <w:rtl w:val="true"/>
          <w:lang w:bidi="fa-IR"/>
        </w:rPr>
        <w:t> بإیقاعه، ولا یکفی الظنّ بذلک وإن حصل من إخبار مُخبِرٍ بذلک وإن کان ثقة</w:t>
      </w:r>
      <w:r>
        <w:rPr>
          <w:rStyle w:val="FootnoteAnchor"/>
          <w:rtl w:val="true"/>
        </w:rPr>
        <w:footnoteReference w:id="1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 الموثوق به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حجّیّة قول الثقة وإن لم یحصل الظنّ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الکفایة بأخبار الثقة قویّ،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والصحیح ما أثبتناه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الواحد حجّة فی الموضوعات، کما هو کذلک فی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حجّیّة خبر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631"/>
      </w:r>
      <w:r>
        <w:rPr>
          <w:rFonts w:ascii="IRNazanin" w:hAnsi="IRNazanin" w:eastAsia="IRNazanin"/>
          <w:color w:val="111111"/>
          <w:sz w:val="28"/>
          <w:sz w:val="28"/>
          <w:szCs w:val="28"/>
          <w:rtl w:val="true"/>
          <w:lang w:bidi="fa-IR"/>
        </w:rPr>
        <w:t>، لو أخبر الوکیل بالإجراء کفی إذا کان ثقةً، بل مطلقاً</w:t>
      </w:r>
      <w:r>
        <w:rPr>
          <w:rStyle w:val="FootnoteAnchor"/>
          <w:rtl w:val="true"/>
        </w:rPr>
        <w:footnoteReference w:id="16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قول الوکیل 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ما وُکِّلَ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4" w:name="pg13286_154116"/>
    </w:p>
    <w:p>
      <w:pPr>
        <w:pStyle w:val="Heading3"/>
        <w:numPr>
          <w:ilvl w:val="2"/>
          <w:numId w:val="1"/>
        </w:numPr>
        <w:rPr/>
      </w:pPr>
      <w:bookmarkStart w:id="935" w:name="__RefHeading___Toc2139098_2322387425"/>
      <w:bookmarkStart w:id="936" w:name="_Toc342"/>
      <w:bookmarkEnd w:id="934"/>
      <w:bookmarkEnd w:id="935"/>
      <w:r>
        <w:rPr>
          <w:rtl w:val="true"/>
        </w:rPr>
        <w:t xml:space="preserve">فصل </w:t>
      </w:r>
      <w:r>
        <w:rPr>
          <w:rtl w:val="true"/>
        </w:rPr>
        <w:t>[</w:t>
      </w:r>
      <w:r>
        <w:rPr>
          <w:rtl w:val="true"/>
        </w:rPr>
        <w:t>فی أولیاء العقد</w:t>
      </w:r>
      <w:r>
        <w:rPr>
          <w:rtl w:val="true"/>
        </w:rPr>
        <w:t>]</w:t>
      </w:r>
      <w:bookmarkEnd w:id="936"/>
    </w:p>
    <w:p>
      <w:pPr>
        <w:pStyle w:val="Heading4"/>
        <w:numPr>
          <w:ilvl w:val="3"/>
          <w:numId w:val="1"/>
        </w:numPr>
        <w:rPr/>
      </w:pPr>
      <w:bookmarkStart w:id="937" w:name="__RefHeading___Toc2139100_2322387425"/>
      <w:bookmarkStart w:id="938" w:name="_Toc343"/>
      <w:bookmarkEnd w:id="937"/>
      <w:r>
        <w:rPr>
          <w:rtl w:val="true"/>
        </w:rPr>
        <w:t>ولایة الأب والجدّ الأب</w:t>
      </w:r>
      <w:bookmarkEnd w:id="938"/>
    </w:p>
    <w:p>
      <w:pPr>
        <w:pStyle w:val="BookText"/>
        <w:rPr/>
      </w:pPr>
      <w:r>
        <w:rPr>
          <w:rFonts w:ascii="IRNazanin" w:hAnsi="IRNazanin" w:eastAsia="IRNazanin"/>
          <w:color w:val="111111"/>
          <w:sz w:val="28"/>
          <w:sz w:val="28"/>
          <w:szCs w:val="28"/>
          <w:rtl w:val="true"/>
          <w:lang w:bidi="fa-IR"/>
        </w:rPr>
        <w:t>وهم الأب والجَدّ من طرف الأب، بمعنی أب الأب فصاعداً، فلا یندرج فیه أب اُمّ الأب، والوصیّ</w:t>
      </w:r>
      <w:r>
        <w:rPr>
          <w:rStyle w:val="FootnoteAnchor"/>
          <w:rtl w:val="true"/>
        </w:rPr>
        <w:footnoteReference w:id="1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مشکلة، لا یُترک فیها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یأتی الکلام فیه وفی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فقد الآخر، والسیّد بالنسبة إلی مملوکه، والحاکم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الإطلاق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2139102_2322387425"/>
      <w:bookmarkStart w:id="940" w:name="_Toc344"/>
      <w:bookmarkEnd w:id="939"/>
      <w:r>
        <w:rPr>
          <w:rtl w:val="true"/>
        </w:rPr>
        <w:t>عدم ولایة الاُمّ ولا الجد من قبلها ولا الأخ والعم والخال وأولادهم</w:t>
      </w:r>
      <w:bookmarkEnd w:id="940"/>
    </w:p>
    <w:p>
      <w:pPr>
        <w:pStyle w:val="BookText"/>
        <w:rPr/>
      </w:pPr>
      <w:r>
        <w:rPr>
          <w:rFonts w:ascii="IRNazanin" w:hAnsi="IRNazanin" w:eastAsia="IRNazanin"/>
          <w:color w:val="111111"/>
          <w:sz w:val="28"/>
          <w:sz w:val="28"/>
          <w:szCs w:val="28"/>
          <w:rtl w:val="true"/>
          <w:lang w:bidi="fa-IR"/>
        </w:rPr>
        <w:t>ولا ولایة للاُمّ ولا الجَدّ من قبلها ولو من قبل اُمّ الأب، ولا الأخ والعمّ والخال وأولادهم</w:t>
      </w:r>
      <w:r>
        <w:rPr>
          <w:rFonts w:eastAsia="IRNazanin" w:cs="IRNazanin"/>
          <w:color w:val="111111"/>
          <w:sz w:val="28"/>
          <w:szCs w:val="28"/>
          <w:rtl w:val="true"/>
          <w:lang w:bidi="fa-IR"/>
        </w:rPr>
        <w:t>.</w:t>
      </w:r>
    </w:p>
    <w:p>
      <w:pPr>
        <w:pStyle w:val="Heading4"/>
        <w:numPr>
          <w:ilvl w:val="3"/>
          <w:numId w:val="1"/>
        </w:numPr>
        <w:rPr/>
      </w:pPr>
      <w:bookmarkStart w:id="941" w:name="__RefHeading___Toc2139104_2322387425"/>
      <w:bookmarkStart w:id="942" w:name="_Toc345"/>
      <w:bookmarkEnd w:id="941"/>
      <w:r>
        <w:rPr>
          <w:rtl w:val="true"/>
        </w:rPr>
        <w:t>ولایة الأب والجدّ علی الصغیرین والمجنون</w:t>
      </w:r>
      <w:bookmarkEnd w:id="9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ولایة الأب والجَدّ علی الصغیرَین، والمجنون المتّصل جنونه بالبلوغ، بل والمنفصل</w:t>
      </w:r>
      <w:r>
        <w:rPr>
          <w:rStyle w:val="FootnoteAnchor"/>
          <w:rtl w:val="true"/>
        </w:rPr>
        <w:footnoteReference w:id="1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امتداد ولایتهما علی الصغیرین فی الجنون المنفصل عن البلوغ، بلوفی المتّصل به؛ وحیث إنّ ولایة الحاکم فی الصورتَین أیضاً غیر مستفادةٍ من الأدلّة فلابدّ من المصیر إلی تولّی الأب والجَدّ أمرهما مع الاستئذان من الحاکم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ولایة الحاکم، والأحوط الاستئذان من أحدهما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     .     .     .     .</w:t>
      </w:r>
      <w:bookmarkStart w:id="943" w:name="pg13286_154119"/>
    </w:p>
    <w:p>
      <w:pPr>
        <w:pStyle w:val="BookText"/>
        <w:rPr/>
      </w:pPr>
      <w:bookmarkEnd w:id="943"/>
      <w:r>
        <w:rPr>
          <w:rFonts w:ascii="IRNazanin" w:hAnsi="IRNazanin" w:eastAsia="IRNazanin"/>
          <w:color w:val="111111"/>
          <w:sz w:val="28"/>
          <w:sz w:val="28"/>
          <w:szCs w:val="28"/>
          <w:rtl w:val="true"/>
          <w:lang w:bidi="fa-IR"/>
        </w:rPr>
        <w:t>الأقوی</w:t>
      </w:r>
      <w:r>
        <w:rPr>
          <w:rStyle w:val="FootnoteAnchor"/>
          <w:rtl w:val="true"/>
        </w:rPr>
        <w:footnoteReference w:id="1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اختصاص الولایة فی المنفصل بالحاکم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 من الحاکم أیضاً فی الجنون المنفصل عن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 من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والأحوط منه الاستئذان من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الاستئذان من الحاکم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أوردناها من نسخةٍ اُخری غیر ما بأیدینا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بالاستئذان من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والأحوط الاستئذان منهما ومن الحاکم الشرعیّ إذا اقتضت الضرورةتزویجه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المنفصل بالاستئذان من الحاکم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الاستئذان 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4" w:name="__RefHeading___Toc2139106_2322387425"/>
      <w:bookmarkStart w:id="945" w:name="_Toc346"/>
      <w:bookmarkEnd w:id="944"/>
      <w:r>
        <w:rPr>
          <w:rtl w:val="true"/>
        </w:rPr>
        <w:t>الولایة علی البالغ والبالغة الرشیدین</w:t>
      </w:r>
      <w:bookmarkEnd w:id="945"/>
    </w:p>
    <w:p>
      <w:pPr>
        <w:pStyle w:val="BookText"/>
        <w:rPr/>
      </w:pPr>
      <w:r>
        <w:rPr>
          <w:rFonts w:ascii="IRNazanin" w:hAnsi="IRNazanin" w:eastAsia="IRNazanin"/>
          <w:color w:val="111111"/>
          <w:sz w:val="28"/>
          <w:sz w:val="28"/>
          <w:szCs w:val="28"/>
          <w:rtl w:val="true"/>
          <w:lang w:bidi="fa-IR"/>
        </w:rPr>
        <w:t>ولا ولایةَ لهما علی البالغ الرشید، ولا علی البالغة الرشیدة إذا کانت ثیّبة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واختلفوا فی ثبوتها علی البِکر الرشیدة علی أقوال،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الولیّ </w:t>
      </w:r>
    </w:p>
    <w:p>
      <w:pPr>
        <w:pStyle w:val="BookText"/>
        <w:rPr/>
      </w:pPr>
      <w:r>
        <w:rPr>
          <w:rFonts w:ascii="IRNazanin" w:hAnsi="IRNazanin" w:eastAsia="IRNazanin"/>
          <w:color w:val="111111"/>
          <w:sz w:val="28"/>
          <w:sz w:val="28"/>
          <w:szCs w:val="28"/>
          <w:rtl w:val="true"/>
          <w:lang w:bidi="fa-IR"/>
        </w:rPr>
        <w:t>واستقلالها</w:t>
      </w:r>
      <w:r>
        <w:rPr>
          <w:rStyle w:val="FootnoteAnchor"/>
          <w:rtl w:val="true"/>
        </w:rPr>
        <w:footnoteReference w:id="16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وإن کان الأحوط الاستئذان من الولیّ، بل هو ألیق بمقام تشریفالولیّ المرغوب فیه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یخلو من وجه، ولکن لا یُترک ما ذکره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ولکنّ الاحتیاط بالاستئذان من الأب أیضاً لا ینبغی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الدوام والانقطاع باستقلالها فی الأوّل دون الثانی، والعکس، والتشریک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اعتبار إذنهما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واستقلال کلٍّ منهما کولایة الأب والجَدّ علی الصغیرین اختاره فی المستند، وإن   کان القول الثانی لا یخلو من قوّة، إلّا أنّ الاحتیاط بالاستئذان منهما 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احتمال آخر، وهو استقلال کلّ واحدٍ منهما، کولایة الأبّ والجَدّ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w:t>
      </w:r>
      <w:r>
        <w:rPr>
          <w:rStyle w:val="FootnoteAnchor"/>
          <w:rtl w:val="true"/>
        </w:rPr>
        <w:footnoteReference w:id="1637"/>
      </w:r>
      <w:r>
        <w:rPr>
          <w:rFonts w:ascii="IRNazanin" w:hAnsi="IRNazanin" w:eastAsia="IRNazanin"/>
          <w:color w:val="111111"/>
          <w:sz w:val="28"/>
          <w:sz w:val="28"/>
          <w:szCs w:val="28"/>
          <w:rtl w:val="true"/>
          <w:lang w:bidi="fa-IR"/>
        </w:rPr>
        <w:t> مشکلة</w:t>
      </w:r>
      <w:r>
        <w:rPr>
          <w:rStyle w:val="FootnoteAnchor"/>
          <w:rtl w:val="true"/>
        </w:rPr>
        <w:footnoteReference w:id="1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استقلالها مطلقاً؛ حملاً للناهیة المطلقة المفصّلة علی الکراهة الناشئةمن الاستقباحات العرفیّة، ولا أظنّ حینئذٍ إشکالاً فی المسألة بعد وضوح الجمع المزبور،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القول الثانی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یبعد صحّة القول الثانی، وهو استقلالها، وعدم الاحتیاج إلی إذن الولیّ،وهو المشهور بین القدماء والمتأخّرین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4397</w:t>
      </w:r>
      <w:r>
        <w:rPr>
          <w:rFonts w:ascii="IRNazanin" w:hAnsi="IRNazanin" w:eastAsia="IRNazanin"/>
          <w:color w:val="111111"/>
          <w:sz w:val="28"/>
          <w:sz w:val="28"/>
          <w:szCs w:val="28"/>
          <w:rtl w:val="true"/>
          <w:lang w:bidi="fa-IR"/>
        </w:rPr>
        <w:t>،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4/250</w:t>
      </w:r>
      <w:r>
        <w:rPr>
          <w:rFonts w:ascii="IRNazanin" w:hAnsi="IRNazanin" w:eastAsia="IRNazanin"/>
          <w:color w:val="111111"/>
          <w:sz w:val="28"/>
          <w:sz w:val="28"/>
          <w:szCs w:val="28"/>
          <w:rtl w:val="true"/>
          <w:lang w:bidi="fa-IR"/>
        </w:rPr>
        <w:t>، غنیة النزوع</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قواعد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شرح اللمعة</w:t>
      </w:r>
      <w:r>
        <w:rPr>
          <w:rFonts w:eastAsia="IRNazanin" w:cs="IRNazanin"/>
          <w:color w:val="111111"/>
          <w:sz w:val="28"/>
          <w:szCs w:val="28"/>
          <w:rtl w:val="true"/>
          <w:lang w:bidi="fa-IR"/>
        </w:rPr>
        <w:t xml:space="preserve">: </w:t>
      </w:r>
      <w:r>
        <w:rPr>
          <w:rFonts w:eastAsia="IRNazanin" w:cs="IRNazanin"/>
          <w:color w:val="111111"/>
          <w:sz w:val="28"/>
          <w:szCs w:val="28"/>
          <w:lang w:bidi="fa-IR"/>
        </w:rPr>
        <w:t>5/116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وادّعی علیه الإجماع، وبه وردتالروایات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وأولیاء العقد،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مقدّماتالنکاح،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استقلال کلٍّ من البِکر الرشیدة ومن أبیها بالأمر؛ وفاقاً لصاحب المستندوالسیّد الاُستاذ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فإذا عقدت هی نفسها صحّ عقدها ونفذ وإن لم تستأذن أباها،وإن عقدها الأب نفذ عقده إیّاها کذلک وإن لم یستأذنها، نعم، الأفضل بل الأحوط لکلٍّ منهما أن یستأذن الآخر إذا أراد العقد، بل یجوز للأب أن ینقض عقد البنت إذاعقدت هی نفسها من غیر إذنه وإن کان صحیحاً، وکلّ ذلک مع مراعاة شروط ولایتهعلیها، ولا أمر للجَدّ ولا لغیره من الأولیاء معها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القول الثانی هو الأقوی، ویحتمل استقلال الأب أیضاً، کما أنّه یحتملأن یکون له فسخ العقد لو تزوّجت من دون إذنه، فلو تزوّجت من دون إذن أبیها ثمّفسخ العقد، أو زوّجها الأب من دون إذنها 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القول الثانی ـ وهو استقلالها ـ لا یخلو من قوّة، ومع ذلک فلا تُترک مراعاة الاحتیاط بالاستئذان من الأب أو الجَدّ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تُترک مراعاة الاحتیاط بالاستئذان</w:t>
      </w:r>
      <w:bookmarkStart w:id="946" w:name="pg13286_154126"/>
    </w:p>
    <w:p>
      <w:pPr>
        <w:pStyle w:val="BookText"/>
        <w:rPr/>
      </w:pPr>
      <w:bookmarkEnd w:id="946"/>
      <w:r>
        <w:rPr>
          <w:rFonts w:ascii="IRNazanin" w:hAnsi="IRNazanin" w:eastAsia="IRNazanin"/>
          <w:color w:val="111111"/>
          <w:sz w:val="28"/>
          <w:sz w:val="28"/>
          <w:szCs w:val="28"/>
          <w:rtl w:val="true"/>
          <w:lang w:bidi="fa-IR"/>
        </w:rPr>
        <w:t>منهما</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2139108_2322387425"/>
      <w:bookmarkStart w:id="948" w:name="_Toc347"/>
      <w:bookmarkEnd w:id="947"/>
      <w:r>
        <w:rPr>
          <w:rtl w:val="true"/>
        </w:rPr>
        <w:t>لزوم إذن البکر والأب ما لم تسقط ولایته</w:t>
      </w:r>
      <w:bookmarkEnd w:id="948"/>
    </w:p>
    <w:p>
      <w:pPr>
        <w:pStyle w:val="BookText"/>
        <w:rPr/>
      </w:pPr>
      <w:r>
        <w:rPr>
          <w:rFonts w:ascii="IRNazanin" w:hAnsi="IRNazanin" w:eastAsia="IRNazanin"/>
          <w:color w:val="111111"/>
          <w:sz w:val="28"/>
          <w:sz w:val="28"/>
          <w:szCs w:val="28"/>
          <w:rtl w:val="true"/>
          <w:lang w:bidi="fa-IR"/>
        </w:rPr>
        <w:t>ولو تزوّجت من دون إذن الأب، أو زوّجها الأب من دون إذنها وجب</w:t>
      </w:r>
      <w:r>
        <w:rPr>
          <w:rStyle w:val="FootnoteAnchor"/>
          <w:rtl w:val="true"/>
        </w:rPr>
        <w:footnoteReference w:id="1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صحّة العقد فی کلا الفرضین، نعم، یجوز للأب أن یفسخ عقدابنته إذا لم تستأذِنه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إجازة الآخر، أو الفراق بالطلاق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لکنّ استقلالهما فی الأمر ونفوذ العقد الصادر منها دون أبیها هوالأقوی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 الأقوی استقلالها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عَضَلها الولیّ ـ أی منعها من التزویج بالکُفْو مع میلها ـ سقط</w:t>
      </w:r>
      <w:r>
        <w:rPr>
          <w:rStyle w:val="FootnoteAnchor"/>
          <w:rtl w:val="true"/>
        </w:rPr>
        <w:footnoteReference w:id="1641"/>
      </w:r>
      <w:bookmarkStart w:id="949" w:name="pg13286_154128"/>
    </w:p>
    <w:p>
      <w:pPr>
        <w:pStyle w:val="BookText"/>
        <w:rPr/>
      </w:pPr>
      <w:bookmarkEnd w:id="949"/>
      <w:r>
        <w:rPr>
          <w:rFonts w:ascii="IRNazanin" w:hAnsi="IRNazanin" w:eastAsia="IRNazanin"/>
          <w:color w:val="111111"/>
          <w:sz w:val="28"/>
          <w:sz w:val="28"/>
          <w:szCs w:val="28"/>
          <w:rtl w:val="true"/>
          <w:lang w:bidi="fa-IR"/>
        </w:rPr>
        <w:t>اعتبار إذنه</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منعها من التزویج بغیر الکُفْو شرعاً فلا یکون</w:t>
      </w:r>
      <w:r>
        <w:rPr>
          <w:rStyle w:val="FootnoteAnchor"/>
          <w:rtl w:val="true"/>
        </w:rPr>
        <w:footnoteReference w:id="1643"/>
      </w:r>
      <w:r>
        <w:rPr>
          <w:rFonts w:ascii="Amiri" w:hAnsi="Amiri" w:eastAsia="Amiri" w:cs="Amiri"/>
          <w:color w:val="111111"/>
          <w:sz w:val="28"/>
          <w:sz w:val="28"/>
          <w:szCs w:val="28"/>
          <w:rtl w:val="true"/>
          <w:lang w:bidi="ar-SA"/>
        </w:rPr>
        <w:t>عَضَلاً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وکذا لو منعها</w:t>
      </w:r>
      <w:r>
        <w:rPr>
          <w:rStyle w:val="FootnoteAnchor"/>
          <w:rtl w:val="true"/>
        </w:rPr>
        <w:footnoteReference w:id="1644"/>
      </w:r>
      <w:r>
        <w:rPr>
          <w:rFonts w:ascii="Amiri" w:hAnsi="Amiri" w:eastAsia="Amiri" w:cs="Amiri"/>
          <w:color w:val="111111"/>
          <w:sz w:val="28"/>
          <w:sz w:val="28"/>
          <w:szCs w:val="28"/>
          <w:rtl w:val="true"/>
          <w:lang w:bidi="ar-SA"/>
        </w:rPr>
        <w:t> من التزویج بغیر الکُفْو عرفاً</w:t>
      </w:r>
      <w:r>
        <w:rPr>
          <w:rStyle w:val="FootnoteAnchor"/>
          <w:rtl w:val="true"/>
        </w:rPr>
        <w:footnoteReference w:id="1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الکُفؤ العرفیّ، وإلّا فمحلّ إشکال، بل 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فی تزویجه غَضاضَة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وعار علیهم وإن کان کُفْواً شرعیّاً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لو منعها من التزویج بکُفْوٍ معیّنٍ مع وجود کُفْوٍ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یسقط اعتبار إذنه إذا کان غائباً</w:t>
      </w:r>
      <w:r>
        <w:rPr>
          <w:rStyle w:val="FootnoteAnchor"/>
          <w:rtl w:val="true"/>
        </w:rPr>
        <w:footnoteReference w:id="1646"/>
      </w:r>
      <w:r>
        <w:rPr>
          <w:rFonts w:ascii="IRNazanin" w:hAnsi="IRNazanin" w:eastAsia="IRNazanin"/>
          <w:color w:val="111111"/>
          <w:sz w:val="28"/>
          <w:sz w:val="28"/>
          <w:szCs w:val="28"/>
          <w:rtl w:val="true"/>
          <w:lang w:bidi="fa-IR"/>
        </w:rPr>
        <w:t> لا یمکن الاستئذان منه مع حاجتها إلی التزویج</w:t>
      </w:r>
      <w:r>
        <w:rPr>
          <w:rFonts w:eastAsia="IRNazanin" w:cs="IRNazanin"/>
          <w:color w:val="111111"/>
          <w:sz w:val="28"/>
          <w:szCs w:val="28"/>
          <w:rtl w:val="true"/>
          <w:lang w:bidi="fa-IR"/>
        </w:rPr>
        <w:t>.</w:t>
      </w:r>
    </w:p>
    <w:p>
      <w:pPr>
        <w:pStyle w:val="Heading4"/>
        <w:numPr>
          <w:ilvl w:val="3"/>
          <w:numId w:val="1"/>
        </w:numPr>
        <w:rPr/>
      </w:pPr>
      <w:bookmarkStart w:id="950" w:name="__RefHeading___Toc2139110_2322387425"/>
      <w:bookmarkStart w:id="951" w:name="_Toc348"/>
      <w:bookmarkEnd w:id="950"/>
      <w:r>
        <w:rPr>
          <w:rtl w:val="true"/>
        </w:rPr>
        <w:t>محتملات ذهاب البکارة</w:t>
      </w:r>
      <w:bookmarkEnd w:id="9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ذهبت بَکارتها</w:t>
      </w:r>
      <w:r>
        <w:rPr>
          <w:rStyle w:val="FootnoteAnchor"/>
          <w:rtl w:val="true"/>
        </w:rPr>
        <w:footnoteReference w:id="1647"/>
      </w:r>
      <w:r>
        <w:rPr>
          <w:rFonts w:ascii="IRNazanin" w:hAnsi="IRNazanin" w:eastAsia="IRNazanin"/>
          <w:color w:val="111111"/>
          <w:sz w:val="28"/>
          <w:sz w:val="28"/>
          <w:szCs w:val="28"/>
          <w:rtl w:val="true"/>
          <w:lang w:bidi="fa-IR"/>
        </w:rPr>
        <w:t> بغیر الوطء من وثبةٍ ونحوها فحکمها حکم البِکر</w:t>
      </w:r>
      <w:r>
        <w:rPr>
          <w:rStyle w:val="FootnoteAnchor"/>
          <w:rtl w:val="true"/>
        </w:rPr>
        <w:footnoteReference w:id="1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بولایة الأب ولایته علی غیر البِکر مشکلة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إذا ذهبت بالزنا أو الشبهة ففیه إشکال</w:t>
      </w:r>
      <w:r>
        <w:rPr>
          <w:rStyle w:val="FootnoteAnchor"/>
          <w:rtl w:val="true"/>
        </w:rPr>
        <w:footnoteReference w:id="16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ودعوی التبادر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عدم الإلحاق بالبِکر، ودعوی أنّ البِکر مَن لم تتزوّج حتّی یترتّب علیها الإلحاق فی هذه الصورة، وعدم الإلحاق فی الصورة الأخیرة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الدلیل علی هذه الدعوی، بل البِکر عبارة عمّن لم تزل بَکارتها بالوطء، والّذی یسهّل الخطب استقلال الباکرة، نعم، الأحوط والألیق بمقام تشریف الأب والجَدّالاستئذان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أنّها بحکم البِکر؛ لظهور بعض النصوص بأنّ الثیبوبة بدخول الزوج، وأمّادعوی التبادل کما فی المتن فهی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جدّاً، ودعوی التبادر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غایته، والمیزان المستفاد من مجموع النصوص انتفاء الولایة بالدخول الناشئ عن الزوجیّة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ودعوی التبادر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الإلحاق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عدمه، لکن لا یُترک الاحتیاط فیه وفی تالیه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ودعوی التبادر لا أساس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ما بعده إشکال، فلا یُترک الاحتیاط فیهما، بل بعید جدّاً، ودعوی التبادرممنوعة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غایته، ودعوی التبادر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بدعوی</w:t>
      </w:r>
      <w:r>
        <w:rPr>
          <w:rStyle w:val="FootnoteAnchor"/>
          <w:rtl w:val="true"/>
        </w:rPr>
        <w:footnoteReference w:id="1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الدعوی ممنوعة، بل عدم الإلحاق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المتبادر من البِکر مَن لم تتزوّج؛ وعلیه فإذا تزوّجت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تزوّجت البِکر ومات عنها زوجها قبل الدخول، أو طلّقها مع کونها بکراً،والأقوی کونها حینئذٍ محکومةً بحکم البِکر، وما ذکره مستنداً لعدم الإلحاق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ومات عنها أو طلّقها قبل أن یدخل بها لا یلحقها حکم البِکر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ومراعاة الاحتیاط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مراعاته بناءً علی القول بعدم استقلالها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13286_154135"/>
    </w:p>
    <w:p>
      <w:pPr>
        <w:pStyle w:val="Heading4"/>
        <w:numPr>
          <w:ilvl w:val="3"/>
          <w:numId w:val="1"/>
        </w:numPr>
        <w:rPr/>
      </w:pPr>
      <w:bookmarkStart w:id="953" w:name="__RefHeading___Toc2139112_2322387425"/>
      <w:bookmarkStart w:id="954" w:name="_Toc349"/>
      <w:bookmarkEnd w:id="952"/>
      <w:bookmarkEnd w:id="953"/>
      <w:r>
        <w:rPr>
          <w:rtl w:val="true"/>
        </w:rPr>
        <w:t>ثبوت ولایة الجدّ فی حیاة الأب وموته</w:t>
      </w:r>
      <w:bookmarkEnd w:id="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ولایة</w:t>
      </w:r>
      <w:r>
        <w:rPr>
          <w:rStyle w:val="FootnoteAnchor"/>
          <w:rtl w:val="true"/>
        </w:rPr>
        <w:footnoteReference w:id="1651"/>
      </w:r>
      <w:r>
        <w:rPr>
          <w:rFonts w:ascii="IRNazanin" w:hAnsi="IRNazanin" w:eastAsia="IRNazanin"/>
          <w:color w:val="111111"/>
          <w:sz w:val="28"/>
          <w:sz w:val="28"/>
          <w:szCs w:val="28"/>
          <w:rtl w:val="true"/>
          <w:lang w:bidi="fa-IR"/>
        </w:rPr>
        <w:t> الجَدّ حیاة الأب ولا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بتوقّف ولایته علی بقاء الأب ـ کما اختاره جماعة</w:t>
      </w:r>
      <w:r>
        <w:rPr>
          <w:rStyle w:val="FootnoteAnchor"/>
          <w:rtl w:val="true"/>
        </w:rPr>
        <w:footnoteReference w:id="1652"/>
      </w:r>
      <w:r>
        <w:rPr>
          <w:rFonts w:ascii="IRNazanin" w:hAnsi="IRNazanin" w:eastAsia="IRNazanin"/>
          <w:color w:val="111111"/>
          <w:sz w:val="28"/>
          <w:sz w:val="28"/>
          <w:szCs w:val="28"/>
          <w:rtl w:val="true"/>
          <w:lang w:bidi="fa-IR"/>
        </w:rPr>
        <w:t>ـ ضعیف</w:t>
      </w:r>
      <w:r>
        <w:rPr>
          <w:rStyle w:val="FootnoteAnchor"/>
          <w:rtl w:val="true"/>
        </w:rPr>
        <w:footnoteReference w:id="1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قویّ،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وأضعف منه القول بتوقّفها علی موته، کما اختاره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2139114_2322387425"/>
      <w:bookmarkStart w:id="956" w:name="_Toc350"/>
      <w:bookmarkEnd w:id="955"/>
      <w:r>
        <w:rPr>
          <w:rtl w:val="true"/>
        </w:rPr>
        <w:t>نفوذ تزویج الولی الصغیرة بعد بلوغها ورشدها وکذا الصغیر</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خَیار للصغیرة</w:t>
      </w:r>
      <w:r>
        <w:rPr>
          <w:rStyle w:val="FootnoteAnchor"/>
          <w:rtl w:val="true"/>
        </w:rPr>
        <w:footnoteReference w:id="16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تزویج الصبیّ بالصبیّة إذا زوّجها أبواهما یحتمل أن یکون لهماالخیار بعد بلوغهما، للنصّ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وإن ادُّعی عدم العمل به، ولا یُترک مقتضیالاحتیاط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النصّ الخاصّ الخیار للصغیرین إذا زوّجهما أبواهما فی زمان صغرهما،فیکون لهما الخیار بعد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زوّجها 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الجَدّ بعد بلوغها  </w:t>
      </w:r>
      <w:bookmarkStart w:id="957" w:name="pg13286_154137"/>
    </w:p>
    <w:p>
      <w:pPr>
        <w:pStyle w:val="BookText"/>
        <w:rPr/>
      </w:pPr>
      <w:bookmarkEnd w:id="957"/>
      <w:r>
        <w:rPr>
          <w:rFonts w:ascii="IRNazanin" w:hAnsi="IRNazanin" w:eastAsia="IRNazanin"/>
          <w:color w:val="111111"/>
          <w:sz w:val="28"/>
          <w:sz w:val="28"/>
          <w:szCs w:val="28"/>
          <w:rtl w:val="true"/>
          <w:lang w:bidi="fa-IR"/>
        </w:rPr>
        <w:t>ورشدها، بل هو لازم علیها، وکذا الصغیر</w:t>
      </w:r>
      <w:r>
        <w:rPr>
          <w:rStyle w:val="FootnoteAnchor"/>
          <w:rtl w:val="true"/>
        </w:rPr>
        <w:footnoteReference w:id="1655"/>
      </w:r>
      <w:r>
        <w:rPr>
          <w:rFonts w:ascii="IRNazanin" w:hAnsi="IRNazanin" w:eastAsia="IRNazanin"/>
          <w:color w:val="111111"/>
          <w:sz w:val="28"/>
          <w:sz w:val="28"/>
          <w:szCs w:val="28"/>
          <w:rtl w:val="true"/>
          <w:lang w:bidi="fa-IR"/>
        </w:rPr>
        <w:t> علی الأقوی</w:t>
      </w:r>
      <w:r>
        <w:rPr>
          <w:rStyle w:val="FootnoteAnchor"/>
          <w:rtl w:val="true"/>
        </w:rPr>
        <w:footnoteReference w:id="1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ورد فی روایةٍ صحیحةٍ ثبوت الخیار لهما إذا زوّجهما الأبوان، لکنّ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 وأولیاء العقد،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المتظافرة والإجماع المدّعی علی عدم الخیار للصغیرة بعد بلوغهاتوجب حمل الخیار فیها مطلقاً علی معنیً آخر غیر ما هو المصطلح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بخَیاره فی الفسخ والإمضاء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خَیار للمجنون بعد إفاقته</w:t>
      </w:r>
      <w:r>
        <w:rPr>
          <w:rFonts w:eastAsia="IRNazanin" w:cs="IRNazanin"/>
          <w:color w:val="111111"/>
          <w:sz w:val="28"/>
          <w:szCs w:val="28"/>
          <w:rtl w:val="true"/>
          <w:lang w:bidi="fa-IR"/>
        </w:rPr>
        <w:t>.</w:t>
      </w:r>
    </w:p>
    <w:p>
      <w:pPr>
        <w:pStyle w:val="Heading4"/>
        <w:numPr>
          <w:ilvl w:val="3"/>
          <w:numId w:val="1"/>
        </w:numPr>
        <w:rPr/>
      </w:pPr>
      <w:bookmarkStart w:id="958" w:name="__RefHeading___Toc2139116_2322387425"/>
      <w:bookmarkStart w:id="959" w:name="_Toc351"/>
      <w:bookmarkEnd w:id="958"/>
      <w:r>
        <w:rPr>
          <w:rtl w:val="true"/>
        </w:rPr>
        <w:t>ما یشترط فی صحّة تزویج الأب</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w:t>
      </w:r>
      <w:r>
        <w:rPr>
          <w:rStyle w:val="FootnoteAnchor"/>
          <w:rtl w:val="true"/>
        </w:rPr>
        <w:footnoteReference w:id="1657"/>
      </w:r>
      <w:r>
        <w:rPr>
          <w:rFonts w:ascii="IRNazanin" w:hAnsi="IRNazanin" w:eastAsia="IRNazanin"/>
          <w:color w:val="111111"/>
          <w:sz w:val="28"/>
          <w:sz w:val="28"/>
          <w:szCs w:val="28"/>
          <w:rtl w:val="true"/>
          <w:lang w:bidi="fa-IR"/>
        </w:rPr>
        <w:t> فی صحّة تزویج الأب والجَدّ ونفوذه عدم المفسدة، وإلّا یکون العقد فضولیّاً کالأجنبیّ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r>
        <w:rPr>
          <w:rStyle w:val="FootnoteAnchor"/>
          <w:rtl w:val="true"/>
        </w:rPr>
        <w:footnoteReference w:id="16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سنده احتمال اعتبار کون المُجِیز جائز التصرّف فی حال العقد، وفیه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فی مسألة التزویج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فی غایة الضعف، وکذا الإشکال فی الصحّة فی الفرض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r>
        <w:rPr>
          <w:rStyle w:val="FootnoteAnchor"/>
          <w:rtl w:val="true"/>
        </w:rPr>
        <w:footnoteReference w:id="1659"/>
      </w:r>
      <w:r>
        <w:rPr>
          <w:rFonts w:ascii="Amiri" w:hAnsi="Amiri" w:eastAsia="Amiri" w:cs="Amiri"/>
          <w:color w:val="111111"/>
          <w:sz w:val="28"/>
          <w:sz w:val="28"/>
          <w:szCs w:val="28"/>
          <w:rtl w:val="true"/>
          <w:lang w:bidi="ar-SA"/>
        </w:rPr>
        <w:t> الصحّة</w:t>
      </w:r>
      <w:r>
        <w:rPr>
          <w:rStyle w:val="FootnoteAnchor"/>
          <w:rtl w:val="true"/>
        </w:rPr>
        <w:footnoteReference w:id="16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بعید، وکذلک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غیر قویّ، والاحتیاط التالی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هی الصحّة بالإجازة بعد البلوغ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فإذا اُجیز العقل بعد البلوغ نفذ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مراعاة المصلحة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فیها ما لم تکن فیه مفسدة، وإن کان الأحوط والأولی للأب مراعاةالأصلح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مع عدم المفسدة،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وإن کان الأولی مراعاة الأصلح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هناک خاطبان أحدهما أصلح من الآخر بحسب</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60" w:name="pg13286_154142"/>
    </w:p>
    <w:p>
      <w:pPr>
        <w:pStyle w:val="BookText"/>
        <w:rPr/>
      </w:pPr>
      <w:bookmarkEnd w:id="960"/>
      <w:r>
        <w:rPr>
          <w:rFonts w:ascii="IRNazanin" w:hAnsi="IRNazanin" w:eastAsia="IRNazanin"/>
          <w:color w:val="111111"/>
          <w:sz w:val="28"/>
          <w:sz w:val="28"/>
          <w:szCs w:val="28"/>
          <w:rtl w:val="true"/>
          <w:lang w:bidi="fa-IR"/>
        </w:rPr>
        <w:t>الشرف، أو من أجل کثرة المهر أو قلّته بالنسبة إلی الصغیر، فاختار الأب غیر الأصلح لتشهّی نفسه</w:t>
      </w:r>
      <w:r>
        <w:rPr>
          <w:rFonts w:eastAsia="IRNazanin" w:cs="IRNazanin"/>
          <w:color w:val="111111"/>
          <w:sz w:val="28"/>
          <w:szCs w:val="28"/>
          <w:rtl w:val="true"/>
          <w:lang w:bidi="fa-IR"/>
        </w:rPr>
        <w:t>.</w:t>
      </w:r>
    </w:p>
    <w:p>
      <w:pPr>
        <w:pStyle w:val="Heading4"/>
        <w:numPr>
          <w:ilvl w:val="3"/>
          <w:numId w:val="1"/>
        </w:numPr>
        <w:rPr/>
      </w:pPr>
      <w:bookmarkStart w:id="961" w:name="__RefHeading___Toc2139118_2322387425"/>
      <w:bookmarkStart w:id="962" w:name="_Toc352"/>
      <w:bookmarkEnd w:id="961"/>
      <w:r>
        <w:rPr>
          <w:rtl w:val="true"/>
        </w:rPr>
        <w:t>تزویج الولیّ البنت بدون مهر المثل أو الصغیر بأزید منه</w:t>
      </w:r>
      <w:bookmarkEnd w:id="9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زوّجها الولیّ بدون مهر المِثل، أو زوّج الصغیر بأزید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هناک مصلحة</w:t>
      </w:r>
      <w:r>
        <w:rPr>
          <w:rStyle w:val="FootnoteAnchor"/>
          <w:rtl w:val="true"/>
        </w:rPr>
        <w:footnoteReference w:id="16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لم تکن مفسدة ومنقصة وضرر فی العقد بذلک 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تقتضی ذلک صحّ العقد والمهر، ولزم؛ وإلّا ففی صحّة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وبطلان المهر والرجوع إلی مهر المثل، أو بطلان العقد أیضاً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حتّی بالنسبة إلی ثبوت المهر مع عدم 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الأقوائیّة ممنوعة، بل الأوّل إذا لم یکن أصل التزویج علی خلاف المصلحة لایخلو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القوّة فی محلّ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ممنوع، مع مراعاة المصلحة فی أصل التزویج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الأوّل، وقد تقدّم أنّ الاحتمال التالی لیس قویّاً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نفس العقد مفسدة، وإلّا ففیه إشکال، بل لا یخلو القول بصحّة العقدوبطلان المهر ـ بمعنی التوقّف علی الإجازة ـ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والمراد من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النفوذ، بمعنی توقّفه علی إجازتها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w:t>
      </w:r>
      <w:r>
        <w:rPr>
          <w:rStyle w:val="FootnoteAnchor"/>
          <w:rtl w:val="true"/>
        </w:rPr>
        <w:footnoteReference w:id="1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ضعفه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المبتنی والمبنی ضعیفان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ضعف هذا الاحتمال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ضعفه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جدّاً، ووجهه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الاحتمال ضعیف، کما تقدّم فی المسألة الخامسة، فإذا اُجیز العقد 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ضعف هذا الاحتمال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مع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بناءً علی اعتبار وجود المُجِیز فی الحال</w:t>
      </w:r>
      <w:r>
        <w:rPr>
          <w:rFonts w:eastAsia="IRNazanin" w:cs="IRNazanin"/>
          <w:color w:val="111111"/>
          <w:sz w:val="28"/>
          <w:szCs w:val="28"/>
          <w:rtl w:val="true"/>
          <w:lang w:bidi="fa-IR"/>
        </w:rPr>
        <w:t>.</w:t>
      </w:r>
      <w:bookmarkStart w:id="963" w:name="pg13286_154146"/>
    </w:p>
    <w:p>
      <w:pPr>
        <w:pStyle w:val="Heading4"/>
        <w:numPr>
          <w:ilvl w:val="3"/>
          <w:numId w:val="1"/>
        </w:numPr>
        <w:rPr/>
      </w:pPr>
      <w:bookmarkStart w:id="964" w:name="__RefHeading___Toc2139120_2322387425"/>
      <w:bookmarkStart w:id="965" w:name="_Toc353"/>
      <w:bookmarkEnd w:id="963"/>
      <w:bookmarkEnd w:id="964"/>
      <w:r>
        <w:rPr>
          <w:rtl w:val="true"/>
        </w:rPr>
        <w:t>لزوم إذن الولی فی نکاح السفیه</w:t>
      </w:r>
      <w:bookmarkEnd w:id="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نکاح السفیه</w:t>
      </w:r>
      <w:r>
        <w:rPr>
          <w:rStyle w:val="FootnoteAnchor"/>
          <w:rtl w:val="true"/>
        </w:rPr>
        <w:footnoteReference w:id="1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معتبر علی الولایة علی السفیه، نعم، بالنسبة إلی السفیه الدلیل تامّ، وممّاذُکر یظهر الإشکال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المحجور علیه للتبذیر، کما وقع التعبیر به فی عبارة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 الولیّ، وعلیه أن یعیّن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والمرأة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تزوّج بدون إذنه وقف علی إجازته، فإن رأی المصلحة وأجاز صحّ، ولا یحتاج إلی إعادة الصیغة؛ لأنّه لیس کالمجنون والصبیّ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ولذا تصحّ وکالته عن الغیر فی إجراء</w:t>
      </w:r>
      <w:bookmarkStart w:id="966" w:name="pg13286_154148"/>
    </w:p>
    <w:p>
      <w:pPr>
        <w:pStyle w:val="BookText"/>
        <w:rPr/>
      </w:pPr>
      <w:bookmarkEnd w:id="966"/>
      <w:r>
        <w:rPr>
          <w:rFonts w:ascii="IRNazanin" w:hAnsi="IRNazanin" w:eastAsia="IRNazanin"/>
          <w:color w:val="111111"/>
          <w:sz w:val="28"/>
          <w:sz w:val="28"/>
          <w:szCs w:val="28"/>
          <w:rtl w:val="true"/>
          <w:lang w:bidi="fa-IR"/>
        </w:rPr>
        <w:t>الصیغة، ومباشرته لنفسه بعد إذن الولیّ</w:t>
      </w:r>
      <w:r>
        <w:rPr>
          <w:rFonts w:eastAsia="IRNazanin" w:cs="IRNazanin"/>
          <w:color w:val="111111"/>
          <w:sz w:val="28"/>
          <w:szCs w:val="28"/>
          <w:rtl w:val="true"/>
          <w:lang w:bidi="fa-IR"/>
        </w:rPr>
        <w:t>.</w:t>
      </w:r>
    </w:p>
    <w:p>
      <w:pPr>
        <w:pStyle w:val="Heading4"/>
        <w:numPr>
          <w:ilvl w:val="3"/>
          <w:numId w:val="1"/>
        </w:numPr>
        <w:rPr/>
      </w:pPr>
      <w:bookmarkStart w:id="967" w:name="__RefHeading___Toc2139122_2322387425"/>
      <w:bookmarkStart w:id="968" w:name="_Toc354"/>
      <w:bookmarkEnd w:id="967"/>
      <w:r>
        <w:rPr>
          <w:rtl w:val="true"/>
        </w:rPr>
        <w:t>الرشد فی شؤون المال وعدمه فی شؤون النکاح</w:t>
      </w:r>
      <w:bookmarkEnd w:id="9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الشخص بالغاً رشیداً فی المالیّات لکن لا رشد له بالنسبة إلی أمر التزویج وخصوصیّاته ـ من تعیین الزوجة</w:t>
      </w:r>
      <w:r>
        <w:rPr>
          <w:rStyle w:val="FootnoteAnchor"/>
          <w:rtl w:val="true"/>
        </w:rPr>
        <w:footnoteReference w:id="1664"/>
      </w:r>
      <w:r>
        <w:rPr>
          <w:rFonts w:ascii="IRNazanin" w:hAnsi="IRNazanin" w:eastAsia="IRNazanin"/>
          <w:color w:val="111111"/>
          <w:sz w:val="28"/>
          <w:sz w:val="28"/>
          <w:szCs w:val="28"/>
          <w:rtl w:val="true"/>
          <w:lang w:bidi="fa-IR"/>
        </w:rPr>
        <w:t>، وکیفیّة الإمهار ونحو ذلک ـ فالظاهر</w:t>
      </w:r>
      <w:r>
        <w:rPr>
          <w:rStyle w:val="FootnoteAnchor"/>
          <w:rtl w:val="true"/>
        </w:rPr>
        <w:footnoteReference w:id="1665"/>
      </w:r>
      <w:r>
        <w:rPr>
          <w:rFonts w:ascii="IRNazanin" w:hAnsi="IRNazanin" w:eastAsia="IRNazanin"/>
          <w:color w:val="111111"/>
          <w:sz w:val="28"/>
          <w:sz w:val="28"/>
          <w:szCs w:val="28"/>
          <w:rtl w:val="true"/>
          <w:lang w:bidi="fa-IR"/>
        </w:rPr>
        <w:t> کونه کالسفیه</w:t>
      </w:r>
      <w:r>
        <w:rPr>
          <w:rStyle w:val="FootnoteAnchor"/>
          <w:rtl w:val="true"/>
        </w:rPr>
        <w:footnoteReference w:id="1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فیمَن اتّصل زمان سفهه بزمان صغره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تبعد صحّة نکاحه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فیما إذا اتّصل سَفَهُه بزمان صِغره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المالیّات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 الحاجة إلی إذن الولیّ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لم أرَ مَن تعرّض له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2139124_2322387425"/>
      <w:bookmarkStart w:id="970" w:name="_Toc355"/>
      <w:bookmarkEnd w:id="969"/>
      <w:r>
        <w:rPr>
          <w:rtl w:val="true"/>
        </w:rPr>
        <w:t>استقلال الأب والجد فی الولایة وما یتفرّع علیه</w:t>
      </w:r>
      <w:bookmarkEnd w:id="9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الأب والجَدّ مستقلّ فی الولایة، فلا یلزم الاشتراک، ولا الاستئذان من الآخر، فأیّهما سبق مع مراعاة ما یجب مراعاته لم یبقَ محلّ للاخر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زوّج کلّ منهما من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السابق منهما فهو المقدَّم ولغی الآخر، وإن عُلِم التقارن قُدِّم عقد الجَدّ، وکذا إن جهل</w:t>
      </w:r>
      <w:r>
        <w:rPr>
          <w:rStyle w:val="FootnoteAnchor"/>
          <w:rtl w:val="true"/>
        </w:rPr>
        <w:footnoteReference w:id="1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لزوم إجراء حکم العلم الإجمالیّ بکونها زوجةً لأحدهما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ولاحتمال جریان حکم المعلومة إجمالاً کونها زوجةً لأحد الرجلَین وجه؛لمکان العلم الإجمالیّ بذلک، وعدم أصالتَی التأخّر أو تعارضهما، فاللازم الاحتیاط علیهما بعدم المباشرة والنظر وسائر الآثار، وکذا علیها بعدم التمکین ونحوه، کلّذلک لمکان العلم الإجمالیّ، وعدم جریان أصالتَی التأخّر فی أطرافه، أو سقوطهابالتعارض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للتقدیم فی هذه الصورة، بل اللازم إجراء حکم العلم الإجمالیّ بکونهازوجةً لأحد الرجلَین، کما فی سائر موارد وجود العلم الإجمالیّ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التاریخان</w:t>
      </w:r>
      <w:r>
        <w:rPr>
          <w:rStyle w:val="FootnoteAnchor"/>
          <w:rtl w:val="true"/>
        </w:rPr>
        <w:footnoteReference w:id="1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لتقدّم عقد الجَدّ فی هذه الصورة بعد احتمال سبق عقد الأب، وما ذکرهمن 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مراعاة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فیه یعلم إجمالاً بکون المرأة زوجةً لأحدهما، ولا معیّن فی البَین؛ لعدم جریان الأصلَین مع جهل التاریخَین، أو تعارضهما علی فرض الجریان علیاختلاف المبنی، فعلی المرأة الاحتیاط بترک التمکین لهما وترک التزویج إلّابعدطلاقهما، وکما یجب علیها الاحتیاط کذلک یجب علی الرجال الاحتیاط بترکتزویجها حتّی الرجلَین المشتبَهَین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ویجری علیه حکم العلم الإجمالیّ بصحّة أحد العقدَین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جریان الأصل فی مجهولَی التاریخ، کما هوالمختار، وأمّا بناءً علی تساقط الأصلَین فیهما ـ کما هو القول الآخر ـ فلا مجال لتقدیم عقد الجَدّ، بل تکونالمرأة معلومةَ الزوجیّة لأحد الرجلَین علی نحو الإجمال، فیجری فیها ماتقدّم فیالمسألة الثالثة والأربعین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مسألة التزوّجبالاُختین إذا جهل تاریخ العقدَین، فلتراجع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عُلِم تاریخ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المعلوم تاریخ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عقد الجَدّ قُدِّم أیضاً، وإن کان المعلوم تاریخ عقد الأب احتمل تقدّمه</w:t>
      </w:r>
      <w:r>
        <w:rPr>
          <w:rStyle w:val="FootnoteAnchor"/>
          <w:rtl w:val="true"/>
        </w:rPr>
        <w:footnoteReference w:id="1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متعیّن، ولا دلالة فی الروایة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وما استظهره من خبر عبید بن زرارة یکون علی خلاف ظاهره،فراجع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یخلو من قوّة، ولا ینافیه موثّقة عبید؛ إذ المستفاد منها صحّة عقد الأب إنکان سبقه محرَزاً، فلا مَساسَ له بما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والروایة تدلّ علی صحّة عقد الأب مع سبقه فی الواقع، من دون دخالة العنوان، ولا الإحراز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وموثّقة عبید بن زرارة لا تدلّ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تقدیم عقد الجَدّ؛ لأنّ المستفاد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خبر عُبَید بن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أولویّة</w:t>
      </w:r>
    </w:p>
    <w:p>
      <w:pPr>
        <w:pStyle w:val="BookText"/>
        <w:rPr/>
      </w:pPr>
      <w:r>
        <w:rPr>
          <w:rFonts w:ascii="IRNazanin" w:hAnsi="IRNazanin" w:eastAsia="IRNazanin"/>
          <w:color w:val="111111"/>
          <w:sz w:val="28"/>
          <w:sz w:val="28"/>
          <w:szCs w:val="28"/>
          <w:rtl w:val="true"/>
          <w:lang w:bidi="fa-IR"/>
        </w:rPr>
        <w:t>الجَدّ ما لم یکن الأب زوّجها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تقدیم</w:t>
      </w:r>
      <w:r>
        <w:rPr>
          <w:rStyle w:val="FootnoteAnchor"/>
          <w:rtl w:val="true"/>
        </w:rPr>
        <w:footnoteReference w:id="1670"/>
      </w:r>
      <w:r>
        <w:rPr>
          <w:rFonts w:ascii="IRNazanin" w:hAnsi="IRNazanin" w:eastAsia="IRNazanin"/>
          <w:color w:val="111111"/>
          <w:sz w:val="28"/>
          <w:sz w:val="28"/>
          <w:szCs w:val="28"/>
          <w:rtl w:val="true"/>
          <w:lang w:bidi="fa-IR"/>
        </w:rPr>
        <w:t> عقد الأب کونه سابقاً</w:t>
      </w:r>
      <w:r>
        <w:rPr>
          <w:rStyle w:val="FootnoteAnchor"/>
          <w:rtl w:val="true"/>
        </w:rPr>
        <w:footnoteReference w:id="1671"/>
      </w:r>
      <w:r>
        <w:rPr>
          <w:rFonts w:ascii="Amiri" w:hAnsi="Amiri" w:eastAsia="Amiri" w:cs="Amiri"/>
          <w:color w:val="111111"/>
          <w:sz w:val="28"/>
          <w:sz w:val="28"/>
          <w:szCs w:val="28"/>
          <w:rtl w:val="true"/>
          <w:lang w:bidi="ar-SA"/>
        </w:rPr>
        <w:t>، وما لم یُعلَم ذلک یکون عقد الجَدّ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تقدیم عقد الجَدّ فی جمیع الصور، إلّا فی صورة معلومیّة سبق عقد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تَشاحَّ الأب والجَدّ فاختار کلٌّ منهما واحداً قُدِّم اختیار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الأب فعقد فهل یکون باطلاً، أو یصحّ؟ وجهان</w:t>
      </w:r>
      <w:r>
        <w:rPr>
          <w:rStyle w:val="FootnoteAnchor"/>
          <w:rtl w:val="true"/>
        </w:rPr>
        <w:footnoteReference w:id="1672"/>
      </w:r>
      <w:r>
        <w:rPr>
          <w:rFonts w:ascii="IRNazanin" w:hAnsi="IRNazanin" w:eastAsia="IRNazanin"/>
          <w:color w:val="111111"/>
          <w:sz w:val="28"/>
          <w:sz w:val="28"/>
          <w:szCs w:val="28"/>
          <w:rtl w:val="true"/>
          <w:lang w:bidi="fa-IR"/>
        </w:rPr>
        <w:t>،بل قولان</w:t>
      </w:r>
      <w:r>
        <w:rPr>
          <w:rStyle w:val="FootnoteAnchor"/>
          <w:rtl w:val="true"/>
        </w:rPr>
        <w:footnoteReference w:id="1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سابقاً فیجب تقدیمه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أنّ لازم أولویّة اختیار الجَدّ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صحّة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جمال الدین الگلپایگانی</w:t>
      </w:r>
      <w:r>
        <w:rPr>
          <w:rFonts w:eastAsia="IRNazanin" w:cs="IRNazanin"/>
          <w:color w:val="111111"/>
          <w:sz w:val="28"/>
          <w:szCs w:val="28"/>
          <w:rtl w:val="true"/>
          <w:lang w:bidi="fa-IR"/>
        </w:rPr>
        <w:t>).</w:t>
      </w:r>
      <w:bookmarkStart w:id="971" w:name="pg13286_154157"/>
    </w:p>
    <w:p>
      <w:pPr>
        <w:pStyle w:val="BookText"/>
        <w:rPr/>
      </w:pPr>
      <w:bookmarkEnd w:id="971"/>
      <w:r>
        <w:rPr>
          <w:rFonts w:ascii="Amiri" w:hAnsi="Amiri" w:eastAsia="Amiri" w:cs="Amiri"/>
          <w:color w:val="111111"/>
          <w:sz w:val="28"/>
          <w:sz w:val="28"/>
          <w:szCs w:val="28"/>
          <w:rtl w:val="true"/>
          <w:lang w:bidi="ar-SA"/>
        </w:rPr>
        <w:t>مراعاة</w:t>
      </w:r>
      <w:r>
        <w:rPr>
          <w:rStyle w:val="FootnoteAnchor"/>
          <w:rtl w:val="true"/>
        </w:rPr>
        <w:footnoteReference w:id="1674"/>
      </w:r>
      <w:r>
        <w:rPr>
          <w:rFonts w:ascii="IRNazanin" w:hAnsi="IRNazanin" w:eastAsia="IRNazanin"/>
          <w:color w:val="111111"/>
          <w:sz w:val="28"/>
          <w:sz w:val="28"/>
          <w:szCs w:val="28"/>
          <w:rtl w:val="true"/>
          <w:lang w:bidi="fa-IR"/>
        </w:rPr>
        <w:t> الاحتیاط</w:t>
      </w:r>
      <w:r>
        <w:rPr>
          <w:rStyle w:val="FootnoteAnchor"/>
          <w:rtl w:val="true"/>
        </w:rPr>
        <w:footnoteReference w:id="1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باسترضاء الجَدّ وتجدید العقد، وإمّا بطلاق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تَشاحّ الجَدّ الأسفل والأعلی هل یجری علیهما حکم الأب والجَدّ، أوْ لا؟ وجهان، أوجههما</w:t>
      </w:r>
      <w:r>
        <w:rPr>
          <w:rStyle w:val="FootnoteAnchor"/>
          <w:rtl w:val="true"/>
        </w:rPr>
        <w:footnoteReference w:id="1676"/>
      </w:r>
      <w:r>
        <w:rPr>
          <w:rFonts w:ascii="IRNazanin" w:hAnsi="IRNazanin" w:eastAsia="IRNazanin"/>
          <w:color w:val="111111"/>
          <w:sz w:val="28"/>
          <w:sz w:val="28"/>
          <w:szCs w:val="28"/>
          <w:rtl w:val="true"/>
          <w:lang w:bidi="fa-IR"/>
        </w:rPr>
        <w:t> الثانی</w:t>
      </w:r>
      <w:r>
        <w:rPr>
          <w:rStyle w:val="FootnoteAnchor"/>
          <w:rtl w:val="true"/>
        </w:rPr>
        <w:footnoteReference w:id="1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أوجهیّة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لِما یُستفاد من وجه تقدّم الجَدّ من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الأوجهیّة ممنوعة، بل لا یبعد دعوی أوجهیّة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لأنّهما لیسا أباً وجَدّاً، بل کلاهما جَدّ، فلا یشملهما ما دلّ علی تقدیم الجَدِّ علی الأب</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2139126_2322387425"/>
      <w:bookmarkStart w:id="973" w:name="_Toc356"/>
      <w:bookmarkEnd w:id="972"/>
      <w:r>
        <w:rPr>
          <w:rtl w:val="true"/>
        </w:rPr>
        <w:t>تزویج الولی للمولّی علیه من ذی العیب</w:t>
      </w:r>
      <w:bookmarkEnd w:id="97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1678"/>
      </w:r>
      <w:r>
        <w:rPr>
          <w:rFonts w:ascii="Amiri" w:hAnsi="Amiri" w:eastAsia="Amiri" w:cs="Amiri"/>
          <w:color w:val="111111"/>
          <w:sz w:val="28"/>
          <w:sz w:val="28"/>
          <w:szCs w:val="28"/>
          <w:rtl w:val="true"/>
          <w:lang w:bidi="ar-SA"/>
        </w:rPr>
        <w:t> للولیّ تزویج المولّی علیه بمَن به عَیب</w:t>
      </w:r>
      <w:r>
        <w:rPr>
          <w:rStyle w:val="FootnoteAnchor"/>
          <w:rtl w:val="true"/>
        </w:rPr>
        <w:footnoteReference w:id="1679"/>
      </w:r>
      <w:r>
        <w:rPr>
          <w:rFonts w:ascii="IRNazanin" w:hAnsi="IRNazanin" w:eastAsia="IRNazanin"/>
          <w:color w:val="111111"/>
          <w:sz w:val="28"/>
          <w:sz w:val="28"/>
          <w:szCs w:val="28"/>
          <w:rtl w:val="true"/>
          <w:lang w:bidi="fa-IR"/>
        </w:rPr>
        <w:t>، سواء کان من العیوب المجوِّزة للفسخ، أم لا؛ لأنّه خلاف المصلحة</w:t>
      </w:r>
      <w:r>
        <w:rPr>
          <w:rStyle w:val="FootnoteAnchor"/>
          <w:rtl w:val="true"/>
        </w:rPr>
        <w:footnoteReference w:id="1680"/>
      </w:r>
      <w:r>
        <w:rPr>
          <w:rFonts w:ascii="IRNazanin" w:hAnsi="IRNazanin" w:eastAsia="IRNazanin"/>
          <w:color w:val="111111"/>
          <w:sz w:val="28"/>
          <w:sz w:val="28"/>
          <w:szCs w:val="28"/>
          <w:rtl w:val="true"/>
          <w:lang w:bidi="fa-IR"/>
        </w:rPr>
        <w:t xml:space="preserve">، نعم، لو کان هناک مصلحة لازمة المراعاة جاز، وحینئذٍ لا خیار له ولا للمولّی علیه إن لم </w:t>
      </w:r>
    </w:p>
    <w:p>
      <w:pPr>
        <w:pStyle w:val="BookText"/>
        <w:rPr/>
      </w:pPr>
      <w:r>
        <w:rPr>
          <w:rFonts w:ascii="IRNazanin" w:hAnsi="IRNazanin" w:eastAsia="IRNazanin"/>
          <w:color w:val="111111"/>
          <w:sz w:val="28"/>
          <w:sz w:val="28"/>
          <w:szCs w:val="28"/>
          <w:rtl w:val="true"/>
          <w:lang w:bidi="fa-IR"/>
        </w:rPr>
        <w:t>یکن من العیوب المجوِّزة للفسخ، وإن کان منها ففی ثبوت الخیار للمولّی علیه بعد بلوغه، أو إفاقته، وعدمه؛ لأنّ المفروض إقدام الولیّ مع علمه به وجهان</w:t>
      </w:r>
      <w:r>
        <w:rPr>
          <w:rStyle w:val="FootnoteAnchor"/>
          <w:rtl w:val="true"/>
        </w:rPr>
        <w:footnoteReference w:id="1681"/>
      </w:r>
      <w:r>
        <w:rPr>
          <w:rFonts w:ascii="IRNazanin" w:hAnsi="IRNazanin" w:eastAsia="IRNazanin"/>
          <w:color w:val="111111"/>
          <w:sz w:val="28"/>
          <w:sz w:val="28"/>
          <w:szCs w:val="28"/>
          <w:rtl w:val="true"/>
          <w:lang w:bidi="fa-IR"/>
        </w:rPr>
        <w:t>، أوجههما الأوّل</w:t>
      </w:r>
      <w:r>
        <w:rPr>
          <w:rStyle w:val="FootnoteAnchor"/>
          <w:rtl w:val="true"/>
        </w:rPr>
        <w:footnoteReference w:id="1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مع فرض المصلحة، وعلم الولیّ بالعَیب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ولیس قصوره بمنزلة 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 لا یخلو من قوّةٍ فی صورة وجود المصلحة وعلم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إن لم یکن الأوجه الثانی؛ فإنّه لا یبعد خروج صورة علم الولیّ بالعَیب وإقدامه علیه؛ لاقتضاء المصلحة عن منصرف أدلّة الخیار، ولکن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لإطلاق أدلّة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العیوب، وقصوره بمنزلة  جهله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الولیّ ولحاظه المصلحة لا یوجب سقوط الخیار للمولّی علیه، وغایة ما تفید المصلحة إنّما هو صحّة العقد، فتبقی أدلّة الخیار بحالها</w:t>
      </w:r>
      <w:r>
        <w:rPr>
          <w:rFonts w:eastAsia="IRNazanin" w:cs="IRNazanin"/>
          <w:color w:val="111111"/>
          <w:sz w:val="28"/>
          <w:szCs w:val="28"/>
          <w:rtl w:val="true"/>
          <w:lang w:bidi="fa-IR"/>
        </w:rPr>
        <w:t xml:space="preserve">. </w:t>
      </w:r>
      <w:bookmarkStart w:id="974" w:name="pg13286_154162"/>
    </w:p>
    <w:p>
      <w:pPr>
        <w:pStyle w:val="Heading4"/>
        <w:numPr>
          <w:ilvl w:val="3"/>
          <w:numId w:val="1"/>
        </w:numPr>
        <w:rPr/>
      </w:pPr>
      <w:bookmarkStart w:id="975" w:name="__RefHeading___Toc2139128_2322387425"/>
      <w:bookmarkStart w:id="976" w:name="_Toc357"/>
      <w:bookmarkEnd w:id="974"/>
      <w:bookmarkEnd w:id="975"/>
      <w:r>
        <w:rPr>
          <w:rtl w:val="true"/>
        </w:rPr>
        <w:t>ثبوت الخیار مع الجهل بالعیب المجوّز للفسخ</w:t>
      </w:r>
      <w:bookmarkEnd w:id="976"/>
    </w:p>
    <w:p>
      <w:pPr>
        <w:pStyle w:val="BookText"/>
        <w:rPr/>
      </w:pPr>
      <w:r>
        <w:rPr>
          <w:rFonts w:ascii="IRNazanin" w:hAnsi="IRNazanin" w:eastAsia="IRNazanin"/>
          <w:color w:val="111111"/>
          <w:sz w:val="28"/>
          <w:sz w:val="28"/>
          <w:szCs w:val="28"/>
          <w:rtl w:val="true"/>
          <w:lang w:bidi="fa-IR"/>
        </w:rPr>
        <w:t>بل ربّما یحتمل</w:t>
      </w:r>
      <w:r>
        <w:rPr>
          <w:rStyle w:val="FootnoteAnchor"/>
          <w:rtl w:val="true"/>
        </w:rPr>
        <w:footnoteReference w:id="1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الخیار للمولّی علیه بعد البلوغ أو الإفاقة، کما هو ظاهر المتن، فقبله لاحقّ حتّی یستوفِیهِ الولیّ، نعم، لو کان للمولّی علیه حقّ فعلاً فللولیّ الخیار نیابةً،وهو غیر بعید، کما نفی عنه البعد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29/213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الخیار للولیّ أیضاً من باب استیفاء ما للمولّی علیه من الحقّ، وهل له إسقاطه، أم لا؟ مشکل، إلّا أن یکون هناک مصلحة ملزمة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الولیّ جاهلاً بالعیب ولم یعلم به إلّا بعد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العیوب المجوِّزة للفسخ فلا إشکال فی ثبوت الخیار</w:t>
      </w:r>
      <w:r>
        <w:rPr>
          <w:rStyle w:val="FootnoteAnchor"/>
          <w:rtl w:val="true"/>
        </w:rPr>
        <w:footnoteReference w:id="1684"/>
      </w:r>
      <w:r>
        <w:rPr>
          <w:rFonts w:ascii="IRNazanin" w:hAnsi="IRNazanin" w:eastAsia="IRNazanin"/>
          <w:color w:val="111111"/>
          <w:sz w:val="28"/>
          <w:sz w:val="28"/>
          <w:szCs w:val="28"/>
          <w:rtl w:val="true"/>
          <w:lang w:bidi="fa-IR"/>
        </w:rPr>
        <w:t> له</w:t>
      </w:r>
      <w:r>
        <w:rPr>
          <w:rStyle w:val="FootnoteAnchor"/>
          <w:rtl w:val="true"/>
        </w:rPr>
        <w:footnoteReference w:id="1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بالنیابة عن المولّی علیه أخذاً له بحقّه، ولا خیار للولیّ بالإصالة، ولا ینبغی ترکالاحتیاط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وللمولّی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لم یفسخ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وللمولّی علیه فقط إذا لم یعلم به الولیّ إلی أن بلغ أو أفاق</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من العیوب الاُخر فلا خیار للولیّ، وفی ثبوته للمولّی علیه وعدمه وجهان</w:t>
      </w:r>
      <w:r>
        <w:rPr>
          <w:rStyle w:val="FootnoteAnchor"/>
          <w:rtl w:val="true"/>
        </w:rPr>
        <w:footnoteReference w:id="1686"/>
      </w:r>
      <w:r>
        <w:rPr>
          <w:rFonts w:ascii="IRNazanin" w:hAnsi="IRNazanin" w:eastAsia="IRNazanin"/>
          <w:color w:val="111111"/>
          <w:sz w:val="28"/>
          <w:sz w:val="28"/>
          <w:szCs w:val="28"/>
          <w:rtl w:val="true"/>
          <w:lang w:bidi="fa-IR"/>
        </w:rPr>
        <w:t xml:space="preserve">، أوجههما     </w:t>
      </w:r>
      <w:r>
        <w:rPr>
          <w:rFonts w:eastAsia="IRNazanin" w:cs="IRNazanin"/>
          <w:color w:val="111111"/>
          <w:sz w:val="28"/>
          <w:szCs w:val="28"/>
          <w:rtl w:val="true"/>
          <w:lang w:bidi="fa-IR"/>
        </w:rPr>
        <w:t xml:space="preserve">.     .     .     .     .     . </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1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أوجههما العدم، مع فرض وقوع العقد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 بعد فرض کون العقد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فإنّ تزویج الأب إن کان نافذاً فی حقّه علی أساس أنّالمعتبر فی ولایته علیه عدم المفسدة فلا یکون عدم المصلحة مانعاً عن نفوذ تصرّفهفی حقّه، کما مرّ سابقاً؛ وعلیه فلا خیار له، وإن لم یکن نافذاً فالعقد فضولیّ، تتوقّف صحّته علی إجازة المولّی علیه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قدّس سرّه حاشیة ثانیة قصیرة أوردناها من نسخةٍ اُخری، وهی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عدم الخیار مع فرض المصلحة، وأمّا مع عدمها فالعقد فضولیّ موقوف علی إجازة المولّی علیه بعد البلوغ أو الإفاقة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وجه له، والوجه الّذی ذکره وجه لکونه فضولیّاً یحتاج إلی الإجازة،فلا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کون العقد صحیحاً الأوجه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الثانی؛ لأنّه بعد ما کان المفروض وجود المصلحة فی النکاح حاله بحسب نظر الولیّ لا وجه للخیار مع عدم کون العیب من العیوب المجوِّزة للفسخ،وانکشاف عدم المصلحة لا یؤثّر فی ما وقع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الفضولیّة فی هذاالفرض ممنوعة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لأنّه یکشف عن عدم     </w:t>
      </w:r>
      <w:r>
        <w:rPr>
          <w:rFonts w:eastAsia="IRNazanin" w:cs="IRNazanin"/>
          <w:color w:val="111111"/>
          <w:sz w:val="28"/>
          <w:szCs w:val="28"/>
          <w:rtl w:val="true"/>
          <w:lang w:bidi="fa-IR"/>
        </w:rPr>
        <w:t>.     .     .     .     .     .</w:t>
      </w:r>
      <w:bookmarkStart w:id="977" w:name="pg13286_154166"/>
    </w:p>
    <w:p>
      <w:pPr>
        <w:pStyle w:val="BookText"/>
        <w:rPr/>
      </w:pPr>
      <w:bookmarkEnd w:id="977"/>
      <w:r>
        <w:rPr>
          <w:rFonts w:ascii="Amiri" w:hAnsi="Amiri" w:eastAsia="Amiri" w:cs="Amiri"/>
          <w:color w:val="111111"/>
          <w:sz w:val="28"/>
          <w:sz w:val="28"/>
          <w:szCs w:val="28"/>
          <w:rtl w:val="true"/>
          <w:lang w:bidi="ar-SA"/>
        </w:rPr>
        <w:t>المصلحة</w:t>
      </w:r>
      <w:r>
        <w:rPr>
          <w:rStyle w:val="FootnoteAnchor"/>
          <w:rtl w:val="true"/>
        </w:rPr>
        <w:footnoteReference w:id="1688"/>
      </w:r>
      <w:r>
        <w:rPr>
          <w:rFonts w:ascii="IRNazanin" w:hAnsi="IRNazanin" w:eastAsia="IRNazanin"/>
          <w:color w:val="111111"/>
          <w:sz w:val="28"/>
          <w:sz w:val="28"/>
          <w:szCs w:val="28"/>
          <w:rtl w:val="true"/>
          <w:lang w:bidi="fa-IR"/>
        </w:rPr>
        <w:t> فی ذلک التزویج، بل یمکن</w:t>
      </w:r>
      <w:r>
        <w:rPr>
          <w:rStyle w:val="FootnoteAnchor"/>
          <w:rtl w:val="true"/>
        </w:rPr>
        <w:footnoteReference w:id="1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هذه التعلیقة له  قدّس سرّه من نسخةٍ اُخری، غیر ما بأیدینا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متعیّن؛ فإنّ الأمر دائر بین الفساد والصحّة مع عدم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فضولیّ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حینئذٍ، لا أنّه صحیح وله الخیار</w:t>
      </w:r>
      <w:r>
        <w:rPr>
          <w:rFonts w:eastAsia="IRNazanin" w:cs="IRNazanin"/>
          <w:color w:val="111111"/>
          <w:sz w:val="28"/>
          <w:szCs w:val="28"/>
          <w:rtl w:val="true"/>
          <w:lang w:bidi="fa-IR"/>
        </w:rPr>
        <w:t>.</w:t>
      </w:r>
    </w:p>
    <w:p>
      <w:pPr>
        <w:pStyle w:val="Heading4"/>
        <w:numPr>
          <w:ilvl w:val="3"/>
          <w:numId w:val="1"/>
        </w:numPr>
        <w:rPr/>
      </w:pPr>
      <w:bookmarkStart w:id="978" w:name="__RefHeading___Toc2139130_2322387425"/>
      <w:bookmarkStart w:id="979" w:name="_Toc358"/>
      <w:bookmarkEnd w:id="978"/>
      <w:r>
        <w:rPr>
          <w:rtl w:val="true"/>
        </w:rPr>
        <w:t>تزویج مملوک المملوک</w:t>
      </w:r>
      <w:bookmarkEnd w:id="9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مملوک</w:t>
      </w:r>
      <w:r>
        <w:rPr>
          <w:rStyle w:val="FootnoteAnchor"/>
          <w:rtl w:val="true"/>
        </w:rPr>
        <w:footnoteReference w:id="1690"/>
      </w:r>
      <w:r>
        <w:rPr>
          <w:rFonts w:ascii="IRNazanin" w:hAnsi="IRNazanin" w:eastAsia="IRNazanin"/>
          <w:color w:val="111111"/>
          <w:sz w:val="28"/>
          <w:sz w:val="28"/>
          <w:szCs w:val="28"/>
          <w:rtl w:val="true"/>
          <w:lang w:bidi="fa-IR"/>
        </w:rPr>
        <w:t> المملوک کالمملوک فی کون أمر تزویجه بید المولی</w:t>
      </w:r>
      <w:r>
        <w:rPr>
          <w:rStyle w:val="FootnoteAnchor"/>
          <w:rtl w:val="true"/>
        </w:rPr>
        <w:footnoteReference w:id="16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رضا مالک المملوک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4"/>
        <w:numPr>
          <w:ilvl w:val="3"/>
          <w:numId w:val="1"/>
        </w:numPr>
        <w:rPr/>
      </w:pPr>
      <w:bookmarkStart w:id="980" w:name="__RefHeading___Toc2139132_2322387425"/>
      <w:bookmarkStart w:id="981" w:name="_Toc359"/>
      <w:bookmarkEnd w:id="980"/>
      <w:r>
        <w:rPr>
          <w:rtl w:val="true"/>
        </w:rPr>
        <w:t>الولایة للوصیّ فی تزویج المجنون والصغیر</w:t>
      </w:r>
      <w:bookmarkEnd w:id="98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للوصیّ</w:t>
      </w:r>
      <w:r>
        <w:rPr>
          <w:rStyle w:val="FootnoteAnchor"/>
          <w:rtl w:val="true"/>
        </w:rPr>
        <w:footnoteReference w:id="1692"/>
      </w:r>
      <w:r>
        <w:rPr>
          <w:rFonts w:ascii="Amiri" w:hAnsi="Amiri" w:eastAsia="Amiri" w:cs="Amiri"/>
          <w:color w:val="111111"/>
          <w:sz w:val="28"/>
          <w:sz w:val="28"/>
          <w:szCs w:val="28"/>
          <w:rtl w:val="true"/>
          <w:lang w:bidi="ar-SA"/>
        </w:rPr>
        <w:t> أنّ یزوّج</w:t>
      </w:r>
      <w:r>
        <w:rPr>
          <w:rStyle w:val="FootnoteAnchor"/>
          <w:rtl w:val="true"/>
        </w:rPr>
        <w:footnoteReference w:id="1693"/>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w:t>
      </w:r>
    </w:p>
    <w:p>
      <w:pPr>
        <w:pStyle w:val="BookText"/>
        <w:rPr/>
      </w:pPr>
      <w:r>
        <w:rPr>
          <w:rFonts w:ascii="IRNazanin" w:hAnsi="IRNazanin" w:eastAsia="IRNazanin"/>
          <w:color w:val="111111"/>
          <w:sz w:val="28"/>
          <w:sz w:val="28"/>
          <w:szCs w:val="28"/>
          <w:rtl w:val="true"/>
          <w:lang w:bidi="fa-IR"/>
        </w:rPr>
        <w:t>المجنون</w:t>
      </w:r>
      <w:r>
        <w:rPr>
          <w:rStyle w:val="FootnoteAnchor"/>
          <w:rtl w:val="true"/>
        </w:rPr>
        <w:footnoteReference w:id="16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بإذن الحاکم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انضمام إذن الحاکم فی المجنون المحتاج إلی التزویج، والاقتصار علیهدون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بشرط اتّصاله بصِغَره، وأمّا فی ما عداه وفی الصغیر إن لم ینصَّ الموصِیفلا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اتّصال جنونه بصِغَره، وأمّا المنفصل فالأقوی اعتبار إذن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الجنون المتّصل بالصِغَر، وأمّا فی غیره فالاحتیاط بالاستجازة من الحاکملا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هذه التعلیقة له ؛ من نسخةٍ اُخری غیر ما بأیدینا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المتّصل جنونه بصغره، وفی المنفصل فالأقوی أنّ الولایة للحاکم، کما مرّ، نعم،الأحوط الاستئذان من الوصیّ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اتّصل جنونه بصغره بشرط نصّ الموصِی، کما فی الصغیر، أمّا المنفصل فالأحوط الاستئذان منه ومن الحاکم الشرعیّ إذا اقتضت الضرورة تزویجه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الصغیر لا یُترک الاحتیاط بالجمع بین إذنه وإذن الحاکم الشرعیّ، سواءنصّ الموصِی أم لم ینصَّ، ومع ذلک لا یُترک الاحتیاط أیضاً بالاقتصار علی مورد الحاجة والضرورة الملزمة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ولایة للوصِیّ علی تزویج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جنونه متّصلاً بالصِغَر؛ لأنّه المسلَّم من مورد ثبوت الولایة للموصِی، وأمّامع الانفصال فالأحوط الاستئذان من الحاکم، کما فی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w:t>
      </w:r>
    </w:p>
    <w:p>
      <w:pPr>
        <w:pStyle w:val="BookText"/>
        <w:rPr/>
      </w:pPr>
      <w:r>
        <w:rPr>
          <w:rFonts w:ascii="IRNazanin" w:hAnsi="IRNazanin" w:eastAsia="IRNazanin"/>
          <w:color w:val="111111"/>
          <w:sz w:val="28"/>
          <w:sz w:val="28"/>
          <w:szCs w:val="28"/>
          <w:rtl w:val="true"/>
          <w:lang w:bidi="fa-IR"/>
        </w:rPr>
        <w:t>المحتاج</w:t>
      </w:r>
      <w:r>
        <w:rPr>
          <w:rStyle w:val="FootnoteAnchor"/>
          <w:rtl w:val="true"/>
        </w:rPr>
        <w:footnoteReference w:id="1695"/>
      </w:r>
      <w:r>
        <w:rPr>
          <w:rFonts w:ascii="IRNazanin" w:hAnsi="IRNazanin" w:eastAsia="IRNazanin"/>
          <w:color w:val="111111"/>
          <w:sz w:val="28"/>
          <w:sz w:val="28"/>
          <w:szCs w:val="28"/>
          <w:rtl w:val="true"/>
          <w:lang w:bidi="fa-IR"/>
        </w:rPr>
        <w:t> إلی الزواج، بل الصغیر</w:t>
      </w:r>
      <w:r>
        <w:rPr>
          <w:rStyle w:val="FootnoteAnchor"/>
          <w:rtl w:val="true"/>
        </w:rPr>
        <w:footnoteReference w:id="1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الولایة للوصِیّ علی الصغیر محلّ إشکال، وعلی تقدیرها لا فرق بین تصریح الموصِی وبین إطلاقه، والاحتیاط فی کلتا الصورتَین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فی غایة الإشکال،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بل ینبغی مراعاته فی المجنون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مشکلة جدّاً،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عدم التزویج، إلّا مع اقتضاء الضرورة اللازمة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ولایة له علی تزویجه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 بشرط نصّ المُوصِی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یشترط، ویکفی عموم الوصیّة لمثل الزواج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عیّن الزوجة أو الزوج أو أطلق</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82" w:name="pg13286_154173"/>
    </w:p>
    <w:p>
      <w:pPr>
        <w:pStyle w:val="BookText"/>
        <w:rPr/>
      </w:pPr>
      <w:bookmarkEnd w:id="982"/>
      <w:r>
        <w:rPr>
          <w:rFonts w:ascii="IRNazanin" w:hAnsi="IRNazanin" w:eastAsia="IRNazanin"/>
          <w:color w:val="111111"/>
          <w:sz w:val="28"/>
          <w:sz w:val="28"/>
          <w:szCs w:val="28"/>
          <w:rtl w:val="true"/>
          <w:lang w:bidi="fa-IR"/>
        </w:rPr>
        <w:t>ولا فرق بین أن یکون وصیّاً من قبل الأب أو من قبل الجَدّ، لکن بشرط</w:t>
      </w:r>
      <w:r>
        <w:rPr>
          <w:rStyle w:val="FootnoteAnchor"/>
          <w:rtl w:val="true"/>
        </w:rPr>
        <w:footnoteReference w:id="1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الاشتراط مبنیّ علی الاحتیاط؛ إذ لا دلیل علی الطولیّة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وجود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فالأمر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2139134_2322387425"/>
      <w:bookmarkStart w:id="984" w:name="_Toc360"/>
      <w:bookmarkEnd w:id="983"/>
      <w:r>
        <w:rPr>
          <w:rtl w:val="true"/>
        </w:rPr>
        <w:t>ولایة الحاکم الشرعی</w:t>
      </w:r>
      <w:bookmarkEnd w:id="9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للحاکم الشرعیّ</w:t>
      </w:r>
      <w:r>
        <w:rPr>
          <w:rStyle w:val="FootnoteAnchor"/>
          <w:rtl w:val="true"/>
        </w:rPr>
        <w:footnoteReference w:id="1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لغیر الأب والجَدّ من الأولیاء عدم تزویج الصغیر، إلّا مع الضرورةاللازمة المراعاة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تزویج مَن لا ولیّ له ـ من الأب والجَدّ والوصیّ ـ بشرط 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کونه من الحِسبیّات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أو قضاء المصلحة اللازمة المراعاة</w:t>
      </w:r>
      <w:r>
        <w:rPr>
          <w:rFonts w:eastAsia="IRNazanin" w:cs="IRNazanin"/>
          <w:color w:val="111111"/>
          <w:sz w:val="28"/>
          <w:szCs w:val="28"/>
          <w:rtl w:val="true"/>
          <w:lang w:bidi="fa-IR"/>
        </w:rPr>
        <w:t>.</w:t>
      </w:r>
    </w:p>
    <w:p>
      <w:pPr>
        <w:pStyle w:val="Heading4"/>
        <w:numPr>
          <w:ilvl w:val="3"/>
          <w:numId w:val="1"/>
        </w:numPr>
        <w:rPr/>
      </w:pPr>
      <w:bookmarkStart w:id="985" w:name="__RefHeading___Toc2139136_2322387425"/>
      <w:bookmarkStart w:id="986" w:name="_Toc361"/>
      <w:bookmarkEnd w:id="985"/>
      <w:r>
        <w:rPr>
          <w:rtl w:val="true"/>
        </w:rPr>
        <w:t>الاستئذان من الأب والجد والأخ</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یُستحبّ</w:t>
      </w:r>
      <w:r>
        <w:rPr>
          <w:rStyle w:val="FootnoteAnchor"/>
          <w:rtl w:val="true"/>
        </w:rPr>
        <w:footnoteReference w:id="1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نجد دلیلاً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للمرأةِ المالکةِ أمرَها أن تستأذن أباها أو جَدّها، وإن لم یکونا فتُوکِّل أخاها، وإن تعدّد اختارت الأکبر</w:t>
      </w:r>
      <w:r>
        <w:rPr>
          <w:rFonts w:eastAsia="IRNazanin" w:cs="IRNazanin"/>
          <w:color w:val="111111"/>
          <w:sz w:val="28"/>
          <w:szCs w:val="28"/>
          <w:rtl w:val="true"/>
          <w:lang w:bidi="fa-IR"/>
        </w:rPr>
        <w:t>.</w:t>
      </w:r>
    </w:p>
    <w:p>
      <w:pPr>
        <w:pStyle w:val="Heading4"/>
        <w:numPr>
          <w:ilvl w:val="3"/>
          <w:numId w:val="1"/>
        </w:numPr>
        <w:rPr/>
      </w:pPr>
      <w:bookmarkStart w:id="987" w:name="__RefHeading___Toc2139138_2322387425"/>
      <w:bookmarkStart w:id="988" w:name="_Toc362"/>
      <w:bookmarkEnd w:id="987"/>
      <w:r>
        <w:rPr>
          <w:rtl w:val="true"/>
        </w:rPr>
        <w:t>کفایة سکوت البکر فی إحراز إذنها</w:t>
      </w:r>
      <w:bookmarkEnd w:id="98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الأخبار</w:t>
      </w:r>
      <w:r>
        <w:rPr>
          <w:rStyle w:val="FootnoteAnchor"/>
          <w:rtl w:val="true"/>
        </w:rPr>
        <w:footnoteReference w:id="1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البِکر سکوتها عند العَرضِ علیها</w:t>
      </w:r>
      <w:r>
        <w:rPr>
          <w:rFonts w:eastAsia="Amiri" w:cs="Amiri" w:ascii="Amiri" w:hAnsi="Amiri"/>
          <w:color w:val="111111"/>
          <w:sz w:val="28"/>
          <w:szCs w:val="28"/>
          <w:rtl w:val="true"/>
          <w:lang w:bidi="ar-SA"/>
        </w:rPr>
        <w:t xml:space="preserve">. </w:t>
      </w:r>
      <w:bookmarkStart w:id="989" w:name="pg13286_154175"/>
    </w:p>
    <w:p>
      <w:pPr>
        <w:pStyle w:val="BookText"/>
        <w:rPr/>
      </w:pPr>
      <w:bookmarkEnd w:id="989"/>
      <w:r>
        <w:rPr>
          <w:rFonts w:ascii="IRNazanin" w:hAnsi="IRNazanin" w:eastAsia="IRNazanin"/>
          <w:color w:val="111111"/>
          <w:sz w:val="28"/>
          <w:sz w:val="28"/>
          <w:szCs w:val="28"/>
          <w:rtl w:val="true"/>
          <w:lang w:bidi="fa-IR"/>
        </w:rPr>
        <w:t>وأفتی به العلماء</w:t>
      </w:r>
      <w:r>
        <w:rPr>
          <w:rStyle w:val="FootnoteAnchor"/>
          <w:rtl w:val="true"/>
        </w:rPr>
        <w:footnoteReference w:id="1701"/>
      </w:r>
      <w:r>
        <w:rPr>
          <w:rFonts w:ascii="IRNazanin" w:hAnsi="IRNazanin" w:eastAsia="IRNazanin"/>
          <w:color w:val="111111"/>
          <w:sz w:val="28"/>
          <w:sz w:val="28"/>
          <w:szCs w:val="28"/>
          <w:rtl w:val="true"/>
          <w:lang w:bidi="fa-IR"/>
        </w:rPr>
        <w:t>، لکنّها محمولة</w:t>
      </w:r>
      <w:r>
        <w:rPr>
          <w:rStyle w:val="FootnoteAnchor"/>
          <w:rtl w:val="true"/>
        </w:rPr>
        <w:footnoteReference w:id="1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للحمل المذکور؛ فإنّ المستفاد من النصوص کفایة سکوتها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عدم کونها راضیةً تشکل الکفایة؛ فإنّ اعتبار الأمارة یختصّ بصورة الشکّوالاطمئنان، مثل العلم والبیّنة مثلهما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إذا ظهر رضاها، وکان سکوتها لحیائها عن النُطق بذلک</w:t>
      </w:r>
      <w:r>
        <w:rPr>
          <w:rFonts w:eastAsia="IRNazanin" w:cs="IRNazanin"/>
          <w:color w:val="111111"/>
          <w:sz w:val="28"/>
          <w:szCs w:val="28"/>
          <w:rtl w:val="true"/>
          <w:lang w:bidi="fa-IR"/>
        </w:rPr>
        <w:t>.</w:t>
      </w:r>
    </w:p>
    <w:p>
      <w:pPr>
        <w:pStyle w:val="Heading4"/>
        <w:numPr>
          <w:ilvl w:val="3"/>
          <w:numId w:val="1"/>
        </w:numPr>
        <w:rPr/>
      </w:pPr>
      <w:bookmarkStart w:id="990" w:name="__RefHeading___Toc2139140_2322387425"/>
      <w:bookmarkStart w:id="991" w:name="_Toc363"/>
      <w:bookmarkEnd w:id="990"/>
      <w:r>
        <w:rPr>
          <w:rtl w:val="true"/>
        </w:rPr>
        <w:t>عامّة شرائط الأولیاء</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ولایة الأولیاء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والحرّیّة</w:t>
      </w:r>
      <w:r>
        <w:rPr>
          <w:rStyle w:val="FootnoteAnchor"/>
          <w:rtl w:val="true"/>
        </w:rPr>
        <w:footnoteReference w:id="1703"/>
      </w:r>
      <w:r>
        <w:rPr>
          <w:rFonts w:ascii="IRNazanin" w:hAnsi="IRNazanin" w:eastAsia="IRNazanin"/>
          <w:color w:val="111111"/>
          <w:sz w:val="28"/>
          <w:sz w:val="28"/>
          <w:szCs w:val="28"/>
          <w:rtl w:val="true"/>
          <w:lang w:bidi="fa-IR"/>
        </w:rPr>
        <w:t>، والإسلام</w:t>
      </w:r>
      <w:r>
        <w:rPr>
          <w:rStyle w:val="FootnoteAnchor"/>
          <w:rtl w:val="true"/>
        </w:rPr>
        <w:footnoteReference w:id="17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المولّی علیه مسلماً، فلا ولایة للصغیر والصغیرة علی مملوکهما من عبدٍ أو أمة، بل الولایة حینئذٍ لولیّهما، وکذا مع فساد عقلهما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وإن لم یکونا صغیرَین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بجنونٍ أو إغماءٍ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نحوه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وکذا لا ولایة للأب والجَدّ مع جنونهما ونحوه</w:t>
      </w:r>
      <w:r>
        <w:rPr>
          <w:rStyle w:val="FootnoteAnchor"/>
          <w:rtl w:val="true"/>
        </w:rPr>
        <w:footnoteReference w:id="1705"/>
      </w:r>
      <w:r>
        <w:rPr>
          <w:rFonts w:ascii="IRNazanin" w:hAnsi="IRNazanin" w:eastAsia="IRNazanin"/>
          <w:color w:val="111111"/>
          <w:sz w:val="28"/>
          <w:sz w:val="28"/>
          <w:szCs w:val="28"/>
          <w:rtl w:val="true"/>
          <w:lang w:bidi="fa-IR"/>
        </w:rPr>
        <w:t>، وإن جُنَّ أحدهما دون الآخر فالولایة للاخر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ولایة</w:t>
      </w:r>
      <w:r>
        <w:rPr>
          <w:rStyle w:val="FootnoteAnchor"/>
          <w:rtl w:val="true"/>
        </w:rPr>
        <w:footnoteReference w:id="1706"/>
      </w:r>
      <w:r>
        <w:rPr>
          <w:rFonts w:ascii="Amiri" w:hAnsi="Amiri" w:eastAsia="Amiri" w:cs="Amiri"/>
          <w:color w:val="111111"/>
          <w:sz w:val="28"/>
          <w:sz w:val="28"/>
          <w:szCs w:val="28"/>
          <w:rtl w:val="true"/>
          <w:lang w:bidi="ar-SA"/>
        </w:rPr>
        <w:t> للمملوک ولو مُبَعَّضاً علی ولده، حرّاً کان أو عبداً، بل  الولایة فی الأوّل للحاکم، وفی الثانی لمولاه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لا ولایة للأب الکافر علی ولده المسلم، فتکون للجَدّ إذا کان مسلماً، وللحاکم إذا کان کافراً</w:t>
      </w:r>
      <w:r>
        <w:rPr>
          <w:rStyle w:val="FootnoteAnchor"/>
          <w:rtl w:val="true"/>
        </w:rPr>
        <w:footnoteReference w:id="170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1708"/>
      </w:r>
      <w:r>
        <w:rPr>
          <w:rFonts w:ascii="IRNazanin" w:hAnsi="IRNazanin" w:eastAsia="IRNazanin"/>
          <w:color w:val="111111"/>
          <w:sz w:val="28"/>
          <w:sz w:val="28"/>
          <w:szCs w:val="28"/>
          <w:rtl w:val="true"/>
          <w:lang w:bidi="fa-IR"/>
        </w:rPr>
        <w:t> ثبوت ولایته علی ولده</w:t>
      </w:r>
      <w:r>
        <w:rPr>
          <w:rStyle w:val="FootnoteAnchor"/>
          <w:rtl w:val="true"/>
        </w:rPr>
        <w:footnoteReference w:id="1709"/>
      </w:r>
      <w:r>
        <w:rPr>
          <w:rFonts w:ascii="IRNazanin" w:hAnsi="IRNazanin" w:eastAsia="IRNazanin"/>
          <w:color w:val="111111"/>
          <w:sz w:val="28"/>
          <w:sz w:val="28"/>
          <w:szCs w:val="28"/>
          <w:rtl w:val="true"/>
          <w:lang w:bidi="fa-IR"/>
        </w:rPr>
        <w:t> الکافر</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 جَدّ مسلم، وإلّا فلا یبعد ثبوت الولایة له دون الأب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حیث لا یکون له فی العمود الأعلی من طَرف الأب جَدّ مسلم، وإلّا فالولایة له علی الأحوط، 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یصحّ تزویج الولیّ فی حال إحرامه أو المولّی علیه، سواء کان بمباشرته أم بالتوکیل، نعم، لا بأس بالتوکیل حال الإحرام لیوقِعَ </w:t>
      </w:r>
      <w:bookmarkStart w:id="992" w:name="pg13286_154179"/>
    </w:p>
    <w:p>
      <w:pPr>
        <w:pStyle w:val="BookText"/>
        <w:rPr/>
      </w:pPr>
      <w:bookmarkEnd w:id="992"/>
      <w:r>
        <w:rPr>
          <w:rFonts w:ascii="IRNazanin" w:hAnsi="IRNazanin" w:eastAsia="IRNazanin"/>
          <w:color w:val="111111"/>
          <w:sz w:val="28"/>
          <w:sz w:val="28"/>
          <w:szCs w:val="28"/>
          <w:rtl w:val="true"/>
          <w:lang w:bidi="fa-IR"/>
        </w:rPr>
        <w:t>العقدَ بعد الإحلال</w:t>
      </w:r>
      <w:r>
        <w:rPr>
          <w:rFonts w:eastAsia="IRNazanin" w:cs="IRNazanin"/>
          <w:color w:val="111111"/>
          <w:sz w:val="28"/>
          <w:szCs w:val="28"/>
          <w:rtl w:val="true"/>
          <w:lang w:bidi="fa-IR"/>
        </w:rPr>
        <w:t>.</w:t>
      </w:r>
    </w:p>
    <w:p>
      <w:pPr>
        <w:pStyle w:val="Heading4"/>
        <w:numPr>
          <w:ilvl w:val="3"/>
          <w:numId w:val="1"/>
        </w:numPr>
        <w:rPr/>
      </w:pPr>
      <w:bookmarkStart w:id="993" w:name="__RefHeading___Toc2139142_2322387425"/>
      <w:bookmarkStart w:id="994" w:name="_Toc364"/>
      <w:bookmarkEnd w:id="993"/>
      <w:r>
        <w:rPr>
          <w:rtl w:val="true"/>
        </w:rPr>
        <w:t>تعدّی الوکیل عمّا عیّنه الموکّل</w:t>
      </w:r>
      <w:bookmarkEnd w:id="9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الوکیل فی التزویج أن لا یتعدّی عمّا عیّنه الموکِّل من حیث الشخص والمهر وسائر الخصوصیّات، وإلّا کان فضولیّاً موقوفاً علی الإجازة، ومع الإطلاق وعدم التعیین یجب</w:t>
      </w:r>
      <w:r>
        <w:rPr>
          <w:rStyle w:val="FootnoteAnchor"/>
          <w:rtl w:val="true"/>
        </w:rPr>
        <w:footnoteReference w:id="1711"/>
      </w:r>
      <w:r>
        <w:rPr>
          <w:rFonts w:ascii="Amiri" w:hAnsi="Amiri" w:eastAsia="Amiri" w:cs="Amiri"/>
          <w:color w:val="111111"/>
          <w:sz w:val="28"/>
          <w:sz w:val="28"/>
          <w:szCs w:val="28"/>
          <w:rtl w:val="true"/>
          <w:lang w:bidi="ar-SA"/>
        </w:rPr>
        <w:t> مراعاة مصلحة الموکِّل</w:t>
      </w:r>
      <w:r>
        <w:rPr>
          <w:rStyle w:val="FootnoteAnchor"/>
          <w:rtl w:val="true"/>
        </w:rPr>
        <w:footnoteReference w:id="1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المفسدة علی الموکِّل الشامل لِما لا مصلحة ولا مفسدة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سائر الجهات، ومع التعدّی یصیر فضولیّاً</w:t>
      </w:r>
      <w:r>
        <w:rPr>
          <w:rFonts w:eastAsia="IRNazanin" w:cs="IRNazanin"/>
          <w:color w:val="111111"/>
          <w:sz w:val="28"/>
          <w:szCs w:val="28"/>
          <w:rtl w:val="true"/>
          <w:lang w:bidi="fa-IR"/>
        </w:rPr>
        <w:t>.</w:t>
      </w:r>
    </w:p>
    <w:p>
      <w:pPr>
        <w:pStyle w:val="Heading4"/>
        <w:numPr>
          <w:ilvl w:val="3"/>
          <w:numId w:val="1"/>
        </w:numPr>
        <w:rPr/>
      </w:pPr>
      <w:bookmarkStart w:id="995" w:name="__RefHeading___Toc2139144_2322387425"/>
      <w:bookmarkStart w:id="996" w:name="_Toc365"/>
      <w:bookmarkEnd w:id="995"/>
      <w:r>
        <w:rPr>
          <w:rtl w:val="true"/>
        </w:rPr>
        <w:t>تزویج وکیل المرأة من نفسه</w:t>
      </w:r>
      <w:bookmarkEnd w:id="996"/>
    </w:p>
    <w:p>
      <w:pPr>
        <w:pStyle w:val="BookText"/>
        <w:rPr/>
      </w:pPr>
      <w:r>
        <w:rPr>
          <w:rFonts w:ascii="IRNazanin" w:hAnsi="IRNazanin" w:eastAsia="IRNazanin"/>
          <w:color w:val="111111"/>
          <w:sz w:val="28"/>
          <w:sz w:val="28"/>
          <w:szCs w:val="28"/>
          <w:rtl w:val="true"/>
          <w:lang w:bidi="fa-IR"/>
        </w:rPr>
        <w:t>ولو وکَّلَت المرأة رجلاً فی تزویجها لا یجوز له أن یزوّجها من نفسه؛ للانصراف عنه، نعم، لو کان التوکیل علی وجهٍ یشمل</w:t>
      </w:r>
      <w:r>
        <w:rPr>
          <w:rStyle w:val="FootnoteAnchor"/>
          <w:rtl w:val="true"/>
        </w:rPr>
        <w:footnoteReference w:id="1713"/>
      </w:r>
      <w:r>
        <w:rPr>
          <w:rFonts w:ascii="IRNazanin" w:hAnsi="IRNazanin" w:eastAsia="IRNazanin"/>
          <w:color w:val="111111"/>
          <w:sz w:val="28"/>
          <w:sz w:val="28"/>
          <w:szCs w:val="28"/>
          <w:rtl w:val="true"/>
          <w:lang w:bidi="fa-IR"/>
        </w:rPr>
        <w:t> نفسه أیضاً بالعموم أو الإطلاق</w:t>
      </w:r>
      <w:r>
        <w:rPr>
          <w:rStyle w:val="FootnoteAnchor"/>
          <w:rtl w:val="true"/>
        </w:rPr>
        <w:footnoteReference w:id="1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دون انصراف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ومع التصریح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فأولی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ربّما یقال بعدم الجواز مع الإطلاق،  والجواز مع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صحّة هذا القول، ولا موجب لحمل موثّقة عمّار علی الکراهة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مع التصریح بتزویجها من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7" w:name="pg13286_154181"/>
    </w:p>
    <w:p>
      <w:pPr>
        <w:pStyle w:val="BookText"/>
        <w:rPr/>
      </w:pPr>
      <w:bookmarkEnd w:id="997"/>
      <w:r>
        <w:rPr>
          <w:rFonts w:ascii="IRNazanin" w:hAnsi="IRNazanin" w:eastAsia="IRNazanin"/>
          <w:color w:val="111111"/>
          <w:sz w:val="28"/>
          <w:sz w:val="28"/>
          <w:szCs w:val="28"/>
          <w:rtl w:val="true"/>
          <w:lang w:bidi="fa-IR"/>
        </w:rPr>
        <w:t>نفسه، لروایة</w:t>
      </w:r>
      <w:r>
        <w:rPr>
          <w:rStyle w:val="FootnoteAnchor"/>
          <w:rtl w:val="true"/>
        </w:rPr>
        <w:footnoteReference w:id="1715"/>
      </w:r>
      <w:r>
        <w:rPr>
          <w:rFonts w:ascii="Amiri" w:hAnsi="Amiri" w:eastAsia="Amiri" w:cs="Amiri"/>
          <w:color w:val="111111"/>
          <w:sz w:val="28"/>
          <w:sz w:val="28"/>
          <w:szCs w:val="28"/>
          <w:rtl w:val="true"/>
          <w:lang w:bidi="ar-SA"/>
        </w:rPr>
        <w:t>عمّار</w:t>
      </w:r>
      <w:r>
        <w:rPr>
          <w:rStyle w:val="FootnoteAnchor"/>
          <w:rtl w:val="true"/>
        </w:rPr>
        <w:footnoteReference w:id="1716"/>
      </w:r>
      <w:r>
        <w:rPr>
          <w:rFonts w:ascii="IRNazanin" w:hAnsi="IRNazanin" w:eastAsia="IRNazanin"/>
          <w:color w:val="111111"/>
          <w:sz w:val="28"/>
          <w:sz w:val="28"/>
          <w:szCs w:val="28"/>
          <w:rtl w:val="true"/>
          <w:lang w:bidi="fa-IR"/>
        </w:rPr>
        <w:t> المحمولة علی الکراهة</w:t>
      </w:r>
      <w:r>
        <w:rPr>
          <w:rStyle w:val="FootnoteAnchor"/>
          <w:rtl w:val="true"/>
        </w:rPr>
        <w:footnoteReference w:id="1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للکراهة فی الأحکام الوضعیّة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غیرها من المحامل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2139146_2322387425"/>
      <w:bookmarkStart w:id="999" w:name="_Toc366"/>
      <w:bookmarkEnd w:id="998"/>
      <w:r>
        <w:rPr>
          <w:rtl w:val="true"/>
        </w:rPr>
        <w:t>النکاح الفضولی حکماً ومعنیً ولزوم الإجازة وفروع فی المقام</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صحّة النکاح الواقع فضولاً مع الإجازة،سواء کان فضولیّاً من أحد الطرفَین أم کلیهما، کان المعقود له صغیراً أو کبیراً، حرّاً أو عبداً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الصادر</w:t>
      </w:r>
      <w:r>
        <w:rPr>
          <w:rStyle w:val="FootnoteAnchor"/>
          <w:rtl w:val="true"/>
        </w:rPr>
        <w:footnoteReference w:id="1718"/>
      </w:r>
      <w:r>
        <w:rPr>
          <w:rFonts w:ascii="IRNazanin" w:hAnsi="IRNazanin" w:eastAsia="IRNazanin"/>
          <w:color w:val="111111"/>
          <w:sz w:val="28"/>
          <w:sz w:val="28"/>
          <w:szCs w:val="28"/>
          <w:rtl w:val="true"/>
          <w:lang w:bidi="fa-IR"/>
        </w:rPr>
        <w:t> من غیر الولیّ</w:t>
      </w:r>
      <w:r>
        <w:rPr>
          <w:rStyle w:val="FootnoteAnchor"/>
          <w:rtl w:val="true"/>
        </w:rPr>
        <w:footnoteReference w:id="1719"/>
      </w:r>
      <w:r>
        <w:rPr>
          <w:rFonts w:ascii="IRNazanin" w:hAnsi="IRNazanin" w:eastAsia="IRNazanin"/>
          <w:color w:val="111111"/>
          <w:sz w:val="28"/>
          <w:sz w:val="28"/>
          <w:szCs w:val="28"/>
          <w:rtl w:val="true"/>
          <w:lang w:bidi="fa-IR"/>
        </w:rPr>
        <w:t> والوکیل، سواء کان  قریباً ـ کالأخ والعمّ والخال وغیرهم ـ أم أجنبیّاً، وکذا الصادر</w:t>
      </w:r>
      <w:r>
        <w:rPr>
          <w:rStyle w:val="FootnoteAnchor"/>
          <w:rtl w:val="true"/>
        </w:rPr>
        <w:footnoteReference w:id="1720"/>
      </w:r>
      <w:r>
        <w:rPr>
          <w:rFonts w:ascii="IRNazanin" w:hAnsi="IRNazanin" w:eastAsia="IRNazanin"/>
          <w:color w:val="111111"/>
          <w:sz w:val="28"/>
          <w:sz w:val="28"/>
          <w:szCs w:val="28"/>
          <w:rtl w:val="true"/>
          <w:lang w:bidi="fa-IR"/>
        </w:rPr>
        <w:t xml:space="preserve"> من العبد أو </w:t>
      </w:r>
    </w:p>
    <w:p>
      <w:pPr>
        <w:pStyle w:val="BookText"/>
        <w:rPr/>
      </w:pPr>
      <w:r>
        <w:rPr>
          <w:rFonts w:ascii="IRNazanin" w:hAnsi="IRNazanin" w:eastAsia="IRNazanin"/>
          <w:color w:val="111111"/>
          <w:sz w:val="28"/>
          <w:sz w:val="28"/>
          <w:szCs w:val="28"/>
          <w:rtl w:val="true"/>
          <w:lang w:bidi="fa-IR"/>
        </w:rPr>
        <w:t>الأمة لنفسه بغیر إذن الولیّ، ومنه العقد الصادر من الولیّ أو الوکیل علی غیر الوجه المأذون فیه من الله أو من الموکِّل، کما إذا أوقع الولیّ العقد علی خلاف المصلحة</w:t>
      </w:r>
      <w:r>
        <w:rPr>
          <w:rStyle w:val="FootnoteAnchor"/>
          <w:rtl w:val="true"/>
        </w:rPr>
        <w:footnoteReference w:id="1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اعتبر فیه المصلحة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تعدّی الوکیل عمّا عیّنه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یعتبر فی الإجازة الفوریّة، سواء کان التأخیر من جهة الجهل بوقوع العقد أم مع العلم به وإرادة التروّی، أو عدمها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تصحّ</w:t>
      </w:r>
      <w:r>
        <w:rPr>
          <w:rStyle w:val="FootnoteAnchor"/>
          <w:rtl w:val="true"/>
        </w:rPr>
        <w:footnoteReference w:id="1722"/>
      </w:r>
      <w:r>
        <w:rPr>
          <w:rFonts w:ascii="Amiri" w:hAnsi="Amiri" w:eastAsia="Amiri" w:cs="Amiri"/>
          <w:color w:val="111111"/>
          <w:sz w:val="28"/>
          <w:sz w:val="28"/>
          <w:szCs w:val="28"/>
          <w:rtl w:val="true"/>
          <w:lang w:bidi="ar-SA"/>
        </w:rPr>
        <w:t> الإجازة</w:t>
      </w:r>
      <w:r>
        <w:rPr>
          <w:rStyle w:val="FootnoteAnchor"/>
          <w:rtl w:val="true"/>
        </w:rPr>
        <w:footnoteReference w:id="1723"/>
      </w:r>
      <w:r>
        <w:rPr>
          <w:rFonts w:ascii="Amiri" w:hAnsi="Amiri" w:eastAsia="Amiri" w:cs="Amiri"/>
          <w:color w:val="111111"/>
          <w:sz w:val="28"/>
          <w:sz w:val="28"/>
          <w:szCs w:val="28"/>
          <w:rtl w:val="true"/>
          <w:lang w:bidi="ar-SA"/>
        </w:rPr>
        <w:t> بعد الردّ</w:t>
      </w:r>
      <w:r>
        <w:rPr>
          <w:rStyle w:val="FootnoteAnchor"/>
          <w:rtl w:val="true"/>
        </w:rPr>
        <w:footnoteReference w:id="1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ادّعی الإجماع علیه، ولم یثبت، فلا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یجوز الردّ بعد الإجازة، فمعها یلزم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الإجازة لفظ خاصّ، بل تقع بکلّ ما دلّ علی إنشاء الرضا بذلک العقد، بل تقع بالفعل</w:t>
      </w:r>
      <w:r>
        <w:rPr>
          <w:rStyle w:val="FootnoteAnchor"/>
          <w:rtl w:val="true"/>
        </w:rPr>
        <w:footnoteReference w:id="1725"/>
      </w:r>
      <w:r>
        <w:rPr>
          <w:rFonts w:ascii="Amiri" w:hAnsi="Amiri" w:eastAsia="Amiri" w:cs="Amiri"/>
          <w:color w:val="111111"/>
          <w:sz w:val="28"/>
          <w:sz w:val="28"/>
          <w:szCs w:val="28"/>
          <w:rtl w:val="true"/>
          <w:lang w:bidi="ar-SA"/>
        </w:rPr>
        <w:t> الدالّ علیه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w:t>
      </w:r>
      <w:r>
        <w:rPr>
          <w:rStyle w:val="FootnoteAnchor"/>
          <w:rtl w:val="true"/>
        </w:rPr>
        <w:footnoteReference w:id="1726"/>
      </w:r>
      <w:r>
        <w:rPr>
          <w:rFonts w:ascii="Amiri" w:hAnsi="Amiri" w:eastAsia="Amiri" w:cs="Amiri"/>
          <w:color w:val="111111"/>
          <w:sz w:val="28"/>
          <w:sz w:val="28"/>
          <w:szCs w:val="28"/>
          <w:rtl w:val="true"/>
          <w:lang w:bidi="ar-SA"/>
        </w:rPr>
        <w:t> فی المُجِیز علمه</w:t>
      </w:r>
      <w:r>
        <w:rPr>
          <w:rStyle w:val="FootnoteAnchor"/>
          <w:rtl w:val="true"/>
        </w:rPr>
        <w:footnoteReference w:id="1727"/>
      </w:r>
      <w:r>
        <w:rPr>
          <w:rFonts w:ascii="IRNazanin" w:hAnsi="IRNazanin" w:eastAsia="IRNazanin"/>
          <w:color w:val="111111"/>
          <w:sz w:val="28"/>
          <w:sz w:val="28"/>
          <w:szCs w:val="28"/>
          <w:rtl w:val="true"/>
          <w:lang w:bidi="fa-IR"/>
        </w:rPr>
        <w:t> بأنّ له أن لا یلتزم بذلک العقد، فلو اعتقد لزوم العقد علیه فرضِی به</w:t>
      </w:r>
      <w:r>
        <w:rPr>
          <w:rStyle w:val="FootnoteAnchor"/>
          <w:rtl w:val="true"/>
        </w:rPr>
        <w:footnoteReference w:id="1728"/>
      </w:r>
      <w:r>
        <w:rPr>
          <w:rFonts w:ascii="Amiri" w:hAnsi="Amiri" w:eastAsia="Amiri" w:cs="Amiri"/>
          <w:color w:val="111111"/>
          <w:sz w:val="28"/>
          <w:sz w:val="28"/>
          <w:szCs w:val="28"/>
          <w:rtl w:val="true"/>
          <w:lang w:bidi="ar-SA"/>
        </w:rPr>
        <w:t> لم یکفِ</w:t>
      </w:r>
      <w:r>
        <w:rPr>
          <w:rStyle w:val="FootnoteAnchor"/>
          <w:rtl w:val="true"/>
        </w:rPr>
        <w:footnoteReference w:id="1729"/>
      </w:r>
      <w:r>
        <w:rPr>
          <w:rFonts w:ascii="IRNazanin" w:hAnsi="IRNazanin" w:eastAsia="IRNazanin"/>
          <w:color w:val="111111"/>
          <w:sz w:val="28"/>
          <w:sz w:val="28"/>
          <w:szCs w:val="28"/>
          <w:rtl w:val="true"/>
          <w:lang w:bidi="fa-IR"/>
        </w:rPr>
        <w:t> فی الإجازة</w:t>
      </w:r>
      <w:r>
        <w:rPr>
          <w:rStyle w:val="FootnoteAnchor"/>
          <w:rtl w:val="true"/>
        </w:rPr>
        <w:footnoteReference w:id="1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الرضا الحقیقیّ ولو لاعتقاد لزوم العقد، نعم، لا یکفی التسلیم الخالی عن الرضا باعتقاد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تسلیماً مجرّداً عن الرضا الباطنیّ، وأمّا الرضا الباطنیّ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رضاه بمعنی إرادة ترتیب الأثر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اعتقد لزوم الإجازة علیه بعد العلم بعدم لزوم العقد فأجاز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یکفِ، وإن کان علی وجه الداعی یکون کافیاً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الإجازة کاشفة</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کشفاً انقلابیّاً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 أصل الکشف، وکذا فی نوعه من جهة کونه حقیقیّاً أو حکمیّاً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صحّة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 وقوعه، فیجب ترتیب الآثار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زمان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الإجازة ناقلة بالنسبة إلی الأحکام التکلیفیّة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 الباطنیّ التقدیریّ لا یکفی</w:t>
      </w:r>
      <w:r>
        <w:rPr>
          <w:rStyle w:val="FootnoteAnchor"/>
          <w:rtl w:val="true"/>
        </w:rPr>
        <w:footnoteReference w:id="1732"/>
      </w:r>
      <w:r>
        <w:rPr>
          <w:rFonts w:ascii="IRNazanin" w:hAnsi="IRNazanin" w:eastAsia="IRNazanin"/>
          <w:color w:val="111111"/>
          <w:sz w:val="28"/>
          <w:sz w:val="28"/>
          <w:szCs w:val="28"/>
          <w:rtl w:val="true"/>
          <w:lang w:bidi="fa-IR"/>
        </w:rPr>
        <w:t> فی الخروج عن الفضولیّة، فلو لم یکن ملتفتاً حال العقد إلّا أنّه کان بحیث لو کان حاضراً وملتفتاً کان راضیاً لا یلزم العقد علیه بدون الإجازة، بل لو کان حاضراً حال العقد وراضیاً به إلّا أنّه لم یصدر منه قول ولا فعل</w:t>
      </w:r>
      <w:r>
        <w:rPr>
          <w:rStyle w:val="FootnoteAnchor"/>
          <w:rtl w:val="true"/>
        </w:rPr>
        <w:footnoteReference w:id="1733"/>
      </w:r>
      <w:r>
        <w:rPr>
          <w:rFonts w:ascii="Amiri" w:hAnsi="Amiri" w:eastAsia="Amiri" w:cs="Amiri"/>
          <w:color w:val="111111"/>
          <w:sz w:val="28"/>
          <w:sz w:val="28"/>
          <w:szCs w:val="28"/>
          <w:rtl w:val="true"/>
          <w:lang w:bidi="ar-SA"/>
        </w:rPr>
        <w:t> یدلّ</w:t>
      </w:r>
      <w:r>
        <w:rPr>
          <w:rStyle w:val="FootnoteAnchor"/>
          <w:rtl w:val="true"/>
        </w:rPr>
        <w:footnoteReference w:id="1734"/>
      </w:r>
      <w:r>
        <w:rPr>
          <w:rFonts w:ascii="IRNazanin" w:hAnsi="IRNazanin" w:eastAsia="IRNazanin"/>
          <w:color w:val="111111"/>
          <w:sz w:val="28"/>
          <w:sz w:val="28"/>
          <w:szCs w:val="28"/>
          <w:rtl w:val="true"/>
          <w:lang w:bidi="fa-IR"/>
        </w:rPr>
        <w:t> علی رضاه</w:t>
      </w:r>
      <w:r>
        <w:rPr>
          <w:rStyle w:val="FootnoteAnchor"/>
          <w:rtl w:val="true"/>
        </w:rPr>
        <w:footnoteReference w:id="1735"/>
      </w:r>
      <w:r>
        <w:rPr>
          <w:rFonts w:ascii="IRNazanin" w:hAnsi="IRNazanin" w:eastAsia="IRNazanin"/>
          <w:color w:val="111111"/>
          <w:sz w:val="28"/>
          <w:sz w:val="28"/>
          <w:szCs w:val="28"/>
          <w:rtl w:val="true"/>
          <w:lang w:bidi="fa-IR"/>
        </w:rPr>
        <w:t>فالظاهر أنّه من الفضولیّ</w:t>
      </w:r>
      <w:r>
        <w:rPr>
          <w:rStyle w:val="FootnoteAnchor"/>
          <w:rtl w:val="true"/>
        </w:rPr>
        <w:footnoteReference w:id="1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یُعدَّ سکوته 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اختلافه باختلاف الموارد، فقد یکون منه، وقد لا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کونه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یکون سکوته قرینةً عرفیّةً فعلیّةً علی الرضا، فإنّه حینئذٍ یُعدّ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اللنکرانی</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فله أن لا یجیز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کارهاً حال العقد إلّا أنّه لم یصدر منه ردّ</w:t>
      </w:r>
      <w:r>
        <w:rPr>
          <w:rStyle w:val="FootnoteAnchor"/>
          <w:rtl w:val="true"/>
        </w:rPr>
        <w:footnoteReference w:id="1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الردّ لا یُفسد الإجازة المتأخّرة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فالظاهر صحّته بالإجازة، نعم، لو استُوذِن فنهی ولم یأذن، ومع ذلک أوقع الفضولیّ العقد یشکل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صحّته بالإجازة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صحّته بالإجازة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بمنزلة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بمنزلة الردّ ممنوع، کما أنّ الإشکال فی صحّة عقد المُکرَه بعد لحوق الرضا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1738"/>
      </w:r>
      <w:r>
        <w:rPr>
          <w:rFonts w:ascii="Amiri" w:hAnsi="Amiri" w:eastAsia="Amiri" w:cs="Amiri"/>
          <w:color w:val="111111"/>
          <w:sz w:val="28"/>
          <w:sz w:val="28"/>
          <w:szCs w:val="28"/>
          <w:rtl w:val="true"/>
          <w:lang w:bidi="ar-SA"/>
        </w:rPr>
        <w:t> صحّته</w:t>
      </w:r>
      <w:r>
        <w:rPr>
          <w:rStyle w:val="FootnoteAnchor"/>
          <w:rtl w:val="true"/>
        </w:rPr>
        <w:footnoteReference w:id="1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بعید مع سبقه بالنهی، وقریب مع عدم الإذن والسکوت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الأظهر، حتّی علی القول بکون الردّ بعد العقد مانعاً عنالإجازة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 وکونه بمنزلة الردّ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 والإشکال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وکذا فی صورة الإجازة بعد الردّ،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قوّة، إلّا أن یکون النهی السابق دلیلاً عرفیّاً علی الردّ بعد العقد، فإنّ الاحتمال حینئذٍ فی غایة الضعف، لکنّ الدلالة العرفیّة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بدعوی الفرق بینه وبین الردّ بعد العقد، فلیس بأدون من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عقد المُکرَه الّذی نقول بصحّته إذا لحقه الرضا، وإن کان لا یخلو ذلک أیضاً من إشکال</w:t>
      </w:r>
      <w:r>
        <w:rPr>
          <w:rStyle w:val="FootnoteAnchor"/>
          <w:rtl w:val="true"/>
        </w:rPr>
        <w:footnoteReference w:id="1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هو مشکل، واللازم تجدید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الفضولیّ قصد الفضولیّة، ولا الالتفات إلی ذلک، فلو تخیّل کونه ولیّاً أو وکیلاً وأوقع العقد فتبیّن خلافه یکون من الفضولیّ، ویصحّ بالإجازة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فی مقام إجراء الصیغة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 xml:space="preserve">مع أنّه لم یکن وکیلاً عنها فهل یصحّ وتُقبل الإجازة، أوْ لا؟ الظاهر الصحّة، نعم، لو لم یذکر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قصده امرأةً معیّنةً مع عدم کونه وکیلاً عنها یشکل</w:t>
      </w:r>
      <w:r>
        <w:rPr>
          <w:rStyle w:val="FootnoteAnchor"/>
          <w:rtl w:val="true"/>
        </w:rPr>
        <w:footnoteReference w:id="1741"/>
      </w:r>
      <w:r>
        <w:rPr>
          <w:rFonts w:ascii="Amiri" w:hAnsi="Amiri" w:eastAsia="Amiri" w:cs="Amiri"/>
          <w:color w:val="111111"/>
          <w:sz w:val="28"/>
          <w:sz w:val="28"/>
          <w:szCs w:val="28"/>
          <w:rtl w:val="true"/>
          <w:lang w:bidi="ar-SA"/>
        </w:rPr>
        <w:t> صحّته</w:t>
      </w:r>
      <w:r>
        <w:rPr>
          <w:rStyle w:val="FootnoteAnchor"/>
          <w:rtl w:val="true"/>
        </w:rPr>
        <w:footnoteReference w:id="1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جعل هذا العنوان مرآةً إلی ذیها لا إشکال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الإشکال؛ لأنّ معنی عقد الفضولیّ إجراؤه علی مَن لم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إذا کانت المرأة معیّنةً بالقرینة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تُعَیَّن المرأة فی العقد ولو بالقرائن، أمّا إذا کانت معیّنةً ولو بالقرائن فالظاهرصحّة العقد إذا لحقته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صحّته بالإجازة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فیها مع تعیّن المرأة بالقرینة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الأقرب بعد کون المرأة معیّنةً هی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صحّته بالإجازة هی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أوقع الفضولیّ العقد علی مهرٍ معیّنٍ هل یجوز إجازة العقد دون المهر، أو بتعیین</w:t>
      </w:r>
      <w:r>
        <w:rPr>
          <w:rStyle w:val="FootnoteAnchor"/>
          <w:rtl w:val="true"/>
        </w:rPr>
        <w:footnoteReference w:id="1743"/>
      </w:r>
      <w:r>
        <w:rPr>
          <w:rFonts w:ascii="IRNazanin" w:hAnsi="IRNazanin" w:eastAsia="IRNazanin"/>
          <w:color w:val="111111"/>
          <w:sz w:val="28"/>
          <w:sz w:val="28"/>
          <w:szCs w:val="28"/>
          <w:rtl w:val="true"/>
          <w:lang w:bidi="fa-IR"/>
        </w:rPr>
        <w:t xml:space="preserve">المهر علی وجهٍ آخر من حیث الجنس أو من حیث </w:t>
      </w:r>
    </w:p>
    <w:p>
      <w:pPr>
        <w:pStyle w:val="BookText"/>
        <w:rPr/>
      </w:pPr>
      <w:r>
        <w:rPr>
          <w:rFonts w:ascii="IRNazanin" w:hAnsi="IRNazanin" w:eastAsia="IRNazanin"/>
          <w:color w:val="111111"/>
          <w:sz w:val="28"/>
          <w:sz w:val="28"/>
          <w:szCs w:val="28"/>
          <w:rtl w:val="true"/>
          <w:lang w:bidi="fa-IR"/>
        </w:rPr>
        <w:t>القلّة والکثرة؟ فیه إشکال</w:t>
      </w:r>
      <w:r>
        <w:rPr>
          <w:rStyle w:val="FootnoteAnchor"/>
          <w:rtl w:val="true"/>
        </w:rPr>
        <w:footnoteReference w:id="1744"/>
      </w:r>
      <w:r>
        <w:rPr>
          <w:rFonts w:ascii="Amiri" w:hAnsi="Amiri" w:eastAsia="Amiri" w:cs="Amiri"/>
          <w:color w:val="111111"/>
          <w:sz w:val="28"/>
          <w:sz w:val="28"/>
          <w:szCs w:val="28"/>
          <w:rtl w:val="true"/>
          <w:lang w:bidi="ar-SA"/>
        </w:rPr>
        <w:t>، بل الأظهر عدم الصحّة</w:t>
      </w:r>
      <w:r>
        <w:rPr>
          <w:rStyle w:val="FootnoteAnchor"/>
          <w:rtl w:val="true"/>
        </w:rPr>
        <w:footnoteReference w:id="1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جمیع الصور الأربع المذکورة فی هذه المسألة متّحدة فی الحکم، فلایناسب الإشکال فی بعضها والجزم بالبطلان فی بعضها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الصحّة فی جمیع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 ما إذا عیّن المهر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تصحّ الإجازة مع شرطٍ لم یُذکَر فی العقد، أو مع إلغاء ما ذکر فیه من الشرط</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أوقع العقد بعنوان الفضولیّة فتبیّن کونه وکیلاً فالظاهر صحّته</w:t>
      </w:r>
      <w:r>
        <w:rPr>
          <w:rStyle w:val="FootnoteAnchor"/>
          <w:rtl w:val="true"/>
        </w:rPr>
        <w:footnoteReference w:id="1747"/>
      </w:r>
      <w:r>
        <w:rPr>
          <w:rFonts w:ascii="IRNazanin" w:hAnsi="IRNazanin" w:eastAsia="IRNazanin"/>
          <w:color w:val="111111"/>
          <w:sz w:val="28"/>
          <w:sz w:val="28"/>
          <w:szCs w:val="28"/>
          <w:rtl w:val="true"/>
          <w:lang w:bidi="fa-IR"/>
        </w:rPr>
        <w:t>، ولزومه إذا کان ناسیاً؛ لکونه وکیلاً، بل وکذا إذا صدر التوکیل ممّن له العقد ولکن لم یبلغه الخبر علی إشکالٍ</w:t>
      </w:r>
      <w:r>
        <w:rPr>
          <w:rStyle w:val="FootnoteAnchor"/>
          <w:rtl w:val="true"/>
        </w:rPr>
        <w:footnoteReference w:id="1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الصحّة، وقیاسه بعزله قبل بلوغ الخبر إلیه بکون نصبه أیضاً منوطاًبالبلوغ واضح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الصحّة فیه وفی ما یلیه، وعدم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صحّته ولزومه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لزومه بلا حاجةٍ إلی الإجازة فیما راعی الولیّ ما یجب مراعاته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الخروج عن الفضولیّ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اللزوم بدون الاحتیاج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الفروع الثلاثة المذکورة فی هذه المسألة فی الصحّة مع تحقّق الشروط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واللزوم فیه وفی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ضعیف،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1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أوقعه بعنوان الفضولیّة فتبیّن کونه ولیّاً ففی لزومه بلا إجازةٍ منه أو من المولّی علیه إشکال</w:t>
      </w:r>
      <w:r>
        <w:rPr>
          <w:rStyle w:val="FootnoteAnchor"/>
          <w:rtl w:val="true"/>
        </w:rPr>
        <w:footnoteReference w:id="1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لزومه بلا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مبنیّ علی الداعی والتقیید، وهکذا الأمر فی الفرع الآتی، ویُلزِمه علی الثانیةقابلیّته للإجازة، وما وجّه به عدم صحّته رأساً علی وجهٍ یخرج عن قابلیّة لحوق الإجازة أیضاً منظور فیه، کما لا یخفی،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الصورتَین، والأظهر الصحّة بلا إجازةٍ فی المقامَین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 اللزوم بلا 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لزومه بلا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ولا یحتاج إلی الإجازة؛ لأنّه عقد صدر من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صحّته ولزومه مع مراعاة الغبطة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 اللزوم، وعدم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الصحّة، من دون حاجةٍ إلی الإجازة إذا کان مراعیاً لمصلحة المولّی علیه،کما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علی وجه التقیید، وإلّا فالظاهر لزومه بلا 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عدم الإشکال، وعدم الحاجة إلی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اللزوم، من دون إجازةٍ إذا کان واجداً لشرط الصحّة من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عالماً بأنّه وکیل أو ولیّ، ومع ذلک أوقع</w:t>
      </w:r>
      <w:r>
        <w:rPr>
          <w:rStyle w:val="FootnoteAnchor"/>
          <w:rtl w:val="true"/>
        </w:rPr>
        <w:footnoteReference w:id="1751"/>
      </w:r>
      <w:r>
        <w:rPr>
          <w:rFonts w:ascii="IRNazanin" w:hAnsi="IRNazanin" w:eastAsia="IRNazanin"/>
          <w:color w:val="111111"/>
          <w:sz w:val="28"/>
          <w:sz w:val="28"/>
          <w:szCs w:val="28"/>
          <w:rtl w:val="true"/>
          <w:lang w:bidi="fa-IR"/>
        </w:rPr>
        <w:t> العقد</w:t>
      </w:r>
      <w:r>
        <w:rPr>
          <w:rStyle w:val="FootnoteAnchor"/>
          <w:rtl w:val="true"/>
        </w:rPr>
        <w:footnoteReference w:id="1752"/>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بعنوان الفضولیّة</w:t>
      </w:r>
      <w:r>
        <w:rPr>
          <w:rStyle w:val="FootnoteAnchor"/>
          <w:rtl w:val="true"/>
        </w:rPr>
        <w:footnoteReference w:id="1753"/>
      </w:r>
      <w:r>
        <w:rPr>
          <w:rFonts w:ascii="IRNazanin" w:hAnsi="IRNazanin" w:eastAsia="IRNazanin"/>
          <w:color w:val="111111"/>
          <w:sz w:val="28"/>
          <w:sz w:val="28"/>
          <w:szCs w:val="28"/>
          <w:rtl w:val="true"/>
          <w:lang w:bidi="fa-IR"/>
        </w:rPr>
        <w:t> فهل یصحّ ویلزم، أو یتوقّف علی الإجازة، أو لا یصحّ؟</w:t>
      </w:r>
    </w:p>
    <w:p>
      <w:pPr>
        <w:pStyle w:val="BookText"/>
        <w:rPr/>
      </w:pPr>
      <w:r>
        <w:rPr>
          <w:rFonts w:ascii="IRNazanin" w:hAnsi="IRNazanin" w:eastAsia="IRNazanin"/>
          <w:color w:val="111111"/>
          <w:sz w:val="28"/>
          <w:sz w:val="28"/>
          <w:szCs w:val="28"/>
          <w:rtl w:val="true"/>
          <w:lang w:bidi="fa-IR"/>
        </w:rPr>
        <w:t>وجوه</w:t>
      </w:r>
      <w:r>
        <w:rPr>
          <w:rStyle w:val="FootnoteAnchor"/>
          <w:rtl w:val="true"/>
        </w:rPr>
        <w:footnoteReference w:id="1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الصحّة، نعم، لو علّق عقده علی رضاهُ أو رضا موکّله متأخّراً جاء فیه إشکال التعلیق، ولعلّ مراده  قدّس سرّه هو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أقواها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الصحّة، نعم، لو قیّد المنشأ بالعقد بتوقّفه علی الإجازة اللاحقة یشکل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الصحّة، وما ذکر وجهاً لعدم الصحّة محلّ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إذا لم یقیّد المنشأ بالعقد بکونه متوقّفاً علی الإجازة، وإلّافمشکل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الصحّة واللزوم، ورجوعه إلی اشتراط الجواز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الصحّة، ولا یرجع إلی ما ذکره من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واللزوم ولغویّة قصدها، وما ذکره من الرجوع إلی اشتراط الجواز ممنوع، ومع تسلیمه فکونه موجباً للبطلان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واللزوم،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قیّد المنشأ بالتزلزل لیرجع إلی عدم قصد إنشاء النکاح، وأمّا إذا أنشأالنکاح واشترط جوازه وکونه موقوفاً علی إجازة الموکّل أو المولّی علیه فهذا شرطفاسد ومفسد علی القول بإفساده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أنشأ النکاح بغیر عنوان الوکالة، بل بعنوان الإنشاء من قبل نفسه بلا قیدٍ ولا شرط، کما هو الظاهر من عنوان المسألة،فالظاهر صحّة العقد، وعدم توقّفه علی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إلّا إذا قصد بعنوان الفضولیّة إنشاء توقّف العقد علی الإجازة، أوجعل الخیار فیه، فیبطل العقد إذا لم یتطابق فیه الإیجاب والقبول، وتشکل الصحّة إذاتطابقا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ذکرناه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نعم، إذا علّق العقد علی رِضاهُ أو رضا موکّله جاء فیه إشکال التعلیق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یرجع إلی اشتراط کون العقد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الصادر من ولیّه جائزاً، فهو کما لو أوقع البالغ العاقل بقصد أن یکون الأمر بیده فی الإبقاء والعدم،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 العقد متزلزِلاً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الصغیرینِ ولیُّهما فقد مرّ أنّ العقد</w:t>
      </w:r>
      <w:r>
        <w:rPr>
          <w:rStyle w:val="FootnoteAnchor"/>
          <w:rtl w:val="true"/>
        </w:rPr>
        <w:footnoteReference w:id="1755"/>
      </w:r>
      <w:r>
        <w:rPr>
          <w:rFonts w:ascii="IRNazanin" w:hAnsi="IRNazanin" w:eastAsia="IRNazanin"/>
          <w:color w:val="111111"/>
          <w:sz w:val="28"/>
          <w:sz w:val="28"/>
          <w:szCs w:val="28"/>
          <w:rtl w:val="true"/>
          <w:lang w:bidi="fa-IR"/>
        </w:rPr>
        <w:t> لازم علیهما</w:t>
      </w:r>
      <w:r>
        <w:rPr>
          <w:rStyle w:val="FootnoteAnchor"/>
          <w:rtl w:val="true"/>
        </w:rPr>
        <w:footnoteReference w:id="1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 یحتمل أن یکون لهما فی صورةٍ واحدةٍ فسخ العقد، ومع عدم الفسخ یتوارثان، ومع الفسخ فی تلک الصورة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یجوز لهما بعد البلوغ ردّه أو فسخه</w:t>
      </w:r>
      <w:r>
        <w:rPr>
          <w:rStyle w:val="FootnoteAnchor"/>
          <w:rtl w:val="true"/>
        </w:rPr>
        <w:footnoteReference w:id="1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فإذا مات أحدهما قبل البلوغ أو بعده ورثه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زوّجهما الفضولیّان فیتوقّف علی إجازتهما بعد البلوغ، أو إجازة ولیّهما قبله، فإن بلغا وأجازا ثبتت الزوجیّة، ویترتّب علیها أحکامها من حین العقد؛ لِمَا مَرَّ</w:t>
      </w:r>
      <w:r>
        <w:rPr>
          <w:rStyle w:val="FootnoteAnchor"/>
          <w:rtl w:val="true"/>
        </w:rPr>
        <w:footnoteReference w:id="1758"/>
      </w:r>
      <w:r>
        <w:rPr>
          <w:rFonts w:ascii="IRNazanin" w:hAnsi="IRNazanin" w:eastAsia="IRNazanin"/>
          <w:color w:val="111111"/>
          <w:sz w:val="28"/>
          <w:sz w:val="28"/>
          <w:szCs w:val="28"/>
          <w:rtl w:val="true"/>
          <w:lang w:bidi="fa-IR"/>
        </w:rPr>
        <w:t> من کون الإجازة کاشفة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رَدّا أو رَدّ أحدهما، أو ماتا</w:t>
      </w:r>
      <w:r>
        <w:rPr>
          <w:rStyle w:val="FootnoteAnchor"/>
          <w:rtl w:val="true"/>
        </w:rPr>
        <w:footnoteReference w:id="1759"/>
      </w:r>
      <w:r>
        <w:rPr>
          <w:rFonts w:ascii="IRNazanin" w:hAnsi="IRNazanin" w:eastAsia="IRNazanin"/>
          <w:color w:val="111111"/>
          <w:sz w:val="28"/>
          <w:sz w:val="28"/>
          <w:szCs w:val="28"/>
          <w:rtl w:val="true"/>
          <w:lang w:bidi="fa-IR"/>
        </w:rPr>
        <w:t>، أو مات أحدهما قبل الإجازة کشف  عن عدم الصحّة من حین الصدور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بلغ أحدهما</w:t>
      </w:r>
      <w:r>
        <w:rPr>
          <w:rStyle w:val="FootnoteAnchor"/>
          <w:rtl w:val="true"/>
        </w:rPr>
        <w:footnoteReference w:id="1760"/>
      </w:r>
      <w:r>
        <w:rPr>
          <w:rFonts w:ascii="IRNazanin" w:hAnsi="IRNazanin" w:eastAsia="IRNazanin"/>
          <w:color w:val="111111"/>
          <w:sz w:val="28"/>
          <w:sz w:val="28"/>
          <w:szCs w:val="28"/>
          <w:rtl w:val="true"/>
          <w:lang w:bidi="fa-IR"/>
        </w:rPr>
        <w:t> وأجاز ثمّ مات قبل بلوغ الآخر یعزل</w:t>
      </w:r>
      <w:r>
        <w:rPr>
          <w:rStyle w:val="FootnoteAnchor"/>
          <w:rtl w:val="true"/>
        </w:rPr>
        <w:footnoteReference w:id="1761"/>
      </w:r>
      <w:r>
        <w:rPr>
          <w:rFonts w:ascii="IRNazanin" w:hAnsi="IRNazanin" w:eastAsia="IRNazanin"/>
          <w:color w:val="111111"/>
          <w:sz w:val="28"/>
          <w:sz w:val="28"/>
          <w:szCs w:val="28"/>
          <w:rtl w:val="true"/>
          <w:lang w:bidi="fa-IR"/>
        </w:rPr>
        <w:t xml:space="preserve"> میراث الآخر علی تقدیر الزوجیّة، فإن بلغ وأجاز یحلف علی أنّه لم تکن إجازته </w:t>
      </w:r>
    </w:p>
    <w:p>
      <w:pPr>
        <w:pStyle w:val="BookText"/>
        <w:rPr/>
      </w:pPr>
      <w:r>
        <w:rPr>
          <w:rFonts w:ascii="IRNazanin" w:hAnsi="IRNazanin" w:eastAsia="IRNazanin"/>
          <w:color w:val="111111"/>
          <w:sz w:val="28"/>
          <w:sz w:val="28"/>
          <w:szCs w:val="28"/>
          <w:rtl w:val="true"/>
          <w:lang w:bidi="fa-IR"/>
        </w:rPr>
        <w:t>للطمع</w:t>
      </w:r>
      <w:r>
        <w:rPr>
          <w:rStyle w:val="FootnoteAnchor"/>
          <w:rtl w:val="true"/>
        </w:rPr>
        <w:footnoteReference w:id="1762"/>
      </w:r>
      <w:r>
        <w:rPr>
          <w:rFonts w:ascii="IRNazanin" w:hAnsi="IRNazanin" w:eastAsia="IRNazanin"/>
          <w:color w:val="111111"/>
          <w:sz w:val="28"/>
          <w:sz w:val="28"/>
          <w:szCs w:val="28"/>
          <w:rtl w:val="true"/>
          <w:lang w:bidi="fa-IR"/>
        </w:rPr>
        <w:t> فی الإرث، فإن حلف یدفع إلیه، وإن لم یُجِز أو أجاز ولم یحلف لم یدفع، بل یردّ إلی الورثة، وکذا لو مات بعد الإجازة وقبل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متّهماً بأنّ إجازته للرغبة فی الإرث، وأمّا إذا لم یکن متّهماً بذلک ـ کما إذا أجاز قبل أن یعلم موته، أو کان المهر اللازم علیه أزید ممّا یرث، أو نحو ذلک ـ فالظاهر عدم الحاجة إلی 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یترتّب علی تقدیر الإجازة والحلف جمیع الآثار المرتّبة علی الزوجیّة ـ من المهر، وحرمة الاُمّ والبنت</w:t>
      </w:r>
      <w:r>
        <w:rPr>
          <w:rStyle w:val="FootnoteAnchor"/>
          <w:rtl w:val="true"/>
        </w:rPr>
        <w:footnoteReference w:id="1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محلّ لذکر البنت بعد أن کانت لا تحرم إلّا بعد الدخول، والمفروض أنّ الزوجة قد ماتت قبل بلوغ الزوج، فتدبّره، ومثله فی المسألة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البنت لا مورد له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من سهو القلم، أو غلط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حرمة البنت فی الفرض لعلّه من سهو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تتصوّر الحرمة بالنسبة إلی البنت مع فرض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الکلمة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من سهو القلم،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وحرمتها إن کانت هی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الباقیة علی الأب والابن ونحو ذلک ـ بل الظاهر</w:t>
      </w:r>
      <w:r>
        <w:rPr>
          <w:rStyle w:val="FootnoteAnchor"/>
          <w:rtl w:val="true"/>
        </w:rPr>
        <w:footnoteReference w:id="1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ظاهر صحیح الحذّاء الوارد فی المقام عطف استحقاق المهر علی المیراث فی الترتّب علی الحلف، وهما وإن کانا مشترِکَین فی الاتّهام إلّا أنّ الظاهر عدم الفرقبین المهر وبین سائر أحکام الزوجیّة، مضافاً إلی أنّ الحکم علی خلاف القاعدة،ولابدّ من الاقتصار فیه علی المتیقّن، نعم، الاحتیاط لا ینبغی أن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 هذه الآثار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بمجرّد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ومراعاة الاحتیاط 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التعلیقة له  قدّس سرّه أوردناها من نسخةٍ اُخری غیر ما بأیدینا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الحلف أوفق بظاهر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هو الحاجة إلیه فی ترتّب الأحکام ظاهراً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الحلف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فإنّ تصحیح العقد بعد موت واحدٍ منهما الّذی هو بمنزلة تلف رکن العقد بإجازة الطرف الآخر علی خلاف القاعدة، فلیقتصر علی المتیقّن؛ علی أنّ ذلک ظاهر الروایة فإنّها تدلّ علی أنّ الحلف تمام السبب؛ باعتبار کونه کاشفاً عن إجازةالعقد، لا عن طمعٍ فی المیراث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الاحتیاج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الاحتیاج إلیها فی ترتیب الآثار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یتمّ ذلک فی غیر المهر، وأمّا المهر فحکمه حکم المیراث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أجاز ولم یحلف</w:t>
      </w:r>
    </w:p>
    <w:p>
      <w:pPr>
        <w:pStyle w:val="BookText"/>
        <w:rPr/>
      </w:pPr>
      <w:r>
        <w:rPr>
          <w:rFonts w:ascii="Amiri" w:hAnsi="Amiri" w:eastAsia="Amiri" w:cs="Amiri"/>
          <w:color w:val="111111"/>
          <w:sz w:val="28"/>
          <w:sz w:val="28"/>
          <w:szCs w:val="28"/>
          <w:rtl w:val="true"/>
          <w:lang w:bidi="ar-SA"/>
        </w:rPr>
        <w:t>مع کونه متّهماً لا یرث، ولکن یرتّب</w:t>
      </w:r>
      <w:r>
        <w:rPr>
          <w:rStyle w:val="FootnoteAnchor"/>
          <w:rtl w:val="true"/>
        </w:rPr>
        <w:footnoteReference w:id="1765"/>
      </w:r>
      <w:r>
        <w:rPr>
          <w:rFonts w:ascii="IRNazanin" w:hAnsi="IRNazanin" w:eastAsia="IRNazanin"/>
          <w:color w:val="111111"/>
          <w:sz w:val="28"/>
          <w:sz w:val="28"/>
          <w:szCs w:val="28"/>
          <w:rtl w:val="true"/>
          <w:lang w:bidi="fa-IR"/>
        </w:rPr>
        <w:t> سائر الأحکام</w:t>
      </w:r>
      <w:r>
        <w:rPr>
          <w:rStyle w:val="FootnoteAnchor"/>
          <w:rtl w:val="true"/>
        </w:rPr>
        <w:footnoteReference w:id="1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موضوع ترتّب الأحکام هو العقد المتعقّب بالإجازة والحلفأیضاً، فبدون الحلف لم یتحقّق ما هو موضوع الأحکام، فحال سائر الأحکام حال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w:t>
      </w:r>
      <w:r>
        <w:rPr>
          <w:rStyle w:val="FootnoteAnchor"/>
          <w:rtl w:val="true"/>
        </w:rPr>
        <w:footnoteReference w:id="1767"/>
      </w:r>
      <w:r>
        <w:rPr>
          <w:rFonts w:ascii="IRNazanin" w:hAnsi="IRNazanin" w:eastAsia="IRNazanin"/>
          <w:color w:val="111111"/>
          <w:sz w:val="28"/>
          <w:sz w:val="28"/>
          <w:szCs w:val="28"/>
          <w:rtl w:val="true"/>
          <w:lang w:bidi="fa-IR"/>
        </w:rPr>
        <w:t> جریان الحکم المذکور فی المجنونِین، بل  الظاهر</w:t>
      </w:r>
      <w:r>
        <w:rPr>
          <w:rStyle w:val="FootnoteAnchor"/>
          <w:rtl w:val="true"/>
        </w:rPr>
        <w:footnoteReference w:id="1768"/>
      </w:r>
      <w:r>
        <w:rPr>
          <w:rFonts w:ascii="IRNazanin" w:hAnsi="IRNazanin" w:eastAsia="IRNazanin"/>
          <w:color w:val="111111"/>
          <w:sz w:val="28"/>
          <w:sz w:val="28"/>
          <w:szCs w:val="28"/>
          <w:rtl w:val="true"/>
          <w:lang w:bidi="fa-IR"/>
        </w:rPr>
        <w:t xml:space="preserve"> التعدّی إلی سائر الصور، کما إذا کان أحد الطرفَین الولیّ والطرف    </w:t>
      </w:r>
    </w:p>
    <w:p>
      <w:pPr>
        <w:pStyle w:val="BookText"/>
        <w:rPr/>
      </w:pPr>
      <w:r>
        <w:rPr>
          <w:rFonts w:ascii="IRNazanin" w:hAnsi="IRNazanin" w:eastAsia="IRNazanin"/>
          <w:color w:val="111111"/>
          <w:sz w:val="28"/>
          <w:sz w:val="28"/>
          <w:szCs w:val="28"/>
          <w:rtl w:val="true"/>
          <w:lang w:bidi="fa-IR"/>
        </w:rPr>
        <w:t>الآخر الفضولیّ، أو کان أحد الطرفین المجنون والطرف الآخر الصغیر، أو کانا بالغَین کامِلَین، أو أحدهما بالغاً والآخر صغیراً أو مجنوناً، أو نحو ذلک،</w:t>
      </w:r>
    </w:p>
    <w:p>
      <w:pPr>
        <w:pStyle w:val="BookText"/>
        <w:rPr/>
      </w:pPr>
      <w:r>
        <w:rPr>
          <w:rFonts w:ascii="IRNazanin" w:hAnsi="IRNazanin" w:eastAsia="IRNazanin"/>
          <w:color w:val="111111"/>
          <w:sz w:val="28"/>
          <w:sz w:val="28"/>
          <w:szCs w:val="28"/>
          <w:rtl w:val="true"/>
          <w:lang w:bidi="fa-IR"/>
        </w:rPr>
        <w:t>ففی جمیع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مَن لزم العقد بالنسبة إلیه ـ لعدم الحاجة إلی الإجازة أو لإجازته بعد بلوغه أو رشده ـ وبقی الآخر فإنّه یعزل حصّة الباقی من المیراث إلی أن یردّ أو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الحاجة إلی الحلف فی ثبوت المیراث فی غیر الصغیرین من سائر الصور؛ لاختصاص الموجب له من الأخبار بالصغیرین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الأحوط</w:t>
      </w:r>
      <w:r>
        <w:rPr>
          <w:rStyle w:val="FootnoteAnchor"/>
          <w:rtl w:val="true"/>
        </w:rPr>
        <w:footnoteReference w:id="1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خصوصاً بالنسبة إلی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خصوصاً بالنسبة إلی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ومع عدم التمکّن منه فالأحوط التخلّص بالصلح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ترتّب جمیع الأحکام، بل لا ینبغی ترک الاحتیاط بالتخلیص بالصلح فی جمیع الصور الخارجة عن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بالنسبة إلی الإرث والمهر، والأحوط منه التخلّص بالتصالح فی تمام الفروض المذکورة الّتی لم تُذکر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الأحوط علی آخذ الإرث الحلف ثمّ الأخذ، وأمّا الأحوط علی المُعطِی فالإعطاء مع الإجازة ولو لم یحلف إلّا مع التراضیوالتصالح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بالنسبة إلی الإرث والمَهر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وإذا رتّب الأثر المضادّ ففی صحّة الإجازة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فی الجمیع</w:t>
      </w:r>
      <w:r>
        <w:rPr>
          <w:rStyle w:val="FootnoteAnchor"/>
          <w:rtl w:val="true"/>
        </w:rPr>
        <w:footnoteReference w:id="17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بل الظاهر الاحتیاج إلی الحلف، کما تقدّم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بالإضافة إلی الإرث وإلی أخذ المهر، وأمّا بالإضافة إلی بقیّةالأحکام فالظاهر عدم الحاجة إلی الحلف، مع أنّه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المهر والإرث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بالنسبة إلی الإرث وأخذ المهر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الإرث، بل بالنسبة إلی سائر الأحکام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العقد لازماً علی أحد الطرفَین من حیث کونه أصیلاً أو مُجِیزاً، والطرف الآخر فضولیّاً، ولم تتحقّق إجازة ولا ردّ فهل یثبت علی الطرف اللازم تحریم المصاهرات، فلو کان زوجاً یحرم علیه نکاح اُمّ المرأة وبنتها</w:t>
      </w:r>
      <w:r>
        <w:rPr>
          <w:rStyle w:val="FootnoteAnchor"/>
          <w:rtl w:val="true"/>
        </w:rPr>
        <w:footnoteReference w:id="1771"/>
      </w:r>
      <w:r>
        <w:rPr>
          <w:rFonts w:ascii="IRNazanin" w:hAnsi="IRNazanin" w:eastAsia="IRNazanin"/>
          <w:color w:val="111111"/>
          <w:sz w:val="28"/>
          <w:sz w:val="28"/>
          <w:szCs w:val="28"/>
          <w:rtl w:val="true"/>
          <w:lang w:bidi="fa-IR"/>
        </w:rPr>
        <w:t> واُختها والخامسة، وإذا کانت زوجةً یحرم علیها التزویج بغیره؟</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تجری علیه آثار الزوجیّة وإن لم تَجرِ علی الطرف الآخر، أوْ لا؟ قولان، أقواهما الثانی</w:t>
      </w:r>
      <w:r>
        <w:rPr>
          <w:rStyle w:val="FootnoteAnchor"/>
          <w:rtl w:val="true"/>
        </w:rPr>
        <w:footnoteReference w:id="1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فرض العلم بحصولها بعد ذلک، حتّی بناء علی الکشف، إلّا بناءً علی بعض وجوهِها الشاذّة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مع فرض العلم بحصول الإجازة بعد ذلک؛ بناء علی الکشف الانقلابیّ کماهو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إلّا</w:t>
      </w:r>
      <w:r>
        <w:rPr>
          <w:rStyle w:val="FootnoteAnchor"/>
          <w:rtl w:val="true"/>
        </w:rPr>
        <w:footnoteReference w:id="17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الاستثناء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فرض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أقواهما الأوّل، حتّی مع العلم بحصول الإجازة بعد ذلک؛ لبطلان الکشف الحقیقیّ الّذی هو مبنی القول الثانی، ومن هنا تعرف أنّه لو تزوّج الاُمّ أو البنت لایبقی محلّ للإجازة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مع العلم بحصول الإجازة من الآخر، ولو أتی بما ینافی الزوجیّة لم یبقَ موضوع للإجازة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بثبوت التحریم فی فرض العلم بحصول الإجازة بعد ذلک لا یجتمع معالقول بکون الإجازة کاشفةً حکماً وناقلةً حقیقةً، کما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مع فرض العلم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الثانی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الإجازة</w:t>
      </w:r>
      <w:r>
        <w:rPr>
          <w:rStyle w:val="FootnoteAnchor"/>
          <w:rtl w:val="true"/>
        </w:rPr>
        <w:footnoteReference w:id="1774"/>
      </w:r>
      <w:r>
        <w:rPr>
          <w:rFonts w:ascii="IRNazanin" w:hAnsi="IRNazanin" w:eastAsia="IRNazanin"/>
          <w:color w:val="111111"/>
          <w:sz w:val="28"/>
          <w:sz w:val="28"/>
          <w:szCs w:val="28"/>
          <w:rtl w:val="true"/>
          <w:lang w:bidi="fa-IR"/>
        </w:rPr>
        <w:t> بعد ذلک</w:t>
      </w:r>
      <w:r>
        <w:rPr>
          <w:rStyle w:val="FootnoteAnchor"/>
          <w:rtl w:val="true"/>
        </w:rPr>
        <w:footnoteReference w:id="1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الکاشفة عن تحقّقها من حین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لأنّ له التصرّف الموجب لعدم بقاء العقد علی قابلیّةلحوق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القرعة، وکذا اللازم مراعاة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لکونه فی معرض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بمجیء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تزوّج الاُمّ أو البنت مثلاً ثمّ حصلت الإجازة</w:t>
      </w:r>
      <w:r>
        <w:rPr>
          <w:rStyle w:val="FootnoteAnchor"/>
          <w:rtl w:val="true"/>
        </w:rPr>
        <w:footnoteReference w:id="1776"/>
      </w:r>
      <w:r>
        <w:rPr>
          <w:rFonts w:ascii="IRNazanin" w:hAnsi="IRNazanin" w:eastAsia="IRNazanin"/>
          <w:color w:val="111111"/>
          <w:sz w:val="28"/>
          <w:sz w:val="28"/>
          <w:szCs w:val="28"/>
          <w:rtl w:val="true"/>
          <w:lang w:bidi="fa-IR"/>
        </w:rPr>
        <w:t> کشفت</w:t>
      </w:r>
      <w:r>
        <w:rPr>
          <w:rStyle w:val="FootnoteAnchor"/>
          <w:rtl w:val="true"/>
        </w:rPr>
        <w:footnoteReference w:id="17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یبقی موقع للإجازة إلّا علی تقدیر الکشف الحقیقیّ ببعض معانیه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w:t>
      </w:r>
    </w:p>
    <w:p>
      <w:pPr>
        <w:pStyle w:val="BookText"/>
        <w:rPr/>
      </w:pPr>
      <w:r>
        <w:rPr>
          <w:rFonts w:ascii="IRNazanin" w:hAnsi="IRNazanin" w:eastAsia="IRNazanin"/>
          <w:color w:val="111111"/>
          <w:sz w:val="28"/>
          <w:sz w:val="28"/>
          <w:szCs w:val="28"/>
          <w:rtl w:val="true"/>
          <w:lang w:bidi="fa-IR"/>
        </w:rPr>
        <w:t>بطلان</w:t>
      </w:r>
      <w:r>
        <w:rPr>
          <w:rStyle w:val="FootnoteAnchor"/>
          <w:rtl w:val="true"/>
        </w:rPr>
        <w:footnoteReference w:id="1778"/>
      </w:r>
      <w:r>
        <w:rPr>
          <w:rFonts w:ascii="IRNazanin" w:hAnsi="IRNazanin" w:eastAsia="IRNazanin"/>
          <w:color w:val="111111"/>
          <w:sz w:val="28"/>
          <w:sz w:val="28"/>
          <w:szCs w:val="28"/>
          <w:rtl w:val="true"/>
          <w:lang w:bidi="fa-IR"/>
        </w:rPr>
        <w:t> ذلک</w:t>
      </w:r>
      <w:r>
        <w:rPr>
          <w:rStyle w:val="FootnoteAnchor"/>
          <w:rtl w:val="true"/>
        </w:rPr>
        <w:footnoteReference w:id="1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نعم، یتمّ ذلک علی الکشف الحقیقیّ ببعض معانیه علی إشکالٍ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ممنوع، إلّا بناءً علی الکشف الحقیقیّ، وفیه منع، ثمّ إنّ المشار 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عقد الاُمّ والبنت فهو مخالف لِما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وإنکان عقد الفضولی فهو خلاف الظاهر من الاستدراک بقوله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حقّ التعبیر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أحد الطرفَین ملتزِماً بالعقد، أصیلاً کان أو مُجِیزاً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إذ لا لزوم فی البین مطلقاً، إلّا بناءً علی الکشف الحقیقیّ، وهو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بطلان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ردّ المعقود أو المعقودة فضولاً العقد ولم یُجِزْه لا یترتّب علیه شیء من أحکام المصاهرة، سواء أجاز الطرف الآخر أم کان أصیلاً أم لا؛ لعدم حصول الزوجیّة بهذا العقد الغیر مجاز، وتبیّن کونه کأن لم یکن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یستشکل فی خصوص نکاح</w:t>
      </w:r>
      <w:r>
        <w:rPr>
          <w:rStyle w:val="FootnoteAnchor"/>
          <w:rtl w:val="true"/>
        </w:rPr>
        <w:footnoteReference w:id="1780"/>
      </w:r>
      <w:r>
        <w:rPr>
          <w:rFonts w:ascii="IRNazanin" w:hAnsi="IRNazanin" w:eastAsia="IRNazanin"/>
          <w:color w:val="111111"/>
          <w:sz w:val="28"/>
          <w:sz w:val="28"/>
          <w:szCs w:val="28"/>
          <w:rtl w:val="true"/>
          <w:lang w:bidi="fa-IR"/>
        </w:rPr>
        <w:t> اُمّ المعقود علیها،وهو فی غیر محلّه بعد أن لم یتحقّق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العقد لا یوجب شیئاً، مع أنّه لا فرق </w:t>
      </w:r>
    </w:p>
    <w:p>
      <w:pPr>
        <w:pStyle w:val="BookText"/>
        <w:rPr/>
      </w:pPr>
      <w:r>
        <w:rPr>
          <w:rFonts w:ascii="IRNazanin" w:hAnsi="IRNazanin" w:eastAsia="IRNazanin"/>
          <w:color w:val="111111"/>
          <w:sz w:val="28"/>
          <w:sz w:val="28"/>
          <w:szCs w:val="28"/>
          <w:rtl w:val="true"/>
          <w:lang w:bidi="fa-IR"/>
        </w:rPr>
        <w:t>بینه وبین نکاح البنت</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الحرمة فی الأوّل غیر مشروطةٍ بالدخول، بخلاف الثانی، لا ینفع فی الفرق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زُوِّجت امرأة فضولاً من رجلٍ ولم تعلم بالعقد، فتزوّجت من آخر، ثمّ علمت بذلک العقد لیس لها</w:t>
      </w:r>
      <w:r>
        <w:rPr>
          <w:rStyle w:val="FootnoteAnchor"/>
          <w:rtl w:val="true"/>
        </w:rPr>
        <w:footnoteReference w:id="1782"/>
      </w:r>
      <w:r>
        <w:rPr>
          <w:rFonts w:ascii="Amiri" w:hAnsi="Amiri" w:eastAsia="Amiri" w:cs="Amiri"/>
          <w:color w:val="111111"/>
          <w:sz w:val="28"/>
          <w:sz w:val="28"/>
          <w:szCs w:val="28"/>
          <w:rtl w:val="true"/>
          <w:lang w:bidi="ar-SA"/>
        </w:rPr>
        <w:t> أن تُجِیز؛ لفوات محلّ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إذا زُوِّج رجل فضولاً بامرأةٍ، وقبل أن یطّلع علی ذلک تزوّج اُمّها أو بنتها أو اُختها ثمّ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الإجازة حیث إنّها کاشفة إذا حصلت تکشف عن بطلان العقد الثانی کما تری</w:t>
      </w:r>
      <w:r>
        <w:rPr>
          <w:rStyle w:val="FootnoteAnchor"/>
          <w:rtl w:val="true"/>
        </w:rPr>
        <w:footnoteReference w:id="1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حکم المسألة والمسألة الإحدی والثلاثین من حیث الحکم الوضعیّ واحد،نعم، لا تجب الإجازة فی الفرض علی غیر الأصیل تکلیفاً، وله إفناء الموضوع ولومع الالتفات، بخلاف المسألة السابقة حیث إنّه یجب علی الأصیل الوفاء، ویحرمعلیه إفناء الموضوع، لکن تکلیفاً لا وضعاً،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زوّجها أحد الوکیلَین من رجل، وزوّجها الوکیل الآخر 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السابق من العقدَین فهو الصحیح، وإن عُلِم الاقتران بطلا </w:t>
      </w:r>
    </w:p>
    <w:p>
      <w:pPr>
        <w:pStyle w:val="BookText"/>
        <w:rPr/>
      </w:pPr>
      <w:r>
        <w:rPr>
          <w:rFonts w:ascii="Amiri" w:hAnsi="Amiri" w:eastAsia="Amiri" w:cs="Amiri"/>
          <w:color w:val="111111"/>
          <w:sz w:val="28"/>
          <w:sz w:val="28"/>
          <w:szCs w:val="28"/>
          <w:rtl w:val="true"/>
          <w:lang w:bidi="ar-SA"/>
        </w:rPr>
        <w:t>معاً، وإن</w:t>
      </w:r>
      <w:r>
        <w:rPr>
          <w:rStyle w:val="FootnoteAnchor"/>
          <w:rtl w:val="true"/>
        </w:rPr>
        <w:footnoteReference w:id="1784"/>
      </w:r>
      <w:r>
        <w:rPr>
          <w:rFonts w:ascii="Amiri" w:hAnsi="Amiri" w:eastAsia="Amiri" w:cs="Amiri"/>
          <w:color w:val="111111"/>
          <w:sz w:val="28"/>
          <w:sz w:val="28"/>
          <w:szCs w:val="28"/>
          <w:rtl w:val="true"/>
          <w:lang w:bidi="ar-SA"/>
        </w:rPr>
        <w:t> شُکَّ</w:t>
      </w:r>
      <w:r>
        <w:rPr>
          <w:rStyle w:val="FootnoteAnchor"/>
          <w:rtl w:val="true"/>
        </w:rPr>
        <w:footnoteReference w:id="1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أحدهما معلوم التاریخ فالظاهر الصحّة فیه، کصورة العلم بعدم الاقتران والعلم بتاریخ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السبق والاقتران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بتاریخ أحدهما فیحکم بصحّته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تاریخ أحدهما فیُحکَم بصحّته، ومجرّد الشکّ فی المقارنة لا یوجب البطلان؛ لعدم إحرازها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کونهما مجهولَی التاریخ، وأمّا فی صورة العلم بتاریخ أحدهما فالحکم بصحّة المعلوم تاریخه هو الأقوی، والأحوط طلاقها من طرف کِلا الزوجَین، ثمّ مَنأرادها تزوّجها بعقدٍ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 هذه حکم الصورة الثالثة، فی أنّ مع العلم بتاریخ أحدهما یُحکَم بصحّته دون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بتاریخهما، وأمّا مع العلم بتاریخ أحدهما فیُحکَم بصحّته دون الآخر،کما فی صورة العلم بالسَبق واللحوق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بتاریخ أحدهما، وإلّا فیُحکَم بصحّة ما علم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إذا عُلِم تاریخ أحدهما یُحکَم بصحّته؛ بناءً علی جریان استصحاب العدم فی مجهول التاریخ دون معلومه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بتاریخهما، وأمّا مع العلم بتاریخ أحدهما یُحکَم بصحّته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الجهل بتاریخهما، وأمّا مع العلم بتاریخ أحدهما فیُحکَم بصحّته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کانا معاً مَجهولَی التاریخ، وأمّا إذا کان أحدهما معلوم التاریخ فالظاهر الحکم بصحّته، کما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العلم بتاریخ أحدهما، فهو ـ أیّ المعلوم ـ محکوم بالصحّة، وفی بعض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حاشیة السیّد محمّد رضا الگلپایگانی  قدّس سرّه المذکورة فی الصفحة التالیة فی الهامش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تحقّق المجهول إلی زمانٍ مقارنٍ للمعلوم لا یترتّب علیه أثر شرعیّ کی یلحق ذلک بمعلوم السَبق، کما أفاده غیر واحدٍ من أکابرالمحشِّین؛ لأنّ بطلان العقد المقارن بمثله عقلیّ، لا شرعیّ، بخلاف المسبوق بمثله حیث إنّ بطلانه شرعیّ، فیُستصحَب عدم وقوع العقد السابق، فیترتّب علیه عدم البطلان شرعاً،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المقارن والمسبوق فی کون البطلان شرعیّاً؛ فإنّحکم العقل بالبطلان إنّما هو لأجل قیام الدلیل الشرعیّ علی امتناع ثبوت الزوجَینبالإضافة إلی زوجةٍ واحدة، ومع قطع النظر عن ذلک لا مجال للعقل للحکم بالبطلان، فالملاک موجود فی المقامَین من دون فرق، مع أنّ استصحاب عدم وقوع العقد السابق إن کان بنحو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فالظاهر عدم جریانه أصلاً، وإن کان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فلیس له حالة سابقة متیقّنة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لعدم العلم بتحقّق عقدٍ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صحیح، والأصل عدم تأثیر</w:t>
      </w:r>
      <w:r>
        <w:rPr>
          <w:rStyle w:val="FootnoteAnchor"/>
          <w:rtl w:val="true"/>
        </w:rPr>
        <w:footnoteReference w:id="1786"/>
      </w:r>
      <w:r>
        <w:rPr>
          <w:rFonts w:ascii="Amiri" w:hAnsi="Amiri" w:eastAsia="Amiri" w:cs="Amiri"/>
          <w:color w:val="111111"/>
          <w:sz w:val="28"/>
          <w:sz w:val="28"/>
          <w:szCs w:val="28"/>
          <w:rtl w:val="true"/>
          <w:lang w:bidi="ar-SA"/>
        </w:rPr>
        <w:t>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السبق واللحوق ولم یُعلَم السابق من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تاریخ أحدهما حُکِم بصحّته</w:t>
      </w:r>
      <w:r>
        <w:rPr>
          <w:rStyle w:val="FootnoteAnchor"/>
          <w:rtl w:val="true"/>
        </w:rPr>
        <w:footnoteReference w:id="1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 المعلوم تاریخه حکم مجهوله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یتمّ علی مسلکه؛ حیث یری عدم جریان الأصل فی معلوم التاریخ، وأمّاعلی المسلک المنصور فلا وجه للتفصیل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الحکم فی المعلوم التاریخ والمجهول التاریخ سواء، وإن کان مراعاةالاحتیاط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جُهِل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التاریخان</w:t>
      </w:r>
      <w:r>
        <w:rPr>
          <w:rStyle w:val="FootnoteAnchor"/>
          <w:rtl w:val="true"/>
        </w:rPr>
        <w:footnoteReference w:id="1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عدم الاقتران معلوماً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المسألة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التوقیف</w:t>
      </w:r>
      <w:r>
        <w:rPr>
          <w:rStyle w:val="FootnoteAnchor"/>
          <w:rtl w:val="true"/>
        </w:rPr>
        <w:footnoteReference w:id="1789"/>
      </w:r>
      <w:r>
        <w:rPr>
          <w:rFonts w:ascii="IRNazanin" w:hAnsi="IRNazanin" w:eastAsia="IRNazanin"/>
          <w:color w:val="111111"/>
          <w:sz w:val="28"/>
          <w:sz w:val="28"/>
          <w:szCs w:val="28"/>
          <w:rtl w:val="true"/>
          <w:lang w:bidi="fa-IR"/>
        </w:rPr>
        <w:t> حتّی یحصل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 الفسخ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الحاکم 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والأوفق بالقواعد هو الوجه الأخیر</w:t>
      </w:r>
      <w:r>
        <w:rPr>
          <w:rStyle w:val="FootnoteAnchor"/>
          <w:rtl w:val="true"/>
        </w:rPr>
        <w:footnoteReference w:id="1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ثبوت جبر الروایة بعملهم، وإلّا فالأوّل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الّذی قبله، وهو فسخ الحاکم، بمعنی أنّ الحاکم یلزمهما بالطلاق، فإن طلّقاوإلّا طلّقها قهراً علیهما، أمّا الفسخ بغیر الطلاق فلا وجه له، فتدبّره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الإشکال، والأحوط الطلاق منهما، ولو امتنعا فلا یبعد أن یکون للحاکم إلزامها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أصل النسخة، والظاهر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الزوجَین، بقرینة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 حاشیة النائینی وکاشف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وکذا فی نظائر المسألة، والحمد لله ربّ العالمین، والصلاةعلی رسوله وآله الطاهرین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أن یطلّقاها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الطلاق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الأحوط طلاقهما؛ لمعارضة الأصلین، وعدم أمارةٍ علی إثبات صحّةأحدهما المعیَّن، فمع العلم ببطلان أحدهما لیس لکلّ واحدٍ منهما ترتیب آثارالزوجیّة، فلا مناص إلّا الطلاق باختیارهما، أو باجبار الحاکم لهما؛ دفعاً لضررالمرأة، وکذلک الأمر فی الفروع الّتی ذکرها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حجّیّة القرعة فی المقام، وإلّا فالأحوط أن یطلّقها أحدهما، والآخریعقدها بعقدٍ جدیدٍ إن أراد تزویجها، وإلّا فهو أیضاً یطلّقها، وهکذا الحال بالنسبة إلی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علاج المشکلة بالطلاق، فلا یُجزَم بکون المورد من موارد القرعة،فالأحوط لو لم یکن الأقوی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الاحتیاط بالطلاق،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أن یطلّقها أحد الرجلَین، فإن شاء الآخر تزوّجها بعقدٍ جدیدٍوإلّا فالأحوط أن یطلّقها هو أیضاً، وکذلک یُراعی الاحتیاط فی الفروع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الأحوط علی الزوجة إرضاوهما للطلاق مع التمکّن ولو بإعطاء شیءعلیهما، وصرف النظر عن الصداق، کما أنّ الأحوط علیهما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لکلٍّ منهما التخلّص بالطلاق، وکذا فی نظائر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یُطَلِّقها الرجلان معاً، أو یطلِّقها أحدهما ویتزوّجها الثانی بعقدٍ جدید،وکذا فی الفروض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التفریق بینها وبینهما بالطلاق، أو تجدید العقد لأحدهما مع طلاق الآخرلها أوّلاً، فإن امتنعا من الطلاق فالأوجه هو القرعة، وکذلک فی الفروع الآتیة، فلایُترک الاحتیاط بالطلاق إن أمکن، وإلّا فالقرعة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وإن کان قویّاً إلّا أنّ الأحوط أن یطلّقها أحد الزوجَین ویزوّجها الآخر، وإنلم یشأ تزویجها طلّقها أیضاً، وکذا الحال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وکذا الکلام إذا زوّجه أحد الوکیلَین برابعةٍ والآخر باُخری، أو زوّجه أحدهما بامرأةٍوالآخر ببنتها</w:t>
      </w:r>
      <w:r>
        <w:rPr>
          <w:rStyle w:val="FootnoteAnchor"/>
          <w:rtl w:val="true"/>
        </w:rPr>
        <w:footnoteReference w:id="1791"/>
      </w:r>
      <w:r>
        <w:rPr>
          <w:rFonts w:ascii="Amiri" w:hAnsi="Amiri" w:eastAsia="Amiri" w:cs="Amiri"/>
          <w:color w:val="111111"/>
          <w:sz w:val="28"/>
          <w:sz w:val="28"/>
          <w:szCs w:val="28"/>
          <w:rtl w:val="true"/>
          <w:lang w:bidi="ar-SA"/>
        </w:rPr>
        <w:t> أو اُمّها أو اُختها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الحال إذا زوّجت نفسها من رجلٍ وزوّجها وکیلها من آخر، أو تزوّجِ بامرأةٍ وزوّجه وکیلُه باُخری لا یمکن الجمع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ادّعی أحد الرجلَین المعقود لهما السَبق، 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أدری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 المرأة المدّعی للسَبق حُکِم بالزوجیّة</w:t>
      </w:r>
      <w:r>
        <w:rPr>
          <w:rStyle w:val="FootnoteAnchor"/>
          <w:rtl w:val="true"/>
        </w:rPr>
        <w:footnoteReference w:id="1792"/>
      </w:r>
      <w:r>
        <w:rPr>
          <w:rFonts w:ascii="IRNazanin" w:hAnsi="IRNazanin" w:eastAsia="IRNazanin"/>
          <w:color w:val="111111"/>
          <w:sz w:val="28"/>
          <w:sz w:val="28"/>
          <w:szCs w:val="28"/>
          <w:rtl w:val="true"/>
          <w:lang w:bidi="fa-IR"/>
        </w:rPr>
        <w:t> بینهما؛ لتصادقهما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صنَّفه ـ دام ظلّه ـ من النکاح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0" w:name="pg13286_154244"/>
      <w:bookmarkStart w:id="1001" w:name="pg13286_154244"/>
      <w:bookmarkEnd w:id="1001"/>
    </w:p>
    <w:p>
      <w:pPr>
        <w:pStyle w:val="Heading2"/>
        <w:numPr>
          <w:ilvl w:val="1"/>
          <w:numId w:val="1"/>
        </w:numPr>
        <w:rPr/>
      </w:pPr>
      <w:bookmarkStart w:id="1002" w:name="pg13286_154244"/>
      <w:bookmarkStart w:id="1003" w:name="__RefHeading___Toc2139148_2322387425"/>
      <w:bookmarkStart w:id="1004" w:name="_Toc367"/>
      <w:bookmarkEnd w:id="1002"/>
      <w:bookmarkEnd w:id="1003"/>
      <w:r>
        <w:rPr>
          <w:rtl w:val="true"/>
        </w:rPr>
        <w:t>کتاب الوصیّة</w:t>
      </w:r>
      <w:bookmarkEnd w:id="10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5" w:name="__RefHeading___Toc2139150_2322387425"/>
      <w:bookmarkStart w:id="1006" w:name="_Toc368"/>
      <w:bookmarkEnd w:id="1005"/>
      <w:r>
        <w:rPr>
          <w:rtl w:val="true"/>
        </w:rPr>
        <w:t>اشارة</w:t>
      </w:r>
      <w:bookmarkStart w:id="1007" w:name="pg13286_154246"/>
      <w:bookmarkEnd w:id="1006"/>
    </w:p>
    <w:p>
      <w:pPr>
        <w:pStyle w:val="BookText"/>
        <w:rPr/>
      </w:pPr>
      <w:bookmarkEnd w:id="1007"/>
      <w:r>
        <w:rPr>
          <w:rFonts w:ascii="IRNazanin" w:hAnsi="IRNazanin" w:eastAsia="IRNazanin"/>
          <w:color w:val="111111"/>
          <w:sz w:val="28"/>
          <w:sz w:val="28"/>
          <w:szCs w:val="28"/>
          <w:rtl w:val="true"/>
          <w:lang w:bidi="fa-IR"/>
        </w:rPr>
        <w:t>کتاب الوصیّة</w:t>
      </w:r>
    </w:p>
    <w:p>
      <w:pPr>
        <w:pStyle w:val="Heading3"/>
        <w:numPr>
          <w:ilvl w:val="2"/>
          <w:numId w:val="1"/>
        </w:numPr>
        <w:rPr/>
      </w:pPr>
      <w:bookmarkStart w:id="1008" w:name="__RefHeading___Toc2139152_2322387425"/>
      <w:bookmarkStart w:id="1009" w:name="_Toc369"/>
      <w:bookmarkEnd w:id="1008"/>
      <w:r>
        <w:rPr>
          <w:rtl w:val="true"/>
        </w:rPr>
        <w:t>معنی الوصیّة وتقسیماتها</w:t>
      </w:r>
      <w:bookmarkEnd w:id="1009"/>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مصدر</w:t>
      </w:r>
      <w:r>
        <w:rPr>
          <w:rStyle w:val="FootnoteAnchor"/>
          <w:rtl w:val="true"/>
        </w:rPr>
        <w:footnoteReference w:id="1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الوصیّة مصدراً للثلاثی، بل المصدر له هو الوصیّ بفتح الواو و سکون الصاد، فیتعیّن أن یکون اسم مصدرٍ من الرباعی، ویبقی حینئذٍ اختلاف الثلاثی والرباعی فی المعنی، حیث إنّ الأوّل بمعنی الوصل، والثانی بمعنیالعهد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أنّهما مادّتان متباینتان لیس بینهما أیّ نوعٍ من الاشتقاق، کما فیبعض الشروح، مندفعة، بما ذکره الزمخشریّ فی أساس البلاغة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وأصَی البلدُ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فإنّها ظاهرة فی مجیء الرباعی أیضاً بمعنی الوصل، فلا محیص عن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العهد أیضاً نوع من الوصل؛ لتقوّمه بالطرفَین، وتحقّق اتّصال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الوصل؛ حیث إنّ المُوصِی یصل تصرّفه بعد الموت بتصرّفه حال 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اسم مصدر بمعنی العهد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الظاهر من اللغویّین، نعم، یمکن إرجاع جمیع ما یذکر من معانیها إلی الوصل بإلغاء خصوصیّات موارد تطبیق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لا یخلو منتکلّف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یظهر من موارد استعماله فی القرآن المجید وفی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من وصّی یوصّی توصیةً، أو أوصی یُوصِی إیصاءً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إمّا تملیکیّة،أو عهدیّة</w:t>
      </w:r>
      <w:r>
        <w:rPr>
          <w:rStyle w:val="FootnoteAnchor"/>
          <w:rtl w:val="true"/>
        </w:rPr>
        <w:footnoteReference w:id="1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فرض الجامع القریب بینهما، فلا تکون إلّا قسماً واحداً تختلف باختلاف المتعلّق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بالعهد هو العهد المتعلّق بخصوص العمل ـ سواء کان راجعاً إلی الغیر أو إلی نفسه ـ فجعل الوصیّة الراجعة إلی التسلیط علی الحقّ، أو فکّ الملک منأقسام الوصیّة العهدیّة کما هو ظاهر العبارة غیر ظاهر، وإن کان المراد به هو العهدبالمعنی الأعمّ ممّا یتعلّق بالعمل ـ وهو الّذی یعبّر عنه فی الفارسیّة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ـفجعل التملیکیّة قسیماً للعهدیّة غیر واضح؛ إذ حینئذٍ تصیر التملیکیّة من أقسام العهدیّة أیضاً، ویؤیّده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کونها بمعنی العهد إذا اُخذت من الرباعیّ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وبعبارةٍ     </w:t>
      </w:r>
      <w:r>
        <w:rPr>
          <w:rFonts w:eastAsia="Amiri" w:cs="Amiri" w:ascii="Amiri" w:hAnsi="Amiri"/>
          <w:color w:val="111111"/>
          <w:sz w:val="28"/>
          <w:szCs w:val="28"/>
          <w:rtl w:val="true"/>
          <w:lang w:bidi="ar-SA"/>
        </w:rPr>
        <w:t>.     .     .     .     .     .     .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10" w:name="pg13286_154250"/>
    </w:p>
    <w:p>
      <w:pPr>
        <w:pStyle w:val="BookText"/>
        <w:rPr/>
      </w:pPr>
      <w:bookmarkEnd w:id="1010"/>
      <w:r>
        <w:rPr>
          <w:rFonts w:ascii="Amiri" w:hAnsi="Amiri" w:eastAsia="Amiri" w:cs="Amiri"/>
          <w:color w:val="111111"/>
          <w:sz w:val="28"/>
          <w:sz w:val="28"/>
          <w:szCs w:val="28"/>
          <w:rtl w:val="true"/>
          <w:lang w:bidi="ar-SA"/>
        </w:rPr>
        <w:t>اُخری</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تملیک عینٍ أو منفعة، أو تسلیط علی حقّ، أو فکّ ملک، أو عهد   </w:t>
      </w:r>
    </w:p>
    <w:p>
      <w:pPr>
        <w:pStyle w:val="BookText"/>
        <w:rPr/>
      </w:pPr>
      <w:r>
        <w:rPr>
          <w:rFonts w:ascii="IRNazanin" w:hAnsi="IRNazanin" w:eastAsia="IRNazanin"/>
          <w:color w:val="111111"/>
          <w:sz w:val="28"/>
          <w:sz w:val="28"/>
          <w:szCs w:val="28"/>
          <w:rtl w:val="true"/>
          <w:lang w:bidi="fa-IR"/>
        </w:rPr>
        <w:t>متعلّق بالغیر، أو عهد متعلّق بنفسه، کالوصیّة بما یتعلّق بتجهیزه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انقسام الأحکام الخمسة</w:t>
      </w:r>
      <w:r>
        <w:rPr>
          <w:rFonts w:eastAsia="IRNazanin" w:cs="IRNazanin"/>
          <w:color w:val="111111"/>
          <w:sz w:val="28"/>
          <w:szCs w:val="28"/>
          <w:rtl w:val="true"/>
          <w:lang w:bidi="fa-IR"/>
        </w:rPr>
        <w:t>.</w:t>
      </w:r>
    </w:p>
    <w:p>
      <w:pPr>
        <w:pStyle w:val="Heading3"/>
        <w:numPr>
          <w:ilvl w:val="2"/>
          <w:numId w:val="1"/>
        </w:numPr>
        <w:rPr/>
      </w:pPr>
      <w:bookmarkStart w:id="1011" w:name="__RefHeading___Toc2139154_2322387425"/>
      <w:bookmarkStart w:id="1012" w:name="_Toc370"/>
      <w:bookmarkEnd w:id="1011"/>
      <w:r>
        <w:rPr>
          <w:rtl w:val="true"/>
        </w:rPr>
        <w:t>نفوذ الوصیّة العهدیّة والتوقّف فی الوصیّة التملیکیّة علی القبول</w:t>
      </w:r>
      <w:bookmarkEnd w:id="10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العهدیّة لا تحتاج إلی القبول</w:t>
      </w:r>
      <w:r>
        <w:rPr>
          <w:rStyle w:val="FootnoteAnchor"/>
          <w:rtl w:val="true"/>
        </w:rPr>
        <w:footnoteReference w:id="1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قبول الموصی له، أمّا قبول الموصی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أصل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لازم غالباً أو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قبول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p>
    <w:p>
      <w:pPr>
        <w:pStyle w:val="BookText"/>
        <w:rPr/>
      </w:pPr>
      <w:r>
        <w:rPr>
          <w:rFonts w:ascii="Amiri" w:hAnsi="Amiri" w:eastAsia="Amiri" w:cs="Amiri"/>
          <w:color w:val="111111"/>
          <w:sz w:val="28"/>
          <w:sz w:val="28"/>
          <w:szCs w:val="28"/>
          <w:rtl w:val="true"/>
          <w:lang w:bidi="ar-SA"/>
        </w:rPr>
        <w:t>الوصیّة</w:t>
      </w:r>
      <w:r>
        <w:rPr>
          <w:rStyle w:val="FootnoteAnchor"/>
          <w:rtl w:val="true"/>
        </w:rPr>
        <w:footnoteReference w:id="1797"/>
      </w:r>
      <w:r>
        <w:rPr>
          <w:rFonts w:ascii="Amiri" w:hAnsi="Amiri" w:eastAsia="Amiri" w:cs="Amiri"/>
          <w:color w:val="111111"/>
          <w:sz w:val="28"/>
          <w:sz w:val="28"/>
          <w:szCs w:val="28"/>
          <w:rtl w:val="true"/>
          <w:lang w:bidi="ar-SA"/>
        </w:rPr>
        <w:t> بالفکّ کالعتق، وأمّا التملیکیّة</w:t>
      </w:r>
      <w:r>
        <w:rPr>
          <w:rStyle w:val="FootnoteAnchor"/>
          <w:rtl w:val="true"/>
        </w:rPr>
        <w:footnoteReference w:id="1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ضعفه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أنّه یعتبر فیها 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تحقّق الوصیّة وترتّب الأحکام علیها من حرمة التبدیل وغیرها لایتوقّف علی شیء، لکنّ حصول الملکیّة للموصی له یتوقّف علی عدم الردّ، بحیث یکون الردّ مانعاً 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نسخة الأصل، والظاهر أن الأصحّ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 من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ولولاه لم یتوقّف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أفاده سیّدنا العلّامة الاُستاذ قدّس سرّه دلیلاً علی اعتبار القبول، من أنّ أدلّةالوصیّة غایتها الدلالة علی نفوذ عهد الإنسان عند موته فی ما کان قبله تحتسلطانه، وأنّ سلطنته علیه باقیة إذا عهد فیه بأمر، وأمّا کون سلطانه عند موته علی مالم یکن سلطاناً علیه قبل ذلک، کما هو قضیّة الملک القهری فلا تدلّ علیه، یمکن المناقشة فیه بمنع کون أدلّة الوصیّة غایتها الدلالة علی مجرّد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والمحذور لا یندفع بمجرّد اعتبار القبول بعد مغایرتها مع سائر العقودفی حصول الموت بین الإیجاب والقبول، وتحقّق الفصل الطویل وغیرهما،وکون الملک القهریّ خلاف الارتکاز العرفیّ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مع عدم قیام الإجماع لم یکن یتوقّف حصول الملکیّة علی شیء، ولم یمنع عنهاشیء،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جزءاً؛ وعلیه تکون من     </w:t>
      </w:r>
      <w:r>
        <w:rPr>
          <w:rFonts w:eastAsia="IRNazanin" w:cs="IRNazanin"/>
          <w:color w:val="111111"/>
          <w:sz w:val="28"/>
          <w:szCs w:val="28"/>
          <w:rtl w:val="true"/>
          <w:lang w:bidi="fa-IR"/>
        </w:rPr>
        <w:t>.     .     .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العقود</w:t>
      </w:r>
      <w:r>
        <w:rPr>
          <w:rStyle w:val="FootnoteAnchor"/>
          <w:rtl w:val="true"/>
        </w:rPr>
        <w:footnoteReference w:id="1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تحقّق الوصیّة وترتّب الأحکام علیها من حرمة التبدیل وغیرها  لا یتوقّف علی القبول، لکنّ تملّک الموصی له متوقّف علیه، فلا یتملّک قهراً،فالوصیّة من الإیقاعات، لکنّها جزء سببٍ لحصول الملک للموصی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والظاهر أنّ الوصیّة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العهد المتعلّق باُمورٍراجعةٍ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أضفناها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الموت، وهی لیست عنواناً قبال سائر العناوین من العقودوالإیقاعات حتّی یبحث فی أنّها من أیّهما، فکما أنّ العهود الراجعة إلی اُمور الناسحال حیاتهم مختلفة ـ بعضها عقود وبعضها إیقاعات وبعضها شرائط وبعضها وعدوبعضها استدعاء ـ فکذلک العهود الراجعة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أضفناها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تملیک عینٍ أو منفعةٍ أو نقل حقٍّ أو تسلیطاً أو وکالةً فهو عقد، کمافی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عتقاً أو إبراءً أو إسقاطاً فهو إیقاع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عهداً راجعاً إلی تجهیزه وصلاته وصومه وحجّه وردّ أمانته وأمثال ذلک فهو إذن واستدعاء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العهود الراجعة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أضفناها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الموت معلّقة بالموت، بخلاف الراجعة إلی حال الحیاة؛ حیث إنّها 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نفوذ أیّ عقدٍ أو إیقاعٍ وجواز العمل بأیّ عهدٍ أو وجوبه أو عدمه فهو تابع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إنّها اعتبرت للتصرّف بعدالموت فلا یضرّها التعلیق بالموت، وتخلّل الموت بین الإیجاب والقبول، ولا بین الإنشاء والمنشأ عقداً کان أو إیقاعاً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أنّه یعتبر فی التملیکیّة القبول، وکذا فی العهدیّة إن کانت راجعةًإلی التصرّف فی ماله أو بدنه، أو إلی أمرِ مَن یکون علیه الولایة؛ لأنّ هذه فی الحقیقة وکالة وتحتاج إلی القبول، وإن لم تکن راجعة إلیه کاستدعاء عملٍبعد موته فلا یعتبر فی جواز العمل بها القبول وإن کان فی وجوبه علی الموصی إلیه یحتاج إلیه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إذا کانت عهداً بتملیک الغیر أو إعطاء شیءٍ إیّاه فلا إشکال فی اعتبارقبول ذلک الغیر بعد تملیک الوصیّ أو إعطائِه إیّاه، وإن ردّ فالمال للوارث، أو یصرففی الخیرات إن کان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أو شرطاً</w:t>
      </w:r>
      <w:r>
        <w:rPr>
          <w:rStyle w:val="FootnoteAnchor"/>
          <w:rtl w:val="true"/>
        </w:rPr>
        <w:footnoteReference w:id="1800"/>
      </w:r>
      <w:r>
        <w:rPr>
          <w:rFonts w:ascii="IRNazanin" w:hAnsi="IRNazanin" w:eastAsia="IRNazanin"/>
          <w:color w:val="111111"/>
          <w:sz w:val="28"/>
          <w:sz w:val="28"/>
          <w:szCs w:val="28"/>
          <w:rtl w:val="true"/>
          <w:lang w:bidi="fa-IR"/>
        </w:rPr>
        <w:t> علی وجه الکشف أو النقل، فتکون من الإیقاعات</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1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الاعتبار، بل لا دلیل علی مانعیّة الردّ إلّا أن یتمّ الأمر بالضرورةالفقهیّة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لعدم الدلیل علی اعتبار القبول فی الوصیّة مطلقاً، والّذی یظهرمن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ویساعده الاعتبار العرفی أنّ الردّ 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قرّره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کتاب الوصایا والمواریث للشیخ الأنصاری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الوصیّة إنّما تدلّ علی بقاء سلطان الشخص فی ما کان قبله تحت سلطانه، ولا تدلّ علی سلطنته علی ما لم یکن سلطاناً علیه قبل موته کالملک القهریّ،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بُعدَ فی دلالة الأدلّة علی أزیدمن ذلک، کما هو ظاهر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بَدَّلَهُ بَعْدَمَا سَمِعَهُ فَإِنَّمَا إِثْمُهُ عَلَی آلَّذِینَیُبَدِّلُونَهُ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ولا یندفع المحذور باشتراط القبول؛ فإنّ الفصل الطویل بین إنشاء التملیک وقبوله قد یکون بعشرة أعوام، ولا یجوز مثل ذلک فی حال الحیاة،وعلم القابل والتفاته من حین الإیجاب إلی القبول یعتبر فی العقود المعهودة، ولایعتبر فی الوصیّة التملیکیّة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التقویة لا تخلو من شوب الإشکال، فلا یُترک الاحتیاط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أنّ الوصیّة التملیکیّة عقد، والقبول کاشف، لا ناقل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کون القبول جزءاً، ولولا الإجماع لقلنا بعدم اعتباره أصلاً، وعدم کون الردّ مانعاً؛ وعلیه فهذا الاحتمال هو الصحیح؛ لأنّه المتیقّن من معقده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عدم اعتبار</w:t>
      </w:r>
      <w:r>
        <w:rPr>
          <w:rStyle w:val="FootnoteAnchor"/>
          <w:rtl w:val="true"/>
        </w:rPr>
        <w:footnoteReference w:id="1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قوّة فی هذا الاحتمال، بل الظاهر أنّها تحتاج إلی القبول، کما ذهب إلیه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فیها</w:t>
      </w:r>
      <w:r>
        <w:rPr>
          <w:rStyle w:val="FootnoteAnchor"/>
          <w:rtl w:val="true"/>
        </w:rPr>
        <w:footnoteReference w:id="1804"/>
      </w:r>
      <w:r>
        <w:rPr>
          <w:rFonts w:ascii="Amiri" w:hAnsi="Amiri" w:eastAsia="Amiri" w:cs="Amiri"/>
          <w:color w:val="111111"/>
          <w:sz w:val="28"/>
          <w:sz w:val="28"/>
          <w:szCs w:val="28"/>
          <w:rtl w:val="true"/>
          <w:lang w:bidi="ar-SA"/>
        </w:rPr>
        <w:t>، بل یکون الردّ مانعاً</w:t>
      </w:r>
      <w:r>
        <w:rPr>
          <w:rStyle w:val="FootnoteAnchor"/>
          <w:rtl w:val="true"/>
        </w:rPr>
        <w:footnoteReference w:id="1805"/>
      </w:r>
      <w:r>
        <w:rPr>
          <w:rFonts w:ascii="IRNazanin" w:hAnsi="IRNazanin" w:eastAsia="IRNazanin"/>
          <w:color w:val="111111"/>
          <w:sz w:val="28"/>
          <w:sz w:val="28"/>
          <w:szCs w:val="28"/>
          <w:rtl w:val="true"/>
          <w:lang w:bidi="fa-IR"/>
        </w:rPr>
        <w:t>؛ وعلیه تکون من الإیقاع الصریح</w:t>
      </w:r>
      <w:r>
        <w:rPr>
          <w:rStyle w:val="FootnoteAnchor"/>
          <w:rtl w:val="true"/>
        </w:rPr>
        <w:footnoteReference w:id="1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خلاف ما ارتکز عند العرف من کون التملیک والتملّک عقداً لا إیقاعاً،فلابدّ لإثباته من دلیلٍ شرعیٍّ تعبّدیٍّ، ولیس فی أدلّة الوصیّة ما یدلّ علی ذلک،إلّا ما دلّ علی أنّه لو مات الموصی له قبل موت الموصِی فالوصیّة لوارثه،وظاهر بعضه عدم اعتبار القبول حتّی من الوارث، ویُبعِّده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ارتکازاحتیاجها إلی القبول عند العامّة، فیُحمَل علی أنّ الوصیّة لوارث الموصی له مع قبوله، فالمتیقّن ممّا ثبت به تعبّداً علی خلاف القاعدة قیام الوارث مقامه معقبوله، لا بدون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الملک القهریّ</w:t>
      </w:r>
      <w:r>
        <w:rPr>
          <w:rStyle w:val="FootnoteAnchor"/>
          <w:rtl w:val="true"/>
        </w:rPr>
        <w:footnoteReference w:id="1807"/>
      </w:r>
      <w:r>
        <w:rPr>
          <w:rFonts w:ascii="IRNazanin" w:hAnsi="IRNazanin" w:eastAsia="IRNazanin"/>
          <w:color w:val="111111"/>
          <w:sz w:val="28"/>
          <w:sz w:val="28"/>
          <w:szCs w:val="28"/>
          <w:rtl w:val="true"/>
          <w:lang w:bidi="fa-IR"/>
        </w:rPr>
        <w:t xml:space="preserve"> ـ وهو باطل فی غیر مثل الإرث ـ </w:t>
      </w:r>
      <w:bookmarkStart w:id="1013" w:name="pg13286_154265"/>
    </w:p>
    <w:p>
      <w:pPr>
        <w:pStyle w:val="BookText"/>
        <w:rPr/>
      </w:pPr>
      <w:bookmarkEnd w:id="1013"/>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منه عقلاً، ومقتضی</w:t>
      </w:r>
      <w:r>
        <w:rPr>
          <w:rStyle w:val="FootnoteAnchor"/>
          <w:rtl w:val="true"/>
        </w:rPr>
        <w:footnoteReference w:id="1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المقتضی توقّفه علیه؛ لِما أشرنا إلیه، وخلافه لو ثبت لکان من باب التعبّدالمحض، علی خلاف القاعدة الارتکازیّة الشرعیّة والعرفیّة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ذلک، مع أنّ الملک القهریّ موجود فی مثل الوقف</w:t>
      </w:r>
      <w:r>
        <w:rPr>
          <w:rFonts w:eastAsia="IRNazanin" w:cs="IRNazanin"/>
          <w:color w:val="111111"/>
          <w:sz w:val="28"/>
          <w:szCs w:val="28"/>
          <w:rtl w:val="true"/>
          <w:lang w:bidi="fa-IR"/>
        </w:rPr>
        <w:t>.</w:t>
      </w:r>
    </w:p>
    <w:p>
      <w:pPr>
        <w:pStyle w:val="Heading3"/>
        <w:numPr>
          <w:ilvl w:val="2"/>
          <w:numId w:val="1"/>
        </w:numPr>
        <w:rPr/>
      </w:pPr>
      <w:bookmarkStart w:id="1014" w:name="__RefHeading___Toc2139156_2322387425"/>
      <w:bookmarkStart w:id="1015" w:name="_Toc371"/>
      <w:bookmarkEnd w:id="1014"/>
      <w:r>
        <w:rPr>
          <w:rtl w:val="true"/>
        </w:rPr>
        <w:t>إیقاع القبول بعد وفاة الموصی</w:t>
      </w:r>
      <w:bookmarkEnd w:id="10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علی اعتبار القبول فی الوصیّة یصحّ إیقاعه بعد وفاة المُوصِی بلا إشکال، وقبل وفاته علی الأقوی</w:t>
      </w:r>
      <w:r>
        <w:rPr>
          <w:rStyle w:val="FootnoteAnchor"/>
          <w:rtl w:val="true"/>
        </w:rPr>
        <w:footnoteReference w:id="18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وجه لِما عن جماعةٍ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عدم صحّته حال الحیاة؛ لأنّها تملیک بعد الموت، فالقبول قبله کالقبول قبل الوصیّة فلا محلّ له؛ ولأنّه کاشف أو ناقل، وهما معاً منتفیان حال الحیاة؛ إذ نمنع عدم المحلّ له؛ إذ الإنشاء المعلّق علی الموت قد حصل فیمکن القبول المطابق له</w:t>
      </w:r>
      <w:r>
        <w:rPr>
          <w:rStyle w:val="FootnoteAnchor"/>
          <w:rtl w:val="true"/>
        </w:rPr>
        <w:footnoteReference w:id="1810"/>
      </w:r>
      <w:r>
        <w:rPr>
          <w:rFonts w:ascii="IRNazanin" w:hAnsi="IRNazanin" w:eastAsia="IRNazanin"/>
          <w:color w:val="111111"/>
          <w:sz w:val="28"/>
          <w:sz w:val="28"/>
          <w:szCs w:val="28"/>
          <w:rtl w:val="true"/>
          <w:lang w:bidi="fa-IR"/>
        </w:rPr>
        <w:t>، والکشف والنقل إنّما یکونان بعد تحقّق</w:t>
      </w:r>
      <w:r>
        <w:rPr>
          <w:rStyle w:val="FootnoteAnchor"/>
          <w:rtl w:val="true"/>
        </w:rPr>
        <w:footnoteReference w:id="1811"/>
      </w:r>
      <w:r>
        <w:rPr>
          <w:rFonts w:ascii="IRNazanin" w:hAnsi="IRNazanin" w:eastAsia="IRNazanin"/>
          <w:color w:val="111111"/>
          <w:sz w:val="28"/>
          <w:sz w:val="28"/>
          <w:szCs w:val="28"/>
          <w:rtl w:val="true"/>
          <w:lang w:bidi="fa-IR"/>
        </w:rPr>
        <w:t> المعلّق علیه، فهما فی القبول بعد الموت لا مطلقاً</w:t>
      </w:r>
      <w:r>
        <w:rPr>
          <w:rFonts w:eastAsia="IRNazanin" w:cs="IRNazanin"/>
          <w:color w:val="111111"/>
          <w:sz w:val="28"/>
          <w:szCs w:val="28"/>
          <w:rtl w:val="true"/>
          <w:lang w:bidi="fa-IR"/>
        </w:rPr>
        <w:t xml:space="preserve">. </w:t>
      </w:r>
      <w:bookmarkStart w:id="1016" w:name="pg13286_154267"/>
    </w:p>
    <w:p>
      <w:pPr>
        <w:pStyle w:val="Heading3"/>
        <w:numPr>
          <w:ilvl w:val="2"/>
          <w:numId w:val="1"/>
        </w:numPr>
        <w:rPr/>
      </w:pPr>
      <w:bookmarkStart w:id="1017" w:name="__RefHeading___Toc2139158_2322387425"/>
      <w:bookmarkStart w:id="1018" w:name="_Toc372"/>
      <w:bookmarkEnd w:id="1016"/>
      <w:bookmarkEnd w:id="1017"/>
      <w:r>
        <w:rPr>
          <w:rtl w:val="true"/>
        </w:rPr>
        <w:t>ما یجب عند ظهور أمارات الموت</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تتضیّق الواجبات الموسّعة بظهور أمارات الموت، مثل قضاء الصلوات، والصیام، والنذور المطلقة، والکفّارات ونحوها، فیجب</w:t>
      </w:r>
      <w:r>
        <w:rPr>
          <w:rStyle w:val="FootnoteAnchor"/>
          <w:rtl w:val="true"/>
        </w:rPr>
        <w:footnoteReference w:id="1812"/>
      </w:r>
      <w:r>
        <w:rPr>
          <w:rFonts w:ascii="IRNazanin" w:hAnsi="IRNazanin" w:eastAsia="IRNazanin"/>
          <w:color w:val="111111"/>
          <w:sz w:val="28"/>
          <w:sz w:val="28"/>
          <w:szCs w:val="28"/>
          <w:rtl w:val="true"/>
          <w:lang w:bidi="fa-IR"/>
        </w:rPr>
        <w:t> المبادرة إلی إتیانها مع الإمکان، ومع عدمه تجب</w:t>
      </w:r>
      <w:r>
        <w:rPr>
          <w:rStyle w:val="FootnoteAnchor"/>
          <w:rtl w:val="true"/>
        </w:rPr>
        <w:footnoteReference w:id="1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یکون الامتثال متوقّفاً علی الوصیّة، ویعلم الموصی بأنّ الوصیّ یقوم بالمهمّة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الوصیّة بها، سواء فاتت لعذر أم لا   لعذر؛ لوجوب تفریغ الذمّة بما أمکن فی حال الحیاة،وإن لم تجرِ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النیابة، فبعد الموت تجری فیها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التفریغ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 بالإیصاء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یجب</w:t>
      </w:r>
      <w:r>
        <w:rPr>
          <w:rStyle w:val="FootnoteAnchor"/>
          <w:rtl w:val="true"/>
        </w:rPr>
        <w:footnoteReference w:id="1814"/>
      </w:r>
      <w:r>
        <w:rPr>
          <w:rFonts w:ascii="Amiri" w:hAnsi="Amiri" w:eastAsia="Amiri" w:cs="Amiri"/>
          <w:color w:val="111111"/>
          <w:sz w:val="28"/>
          <w:sz w:val="28"/>
          <w:szCs w:val="28"/>
          <w:rtl w:val="true"/>
          <w:lang w:bidi="ar-SA"/>
        </w:rPr>
        <w:t> ردّ</w:t>
      </w:r>
      <w:r>
        <w:rPr>
          <w:rStyle w:val="FootnoteAnchor"/>
          <w:rtl w:val="true"/>
        </w:rPr>
        <w:footnoteReference w:id="1815"/>
      </w:r>
      <w:r>
        <w:rPr>
          <w:rFonts w:ascii="IRNazanin" w:hAnsi="IRNazanin" w:eastAsia="IRNazanin"/>
          <w:color w:val="111111"/>
          <w:sz w:val="28"/>
          <w:sz w:val="28"/>
          <w:szCs w:val="28"/>
          <w:rtl w:val="true"/>
          <w:lang w:bidi="fa-IR"/>
        </w:rPr>
        <w:t> أعیان</w:t>
      </w:r>
      <w:r>
        <w:rPr>
          <w:rStyle w:val="FootnoteAnchor"/>
          <w:rtl w:val="true"/>
        </w:rPr>
        <w:footnoteReference w:id="1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الوصیّة بها أو الإشهاد، کلّ ذلک مع عدم علم الورثة بها، أو عدم الاطمئنان بردّهم، وإلّا فالظاهر أنّه لا یجب شیء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     .     .     .     .     .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أموال الناس</w:t>
      </w:r>
      <w:r>
        <w:rPr>
          <w:rStyle w:val="FootnoteAnchor"/>
          <w:rtl w:val="true"/>
        </w:rPr>
        <w:footnoteReference w:id="1817"/>
      </w:r>
      <w:r>
        <w:rPr>
          <w:rFonts w:ascii="IRNazanin" w:hAnsi="IRNazanin" w:eastAsia="IRNazanin"/>
          <w:color w:val="111111"/>
          <w:sz w:val="28"/>
          <w:sz w:val="28"/>
          <w:szCs w:val="28"/>
          <w:rtl w:val="true"/>
          <w:lang w:bidi="fa-IR"/>
        </w:rPr>
        <w:t> الّتی کانت عنده، کالودیعة، والعاریة، ومال المضاربة، ونحوها، ومع عدم الإمکان تجب</w:t>
      </w:r>
      <w:r>
        <w:rPr>
          <w:rStyle w:val="FootnoteAnchor"/>
          <w:rtl w:val="true"/>
        </w:rPr>
        <w:footnoteReference w:id="1818"/>
      </w:r>
      <w:r>
        <w:rPr>
          <w:rFonts w:ascii="Amiri" w:hAnsi="Amiri" w:eastAsia="Amiri" w:cs="Amiri"/>
          <w:color w:val="111111"/>
          <w:sz w:val="28"/>
          <w:sz w:val="28"/>
          <w:szCs w:val="28"/>
          <w:rtl w:val="true"/>
          <w:lang w:bidi="ar-SA"/>
        </w:rPr>
        <w:t> الوصیّة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یجب</w:t>
      </w:r>
      <w:r>
        <w:rPr>
          <w:rStyle w:val="FootnoteAnchor"/>
          <w:rtl w:val="true"/>
        </w:rPr>
        <w:footnoteReference w:id="1819"/>
      </w:r>
      <w:r>
        <w:rPr>
          <w:rFonts w:ascii="IRNazanin" w:hAnsi="IRNazanin" w:eastAsia="IRNazanin"/>
          <w:color w:val="111111"/>
          <w:sz w:val="28"/>
          <w:sz w:val="28"/>
          <w:szCs w:val="28"/>
          <w:rtl w:val="true"/>
          <w:lang w:bidi="fa-IR"/>
        </w:rPr>
        <w:t> أداء دیون الناس</w:t>
      </w:r>
      <w:r>
        <w:rPr>
          <w:rStyle w:val="FootnoteAnchor"/>
          <w:rtl w:val="true"/>
        </w:rPr>
        <w:footnoteReference w:id="1820"/>
      </w:r>
      <w:r>
        <w:rPr>
          <w:rFonts w:ascii="Amiri" w:hAnsi="Amiri" w:eastAsia="Amiri" w:cs="Amiri"/>
          <w:color w:val="111111"/>
          <w:sz w:val="28"/>
          <w:sz w:val="28"/>
          <w:szCs w:val="28"/>
          <w:rtl w:val="true"/>
          <w:lang w:bidi="ar-SA"/>
        </w:rPr>
        <w:t> الحالّة</w:t>
      </w:r>
      <w:r>
        <w:rPr>
          <w:rStyle w:val="FootnoteAnchor"/>
          <w:rtl w:val="true"/>
        </w:rPr>
        <w:footnoteReference w:id="1821"/>
      </w:r>
      <w:r>
        <w:rPr>
          <w:rFonts w:ascii="IRNazanin" w:hAnsi="IRNazanin" w:eastAsia="IRNazanin"/>
          <w:color w:val="111111"/>
          <w:sz w:val="28"/>
          <w:sz w:val="28"/>
          <w:szCs w:val="28"/>
          <w:rtl w:val="true"/>
          <w:lang w:bidi="fa-IR"/>
        </w:rPr>
        <w:t>، ومع عدم الإمکان أو مع کونها موجّلةً تجب الوصیّة بها</w:t>
      </w:r>
      <w:r>
        <w:rPr>
          <w:rStyle w:val="FootnoteAnchor"/>
          <w:rtl w:val="true"/>
        </w:rPr>
        <w:footnoteReference w:id="1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الملاک فی مثل المورد هو لزوم فعل کلّ ما له دخل فی حصول الفراغ، بحیث یخاف من ترکه ذهاب الحقّ وتضییعه، فلا یکفی مجرّد الوصیّة فی تحقّق الموافقة،ولا مجرّد العلم فی عدم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کانت معلومة، أو موثّقة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بالأسناد المعتبرة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إذا کان علیه زکاة أو خمس أو نحو ذلک فإنّه یجب علیه أداوها أو 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ما ذکر بین ما لو کانت له ترکة، أوْ لا إذا احتمل </w:t>
      </w:r>
      <w:bookmarkStart w:id="1019" w:name="pg13286_154271"/>
    </w:p>
    <w:p>
      <w:pPr>
        <w:pStyle w:val="BookText"/>
        <w:rPr/>
      </w:pPr>
      <w:bookmarkEnd w:id="1019"/>
      <w:r>
        <w:rPr>
          <w:rFonts w:ascii="IRNazanin" w:hAnsi="IRNazanin" w:eastAsia="IRNazanin"/>
          <w:color w:val="111111"/>
          <w:sz w:val="28"/>
          <w:sz w:val="28"/>
          <w:szCs w:val="28"/>
          <w:rtl w:val="true"/>
          <w:lang w:bidi="fa-IR"/>
        </w:rPr>
        <w:t>وجود</w:t>
      </w:r>
      <w:r>
        <w:rPr>
          <w:rStyle w:val="FootnoteAnchor"/>
          <w:rtl w:val="true"/>
        </w:rPr>
        <w:footnoteReference w:id="1823"/>
      </w:r>
      <w:r>
        <w:rPr>
          <w:rFonts w:ascii="IRNazanin" w:hAnsi="IRNazanin" w:eastAsia="IRNazanin"/>
          <w:color w:val="111111"/>
          <w:sz w:val="28"/>
          <w:sz w:val="28"/>
          <w:szCs w:val="28"/>
          <w:rtl w:val="true"/>
          <w:lang w:bidi="fa-IR"/>
        </w:rPr>
        <w:t> متبرّع، أو أداءها من بیت المال</w:t>
      </w:r>
      <w:r>
        <w:rPr>
          <w:rFonts w:eastAsia="IRNazanin" w:cs="IRNazanin"/>
          <w:color w:val="111111"/>
          <w:sz w:val="28"/>
          <w:szCs w:val="28"/>
          <w:rtl w:val="true"/>
          <w:lang w:bidi="fa-IR"/>
        </w:rPr>
        <w:t>.</w:t>
      </w:r>
    </w:p>
    <w:p>
      <w:pPr>
        <w:pStyle w:val="Heading3"/>
        <w:numPr>
          <w:ilvl w:val="2"/>
          <w:numId w:val="1"/>
        </w:numPr>
        <w:rPr/>
      </w:pPr>
      <w:bookmarkStart w:id="1020" w:name="__RefHeading___Toc2139160_2322387425"/>
      <w:bookmarkStart w:id="1021" w:name="_Toc373"/>
      <w:bookmarkEnd w:id="1020"/>
      <w:r>
        <w:rPr>
          <w:rtl w:val="true"/>
        </w:rPr>
        <w:t>حکم ردّ الموصی له الوصیّة</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الموصی له للوصیّة مبطل</w:t>
      </w:r>
      <w:r>
        <w:rPr>
          <w:rStyle w:val="FootnoteAnchor"/>
          <w:rtl w:val="true"/>
        </w:rPr>
        <w:footnoteReference w:id="1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مقتضی القاعدة کون الوصیّة من الإیقاعات، فما أفاده فی هذه المسألة والمسائل الآتیة من دخل القبول فی الصحّة أو تأثیر الردّ فی إبطالها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حصول الملکیّة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مطلقاً، بل المسلّم مبطلیّته إذا وقع بعد الموت وقبل القبول، وأمّا الردّ قبل الموت فسیأتی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التعبیر بالمبطل یناسب القول باشتراط القبول فی الملک إمّا جزءاً للعقد، وإمّا دخیلاً فی الإیقاع، وأمّا علی القول بحصول الملکیّة بالموتوکون الردّ رافعاً فیناسب التعبیر بالفسخ دون المبطل، إلّا أن یُلتَزَم بأنّ الردّ بوجوده المتأخّر یمنع عن تأثیر الموت حین وقوعه، وهو فی غایة الإشکال، ولا یُلتَزَم بهفی غیر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کان بعد حصولها لا یکون مبطلاً لها؛ فعلی هذا إذا</w:t>
      </w:r>
    </w:p>
    <w:p>
      <w:pPr>
        <w:pStyle w:val="BookText"/>
        <w:rPr/>
      </w:pPr>
      <w:r>
        <w:rPr>
          <w:rFonts w:ascii="IRNazanin" w:hAnsi="IRNazanin" w:eastAsia="IRNazanin"/>
          <w:color w:val="111111"/>
          <w:sz w:val="28"/>
          <w:sz w:val="28"/>
          <w:szCs w:val="28"/>
          <w:rtl w:val="true"/>
          <w:lang w:bidi="fa-IR"/>
        </w:rPr>
        <w:t>کان الردّ منه بعد الموت وقبل القبول، أو بعد</w:t>
      </w:r>
      <w:r>
        <w:rPr>
          <w:rStyle w:val="FootnoteAnchor"/>
          <w:rtl w:val="true"/>
        </w:rPr>
        <w:footnoteReference w:id="1825"/>
      </w:r>
      <w:r>
        <w:rPr>
          <w:rFonts w:ascii="IRNazanin" w:hAnsi="IRNazanin" w:eastAsia="IRNazanin"/>
          <w:color w:val="111111"/>
          <w:sz w:val="28"/>
          <w:sz w:val="28"/>
          <w:szCs w:val="28"/>
          <w:rtl w:val="true"/>
          <w:lang w:bidi="fa-IR"/>
        </w:rPr>
        <w:t> القبول</w:t>
      </w:r>
      <w:r>
        <w:rPr>
          <w:rStyle w:val="FootnoteAnchor"/>
          <w:rtl w:val="true"/>
        </w:rPr>
        <w:footnoteReference w:id="18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مبطلیّة الردّ بعد القبول إشکال؛ للأصل بعد الفرق فی تأثیره فی الرفع والدفع،فلا یتوهّم حینئذٍ استصحاب آخر فی مانعیّة الردّ قبله،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خلاف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 حال حیاة المُوصِی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مبطلیّة الردّ إذا کان حال حیاة الموصِی وبعد القبول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کون الردّ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یکون مبطلاً لها؛ لعدم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حصول</w:t>
      </w:r>
      <w:r>
        <w:rPr>
          <w:rStyle w:val="FootnoteAnchor"/>
          <w:rtl w:val="true"/>
        </w:rPr>
        <w:footnoteReference w:id="1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الصورة الاُولی منافٍ لِما سبق منه من قوّة احتمال عدم اعتبارالقبول لحصول الملکیّة بموت الموصی قبل قبول الموصی له قهراً، وإن کان هوالأقوی لِما سبق منّا من اعتباره فی حصول ملکیّته، نعم، لو قیل بأنّ الردّ کاشف عنعدم الملکیّة بالموت یرتفع التنافی، 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فی الفرض الأوّل مبنیّ علی جعل الردّ کاشفاً عن عدم حصول الملکیّة،وإلّا فلا یُلائم مبناه المتقدّم من عدم اعتبار القبول فی تحقّق الملکیّة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یصحّ هذا فی الصورة الاُولی، أمّا فی الثانیة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ما استظهرنا من الاحتیاج إلی القبول فی حصول الملکیّة، وأمّا بناءًعلی ما احتمله قویّاً من عدم احتیاج حصول الملکیّة علی القبول فلا یستقیم فی الصورة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الصورة الثانیة، وکذلک فی الاُولی؛ بناءً علی اعتبار القبول ولو شرطاً، وأمّا علی ما احتمله سابقاً من عدم اعتباره أصلاً فالملکیّةحاصلة بمجرّد الموت، فاللازم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الالتزام بانحصار مبطلیّة الردّ بماإذا وقع قبل موت الموصی، أو عدم اختصاص مبطلیّته بکونه قبل حصول الملکیّة،وهو لا یقول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 الوصیّة من 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کان بعد الموت وبعد القبول لا یکون مبطلاً، سواء کان القبول بعد الموت أیضاً أم قبله</w:t>
      </w:r>
      <w:r>
        <w:rPr>
          <w:rStyle w:val="FootnoteAnchor"/>
          <w:rtl w:val="true"/>
        </w:rPr>
        <w:footnoteReference w:id="1828"/>
      </w:r>
      <w:r>
        <w:rPr>
          <w:rFonts w:ascii="IRNazanin" w:hAnsi="IRNazanin" w:eastAsia="IRNazanin"/>
          <w:color w:val="111111"/>
          <w:sz w:val="28"/>
          <w:sz w:val="28"/>
          <w:szCs w:val="28"/>
          <w:rtl w:val="true"/>
          <w:lang w:bidi="fa-IR"/>
        </w:rPr>
        <w:t>، وسواء کان قبل القبض أم بعده، بناءً علی الأقوی من عدم اشتراط القبض فی صحّتها؛ لعدم الدلیل علی اعتباره؛ وذلک لحصول الملکیّة حینئذٍ له فلا تزول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دلیل علی کون الوصیّة جائزةً بعد تمامیّتها بالنسبة إلی المُوصی له، کما أنّها جائزة بالنسبة إلی المُوصِی؛ حیث إنّه یجوز له الرجوع فی وصیّته، کما سیأتی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کلمات العلماء ـ حیث حکموا ببطلانها بالردّ ـ عدم صحّة القبول بعده</w:t>
      </w:r>
      <w:r>
        <w:rPr>
          <w:rStyle w:val="FootnoteAnchor"/>
          <w:rtl w:val="true"/>
        </w:rPr>
        <w:footnoteReference w:id="1829"/>
      </w:r>
      <w:r>
        <w:rPr>
          <w:rFonts w:ascii="IRNazanin" w:hAnsi="IRNazanin" w:eastAsia="IRNazanin"/>
          <w:color w:val="111111"/>
          <w:sz w:val="28"/>
          <w:sz w:val="28"/>
          <w:szCs w:val="28"/>
          <w:rtl w:val="true"/>
          <w:lang w:bidi="fa-IR"/>
        </w:rPr>
        <w:t xml:space="preserve">؛ لأنّه عندهم مبطل للإیجاب الصادر من المُوصِی، کما أنّ الأمر کذلک  فی سائر العقود؛ حیث إنّ الردّ بعد الإیجاب یبطله وإن رجع وقبل بلا </w:t>
      </w:r>
    </w:p>
    <w:p>
      <w:pPr>
        <w:pStyle w:val="BookText"/>
        <w:rPr/>
      </w:pPr>
      <w:r>
        <w:rPr>
          <w:rFonts w:ascii="IRNazanin" w:hAnsi="IRNazanin" w:eastAsia="IRNazanin"/>
          <w:color w:val="111111"/>
          <w:sz w:val="28"/>
          <w:sz w:val="28"/>
          <w:szCs w:val="28"/>
          <w:rtl w:val="true"/>
          <w:lang w:bidi="fa-IR"/>
        </w:rPr>
        <w:t>تأخیر</w:t>
      </w:r>
      <w:r>
        <w:rPr>
          <w:rStyle w:val="FootnoteAnchor"/>
          <w:rtl w:val="true"/>
        </w:rPr>
        <w:footnoteReference w:id="1830"/>
      </w:r>
      <w:r>
        <w:rPr>
          <w:rFonts w:ascii="IRNazanin" w:hAnsi="IRNazanin" w:eastAsia="IRNazanin"/>
          <w:color w:val="111111"/>
          <w:sz w:val="28"/>
          <w:sz w:val="28"/>
          <w:szCs w:val="28"/>
          <w:rtl w:val="true"/>
          <w:lang w:bidi="fa-IR"/>
        </w:rPr>
        <w:t>، وکما فی إجازة الفضولیّ حیث إنّها لا تصحّ بعد الردّ، لکن لا یخلو من إشکال</w:t>
      </w:r>
      <w:r>
        <w:rPr>
          <w:rStyle w:val="FootnoteAnchor"/>
          <w:rtl w:val="true"/>
        </w:rPr>
        <w:footnoteReference w:id="1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الموصِی باقیاً علی إیجابه الظاهر منه حال حیاته، نُسب إلی المشهورعدم تأثیر الردّ، بل یجوز له القبول بعد حیاته، وکیف کان لا یبعد الصحّة بعد الردّوإن قلنا بالبطلان فی الفضولیّ والإیجاب فی سائر العقود، ولا أظنّ تحقّقَ إجماعٍفی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الإشکال یُعطِی أنّهم حکموا بإبطال الردّ فی حال الحیاة أیضاً، مع أنّک عرفت أنّ المتیقّن بل الظاهر من کلماتهم اختصاصه بما بعد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المُوصِی باقیاً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هذه العبارة موهِم لکون المقصود حال حیاة الموصِی، مع أنّهم لم یحکمواببطلان الإیجاب بالردّ حال حیاة الموصی، کما مرّ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إیجابه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قبوله للإیجاب المستمرّ ردّاً لردّه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سائر 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أیضاً مشکل</w:t>
      </w:r>
      <w:r>
        <w:rPr>
          <w:rStyle w:val="FootnoteAnchor"/>
          <w:rtl w:val="true"/>
        </w:rPr>
        <w:footnoteReference w:id="1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سائر العقود، وفی إجازة الفضولیّ، وإنّما یختصّ الإشکال بما نحنفیه من جهة الإشکال فی کون القبول جزءاً للعقد، أو شرطاً خارجاً، بل قد مرّ سابقاً احتمال عدم کونه شرطاً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 أنّ الردّ مبطل فی الفضولیّ وفی سائر العقود أیضاً، إلّاأن یُنشئ إیجاباً جدیداً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الإبطال أیضاً فی سائر العقود وفی الفضولیّ ما لم یقم إجماع علی الإبطال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خصوصاً فی الفضولیّ؛ حیث إنّ 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صحّتها ولو بعد الردّ</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ودعوی عدم صدق المعاهدة عرفاً إذا کان القبول بعد الردّ ممنوعة</w:t>
      </w:r>
      <w:r>
        <w:rPr>
          <w:rStyle w:val="FootnoteAnchor"/>
          <w:rtl w:val="true"/>
        </w:rPr>
        <w:footnoteReference w:id="1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أنّ دعوی الجزم بصدق المعاهدة مع وقوع الردّ بین الإیجاب والقبول مشکلة، والحکم بالصحّة فی الوصیّة علی القول بها مبنیّ علی استدلالٍ ضعیفٍ منهم؛ بأنّ الردّ والقبول حال حیاة الموصِی لا أثر له،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بقاءالوصیّة بعد الردّ بمنزلة وصیّةٍ جدیدة، ولکنّه ممنوع، وإلّا فیمکن أن یقال بذلک فیسائر العقود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القبول بعد الردّ الواقع حال الحیاة صحّ، وهو أیضاً مشکل</w:t>
      </w:r>
      <w:r>
        <w:rPr>
          <w:rStyle w:val="FootnoteAnchor"/>
          <w:rtl w:val="true"/>
        </w:rPr>
        <w:footnoteReference w:id="18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لأنّ الردّ الّذی فی حال الحیاة مع عدم انصراف الموصی عن وصیّته وبقاءه علی حاله لا أثر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الإشکال مدفوع ببقاء الإیجاب مادام الموصی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الموجب باقیاً علی إیجابه، ولم یتحقّق منه انصراف، ولم تَفُتِ الموالاة، وإلّا فلا إشکال فی البطلان، ومنه یظهر بطلان القبول بعد الردّ الواقع بعد الموت؛ لعدم بقاء الموجب أصلاً، کما أنّه ظهر من الحاشیة السابقة عدم بطلانالقبول بعد الردّ مع وقوعهما حال الحیاة؛ لعدم کون الردّ حالها مبطلاً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ذکروه؛ من کونه مبطلاً للإیجاب؛ إذ لا فرق حینئذٍ</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2" w:name="pg13286_154284"/>
    </w:p>
    <w:p>
      <w:pPr>
        <w:pStyle w:val="BookText"/>
        <w:rPr/>
      </w:pPr>
      <w:bookmarkEnd w:id="1022"/>
      <w:r>
        <w:rPr>
          <w:rFonts w:ascii="IRNazanin" w:hAnsi="IRNazanin" w:eastAsia="IRNazanin"/>
          <w:color w:val="111111"/>
          <w:sz w:val="28"/>
          <w:sz w:val="28"/>
          <w:szCs w:val="28"/>
          <w:rtl w:val="true"/>
          <w:lang w:bidi="fa-IR"/>
        </w:rPr>
        <w:t>بین ما کان فی حال الحیاة أو بعد الموت، إلّا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الردّ والقبول لا أثر لهما حال الحیاة، وإنّ محلّهما إنّما هو بعد الموت، وهو محلّ منع</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2139162_2322387425"/>
      <w:bookmarkStart w:id="1024" w:name="_Toc374"/>
      <w:bookmarkEnd w:id="1023"/>
      <w:r>
        <w:rPr>
          <w:rtl w:val="true"/>
        </w:rPr>
        <w:t>قبول أحد شیئین أو بعض شیء من قبل الموصی له</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أوصی له بشیئَین بإیجابٍ واحدٍ فقبل الموصی له أحدهما دون الآخر صحّ</w:t>
      </w:r>
      <w:r>
        <w:rPr>
          <w:rStyle w:val="FootnoteAnchor"/>
          <w:rtl w:val="true"/>
        </w:rPr>
        <w:footnoteReference w:id="1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تکون الوحدة بحسب مقام الإثبات، وأمّا لو کانت الوصیّةواقعةً علی المجموع من حیث هو وقبل الموصَی له أحد الأمرین أو بعض المشاع لا تصحّ، بلا فرقٍ بین کون القبول جزءاً أو شرطاً؛ إذ المفروض أنّ موضوع الأثر لم یتحقّق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الانحلال، وهو غیر صافٍ عن شوب الإشکال، ولکنّ الأرجح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مشکل؛ لعدم تطابق القبول مع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وبطل فیما 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أوصی له بشیءٍ فقبل بعضه مشاعاً أو مفروزاً وردّ بعضه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لم نقل بصحّة مثل ذلک فی البیع ونحوه؛ بدعوی عدم التطابق حینئذٍ بین الإیجاب والقبول؛ لأنّ مقتضی</w:t>
      </w:r>
      <w:r>
        <w:rPr>
          <w:rStyle w:val="FootnoteAnchor"/>
          <w:rtl w:val="true"/>
        </w:rPr>
        <w:footnoteReference w:id="1837"/>
      </w:r>
      <w:r>
        <w:rPr>
          <w:rFonts w:ascii="Amiri" w:hAnsi="Amiri" w:eastAsia="Amiri" w:cs="Amiri"/>
          <w:color w:val="111111"/>
          <w:sz w:val="28"/>
          <w:sz w:val="28"/>
          <w:szCs w:val="28"/>
          <w:rtl w:val="true"/>
          <w:lang w:bidi="ar-SA"/>
        </w:rPr>
        <w:t> القاعدة</w:t>
      </w:r>
      <w:r>
        <w:rPr>
          <w:rStyle w:val="FootnoteAnchor"/>
          <w:rtl w:val="true"/>
        </w:rPr>
        <w:footnoteReference w:id="1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الصحّة فی الوصیّة مطلقاً، والبطلان فی البیع، إلّا إذا رجع إلیتعدّد الثمن والمثمَن، وانحلال العقد إلی عقدَین، کبیع دارَینِ مثلاً بعقدٍ واحدٍ بعدمعلومیّة کلٍّ منهما ثمناً ومثمَناً، فالقیاس مع الفارض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فی البیع البطلان، إلّا فی بعض الموارد، کما لو جمع بین اُمورٍمستقلّةٍ فی اللحاظ والقیمة فی إنشاءٍ واحد، وأمّا فی الوصیّة فالأقوی الصحّة، إلّافیما استثناه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الصحّة فی الوصیّة، والبطلان فی مثل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البطلان فی مثل البیع، خصوصاً فی الفرض الثانی، وعدم البطلان فی الوصیّة؛ لما عرفت من عدم اعتبار القبول فی تحقّقها، بل الردّ مانع عن حصول الملکیّة؛ لقیام الإجماع؛ وعلیه یمکن أن یقال بعدم البطلان حتّی فی الشیءأو البعض المردود؛ لأنّ القدر المتیقّن من مانعیّة الردّ هو ردّ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أیضاً إن لم یکن 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عدم التطابق</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ممنوعة</w:t>
      </w:r>
      <w:r>
        <w:rPr>
          <w:rStyle w:val="FootnoteAnchor"/>
          <w:rtl w:val="true"/>
        </w:rPr>
        <w:footnoteReference w:id="1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الدعوی المذکورة فی غیر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ممنوعیّتها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التطابق بین الإیجاب والقبول بحسب الظاهر واضح، إلّا أن یُدَّعی انحلال الإیجاب إلی إیجابَین، کالانحلال فی باب تبعّض الصفقة، وهو لیس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التطابق واضح، ومقتضی القاعدة البطلان، نعم، القول بکون الوصیّة إیقاعاً،وکون القبول شرطاً فی الموصَی به، أو کون الردّ رافعاً فمقتضی القاعدة صحّةالوصیّة، والتبعیض فی تحقّق الوصیّة واستقراره، 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لو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المُوصِی إرادته تملیک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 من حیث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یصحّ التبعیض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الصحّة غیر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5" w:name="pg13286_154287"/>
    </w:p>
    <w:p>
      <w:pPr>
        <w:pStyle w:val="Heading3"/>
        <w:numPr>
          <w:ilvl w:val="2"/>
          <w:numId w:val="1"/>
        </w:numPr>
        <w:rPr/>
      </w:pPr>
      <w:bookmarkStart w:id="1026" w:name="__RefHeading___Toc2139164_2322387425"/>
      <w:bookmarkStart w:id="1027" w:name="_Toc375"/>
      <w:bookmarkEnd w:id="1025"/>
      <w:bookmarkEnd w:id="1026"/>
      <w:r>
        <w:rPr>
          <w:rtl w:val="true"/>
        </w:rPr>
        <w:t>تصرّف الورثة فی العین الموصی بها</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1840"/>
      </w:r>
      <w:r>
        <w:rPr>
          <w:rFonts w:ascii="Amiri" w:hAnsi="Amiri" w:eastAsia="Amiri" w:cs="Amiri"/>
          <w:color w:val="111111"/>
          <w:sz w:val="28"/>
          <w:sz w:val="28"/>
          <w:szCs w:val="28"/>
          <w:rtl w:val="true"/>
          <w:lang w:bidi="ar-SA"/>
        </w:rPr>
        <w:t> للورثة</w:t>
      </w:r>
      <w:r>
        <w:rPr>
          <w:rStyle w:val="FootnoteAnchor"/>
          <w:rtl w:val="true"/>
        </w:rPr>
        <w:footnoteReference w:id="18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ما اختاره من عدم اعتبار القبول، وحصول الملک بالموت، وکون الردّمانعاً بناءً علی إرادة الرفع من المنع فواضح، وأمّا علی غیر هذا المبنی فالحکم مبنیّ علی الاحتیاط دون الإلزام؛ لعدم الملزِم، خصوصاً علی القول بکون الوصیّة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التصرّف فی العین المُوصی بها قبل أن یختار الموصی له أحد الأمرین من القبول أو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لهم إجباره علی اختیار أحدهما معجّلاً، إلّا إذا کان تأخیره</w:t>
      </w:r>
      <w:r>
        <w:rPr>
          <w:rStyle w:val="FootnoteAnchor"/>
          <w:rtl w:val="true"/>
        </w:rPr>
        <w:footnoteReference w:id="1842"/>
      </w:r>
      <w:r>
        <w:rPr>
          <w:rFonts w:ascii="IRNazanin" w:hAnsi="IRNazanin" w:eastAsia="IRNazanin"/>
          <w:color w:val="111111"/>
          <w:sz w:val="28"/>
          <w:sz w:val="28"/>
          <w:szCs w:val="28"/>
          <w:rtl w:val="true"/>
          <w:lang w:bidi="fa-IR"/>
        </w:rPr>
        <w:t>موجباً للضرر علیهم</w:t>
      </w:r>
      <w:r>
        <w:rPr>
          <w:rStyle w:val="FootnoteAnchor"/>
          <w:rtl w:val="true"/>
        </w:rPr>
        <w:footnoteReference w:id="1843"/>
      </w:r>
      <w:r>
        <w:rPr>
          <w:rFonts w:ascii="IRNazanin" w:hAnsi="IRNazanin" w:eastAsia="IRNazanin"/>
          <w:color w:val="111111"/>
          <w:sz w:val="28"/>
          <w:sz w:val="28"/>
          <w:szCs w:val="28"/>
          <w:rtl w:val="true"/>
          <w:lang w:bidi="fa-IR"/>
        </w:rPr>
        <w:t>، فیجبره</w:t>
      </w:r>
      <w:r>
        <w:rPr>
          <w:rStyle w:val="FootnoteAnchor"/>
          <w:rtl w:val="true"/>
        </w:rPr>
        <w:footnoteReference w:id="1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تضرّرهم فی التأخیر إن أمکن الإجبار، وإلّا فیتولّاه الحاکم بنفسه 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حینئذٍ علی</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8" w:name="pg13286_154288"/>
    </w:p>
    <w:p>
      <w:pPr>
        <w:pStyle w:val="BookText"/>
        <w:rPr/>
      </w:pPr>
      <w:bookmarkEnd w:id="1028"/>
      <w:r>
        <w:rPr>
          <w:rFonts w:ascii="IRNazanin" w:hAnsi="IRNazanin" w:eastAsia="IRNazanin"/>
          <w:color w:val="111111"/>
          <w:sz w:val="28"/>
          <w:sz w:val="28"/>
          <w:szCs w:val="28"/>
          <w:rtl w:val="true"/>
          <w:lang w:bidi="fa-IR"/>
        </w:rPr>
        <w:t>اختیار أحدهما</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2139166_2322387425"/>
      <w:bookmarkStart w:id="1030" w:name="_Toc376"/>
      <w:bookmarkEnd w:id="1029"/>
      <w:r>
        <w:rPr>
          <w:rtl w:val="true"/>
        </w:rPr>
        <w:t>موت الموصی له قبل القبول أو الردّ وقیام الوارث مقامه</w:t>
      </w:r>
      <w:bookmarkEnd w:id="1030"/>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الموصی له قبل القبول أو الردّ فالمشهور قیام وارثه</w:t>
      </w:r>
      <w:r>
        <w:rPr>
          <w:rStyle w:val="FootnoteAnchor"/>
          <w:rtl w:val="true"/>
        </w:rPr>
        <w:footnoteReference w:id="1846"/>
      </w:r>
      <w:r>
        <w:rPr>
          <w:rFonts w:ascii="IRNazanin" w:hAnsi="IRNazanin" w:eastAsia="IRNazanin"/>
          <w:color w:val="111111"/>
          <w:sz w:val="28"/>
          <w:sz w:val="28"/>
          <w:szCs w:val="28"/>
          <w:rtl w:val="true"/>
          <w:lang w:bidi="fa-IR"/>
        </w:rPr>
        <w:t> مقامه فی ذلک، فله القبول إذا لم یرجع الموصی عن وصیّته،من غیر فرقٍ بین کون موته فی حیاة الموصی أو بعد موته، وبین علم الموصی بموته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Style w:val="FootnoteAnchor"/>
          <w:rtl w:val="true"/>
        </w:rPr>
        <w:footnoteReference w:id="1847"/>
      </w:r>
      <w:r>
        <w:rPr>
          <w:rFonts w:ascii="IRNazanin" w:hAnsi="IRNazanin" w:eastAsia="IRNazanin"/>
          <w:color w:val="111111"/>
          <w:sz w:val="28"/>
          <w:sz w:val="28"/>
          <w:szCs w:val="28"/>
          <w:rtl w:val="true"/>
          <w:lang w:bidi="fa-IR"/>
        </w:rPr>
        <w:t> بالبطلان بموته قبل القبول</w:t>
      </w:r>
      <w:r>
        <w:rPr>
          <w:rStyle w:val="FootnoteAnchor"/>
          <w:rtl w:val="true"/>
        </w:rPr>
        <w:footnoteReference w:id="1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Style w:val="FootnoteAnchor"/>
          <w:rtl w:val="true"/>
        </w:rPr>
        <w:footnoteReference w:id="1849"/>
      </w:r>
      <w:r>
        <w:rPr>
          <w:rFonts w:ascii="IRNazanin" w:hAnsi="IRNazanin" w:eastAsia="IRNazanin"/>
          <w:color w:val="111111"/>
          <w:sz w:val="28"/>
          <w:sz w:val="28"/>
          <w:szCs w:val="28"/>
          <w:rtl w:val="true"/>
          <w:lang w:bidi="fa-IR"/>
        </w:rPr>
        <w:t>بالتفصیل بین ما إذا علم أنّ غرض الموصی خصوص الموصی له فتبطل، وبین غیره فلورثته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الأوّل</w:t>
      </w:r>
      <w:r>
        <w:rPr>
          <w:rStyle w:val="FootnoteAnchor"/>
          <w:rtl w:val="true"/>
        </w:rPr>
        <w:footnoteReference w:id="1850"/>
      </w:r>
      <w:r>
        <w:rPr>
          <w:rFonts w:ascii="IRNazanin" w:hAnsi="IRNazanin" w:eastAsia="IRNazanin"/>
          <w:color w:val="111111"/>
          <w:sz w:val="28"/>
          <w:sz w:val="28"/>
          <w:szCs w:val="28"/>
          <w:rtl w:val="true"/>
          <w:lang w:bidi="fa-IR"/>
        </w:rPr>
        <w:t> وإن کان علی خلاف</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القاعدة</w:t>
      </w:r>
      <w:r>
        <w:rPr>
          <w:rStyle w:val="FootnoteAnchor"/>
          <w:rtl w:val="true"/>
        </w:rPr>
        <w:footnoteReference w:id="18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علی وفقها؛ بناءً علی ما مرّ فی حقیقة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توافقه معها بناءً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 بناءً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اعتبار القبول فی صحّتها ـ لأنّ المفروض أنّ الإیجاب مختصّ بالموصی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وکون قبول الوارث بمنزلة قبوله ممنوع، کما أنّ دعوی انتقال حقّ القبول إلی الوارث أیضاً محلّ منع صغریً وکبریً؛ لمنع کونه حقّاً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 قابلاً للإسقاط والالتزام بکونه قابلاً للنقل بالإرث دون الإسقاط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ومنع کون کلّ حقٍّ منتقلاً إلی الوارث حتّی مثل ما نحن فیه من الحقّ الخاصّ به الّذی لا یصدق کونه من ترکته، وعلی ما قوّینا من</w:t>
      </w:r>
    </w:p>
    <w:p>
      <w:pPr>
        <w:pStyle w:val="BookText"/>
        <w:rPr/>
      </w:pPr>
      <w:r>
        <w:rPr>
          <w:rFonts w:ascii="IRNazanin" w:hAnsi="IRNazanin" w:eastAsia="IRNazanin"/>
          <w:color w:val="111111"/>
          <w:sz w:val="28"/>
          <w:sz w:val="28"/>
          <w:szCs w:val="28"/>
          <w:rtl w:val="true"/>
          <w:lang w:bidi="fa-IR"/>
        </w:rPr>
        <w:t>عدم اعتبار القبول فیها، بل کون الردّ مانعاً أیضاً یکون الحکم علی خلاف القاعدة فی خصوص صورة موته قبل موت الموصی له؛ لعدم ملکیّته فی حیاة الموصی ـ لکنّ الأقوی مع ذلک هو إطلاق الصحّة، کما هو المشهور؛ وذلک لصحیحة</w:t>
      </w:r>
      <w:r>
        <w:rPr>
          <w:rStyle w:val="FootnoteAnchor"/>
          <w:rtl w:val="true"/>
        </w:rPr>
        <w:footnoteReference w:id="1853"/>
      </w:r>
      <w:r>
        <w:rPr>
          <w:rFonts w:ascii="Amiri" w:hAnsi="Amiri" w:eastAsia="Amiri" w:cs="Amiri"/>
          <w:color w:val="111111"/>
          <w:sz w:val="28"/>
          <w:sz w:val="28"/>
          <w:szCs w:val="28"/>
          <w:rtl w:val="true"/>
          <w:lang w:bidi="ar-SA"/>
        </w:rPr>
        <w:t> محمّد بن قیس</w:t>
      </w:r>
      <w:r>
        <w:rPr>
          <w:rStyle w:val="FootnoteAnchor"/>
          <w:rtl w:val="true"/>
        </w:rPr>
        <w:footnoteReference w:id="1854"/>
      </w:r>
      <w:r>
        <w:rPr>
          <w:rFonts w:ascii="IRNazanin" w:hAnsi="IRNazanin" w:eastAsia="IRNazanin"/>
          <w:color w:val="111111"/>
          <w:sz w:val="28"/>
          <w:sz w:val="28"/>
          <w:szCs w:val="28"/>
          <w:rtl w:val="true"/>
          <w:lang w:bidi="fa-IR"/>
        </w:rPr>
        <w:t> الصریحة فی ذلک، حتّی فی صورة موته فی حیاة الموصی، المویَّدَة</w:t>
      </w:r>
      <w:r>
        <w:rPr>
          <w:rStyle w:val="FootnoteAnchor"/>
          <w:rtl w:val="true"/>
        </w:rPr>
        <w:footnoteReference w:id="1855"/>
      </w:r>
      <w:r>
        <w:rPr>
          <w:rFonts w:ascii="IRNazanin" w:hAnsi="IRNazanin" w:eastAsia="IRNazanin"/>
          <w:color w:val="111111"/>
          <w:sz w:val="28"/>
          <w:sz w:val="28"/>
          <w:szCs w:val="28"/>
          <w:rtl w:val="true"/>
          <w:lang w:bidi="fa-IR"/>
        </w:rPr>
        <w:t> بخبر الساباطیّ</w:t>
      </w:r>
      <w:r>
        <w:rPr>
          <w:rStyle w:val="FootnoteAnchor"/>
          <w:rtl w:val="true"/>
        </w:rPr>
        <w:footnoteReference w:id="1856"/>
      </w:r>
      <w:r>
        <w:rPr>
          <w:rFonts w:ascii="IRNazanin" w:hAnsi="IRNazanin" w:eastAsia="IRNazanin"/>
          <w:color w:val="111111"/>
          <w:sz w:val="28"/>
          <w:sz w:val="28"/>
          <w:szCs w:val="28"/>
          <w:rtl w:val="true"/>
          <w:lang w:bidi="fa-IR"/>
        </w:rPr>
        <w:t>وصحیح</w:t>
      </w:r>
      <w:r>
        <w:rPr>
          <w:rStyle w:val="FootnoteAnchor"/>
          <w:rtl w:val="true"/>
        </w:rPr>
        <w:footnoteReference w:id="1857"/>
      </w:r>
      <w:r>
        <w:rPr>
          <w:rFonts w:ascii="Amiri" w:hAnsi="Amiri" w:eastAsia="Amiri" w:cs="Amiri"/>
          <w:color w:val="111111"/>
          <w:sz w:val="28"/>
          <w:sz w:val="28"/>
          <w:szCs w:val="28"/>
          <w:rtl w:val="true"/>
          <w:lang w:bidi="ar-SA"/>
        </w:rPr>
        <w:t>المثنّی</w:t>
      </w:r>
      <w:r>
        <w:rPr>
          <w:rStyle w:val="FootnoteAnchor"/>
          <w:rtl w:val="true"/>
        </w:rPr>
        <w:footnoteReference w:id="1858"/>
      </w:r>
      <w:r>
        <w:rPr>
          <w:rFonts w:ascii="IRNazanin" w:hAnsi="IRNazanin" w:eastAsia="IRNazanin"/>
          <w:color w:val="111111"/>
          <w:sz w:val="28"/>
          <w:sz w:val="28"/>
          <w:szCs w:val="28"/>
          <w:rtl w:val="true"/>
          <w:lang w:bidi="fa-IR"/>
        </w:rPr>
        <w:t xml:space="preserve">، ولا  یعارضها صحیحتا محمّد بن مسلم </w:t>
      </w:r>
      <w:r>
        <w:rPr>
          <w:rStyle w:val="FootnoteAnchor"/>
          <w:rtl w:val="true"/>
        </w:rPr>
        <w:footnoteReference w:id="1859"/>
      </w:r>
      <w:r>
        <w:rPr>
          <w:rFonts w:ascii="IRNazanin" w:hAnsi="IRNazanin" w:eastAsia="IRNazanin"/>
          <w:color w:val="111111"/>
          <w:sz w:val="28"/>
          <w:sz w:val="28"/>
          <w:szCs w:val="28"/>
          <w:rtl w:val="true"/>
          <w:lang w:bidi="fa-IR"/>
        </w:rPr>
        <w:t>ومنصور</w:t>
      </w:r>
      <w:r>
        <w:rPr>
          <w:rStyle w:val="FootnoteAnchor"/>
          <w:rtl w:val="true"/>
        </w:rPr>
        <w:footnoteReference w:id="1860"/>
      </w:r>
      <w:r>
        <w:rPr>
          <w:rFonts w:ascii="IRNazanin" w:hAnsi="IRNazanin" w:eastAsia="IRNazanin"/>
          <w:color w:val="111111"/>
          <w:sz w:val="28"/>
          <w:sz w:val="28"/>
          <w:szCs w:val="28"/>
          <w:rtl w:val="true"/>
          <w:lang w:bidi="fa-IR"/>
        </w:rPr>
        <w:t>بن حازم</w:t>
      </w:r>
      <w:r>
        <w:rPr>
          <w:rStyle w:val="FootnoteAnchor"/>
          <w:rtl w:val="true"/>
        </w:rPr>
        <w:footnoteReference w:id="1861"/>
      </w:r>
      <w:r>
        <w:rPr>
          <w:rFonts w:ascii="IRNazanin" w:hAnsi="IRNazanin" w:eastAsia="IRNazanin"/>
          <w:color w:val="111111"/>
          <w:sz w:val="28"/>
          <w:sz w:val="28"/>
          <w:szCs w:val="28"/>
          <w:rtl w:val="true"/>
          <w:lang w:bidi="fa-IR"/>
        </w:rPr>
        <w:t>، بعد إعراض</w:t>
      </w:r>
      <w:r>
        <w:rPr>
          <w:rStyle w:val="FootnoteAnchor"/>
          <w:rtl w:val="true"/>
        </w:rPr>
        <w:footnoteReference w:id="1862"/>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1863"/>
      </w:r>
      <w:r>
        <w:rPr>
          <w:rFonts w:ascii="IRNazanin" w:hAnsi="IRNazanin" w:eastAsia="IRNazanin"/>
          <w:color w:val="111111"/>
          <w:sz w:val="28"/>
          <w:sz w:val="28"/>
          <w:szCs w:val="28"/>
          <w:rtl w:val="true"/>
          <w:lang w:bidi="fa-IR"/>
        </w:rPr>
        <w:t> عنهما، وإمکان حملهما</w:t>
      </w:r>
      <w:r>
        <w:rPr>
          <w:rStyle w:val="FootnoteAnchor"/>
          <w:rtl w:val="true"/>
        </w:rPr>
        <w:footnoteReference w:id="1864"/>
      </w:r>
      <w:r>
        <w:rPr>
          <w:rFonts w:ascii="IRNazanin" w:hAnsi="IRNazanin" w:eastAsia="IRNazanin"/>
          <w:color w:val="111111"/>
          <w:sz w:val="28"/>
          <w:sz w:val="28"/>
          <w:szCs w:val="28"/>
          <w:rtl w:val="true"/>
          <w:lang w:bidi="fa-IR"/>
        </w:rPr>
        <w:t> علی محامل منها التقیّة؛ لأنّ المعروف بینهم عدم الصحّة، نعم، یمکن دعوی انصراف</w:t>
      </w:r>
      <w:r>
        <w:rPr>
          <w:rStyle w:val="FootnoteAnchor"/>
          <w:rtl w:val="true"/>
        </w:rPr>
        <w:footnoteReference w:id="1865"/>
      </w:r>
      <w:r>
        <w:rPr>
          <w:rFonts w:ascii="IRNazanin" w:hAnsi="IRNazanin" w:eastAsia="IRNazanin"/>
          <w:color w:val="111111"/>
          <w:sz w:val="28"/>
          <w:sz w:val="28"/>
          <w:szCs w:val="28"/>
          <w:rtl w:val="true"/>
          <w:lang w:bidi="fa-IR"/>
        </w:rPr>
        <w:t> الصحیحة عمّا إذا علم کون غرض الموصی خصوص شخص الموصی له علی وجه التقیید</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الخلاف غیر هذه الصورة، لکنّ الانصراف</w:t>
      </w:r>
      <w:r>
        <w:rPr>
          <w:rStyle w:val="FootnoteAnchor"/>
          <w:rtl w:val="true"/>
        </w:rPr>
        <w:footnoteReference w:id="1867"/>
      </w:r>
      <w:r>
        <w:rPr>
          <w:rFonts w:ascii="IRNazanin" w:hAnsi="IRNazanin" w:eastAsia="IRNazanin"/>
          <w:color w:val="111111"/>
          <w:sz w:val="28"/>
          <w:sz w:val="28"/>
          <w:szCs w:val="28"/>
          <w:rtl w:val="true"/>
          <w:lang w:bidi="fa-IR"/>
        </w:rPr>
        <w:t>ممنوع</w:t>
      </w:r>
      <w:r>
        <w:rPr>
          <w:rStyle w:val="FootnoteAnchor"/>
          <w:rtl w:val="true"/>
        </w:rPr>
        <w:footnoteReference w:id="1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تقیّد الوصیّة بحیاة الموصی له،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قیّد الوصیّة بحیاة الموصی له بعد موت الموصی أو بما یلازمه فاللازم البطلان فی المقام؛ للروایة، وللاعتبار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 فرضه یختصّ الإشکال بما إذا کان موته قبل موت</w:t>
      </w:r>
      <w:bookmarkStart w:id="1031" w:name="pg13286_154292"/>
    </w:p>
    <w:p>
      <w:pPr>
        <w:pStyle w:val="BookText"/>
        <w:rPr/>
      </w:pPr>
      <w:bookmarkEnd w:id="1031"/>
      <w:r>
        <w:rPr>
          <w:rFonts w:ascii="IRNazanin" w:hAnsi="IRNazanin" w:eastAsia="IRNazanin"/>
          <w:color w:val="111111"/>
          <w:sz w:val="28"/>
          <w:sz w:val="28"/>
          <w:szCs w:val="28"/>
          <w:rtl w:val="true"/>
          <w:lang w:bidi="fa-IR"/>
        </w:rPr>
        <w:t>الموصی، وإلّا فبناءً علی عدم اعتبار القبول بموت الموصی صار مالکاً بعد فرض عدم ردّه، فینتقل إلی ورثته</w:t>
      </w:r>
      <w:r>
        <w:rPr>
          <w:rFonts w:eastAsia="IRNazanin" w:cs="IRNazanin"/>
          <w:color w:val="111111"/>
          <w:sz w:val="28"/>
          <w:szCs w:val="28"/>
          <w:rtl w:val="true"/>
          <w:lang w:bidi="fa-IR"/>
        </w:rPr>
        <w:t>.</w:t>
      </w:r>
    </w:p>
    <w:p>
      <w:pPr>
        <w:pStyle w:val="Heading3"/>
        <w:numPr>
          <w:ilvl w:val="2"/>
          <w:numId w:val="1"/>
        </w:numPr>
        <w:rPr/>
      </w:pPr>
      <w:bookmarkStart w:id="1032" w:name="__RefHeading___Toc2139168_2322387425"/>
      <w:bookmarkStart w:id="1033" w:name="_Toc377"/>
      <w:bookmarkEnd w:id="1032"/>
      <w:r>
        <w:rPr>
          <w:rtl w:val="true"/>
        </w:rPr>
        <w:t>فروع فی مسألة موت الموصی له</w:t>
      </w:r>
      <w:bookmarkEnd w:id="1033"/>
    </w:p>
    <w:p>
      <w:pPr>
        <w:pStyle w:val="Heading4"/>
        <w:numPr>
          <w:ilvl w:val="3"/>
          <w:numId w:val="1"/>
        </w:numPr>
        <w:rPr/>
      </w:pPr>
      <w:bookmarkStart w:id="1034" w:name="__RefHeading___Toc2139170_2322387425"/>
      <w:bookmarkStart w:id="1035" w:name="_Toc378"/>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بقی هنا اُمور</w:t>
      </w:r>
      <w:r>
        <w:rPr>
          <w:rStyle w:val="FootnoteAnchor"/>
          <w:rtl w:val="true"/>
        </w:rPr>
        <w:footnoteReference w:id="1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الالتزام بالبطلان لا یبقی مجال لهذه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p>
    <w:p>
      <w:pPr>
        <w:pStyle w:val="Heading4"/>
        <w:numPr>
          <w:ilvl w:val="3"/>
          <w:numId w:val="1"/>
        </w:numPr>
        <w:rPr/>
      </w:pPr>
      <w:bookmarkStart w:id="1036" w:name="__RefHeading___Toc2139172_2322387425"/>
      <w:bookmarkStart w:id="1037" w:name="_Toc379"/>
      <w:bookmarkEnd w:id="1036"/>
      <w:r>
        <w:rPr>
          <w:rtl w:val="true"/>
        </w:rPr>
        <w:t>الأوّل</w:t>
      </w:r>
      <w:r>
        <w:rPr>
          <w:rtl w:val="true"/>
        </w:rPr>
        <w:t xml:space="preserve">: </w:t>
      </w:r>
      <w:r>
        <w:rPr>
          <w:rtl w:val="true"/>
        </w:rPr>
        <w:t>هل الحکم یشمل ورثة الوارث؟</w:t>
      </w:r>
      <w:bookmarkEnd w:id="1037"/>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یشمل</w:t>
      </w:r>
      <w:r>
        <w:rPr>
          <w:rStyle w:val="FootnoteAnchor"/>
          <w:rtl w:val="true"/>
        </w:rPr>
        <w:footnoteReference w:id="1870"/>
      </w:r>
      <w:r>
        <w:rPr>
          <w:rFonts w:ascii="IRNazanin" w:hAnsi="IRNazanin" w:eastAsia="IRNazanin"/>
          <w:color w:val="111111"/>
          <w:sz w:val="28"/>
          <w:sz w:val="28"/>
          <w:szCs w:val="28"/>
          <w:rtl w:val="true"/>
          <w:lang w:bidi="fa-IR"/>
        </w:rPr>
        <w:t> ورثة الوارث، کما إذا مات الموصی له قبل القبول ومات وارثه أیضاً قبل القبول، فهل الوصیّة لوارث الوارث، أوْ لا؟</w:t>
      </w:r>
    </w:p>
    <w:p>
      <w:pPr>
        <w:pStyle w:val="BookText"/>
        <w:rPr/>
      </w:pPr>
      <w:r>
        <w:rPr>
          <w:rFonts w:ascii="IRNazanin" w:hAnsi="IRNazanin" w:eastAsia="IRNazanin"/>
          <w:color w:val="111111"/>
          <w:sz w:val="28"/>
          <w:sz w:val="28"/>
          <w:szCs w:val="28"/>
          <w:rtl w:val="true"/>
          <w:lang w:bidi="fa-IR"/>
        </w:rPr>
        <w:t>وجوه</w:t>
      </w:r>
      <w:r>
        <w:rPr>
          <w:rStyle w:val="FootnoteAnchor"/>
          <w:rtl w:val="true"/>
        </w:rPr>
        <w:footnoteReference w:id="18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ابتناء بعضها علی الوجهَین الآتیَین فی الأمر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الفانی،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علی کونه حقّاً للوارث ومتروکاً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علی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bookmarkStart w:id="1038" w:name="pg13286_154293"/>
    </w:p>
    <w:p>
      <w:pPr>
        <w:pStyle w:val="BookText"/>
        <w:rPr/>
      </w:pPr>
      <w:bookmarkEnd w:id="1038"/>
      <w:r>
        <w:rPr>
          <w:rFonts w:ascii="IRNazanin" w:hAnsi="IRNazanin" w:eastAsia="IRNazanin"/>
          <w:color w:val="111111"/>
          <w:sz w:val="28"/>
          <w:sz w:val="28"/>
          <w:szCs w:val="28"/>
          <w:rtl w:val="true"/>
          <w:lang w:bidi="fa-IR"/>
        </w:rPr>
        <w:t>وعدمه</w:t>
      </w:r>
      <w:r>
        <w:rPr>
          <w:rStyle w:val="FootnoteAnchor"/>
          <w:rtl w:val="true"/>
        </w:rPr>
        <w:footnoteReference w:id="1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الأوّل، بل لا وجه لغیره إذا کان موت الموصی له بعد موت الموصی، علیما مرّ من عدم اعتبار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لکون الحکم علی خلاف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والابتناء علی کون مدرک  الحکم انتقال حقّ القبول فتشمل، وکونه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2139174_2322387425"/>
      <w:bookmarkStart w:id="1040" w:name="_Toc380"/>
      <w:bookmarkEnd w:id="1039"/>
      <w:r>
        <w:rPr>
          <w:rtl w:val="true"/>
        </w:rPr>
        <w:t>الثانی</w:t>
      </w:r>
      <w:r>
        <w:rPr>
          <w:rtl w:val="true"/>
        </w:rPr>
        <w:t xml:space="preserve">: </w:t>
      </w:r>
      <w:r>
        <w:rPr>
          <w:rtl w:val="true"/>
        </w:rPr>
        <w:t>قبول بعض الورثة وردّ بعضهم</w:t>
      </w:r>
      <w:bookmarkEnd w:id="104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بعض الورثة وردّ بعضهم، فهل تبطل</w:t>
      </w:r>
      <w:r>
        <w:rPr>
          <w:rStyle w:val="FootnoteAnchor"/>
          <w:rtl w:val="true"/>
        </w:rPr>
        <w:footnoteReference w:id="1873"/>
      </w:r>
      <w:r>
        <w:rPr>
          <w:rFonts w:ascii="IRNazanin" w:hAnsi="IRNazanin" w:eastAsia="IRNazanin"/>
          <w:color w:val="111111"/>
          <w:sz w:val="28"/>
          <w:sz w:val="28"/>
          <w:szCs w:val="28"/>
          <w:rtl w:val="true"/>
          <w:lang w:bidi="fa-IR"/>
        </w:rPr>
        <w:t>، أو تصحّ ویرث</w:t>
      </w:r>
      <w:r>
        <w:rPr>
          <w:rStyle w:val="FootnoteAnchor"/>
          <w:rtl w:val="true"/>
        </w:rPr>
        <w:footnoteReference w:id="1874"/>
      </w:r>
      <w:r>
        <w:rPr>
          <w:rFonts w:ascii="Amiri" w:hAnsi="Amiri" w:eastAsia="Amiri" w:cs="Amiri"/>
          <w:color w:val="111111"/>
          <w:sz w:val="28"/>
          <w:sz w:val="28"/>
          <w:szCs w:val="28"/>
          <w:rtl w:val="true"/>
          <w:lang w:bidi="ar-SA"/>
        </w:rPr>
        <w:t>الرادّ أیضاً مقدار حصّته، أو تصحّ بمقدار</w:t>
      </w:r>
      <w:r>
        <w:rPr>
          <w:rStyle w:val="FootnoteAnchor"/>
          <w:rtl w:val="true"/>
        </w:rPr>
        <w:footnoteReference w:id="1875"/>
      </w:r>
      <w:r>
        <w:rPr>
          <w:rFonts w:ascii="Amiri" w:hAnsi="Amiri" w:eastAsia="Amiri" w:cs="Amiri"/>
          <w:color w:val="111111"/>
          <w:sz w:val="28"/>
          <w:sz w:val="28"/>
          <w:szCs w:val="28"/>
          <w:rtl w:val="true"/>
          <w:lang w:bidi="ar-SA"/>
        </w:rPr>
        <w:t> حصّة القابل فقط، أو تصحّ  وتمامه</w:t>
      </w:r>
      <w:r>
        <w:rPr>
          <w:rStyle w:val="FootnoteAnchor"/>
          <w:rtl w:val="true"/>
        </w:rPr>
        <w:footnoteReference w:id="1876"/>
      </w:r>
      <w:r>
        <w:rPr>
          <w:rFonts w:ascii="IRNazanin" w:hAnsi="IRNazanin" w:eastAsia="IRNazanin"/>
          <w:color w:val="111111"/>
          <w:sz w:val="28"/>
          <w:sz w:val="28"/>
          <w:szCs w:val="28"/>
          <w:rtl w:val="true"/>
          <w:lang w:bidi="fa-IR"/>
        </w:rPr>
        <w:t xml:space="preserve"> للقابل، أو التفصیل بین کون موته قبل موت الموصی فتبطل، أو </w:t>
      </w:r>
      <w:bookmarkStart w:id="1041" w:name="pg13286_154294"/>
    </w:p>
    <w:p>
      <w:pPr>
        <w:pStyle w:val="BookText"/>
        <w:rPr/>
      </w:pPr>
      <w:bookmarkEnd w:id="1041"/>
      <w:r>
        <w:rPr>
          <w:rFonts w:ascii="IRNazanin" w:hAnsi="IRNazanin" w:eastAsia="IRNazanin"/>
          <w:color w:val="111111"/>
          <w:sz w:val="28"/>
          <w:sz w:val="28"/>
          <w:szCs w:val="28"/>
          <w:rtl w:val="true"/>
          <w:lang w:bidi="fa-IR"/>
        </w:rPr>
        <w:t>بعده فتصحّ بالنسبة إلی مقدار حصّة القابل؟ وجوه</w:t>
      </w:r>
      <w:r>
        <w:rPr>
          <w:rStyle w:val="FootnoteAnchor"/>
          <w:rtl w:val="true"/>
        </w:rPr>
        <w:footnoteReference w:id="1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عبدالهادی الشیرازی، البروجردی، عبدالله الشیرازی،الخمینی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أصحّها أنّها تصحّ بمقدار حصّة القابل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 أقواها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 أظهر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موت الموصی قبل الموصی له فلا ریب فی تعیّن الوجه الثانی علی ما مرّ،وأمّا إذا انعکس الأمر فعلی القول باشتراط تملّک الوارث بعدم ردّه فالمتعیّن هوالثالث، وأمّا علی ما قوّیناه من أنّه لا أثر للردّ فیتعیّن الوجه الثانی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مات الموصی له بعد موت الموصی فالأقوی هو الوجه الثانی، وإن مات قبله فالأقوی أنّها تصحّ بمقدار حصّة القابل وهو یرث، وفی إرث الرادّ بمقدار حصّته تأمّل، والأحوط 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مات الموصی قبل الموصی له تعیّن الوجه الثانی، وإن کان بعده فعلی القول بأنّ تملّک الوارث یتوقّف علی عدم الردّ، وإن کان لا یخلو من إشکال تَعَیُّنُ 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الصحّة فی خصوص مقدار حصّة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2139176_2322387425"/>
      <w:bookmarkStart w:id="1043" w:name="_Toc381"/>
      <w:bookmarkEnd w:id="1042"/>
      <w:r>
        <w:rPr>
          <w:rtl w:val="true"/>
        </w:rPr>
        <w:t>الثالث</w:t>
      </w:r>
      <w:r>
        <w:rPr>
          <w:rtl w:val="true"/>
        </w:rPr>
        <w:t xml:space="preserve">: </w:t>
      </w:r>
      <w:r>
        <w:rPr>
          <w:rtl w:val="true"/>
        </w:rPr>
        <w:t>الوجه فی انتقال الموصی به إلی وارث الموصی له</w:t>
      </w:r>
      <w:bookmarkEnd w:id="104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1878"/>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ینتقل الموصی به بقبول الوارث إلی </w:t>
      </w:r>
    </w:p>
    <w:p>
      <w:pPr>
        <w:pStyle w:val="BookText"/>
        <w:rPr/>
      </w:pPr>
      <w:r>
        <w:rPr>
          <w:rFonts w:ascii="Amiri" w:hAnsi="Amiri" w:eastAsia="Amiri" w:cs="Amiri"/>
          <w:color w:val="111111"/>
          <w:sz w:val="28"/>
          <w:sz w:val="28"/>
          <w:szCs w:val="28"/>
          <w:rtl w:val="true"/>
          <w:lang w:bidi="ar-SA"/>
        </w:rPr>
        <w:t>المیّت</w:t>
      </w:r>
      <w:r>
        <w:rPr>
          <w:rStyle w:val="FootnoteAnchor"/>
          <w:rtl w:val="true"/>
        </w:rPr>
        <w:footnoteReference w:id="1879"/>
      </w:r>
      <w:r>
        <w:rPr>
          <w:rFonts w:ascii="IRNazanin" w:hAnsi="IRNazanin" w:eastAsia="IRNazanin"/>
          <w:color w:val="111111"/>
          <w:sz w:val="28"/>
          <w:sz w:val="28"/>
          <w:szCs w:val="28"/>
          <w:rtl w:val="true"/>
          <w:lang w:bidi="fa-IR"/>
        </w:rPr>
        <w:t> ثمّ إلیه، أو إلیه ابتداءً</w:t>
      </w:r>
      <w:r>
        <w:rPr>
          <w:rStyle w:val="FootnoteAnchor"/>
          <w:rtl w:val="true"/>
        </w:rPr>
        <w:footnoteReference w:id="1880"/>
      </w:r>
      <w:r>
        <w:rPr>
          <w:rFonts w:ascii="IRNazanin" w:hAnsi="IRNazanin" w:eastAsia="IRNazanin"/>
          <w:color w:val="111111"/>
          <w:sz w:val="28"/>
          <w:sz w:val="28"/>
          <w:szCs w:val="28"/>
          <w:rtl w:val="true"/>
          <w:lang w:bidi="fa-IR"/>
        </w:rPr>
        <w:t> من الموصی؟ وجهان</w:t>
      </w:r>
      <w:r>
        <w:rPr>
          <w:rStyle w:val="FootnoteAnchor"/>
          <w:rtl w:val="true"/>
        </w:rPr>
        <w:footnoteReference w:id="1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مات الموصی له قبل موت الموصی، وإلّا فلا إشکال فی انتقال المال من الموصی له إلی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أوجههما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القسمة بین الورثة علی حسب قسمة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کانت القسمة بین الورثة مع التعدّد علی حسب قسمة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ظاهر النصّ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یقسّم الموصی به مع تعدّد الوارث علی حسب قسمة المواریث، ولا ینافی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أضفناه لاقتضاء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الانتقال إلی الوارث ابتداءً؛ لکونه بتوسیط وراثتهم عن الموصی له حقّ تملّک الموصی به بالقبول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بوراثتهم عن الموصی له حقّ تملّک الموصی به بالقبول، ولذا یقسم بینهم مع التعدّد علی حسب قسمة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قلنا بتوقّف حصول الملکیّة علی القبول وموت الموصی، فلو مات الموصی له قبل موت الموصی وقبل أن یقبل فما صار مالکاً حتّی ینتقل منه إلیالوارث، وتقدیر الملکیّة له آناً ما یحتاج إلی وجهٍ مفقودٍ فی المقام، وأمّا لو لم نقل بتوقّفها علی القبول ومات الموصی له بعد موت الموصی فالمتعیّن هو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مات الموصی له قبل الموصی، وأمّا فی عکسه فینتقل إلی الوارث من الموصی له، وکانت القسمة بین الورثة مع التعدّد علی التقدیرین علی حسب قسمة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القسمة بین الورثة مع التعدّد علی حسب قسمة المواریث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مات الموصی له قبل الموصی، وأمّا فی عکسه فالمال ینتقل إلی الوارث من الموصی له،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ظاهر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حالٍ یقسّم بینهم مع التعدّد بطریق قسمة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الأوّل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موت الموصی له بعد موت الموصی، فبناءً علی ما هو الحقّ من عدم اعتبار القبول فی الوصیّة فلا إشکال فی انتقال الموصی به إلی الموصی له، ثمّ إلیوارثه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علی النحو الّذی یکون الموصی له غیر دخیلٍ أصلاً، بل علی النحو الّذی ذکرنا من انتقال الحقّ المتعلّق بالموصی به منه إلیه، وهو الوجه لصحّة قبوله؛ ولکون التقسیم علی حسب الإرث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وربّما یُبنی علی کون القبول کاشفاً أو ناقلاً، فعلی الثانی الثانی،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4" w:name="pg13286_154297"/>
      <w:bookmarkStart w:id="1045" w:name="pg13286_154297"/>
      <w:bookmarkEnd w:id="1045"/>
    </w:p>
    <w:p>
      <w:pPr>
        <w:pStyle w:val="BookText"/>
        <w:rPr/>
      </w:pPr>
      <w:bookmarkStart w:id="1046" w:name="pg13286_154297"/>
      <w:bookmarkEnd w:id="1046"/>
      <w:r>
        <w:rPr>
          <w:rFonts w:ascii="Amiri" w:hAnsi="Amiri" w:eastAsia="Amiri" w:cs="Amiri"/>
          <w:color w:val="111111"/>
          <w:sz w:val="28"/>
          <w:sz w:val="28"/>
          <w:szCs w:val="28"/>
          <w:rtl w:val="true"/>
          <w:lang w:bidi="ar-SA"/>
        </w:rPr>
        <w:t>وعلی الأوّل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الثانی أیضاً یمکن أن یقال بانتقاله إلی المیّت</w:t>
      </w:r>
      <w:r>
        <w:rPr>
          <w:rStyle w:val="FootnoteAnchor"/>
          <w:rtl w:val="true"/>
        </w:rPr>
        <w:footnoteReference w:id="1882"/>
      </w:r>
      <w:r>
        <w:rPr>
          <w:rFonts w:ascii="IRNazanin" w:hAnsi="IRNazanin" w:eastAsia="IRNazanin"/>
          <w:color w:val="111111"/>
          <w:sz w:val="28"/>
          <w:sz w:val="28"/>
          <w:szCs w:val="28"/>
          <w:rtl w:val="true"/>
          <w:lang w:bidi="fa-IR"/>
        </w:rPr>
        <w:t> آناً مّا، ثمّ إلی وارثه، بل علی الأوّل یمکن أن یقال بکشف قبوله عن الانتقال إلیه من حین موت الموصی؛ لأنّه کأنّه هو القابل</w:t>
      </w:r>
      <w:r>
        <w:rPr>
          <w:rStyle w:val="FootnoteAnchor"/>
          <w:rtl w:val="true"/>
        </w:rPr>
        <w:footnoteReference w:id="1883"/>
      </w:r>
      <w:r>
        <w:rPr>
          <w:rFonts w:ascii="IRNazanin" w:hAnsi="IRNazanin" w:eastAsia="IRNazanin"/>
          <w:color w:val="111111"/>
          <w:sz w:val="28"/>
          <w:sz w:val="28"/>
          <w:szCs w:val="28"/>
          <w:rtl w:val="true"/>
          <w:lang w:bidi="fa-IR"/>
        </w:rPr>
        <w:t> فیکون منتقلاً إلیه من الأوّل</w:t>
      </w:r>
      <w:r>
        <w:rPr>
          <w:rFonts w:eastAsia="IRNazanin" w:cs="IRNazanin"/>
          <w:color w:val="111111"/>
          <w:sz w:val="28"/>
          <w:szCs w:val="28"/>
          <w:rtl w:val="true"/>
          <w:lang w:bidi="fa-IR"/>
        </w:rPr>
        <w:t>.</w:t>
      </w:r>
    </w:p>
    <w:p>
      <w:pPr>
        <w:pStyle w:val="Heading4"/>
        <w:numPr>
          <w:ilvl w:val="3"/>
          <w:numId w:val="1"/>
        </w:numPr>
        <w:rPr/>
      </w:pPr>
      <w:bookmarkStart w:id="1047" w:name="__RefHeading___Toc2139178_2322387425"/>
      <w:bookmarkStart w:id="1048" w:name="_Toc382"/>
      <w:bookmarkEnd w:id="1047"/>
      <w:r>
        <w:rPr>
          <w:rtl w:val="true"/>
        </w:rPr>
        <w:t>الرابع</w:t>
      </w:r>
      <w:r>
        <w:rPr>
          <w:rtl w:val="true"/>
        </w:rPr>
        <w:t xml:space="preserve">: </w:t>
      </w:r>
      <w:r>
        <w:rPr>
          <w:rtl w:val="true"/>
        </w:rPr>
        <w:t>المدار فی الوارث</w:t>
      </w:r>
      <w:bookmarkEnd w:id="1048"/>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المدار علی الوارث</w:t>
      </w:r>
      <w:r>
        <w:rPr>
          <w:rStyle w:val="FootnoteAnchor"/>
          <w:rtl w:val="true"/>
        </w:rPr>
        <w:footnoteReference w:id="1884"/>
      </w:r>
      <w:r>
        <w:rPr>
          <w:rFonts w:ascii="IRNazanin" w:hAnsi="IRNazanin" w:eastAsia="IRNazanin"/>
          <w:color w:val="111111"/>
          <w:sz w:val="28"/>
          <w:sz w:val="28"/>
          <w:szCs w:val="28"/>
          <w:rtl w:val="true"/>
          <w:lang w:bidi="fa-IR"/>
        </w:rPr>
        <w:t> حین موت الموصی له إذا کان قبل موت الموصی، أو الوارث حین موت الموصی، أو البناء علی کون القبول من الوارث موجباً للانتقال إلی المیّت ثمّ إلیه، أو کونه موجباً للانتقال إلیه أوّلاً من الموصی، فعلی الأوّل الأوّل، وعلی الثانی الثانی؟ وجوه</w:t>
      </w:r>
      <w:r>
        <w:rPr>
          <w:rStyle w:val="FootnoteAnchor"/>
          <w:rtl w:val="true"/>
        </w:rPr>
        <w:footnoteReference w:id="1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أنّ المدار علی الوارث حین موت الموصی، والصلح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الأخبار الّتی تدلّ علی قیام الوارث مقام الموصی 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وارثاً حین موت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أقواها اُولاها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الأوّل؛ لِمَا ذکرنا فی الحاشیة السابقة من انتقال الموصی به إلی الموصی له، ثمّ إلی ورثته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المرعشی،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الخبر ظاهراً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أجودها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أقربها الأوّل؛ لظاهر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49" w:name="pg13286_154298"/>
    </w:p>
    <w:p>
      <w:pPr>
        <w:pStyle w:val="Heading4"/>
        <w:numPr>
          <w:ilvl w:val="3"/>
          <w:numId w:val="1"/>
        </w:numPr>
        <w:rPr/>
      </w:pPr>
      <w:bookmarkStart w:id="1050" w:name="__RefHeading___Toc2139180_2322387425"/>
      <w:bookmarkStart w:id="1051" w:name="_Toc383"/>
      <w:bookmarkEnd w:id="1049"/>
      <w:bookmarkEnd w:id="1050"/>
      <w:r>
        <w:rPr>
          <w:rtl w:val="true"/>
        </w:rPr>
        <w:t>الخامس</w:t>
      </w:r>
      <w:r>
        <w:rPr>
          <w:rtl w:val="true"/>
        </w:rPr>
        <w:t xml:space="preserve">: </w:t>
      </w:r>
      <w:r>
        <w:rPr>
          <w:rtl w:val="true"/>
        </w:rPr>
        <w:t>هل ترث الزوجة الأرض الموصی بها لزوجها لو مات قبل القبول؟</w:t>
      </w:r>
      <w:bookmarkEnd w:id="1051"/>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1886"/>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له بأرضٍ فمات قبل القبول فهل ترث</w:t>
      </w:r>
    </w:p>
    <w:p>
      <w:pPr>
        <w:pStyle w:val="BookText"/>
        <w:rPr/>
      </w:pPr>
      <w:r>
        <w:rPr>
          <w:rFonts w:ascii="IRNazanin" w:hAnsi="IRNazanin" w:eastAsia="IRNazanin"/>
          <w:color w:val="111111"/>
          <w:sz w:val="28"/>
          <w:sz w:val="28"/>
          <w:szCs w:val="28"/>
          <w:rtl w:val="true"/>
          <w:lang w:bidi="fa-IR"/>
        </w:rPr>
        <w:t>زوجته منها</w:t>
      </w:r>
      <w:r>
        <w:rPr>
          <w:rStyle w:val="FootnoteAnchor"/>
          <w:rtl w:val="true"/>
        </w:rPr>
        <w:footnoteReference w:id="1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الورثة یتلقّون من الموصی، لکن حسب قسمة المواریث، حاله فیجمیع الاُمور حال الإرث، نعم، لا ینبغی ترک الاحتیاط بالتصالح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مبنیّان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pStyle w:val="BookText"/>
        <w:rPr/>
      </w:pPr>
      <w:r>
        <w:rPr>
          <w:rFonts w:ascii="IRNazanin" w:hAnsi="IRNazanin" w:eastAsia="IRNazanin"/>
          <w:color w:val="111111"/>
          <w:sz w:val="28"/>
          <w:sz w:val="28"/>
          <w:szCs w:val="28"/>
          <w:rtl w:val="true"/>
          <w:lang w:bidi="fa-IR"/>
        </w:rPr>
        <w:t>علی الوجهین</w:t>
      </w:r>
      <w:r>
        <w:rPr>
          <w:rStyle w:val="FootnoteAnchor"/>
          <w:rtl w:val="true"/>
        </w:rPr>
        <w:footnoteReference w:id="1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إخراجهما منه علی الوجهَین، والمتولّی للقبول بالنسبة إلی السهمَین هو وصیّ المیّت أو الحاکم، والأحوط ضمّ قبول الورثة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المسألة المتقدّمة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الانتقال إلی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 الوارث لا ترث، وعلی الانتقال إلیه أوّلاً لا مانع من الانتقال إلیها؛</w:t>
      </w:r>
    </w:p>
    <w:p>
      <w:pPr>
        <w:pStyle w:val="BookText"/>
        <w:rPr/>
      </w:pPr>
      <w:r>
        <w:rPr>
          <w:rFonts w:ascii="IRNazanin" w:hAnsi="IRNazanin" w:eastAsia="IRNazanin"/>
          <w:color w:val="111111"/>
          <w:sz w:val="28"/>
          <w:sz w:val="28"/>
          <w:szCs w:val="28"/>
          <w:rtl w:val="true"/>
          <w:lang w:bidi="fa-IR"/>
        </w:rPr>
        <w:t>لأنّ المفروض أنّها لم تنتقل إلیه إرثاً من الزوج</w:t>
      </w:r>
      <w:r>
        <w:rPr>
          <w:rStyle w:val="FootnoteAnchor"/>
          <w:rtl w:val="true"/>
        </w:rPr>
        <w:footnoteReference w:id="1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یبعد دعوی انصراف النصّ إلی الانتقال إلی وارث الموصی له بنحوالإرث المعهود فی الشرع، فالزوجة محرومة علی الوجهَین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الموصِی</w:t>
      </w:r>
      <w:r>
        <w:rPr>
          <w:rStyle w:val="FootnoteAnchor"/>
          <w:rtl w:val="true"/>
        </w:rPr>
        <w:footnoteReference w:id="18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دعوی انصراف النصّ إلی الوارث المعهود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بتوسّط وراثته عن الموصی له حقّ تملّکها، وحینئذٍ لا یبعد القول بحرمانهاعلی هذا الوجه أیضاً، بدعوی ظهور أدلّة حرمانها عن الأرض فی حرمانها عنالحقوق الّتی لا فائدة لها إلّا مِلک الأرض، ویمکن الالتزام بالتفصیل المذکور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یُبنی علی الوجهین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الدیون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والوصایا</w:t>
      </w:r>
      <w:r>
        <w:rPr>
          <w:rStyle w:val="FootnoteAnchor"/>
          <w:rtl w:val="true"/>
        </w:rPr>
        <w:footnoteReference w:id="1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الوصایا حکم الدَین فی ما تعلّق بمال المیّت، نعم، فی ما یجب علی الوصیّ العمل به وإن لم یکن للمیّت مال وتوقّف العمل به علی القبول فیجب علیه القبول والعمل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الموصی به بعد قبول 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للدلیل المذکور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إخراجها بعد القبول برضاهم، وفی کون المتولّی للقبول بالنسبة إلی المخرجات مَن یلی أمر المیّت أو الورثة وجهان، والأحوط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بما یکون من الحَبوَة ففی اختصاص الولد الأکبر به بناءً علی</w:t>
      </w:r>
      <w:bookmarkStart w:id="1052" w:name="pg13286_154302"/>
    </w:p>
    <w:p>
      <w:pPr>
        <w:pStyle w:val="BookText"/>
        <w:rPr/>
      </w:pPr>
      <w:bookmarkEnd w:id="1052"/>
      <w:r>
        <w:rPr>
          <w:rFonts w:ascii="IRNazanin" w:hAnsi="IRNazanin" w:eastAsia="IRNazanin"/>
          <w:color w:val="111111"/>
          <w:sz w:val="28"/>
          <w:sz w:val="28"/>
          <w:szCs w:val="28"/>
          <w:rtl w:val="true"/>
          <w:lang w:bidi="fa-IR"/>
        </w:rPr>
        <w:t>الانتقال</w:t>
      </w:r>
      <w:r>
        <w:rPr>
          <w:rStyle w:val="FootnoteAnchor"/>
          <w:rtl w:val="true"/>
        </w:rPr>
        <w:footnoteReference w:id="1892"/>
      </w:r>
      <w:r>
        <w:rPr>
          <w:rFonts w:ascii="Amiri" w:hAnsi="Amiri" w:eastAsia="Amiri" w:cs="Amiri"/>
          <w:color w:val="111111"/>
          <w:sz w:val="28"/>
          <w:sz w:val="28"/>
          <w:szCs w:val="28"/>
          <w:rtl w:val="true"/>
          <w:lang w:bidi="ar-SA"/>
        </w:rPr>
        <w:t> إلی المیّت أوّلاً فمشکل؛ لانصراف الأدلّة</w:t>
      </w:r>
      <w:r>
        <w:rPr>
          <w:rStyle w:val="FootnoteAnchor"/>
          <w:rtl w:val="true"/>
        </w:rPr>
        <w:footnoteReference w:id="1893"/>
      </w:r>
      <w:r>
        <w:rPr>
          <w:rFonts w:ascii="IRNazanin" w:hAnsi="IRNazanin" w:eastAsia="IRNazanin"/>
          <w:color w:val="111111"/>
          <w:sz w:val="28"/>
          <w:sz w:val="28"/>
          <w:szCs w:val="28"/>
          <w:rtl w:val="true"/>
          <w:lang w:bidi="fa-IR"/>
        </w:rPr>
        <w:t> عن مثل هذا</w:t>
      </w:r>
      <w:r>
        <w:rPr>
          <w:rFonts w:eastAsia="IRNazanin" w:cs="IRNazanin"/>
          <w:color w:val="111111"/>
          <w:sz w:val="28"/>
          <w:szCs w:val="28"/>
          <w:rtl w:val="true"/>
          <w:lang w:bidi="fa-IR"/>
        </w:rPr>
        <w:t>.</w:t>
      </w:r>
    </w:p>
    <w:p>
      <w:pPr>
        <w:pStyle w:val="Heading4"/>
        <w:numPr>
          <w:ilvl w:val="3"/>
          <w:numId w:val="1"/>
        </w:numPr>
        <w:rPr/>
      </w:pPr>
      <w:bookmarkStart w:id="1053" w:name="__RefHeading___Toc2139182_2322387425"/>
      <w:bookmarkStart w:id="1054" w:name="_Toc384"/>
      <w:bookmarkEnd w:id="1053"/>
      <w:r>
        <w:rPr>
          <w:rtl w:val="true"/>
        </w:rPr>
        <w:t>السادس</w:t>
      </w:r>
      <w:r>
        <w:rPr>
          <w:rtl w:val="true"/>
        </w:rPr>
        <w:t xml:space="preserve">: </w:t>
      </w:r>
      <w:r>
        <w:rPr>
          <w:rtl w:val="true"/>
        </w:rPr>
        <w:t>کون الموصی به ممّن ینعتق علی الموصی له</w:t>
      </w:r>
      <w:bookmarkEnd w:id="1054"/>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الموصی به ممّن ینعتق علی الموصی</w:t>
      </w:r>
      <w:r>
        <w:rPr>
          <w:rStyle w:val="FootnoteAnchor"/>
          <w:rtl w:val="true"/>
        </w:rPr>
        <w:footnoteReference w:id="1894"/>
      </w:r>
      <w:r>
        <w:rPr>
          <w:rFonts w:ascii="IRNazanin" w:hAnsi="IRNazanin" w:eastAsia="IRNazanin"/>
          <w:color w:val="111111"/>
          <w:sz w:val="28"/>
          <w:sz w:val="28"/>
          <w:szCs w:val="28"/>
          <w:rtl w:val="true"/>
          <w:lang w:bidi="fa-IR"/>
        </w:rPr>
        <w:t> له فإن قلنا بالانتقال إلیه أوّلاً بعد قبول الوارث، فإن قلنا به کشفاً وکان موته بعد موت الموصی</w:t>
      </w:r>
      <w:r>
        <w:rPr>
          <w:rStyle w:val="FootnoteAnchor"/>
          <w:rtl w:val="true"/>
        </w:rPr>
        <w:footnoteReference w:id="18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بنأءً علی ما قوّیناه سابقاً من عدم اعتبار القبول فی الوصیّة وتلقّی الورثة من الموصی ابتداءً إن مات بعد الموصی له فلا ریب فی الانعتاق مع فرض موت الموصی له بعد موت الموصی، کما أنّه لا وجه للانعتاق مع فرض موت الموصیبعد موت 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الفرض ینعتق الموصی به من الأوّل، بلا حاجةٍ إلی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انعتق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وشارک</w:t>
      </w:r>
    </w:p>
    <w:p>
      <w:pPr>
        <w:pStyle w:val="BookText"/>
        <w:rPr/>
      </w:pPr>
      <w:r>
        <w:rPr>
          <w:rFonts w:ascii="IRNazanin" w:hAnsi="IRNazanin" w:eastAsia="IRNazanin"/>
          <w:color w:val="111111"/>
          <w:sz w:val="28"/>
          <w:sz w:val="28"/>
          <w:szCs w:val="28"/>
          <w:rtl w:val="true"/>
          <w:lang w:bidi="fa-IR"/>
        </w:rPr>
        <w:t>الوارث</w:t>
      </w:r>
      <w:r>
        <w:rPr>
          <w:rStyle w:val="FootnoteAnchor"/>
          <w:rtl w:val="true"/>
        </w:rPr>
        <w:footnoteReference w:id="1896"/>
      </w:r>
      <w:r>
        <w:rPr>
          <w:rFonts w:ascii="Amiri" w:hAnsi="Amiri" w:eastAsia="Amiri" w:cs="Amiri"/>
          <w:color w:val="111111"/>
          <w:sz w:val="28"/>
          <w:sz w:val="28"/>
          <w:szCs w:val="28"/>
          <w:rtl w:val="true"/>
          <w:lang w:bidi="ar-SA"/>
        </w:rPr>
        <w:t> ممّن فی طبقته، ویقدَّم علیهم</w:t>
      </w:r>
      <w:r>
        <w:rPr>
          <w:rStyle w:val="FootnoteAnchor"/>
          <w:rtl w:val="true"/>
        </w:rPr>
        <w:footnoteReference w:id="1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یکن الکشف حقیقیّاً محضاً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یلزم من کاشفیّة القبول عدم کاشفیّته إلّا علی القول بالکشف الحکمیّ؛ لأنّ الکاشف قبول الوارث لولا الوصیّة، والمکشوف الوارثیّة بالوصیّة، من غیر فرقٍ بین الکشف الحقیقیّ أو الحکمیّ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الکشف الحقیقیّ والحکمیّ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تقدّم طبقته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یقوم مقامه فی القبول، ثمّ یسقط عن الوارثیّة؛ لوجود مَن هو مقدَّم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موته قبل موت الموصی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قلنا بالنقل وأنّه حین قبول الوارث ینتقل  </w:t>
      </w:r>
      <w:bookmarkStart w:id="1055" w:name="pg13286_154304"/>
    </w:p>
    <w:p>
      <w:pPr>
        <w:pStyle w:val="BookText"/>
        <w:rPr/>
      </w:pPr>
      <w:bookmarkEnd w:id="1055"/>
      <w:r>
        <w:rPr>
          <w:rFonts w:ascii="Amiri" w:hAnsi="Amiri" w:eastAsia="Amiri" w:cs="Amiri"/>
          <w:color w:val="111111"/>
          <w:sz w:val="28"/>
          <w:sz w:val="28"/>
          <w:szCs w:val="28"/>
          <w:rtl w:val="true"/>
          <w:lang w:bidi="ar-SA"/>
        </w:rPr>
        <w:t>إلیه آناً مّا فینعتق</w:t>
      </w:r>
      <w:r>
        <w:rPr>
          <w:rStyle w:val="FootnoteAnchor"/>
          <w:rtl w:val="true"/>
        </w:rPr>
        <w:footnoteReference w:id="1898"/>
      </w:r>
      <w:r>
        <w:rPr>
          <w:rFonts w:ascii="IRNazanin" w:hAnsi="IRNazanin" w:eastAsia="IRNazanin"/>
          <w:color w:val="111111"/>
          <w:sz w:val="28"/>
          <w:sz w:val="28"/>
          <w:szCs w:val="28"/>
          <w:rtl w:val="true"/>
          <w:lang w:bidi="fa-IR"/>
        </w:rPr>
        <w:t>، لکن لا یرث</w:t>
      </w:r>
      <w:r>
        <w:rPr>
          <w:rStyle w:val="FootnoteAnchor"/>
          <w:rtl w:val="true"/>
        </w:rPr>
        <w:footnoteReference w:id="1899"/>
      </w:r>
      <w:r>
        <w:rPr>
          <w:rFonts w:ascii="Amiri" w:hAnsi="Amiri" w:eastAsia="Amiri" w:cs="Amiri"/>
          <w:color w:val="111111"/>
          <w:sz w:val="28"/>
          <w:sz w:val="28"/>
          <w:szCs w:val="28"/>
          <w:rtl w:val="true"/>
          <w:lang w:bidi="ar-SA"/>
        </w:rPr>
        <w:t> إلّا إذا کان</w:t>
      </w:r>
      <w:r>
        <w:rPr>
          <w:rStyle w:val="FootnoteAnchor"/>
          <w:rtl w:val="true"/>
        </w:rPr>
        <w:footnoteReference w:id="1900"/>
      </w:r>
      <w:r>
        <w:rPr>
          <w:rFonts w:ascii="IRNazanin" w:hAnsi="IRNazanin" w:eastAsia="IRNazanin"/>
          <w:color w:val="111111"/>
          <w:sz w:val="28"/>
          <w:sz w:val="28"/>
          <w:szCs w:val="28"/>
          <w:rtl w:val="true"/>
          <w:lang w:bidi="fa-IR"/>
        </w:rPr>
        <w:t> انعتاقه قبل قسمة الورثة؛ وذلک لأنّه علی هذا التقدیر انعتق بعد سبق</w:t>
      </w:r>
      <w:r>
        <w:rPr>
          <w:rStyle w:val="FootnoteAnchor"/>
          <w:rtl w:val="true"/>
        </w:rPr>
        <w:footnoteReference w:id="1901"/>
      </w:r>
      <w:r>
        <w:rPr>
          <w:rFonts w:ascii="IRNazanin" w:hAnsi="IRNazanin" w:eastAsia="IRNazanin"/>
          <w:color w:val="111111"/>
          <w:sz w:val="28"/>
          <w:sz w:val="28"/>
          <w:szCs w:val="28"/>
          <w:rtl w:val="true"/>
          <w:lang w:bidi="fa-IR"/>
        </w:rPr>
        <w:t> سائر الورثة بالإرث، نعم، لو انعتق قبل القسمة فی صورة تعدّد الورثة شارکهم</w:t>
      </w:r>
      <w:r>
        <w:rPr>
          <w:rStyle w:val="FootnoteAnchor"/>
          <w:rtl w:val="true"/>
        </w:rPr>
        <w:footnoteReference w:id="19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التساوی فی الطبقة، وتفرّد عنهم فی صورة تقدّمه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اتّحاد الطبقة، ویقدَّم علیهم مع تقدّم طبقته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فی طبقتهم، وإلّا تفرّد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بالانتقال إلی الوارث من الموصی لا من الموصی له فلا ینعتق علیه؛ لعدم ملکه، بل یکون للورثة، إلّا إذا کان ممّن ینعتق علیهم أو علی بعضهم فحینئذٍ ینعتق، ولکن لا یرث إلّا إذا کان ذلک مع تعدّد الورثة وقبل قسمتهم</w:t>
      </w:r>
      <w:r>
        <w:rPr>
          <w:rFonts w:eastAsia="IRNazanin" w:cs="IRNazanin"/>
          <w:color w:val="111111"/>
          <w:sz w:val="28"/>
          <w:szCs w:val="28"/>
          <w:rtl w:val="true"/>
          <w:lang w:bidi="fa-IR"/>
        </w:rPr>
        <w:t>.</w:t>
      </w:r>
    </w:p>
    <w:p>
      <w:pPr>
        <w:pStyle w:val="Heading4"/>
        <w:numPr>
          <w:ilvl w:val="3"/>
          <w:numId w:val="1"/>
        </w:numPr>
        <w:rPr/>
      </w:pPr>
      <w:bookmarkStart w:id="1056" w:name="__RefHeading___Toc2139184_2322387425"/>
      <w:bookmarkStart w:id="1057" w:name="_Toc385"/>
      <w:bookmarkEnd w:id="1056"/>
      <w:r>
        <w:rPr>
          <w:rtl w:val="true"/>
        </w:rPr>
        <w:t>السابع</w:t>
      </w:r>
      <w:r>
        <w:rPr>
          <w:rtl w:val="true"/>
        </w:rPr>
        <w:t xml:space="preserve">: </w:t>
      </w:r>
      <w:r>
        <w:rPr>
          <w:rtl w:val="true"/>
        </w:rPr>
        <w:t>حکم قیام الوارث مقام الموصی له فی الوصیّة العهدیّة</w:t>
      </w:r>
      <w:bookmarkEnd w:id="1057"/>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قیام الوارث</w:t>
      </w:r>
      <w:r>
        <w:rPr>
          <w:rStyle w:val="FootnoteAnchor"/>
          <w:rtl w:val="true"/>
        </w:rPr>
        <w:footnoteReference w:id="1903"/>
      </w:r>
      <w:r>
        <w:rPr>
          <w:rFonts w:ascii="IRNazanin" w:hAnsi="IRNazanin" w:eastAsia="IRNazanin"/>
          <w:color w:val="111111"/>
          <w:sz w:val="28"/>
          <w:sz w:val="28"/>
          <w:szCs w:val="28"/>
          <w:rtl w:val="true"/>
          <w:lang w:bidi="fa-IR"/>
        </w:rPr>
        <w:t> مقام الموصی له بین التملیکیّة والعهدیّة</w:t>
      </w:r>
      <w:r>
        <w:rPr>
          <w:rStyle w:val="FootnoteAnchor"/>
          <w:rtl w:val="true"/>
        </w:rPr>
        <w:footnoteReference w:id="19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الراجعة إلی المِلک، کما فی مورد موثّقة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قیامه مقامه فی العهدیّة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یضعّف خبر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رجعت الثانیة إلی الاُولی، وفی غیره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8" w:name="pg13286_154305"/>
    </w:p>
    <w:p>
      <w:pPr>
        <w:pStyle w:val="Heading4"/>
        <w:numPr>
          <w:ilvl w:val="3"/>
          <w:numId w:val="1"/>
        </w:numPr>
        <w:rPr/>
      </w:pPr>
      <w:bookmarkStart w:id="1059" w:name="__RefHeading___Toc2139186_2322387425"/>
      <w:bookmarkStart w:id="1060" w:name="_Toc386"/>
      <w:bookmarkEnd w:id="1058"/>
      <w:bookmarkEnd w:id="1059"/>
      <w:r>
        <w:rPr>
          <w:rtl w:val="true"/>
        </w:rPr>
        <w:t>عدم اشتراط القبول فی الوصیّة العهدیّة وما إذا کان للنوع أو للجهة</w:t>
      </w:r>
      <w:bookmarkEnd w:id="1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اشتراط القبول علی القول به مختصّ بالتملیکیّة، کما عرفت، فلا یعتبر</w:t>
      </w:r>
      <w:r>
        <w:rPr>
          <w:rStyle w:val="FootnoteAnchor"/>
          <w:rtl w:val="true"/>
        </w:rPr>
        <w:footnoteReference w:id="1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قبول الموصی إلیه، وأمّا قبول الموصی له فی الوصیّة العهدیّة ـ کما إذا أوصی بأن یُعطی زید مالاً ـ فلا إشکال فی اعتباره فی تملّکه، وإن کان أصل الوصیّة عهدیّاً لا یعتبر فیه قبول الموصی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العهدیّة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بالنسبة إلی الموصی له، وأمّا الوصیّ فیعتبر قبوله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الموصی له، لا الموصی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الموصی له، لا الموصی إلیه، کما مرّ، وعدم اعتباره فیها واضح فیما إذاکانت عهداً بصرف شیءٍ فی شخصٍ أوأشخاصٍ أونوعٍ أوجهة، وأمّا إذا کانت عهداً بإعطاء شخصٍ أو أشخاصٍ فلیس بینها وبین التملیکیّة کثیر فرق؛ بناءً علی مامرّ من أنّ القبول فیها معتبر فی الموصی به دون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الموصی له، وأمّا قبول الموصی إلیه معتبر مسلّماً، فإذا لم یقبل یرجع إلی الحاکم فی بعض الموارد، وعدم اعتباره فیها إذا لم تکن نتیجتها ملکیّةً لشخص،وإلّا یلزم کونها ملکیّةً قهریّة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قبول الموصی له فی صحّة الوصیّة، وقد مرّ اعتباره مطلقاً، وفی العهدیّة لاوجه لاعتباره، وأمّا لو عهد أن یُعطی شیئاً بشخصٍ ففی تملّکه یعتبر القبول بلاإشکال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أصل تحقّق الوصیّة، أمّا فی جعل الوصایة لأحدٍ فلابدّ من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ویختصّ</w:t>
      </w:r>
      <w:r>
        <w:rPr>
          <w:rStyle w:val="FootnoteAnchor"/>
          <w:rtl w:val="true"/>
        </w:rPr>
        <w:footnoteReference w:id="1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إن لم یکن الأقوی عدم الاختصاص به، وأنّ القبول فی الصورة الثانیة ممّن یلی أمر الوصیّة إن کان، وإلّا فمن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إذا کان لشخصٍ معیّنٍ أو أشخاصٍ معیّنین، وأمّا إذا کان للنوع  أو للجهات ـ کالوصیّة للفقراء والعلماء، أو للمساجد ـ فلا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قبولهم أو قبول الحاکم فیما للجهات وإن احتمل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أو قیل</w:t>
      </w:r>
      <w:r>
        <w:rPr>
          <w:rFonts w:eastAsia="IRNazanin" w:cs="IRNazanin"/>
          <w:color w:val="111111"/>
          <w:sz w:val="28"/>
          <w:szCs w:val="28"/>
          <w:rtl w:val="true"/>
          <w:lang w:bidi="fa-IR"/>
        </w:rPr>
        <w:t>.</w:t>
      </w:r>
      <w:bookmarkStart w:id="1061" w:name="pg13286_154307"/>
    </w:p>
    <w:p>
      <w:pPr>
        <w:pStyle w:val="BookText"/>
        <w:rPr/>
      </w:pPr>
      <w:bookmarkEnd w:id="1061"/>
      <w:r>
        <w:rPr>
          <w:rFonts w:ascii="IRNazanin" w:hAnsi="IRNazanin" w:eastAsia="IRNazanin"/>
          <w:color w:val="111111"/>
          <w:sz w:val="28"/>
          <w:sz w:val="28"/>
          <w:szCs w:val="28"/>
          <w:rtl w:val="true"/>
          <w:lang w:bidi="fa-IR"/>
        </w:rPr>
        <w:t>ودعوی أنّ الوصیّة لها لیست من التملیکیّة، بل هی عهدیّة</w:t>
      </w:r>
      <w:r>
        <w:rPr>
          <w:rStyle w:val="FootnoteAnchor"/>
          <w:rtl w:val="true"/>
        </w:rPr>
        <w:footnoteReference w:id="1907"/>
      </w:r>
      <w:r>
        <w:rPr>
          <w:rFonts w:ascii="IRNazanin" w:hAnsi="IRNazanin" w:eastAsia="IRNazanin"/>
          <w:color w:val="111111"/>
          <w:sz w:val="28"/>
          <w:sz w:val="28"/>
          <w:szCs w:val="28"/>
          <w:rtl w:val="true"/>
          <w:lang w:bidi="fa-IR"/>
        </w:rPr>
        <w:t>، وإلّا فلا یصحّ تملیک النوع أو الجهات کما تری</w:t>
      </w:r>
      <w:r>
        <w:rPr>
          <w:rStyle w:val="FootnoteAnchor"/>
          <w:rtl w:val="true"/>
        </w:rPr>
        <w:footnoteReference w:id="1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سابقاً</w:t>
      </w:r>
      <w:r>
        <w:rPr>
          <w:rStyle w:val="FootnoteAnchor"/>
          <w:rtl w:val="true"/>
        </w:rPr>
        <w:footnoteReference w:id="1909"/>
      </w:r>
      <w:r>
        <w:rPr>
          <w:rFonts w:ascii="Amiri" w:hAnsi="Amiri" w:eastAsia="Amiri" w:cs="Amiri"/>
          <w:color w:val="111111"/>
          <w:sz w:val="28"/>
          <w:sz w:val="28"/>
          <w:szCs w:val="28"/>
          <w:rtl w:val="true"/>
          <w:lang w:bidi="ar-SA"/>
        </w:rPr>
        <w:t> قوّة عدم اعتبار القبول مطلقاً، وإنّما یکون الردّ مانعاً</w:t>
      </w:r>
      <w:r>
        <w:rPr>
          <w:rStyle w:val="FootnoteAnchor"/>
          <w:rtl w:val="true"/>
        </w:rPr>
        <w:footnoteReference w:id="1910"/>
      </w:r>
      <w:r>
        <w:rPr>
          <w:rFonts w:ascii="IRNazanin" w:hAnsi="IRNazanin" w:eastAsia="IRNazanin"/>
          <w:color w:val="111111"/>
          <w:sz w:val="28"/>
          <w:sz w:val="28"/>
          <w:szCs w:val="28"/>
          <w:rtl w:val="true"/>
          <w:lang w:bidi="fa-IR"/>
        </w:rPr>
        <w:t>، وهو أیضاً لا یجری فی مثل المذکورات، فلا تبطل بردّ بعض الفقراء مثلاً، بل إذا انحصر النوع فی ذلک الوقت فی شخصٍ فردّ لا تبطل</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2139188_2322387425"/>
      <w:bookmarkStart w:id="1063" w:name="_Toc387"/>
      <w:bookmarkEnd w:id="1062"/>
      <w:r>
        <w:rPr>
          <w:rtl w:val="true"/>
        </w:rPr>
        <w:t>تحقّق الوصیّة بکلّ ما دلّ علیها من لفظٍ أو فعل</w:t>
      </w:r>
      <w:bookmarkEnd w:id="106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فی تحقّق الوصیّة کفایة کلّ ما دلّ علیها من الألفاظ، ولا یعتبر</w:t>
      </w:r>
      <w:r>
        <w:rPr>
          <w:rStyle w:val="FootnoteAnchor"/>
          <w:rtl w:val="true"/>
        </w:rPr>
        <w:footnoteReference w:id="1912"/>
      </w:r>
      <w:r>
        <w:rPr>
          <w:rFonts w:ascii="IRNazanin" w:hAnsi="IRNazanin" w:eastAsia="IRNazanin"/>
          <w:color w:val="111111"/>
          <w:sz w:val="28"/>
          <w:sz w:val="28"/>
          <w:szCs w:val="28"/>
          <w:rtl w:val="true"/>
          <w:lang w:bidi="fa-IR"/>
        </w:rPr>
        <w:t> فیه لفظ خاصّ، بل یکفی کلّ فعلٍ دالٍّ علیها حتّی الإشارة والکتابة ولو فی حال الاختیار</w:t>
      </w:r>
      <w:r>
        <w:rPr>
          <w:rStyle w:val="FootnoteAnchor"/>
          <w:rtl w:val="true"/>
        </w:rPr>
        <w:footnoteReference w:id="1913"/>
      </w:r>
      <w:r>
        <w:rPr>
          <w:rFonts w:ascii="IRNazanin" w:hAnsi="IRNazanin" w:eastAsia="IRNazanin"/>
          <w:color w:val="111111"/>
          <w:sz w:val="28"/>
          <w:sz w:val="28"/>
          <w:szCs w:val="28"/>
          <w:rtl w:val="true"/>
          <w:lang w:bidi="fa-IR"/>
        </w:rPr>
        <w:t> إذا کانت صریحةً فی الدلالة، بل أو ظاهرة</w:t>
      </w:r>
      <w:r>
        <w:rPr>
          <w:rStyle w:val="FootnoteAnchor"/>
          <w:rtl w:val="true"/>
        </w:rPr>
        <w:footnoteReference w:id="1914"/>
      </w:r>
      <w:r>
        <w:rPr>
          <w:rFonts w:ascii="Amiri" w:hAnsi="Amiri" w:eastAsia="Amiri" w:cs="Amiri"/>
          <w:color w:val="111111"/>
          <w:sz w:val="28"/>
          <w:sz w:val="28"/>
          <w:szCs w:val="28"/>
          <w:rtl w:val="true"/>
          <w:lang w:bidi="ar-SA"/>
        </w:rPr>
        <w:t xml:space="preserve">؛ فإنّ ظاهر </w:t>
      </w:r>
    </w:p>
    <w:p>
      <w:pPr>
        <w:pStyle w:val="BookText"/>
        <w:rPr/>
      </w:pPr>
      <w:r>
        <w:rPr>
          <w:rFonts w:ascii="IRNazanin" w:hAnsi="IRNazanin" w:eastAsia="IRNazanin"/>
          <w:color w:val="111111"/>
          <w:sz w:val="28"/>
          <w:sz w:val="28"/>
          <w:szCs w:val="28"/>
          <w:rtl w:val="true"/>
          <w:lang w:bidi="fa-IR"/>
        </w:rPr>
        <w:t>الأفعال</w:t>
      </w:r>
      <w:r>
        <w:rPr>
          <w:rStyle w:val="FootnoteAnchor"/>
          <w:rtl w:val="true"/>
        </w:rPr>
        <w:footnoteReference w:id="1915"/>
      </w:r>
      <w:r>
        <w:rPr>
          <w:rFonts w:ascii="IRNazanin" w:hAnsi="IRNazanin" w:eastAsia="IRNazanin"/>
          <w:color w:val="111111"/>
          <w:sz w:val="28"/>
          <w:sz w:val="28"/>
          <w:szCs w:val="28"/>
          <w:rtl w:val="true"/>
          <w:lang w:bidi="fa-IR"/>
        </w:rPr>
        <w:t> معتبر</w:t>
      </w:r>
      <w:r>
        <w:rPr>
          <w:rStyle w:val="FootnoteAnchor"/>
          <w:rtl w:val="true"/>
        </w:rPr>
        <w:footnoteReference w:id="1916"/>
      </w:r>
      <w:r>
        <w:rPr>
          <w:rFonts w:ascii="IRNazanin" w:hAnsi="IRNazanin" w:eastAsia="IRNazanin"/>
          <w:color w:val="111111"/>
          <w:sz w:val="28"/>
          <w:sz w:val="28"/>
          <w:szCs w:val="28"/>
          <w:rtl w:val="true"/>
          <w:lang w:bidi="fa-IR"/>
        </w:rPr>
        <w:t> کظاهر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جماعةٍ</w:t>
      </w:r>
      <w:r>
        <w:rPr>
          <w:rStyle w:val="FootnoteAnchor"/>
          <w:rtl w:val="true"/>
        </w:rPr>
        <w:footnoteReference w:id="1917"/>
      </w:r>
      <w:r>
        <w:rPr>
          <w:rFonts w:ascii="IRNazanin" w:hAnsi="IRNazanin" w:eastAsia="IRNazanin"/>
          <w:color w:val="111111"/>
          <w:sz w:val="28"/>
          <w:sz w:val="28"/>
          <w:szCs w:val="28"/>
          <w:rtl w:val="true"/>
          <w:lang w:bidi="fa-IR"/>
        </w:rPr>
        <w:t>اختصاص کفایة  الإشارة والکتابة بحال الضرورة لا وجه له، بل یکفی وجود مکتوبٍ منه بخطّه ومهره إذا علم</w:t>
      </w:r>
      <w:r>
        <w:rPr>
          <w:rStyle w:val="FootnoteAnchor"/>
          <w:rtl w:val="true"/>
        </w:rPr>
        <w:footnoteReference w:id="1918"/>
      </w:r>
      <w:r>
        <w:rPr>
          <w:rFonts w:ascii="IRNazanin" w:hAnsi="IRNazanin" w:eastAsia="IRNazanin"/>
          <w:color w:val="111111"/>
          <w:sz w:val="28"/>
          <w:sz w:val="28"/>
          <w:szCs w:val="28"/>
          <w:rtl w:val="true"/>
          <w:lang w:bidi="fa-IR"/>
        </w:rPr>
        <w:t> کونه إنّما کتبه بعنوان الوصیّة</w:t>
      </w:r>
      <w:r>
        <w:rPr>
          <w:rStyle w:val="FootnoteAnchor"/>
          <w:rtl w:val="true"/>
        </w:rPr>
        <w:footnoteReference w:id="1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مقدّمة کتابتها، کما أنّه کثیراً ما یتّفق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w:t>
      </w:r>
      <w:r>
        <w:rPr>
          <w:rStyle w:val="FootnoteAnchor"/>
          <w:rtl w:val="true"/>
        </w:rPr>
        <w:footnoteReference w:id="1920"/>
      </w:r>
      <w:r>
        <w:rPr>
          <w:rFonts w:ascii="Amiri" w:hAnsi="Amiri" w:eastAsia="Amiri" w:cs="Amiri"/>
          <w:color w:val="111111"/>
          <w:sz w:val="28"/>
          <w:sz w:val="28"/>
          <w:szCs w:val="28"/>
          <w:rtl w:val="true"/>
          <w:lang w:bidi="ar-SA"/>
        </w:rPr>
        <w:t> أن یستدلّ</w:t>
      </w:r>
      <w:r>
        <w:rPr>
          <w:rStyle w:val="FootnoteAnchor"/>
          <w:rtl w:val="true"/>
        </w:rPr>
        <w:footnoteReference w:id="1921"/>
      </w:r>
      <w:r>
        <w:rPr>
          <w:rFonts w:ascii="IRNazanin" w:hAnsi="IRNazanin" w:eastAsia="IRNazanin"/>
          <w:color w:val="111111"/>
          <w:sz w:val="28"/>
          <w:sz w:val="28"/>
          <w:szCs w:val="28"/>
          <w:rtl w:val="true"/>
          <w:lang w:bidi="fa-IR"/>
        </w:rPr>
        <w:t xml:space="preserve"> علیه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لامرء مسلم أن یبیت لیلة إلّا ووصیّته تحت رأسه</w:t>
      </w:r>
      <w:r>
        <w:rPr>
          <w:rFonts w:eastAsia="IRNazanin" w:cs="IRNazanin"/>
          <w:color w:val="111111"/>
          <w:sz w:val="28"/>
          <w:szCs w:val="28"/>
          <w:rtl w:val="true"/>
          <w:lang w:bidi="fa-IR"/>
        </w:rPr>
        <w:t>»</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 ما رواه الصدوق</w:t>
      </w:r>
      <w:r>
        <w:rPr>
          <w:rStyle w:val="FootnoteAnchor"/>
          <w:rtl w:val="true"/>
        </w:rPr>
        <w:footnoteReference w:id="1923"/>
      </w:r>
      <w:r>
        <w:rPr>
          <w:rFonts w:ascii="IRNazanin" w:hAnsi="IRNazanin" w:eastAsia="IRNazanin"/>
          <w:color w:val="111111"/>
          <w:sz w:val="28"/>
          <w:sz w:val="28"/>
          <w:szCs w:val="28"/>
          <w:rtl w:val="true"/>
          <w:lang w:bidi="fa-IR"/>
        </w:rPr>
        <w:t xml:space="preserve">، عن إبراهیم بن   </w:t>
      </w:r>
      <w:bookmarkStart w:id="1064" w:name="pg13286_154309"/>
    </w:p>
    <w:p>
      <w:pPr>
        <w:pStyle w:val="BookText"/>
        <w:rPr/>
      </w:pPr>
      <w:bookmarkEnd w:id="1064"/>
      <w:r>
        <w:rPr>
          <w:rFonts w:ascii="IRNazanin" w:hAnsi="IRNazanin" w:eastAsia="IRNazanin"/>
          <w:color w:val="111111"/>
          <w:sz w:val="28"/>
          <w:sz w:val="28"/>
          <w:szCs w:val="28"/>
          <w:rtl w:val="true"/>
          <w:lang w:bidi="fa-IR"/>
        </w:rPr>
        <w:t>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کتاباً بخطّه ولم یقل 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وصیّتی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أوصیت، إلّا أنّه کتب کتاباً فیه ما أراد أن یوصی به، هل یجب علی ورثته القیام بما فی الکتاب بخطّه ولم یأمرهم بذلک؟ فکتب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 وُلْدٌ ینفِّذون کلّ شیءٍ یجدون فی کتاب أبیهم فی وجه البرّ وغیره</w:t>
      </w:r>
      <w:r>
        <w:rPr>
          <w:rFonts w:eastAsia="IRNazanin" w:cs="IRNazanin"/>
          <w:color w:val="111111"/>
          <w:sz w:val="28"/>
          <w:szCs w:val="28"/>
          <w:rtl w:val="true"/>
          <w:lang w:bidi="fa-IR"/>
        </w:rPr>
        <w:t>»</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2139190_2322387425"/>
      <w:bookmarkStart w:id="1066" w:name="_Toc388"/>
      <w:bookmarkEnd w:id="1065"/>
      <w:r>
        <w:rPr>
          <w:rtl w:val="true"/>
        </w:rPr>
        <w:t>شرائط الموصی</w:t>
      </w:r>
      <w:bookmarkEnd w:id="1066"/>
    </w:p>
    <w:p>
      <w:pPr>
        <w:pStyle w:val="Heading5"/>
        <w:numPr>
          <w:ilvl w:val="4"/>
          <w:numId w:val="1"/>
        </w:numPr>
        <w:rPr/>
      </w:pPr>
      <w:bookmarkStart w:id="1067" w:name="__RefHeading___Toc2139192_2322387425"/>
      <w:bookmarkStart w:id="1068" w:name="_Toc389"/>
      <w:bookmarkEnd w:id="1067"/>
      <w:r>
        <w:rPr>
          <w:rtl w:val="true"/>
        </w:rPr>
        <w:t>اشارة</w:t>
      </w:r>
      <w:bookmarkEnd w:id="10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الموصی اُمور</w:t>
      </w:r>
      <w:r>
        <w:rPr>
          <w:rStyle w:val="FootnoteAnchor"/>
          <w:rtl w:val="true"/>
        </w:rPr>
        <w:footnoteReference w:id="1925"/>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2139194_2322387425"/>
      <w:bookmarkStart w:id="1070" w:name="_Toc390"/>
      <w:bookmarkEnd w:id="1069"/>
      <w:r>
        <w:rPr>
          <w:rtl w:val="true"/>
        </w:rPr>
        <w:t>الأوّل</w:t>
      </w:r>
      <w:r>
        <w:rPr>
          <w:rtl w:val="true"/>
        </w:rPr>
        <w:t xml:space="preserve">: </w:t>
      </w:r>
      <w:r>
        <w:rPr>
          <w:rtl w:val="true"/>
        </w:rPr>
        <w:t>البلوغ، بیان نفوذ وصیّة البالغ عشراً</w:t>
      </w:r>
      <w:bookmarkEnd w:id="1070"/>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تصحّ وصیّة غیر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الأقوی</w:t>
      </w:r>
      <w:r>
        <w:rPr>
          <w:rStyle w:val="FootnoteAnchor"/>
          <w:rtl w:val="true"/>
        </w:rPr>
        <w:footnoteReference w:id="1926"/>
      </w:r>
      <w:r>
        <w:rPr>
          <w:rFonts w:ascii="Amiri" w:hAnsi="Amiri" w:eastAsia="Amiri" w:cs="Amiri"/>
          <w:color w:val="111111"/>
          <w:sz w:val="28"/>
          <w:sz w:val="28"/>
          <w:szCs w:val="28"/>
          <w:rtl w:val="true"/>
          <w:lang w:bidi="ar-SA"/>
        </w:rPr>
        <w:t> وفاقاً للمشهور صحّة</w:t>
      </w:r>
      <w:r>
        <w:rPr>
          <w:rStyle w:val="FootnoteAnchor"/>
          <w:rtl w:val="true"/>
        </w:rPr>
        <w:footnoteReference w:id="1927"/>
      </w:r>
      <w:r>
        <w:rPr>
          <w:rFonts w:ascii="Amiri" w:hAnsi="Amiri" w:eastAsia="Amiri" w:cs="Amiri"/>
          <w:color w:val="111111"/>
          <w:sz w:val="28"/>
          <w:sz w:val="28"/>
          <w:szCs w:val="28"/>
          <w:rtl w:val="true"/>
          <w:lang w:bidi="ar-SA"/>
        </w:rPr>
        <w:t> وصیّة البالغ عشراً</w:t>
      </w:r>
      <w:r>
        <w:rPr>
          <w:rStyle w:val="FootnoteAnchor"/>
          <w:rtl w:val="true"/>
        </w:rPr>
        <w:footnoteReference w:id="1928"/>
      </w:r>
      <w:r>
        <w:rPr>
          <w:rFonts w:ascii="IRNazanin" w:hAnsi="IRNazanin" w:eastAsia="IRNazanin"/>
          <w:color w:val="111111"/>
          <w:sz w:val="28"/>
          <w:sz w:val="28"/>
          <w:szCs w:val="28"/>
          <w:rtl w:val="true"/>
          <w:lang w:bidi="fa-IR"/>
        </w:rPr>
        <w:t> إذا کان عاقلاً</w:t>
      </w:r>
      <w:r>
        <w:rPr>
          <w:rStyle w:val="FootnoteAnchor"/>
          <w:rtl w:val="true"/>
        </w:rPr>
        <w:footnoteReference w:id="1929"/>
      </w:r>
      <w:r>
        <w:rPr>
          <w:rFonts w:ascii="IRNazanin" w:hAnsi="IRNazanin" w:eastAsia="IRNazanin"/>
          <w:color w:val="111111"/>
          <w:sz w:val="28"/>
          <w:sz w:val="28"/>
          <w:szCs w:val="28"/>
          <w:rtl w:val="true"/>
          <w:lang w:bidi="fa-IR"/>
        </w:rPr>
        <w:t> فی وجوه المعروف للأرحام أو غیرهم</w:t>
      </w:r>
      <w:r>
        <w:rPr>
          <w:rStyle w:val="FootnoteAnchor"/>
          <w:rtl w:val="true"/>
        </w:rPr>
        <w:footnoteReference w:id="1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لغیر الأرحام إذا لم یکن للاُمور الخیریّة العامّة مشکل، کما أنّه إذا بلغ سبع سنین وأوصی بالیسیر من ماله ففی عدم الصحّة إشکال،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حسنالقمّی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حدیث 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وصیّةِ غیرِ البالغ إذا حضره الموتلأرحامه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وصیّته للغرباء محلّ نظر، بل منع؛ للروایة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لجملةٍ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المعتبرة، خلافاً</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71" w:name="pg13286_154310"/>
    </w:p>
    <w:p>
      <w:pPr>
        <w:pStyle w:val="BookText"/>
        <w:rPr/>
      </w:pPr>
      <w:bookmarkEnd w:id="1071"/>
      <w:r>
        <w:rPr>
          <w:rFonts w:ascii="IRNazanin" w:hAnsi="IRNazanin" w:eastAsia="IRNazanin"/>
          <w:color w:val="111111"/>
          <w:sz w:val="28"/>
          <w:sz w:val="28"/>
          <w:szCs w:val="28"/>
          <w:rtl w:val="true"/>
          <w:lang w:bidi="fa-IR"/>
        </w:rPr>
        <w:t>لابن إدریس</w:t>
      </w:r>
      <w:r>
        <w:rPr>
          <w:rStyle w:val="FootnoteAnchor"/>
          <w:rtl w:val="true"/>
        </w:rPr>
        <w:footnoteReference w:id="1931"/>
      </w:r>
      <w:r>
        <w:rPr>
          <w:rFonts w:ascii="Amiri" w:hAnsi="Amiri" w:eastAsia="Amiri" w:cs="Amiri"/>
          <w:color w:val="111111"/>
          <w:sz w:val="28"/>
          <w:sz w:val="28"/>
          <w:szCs w:val="28"/>
          <w:rtl w:val="true"/>
          <w:lang w:bidi="ar-SA"/>
        </w:rPr>
        <w:t> وتبعه جماعة</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2139196_2322387425"/>
      <w:bookmarkStart w:id="1073" w:name="_Toc391"/>
      <w:bookmarkEnd w:id="1072"/>
      <w:r>
        <w:rPr>
          <w:rtl w:val="true"/>
        </w:rPr>
        <w:t>الثانی</w:t>
      </w:r>
      <w:r>
        <w:rPr>
          <w:rtl w:val="true"/>
        </w:rPr>
        <w:t xml:space="preserve">: </w:t>
      </w:r>
      <w:r>
        <w:rPr>
          <w:rtl w:val="true"/>
        </w:rPr>
        <w:t>العقل</w:t>
      </w:r>
      <w:bookmarkEnd w:id="1073"/>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وصیّة المجنون، نعم، تصحّ وصیّة الأدواریِّ منه إذا کانت فی دور إفاقته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تصحّ وصیّة السکران حال سکره، ولا یعتبر استمرار العقل، فلو أوصی ثمّ جُنَّ لم تبطل</w:t>
      </w:r>
      <w:r>
        <w:rPr>
          <w:rStyle w:val="FootnoteAnchor"/>
          <w:rtl w:val="true"/>
        </w:rPr>
        <w:footnoteReference w:id="1933"/>
      </w:r>
      <w:r>
        <w:rPr>
          <w:rFonts w:ascii="IRNazanin" w:hAnsi="IRNazanin" w:eastAsia="IRNazanin"/>
          <w:color w:val="111111"/>
          <w:sz w:val="28"/>
          <w:sz w:val="28"/>
          <w:szCs w:val="28"/>
          <w:rtl w:val="true"/>
          <w:lang w:bidi="fa-IR"/>
        </w:rPr>
        <w:t>، کما أنّه لو اُغمی علیه أو سَکَرلا تبطل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العقل إنّما هو حال إنشاء الوصیّة</w:t>
      </w:r>
      <w:r>
        <w:rPr>
          <w:rFonts w:eastAsia="IRNazanin" w:cs="IRNazanin"/>
          <w:color w:val="111111"/>
          <w:sz w:val="28"/>
          <w:szCs w:val="28"/>
          <w:rtl w:val="true"/>
          <w:lang w:bidi="fa-IR"/>
        </w:rPr>
        <w:t>.</w:t>
      </w:r>
    </w:p>
    <w:p>
      <w:pPr>
        <w:pStyle w:val="Heading5"/>
        <w:numPr>
          <w:ilvl w:val="4"/>
          <w:numId w:val="1"/>
        </w:numPr>
        <w:rPr/>
      </w:pPr>
      <w:bookmarkStart w:id="1074" w:name="__RefHeading___Toc2139198_2322387425"/>
      <w:bookmarkStart w:id="1075" w:name="_Toc392"/>
      <w:bookmarkEnd w:id="1074"/>
      <w:r>
        <w:rPr>
          <w:rtl w:val="true"/>
        </w:rPr>
        <w:t>الثالث</w:t>
      </w:r>
      <w:r>
        <w:rPr>
          <w:rtl w:val="true"/>
        </w:rPr>
        <w:t xml:space="preserve">: </w:t>
      </w:r>
      <w:r>
        <w:rPr>
          <w:rtl w:val="true"/>
        </w:rPr>
        <w:t>الاختیار</w:t>
      </w:r>
      <w:bookmarkEnd w:id="1075"/>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Heading5"/>
        <w:numPr>
          <w:ilvl w:val="4"/>
          <w:numId w:val="1"/>
        </w:numPr>
        <w:rPr/>
      </w:pPr>
      <w:bookmarkStart w:id="1076" w:name="__RefHeading___Toc2139200_2322387425"/>
      <w:bookmarkStart w:id="1077" w:name="_Toc393"/>
      <w:bookmarkEnd w:id="1076"/>
      <w:r>
        <w:rPr>
          <w:rtl w:val="true"/>
        </w:rPr>
        <w:t>الرابع</w:t>
      </w:r>
      <w:r>
        <w:rPr>
          <w:rtl w:val="true"/>
        </w:rPr>
        <w:t xml:space="preserve">: </w:t>
      </w:r>
      <w:r>
        <w:rPr>
          <w:rtl w:val="true"/>
        </w:rPr>
        <w:t>الرشد، بیان وصیّة السفیه المفلّس</w:t>
      </w:r>
      <w:bookmarkEnd w:id="1077"/>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Style w:val="FootnoteAnchor"/>
          <w:rtl w:val="true"/>
        </w:rPr>
        <w:footnoteReference w:id="19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w:t>
      </w:r>
      <w:r>
        <w:rPr>
          <w:rStyle w:val="FootnoteAnchor"/>
          <w:rtl w:val="true"/>
        </w:rPr>
        <w:footnoteReference w:id="1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مطلقاً حتّی إذا لم تکن الوصیّة سفیهة مشکل، والاحتیاط فیه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أقف علی نصٍّ أو غیره یدلّ علی اعتباره، إلّا طلاق ما دلّ علی المنع منتصرّفه فی ماله، فیختصّ المنع علی فرضه بالوصیّة المتعلّقة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w:t>
      </w:r>
      <w:bookmarkStart w:id="1078" w:name="pg13286_154311"/>
    </w:p>
    <w:p>
      <w:pPr>
        <w:pStyle w:val="BookText"/>
        <w:rPr/>
      </w:pPr>
      <w:bookmarkEnd w:id="1078"/>
      <w:r>
        <w:rPr>
          <w:rFonts w:ascii="Amiri" w:hAnsi="Amiri" w:eastAsia="Amiri" w:cs="Amiri"/>
          <w:color w:val="111111"/>
          <w:sz w:val="28"/>
          <w:sz w:val="28"/>
          <w:szCs w:val="28"/>
          <w:rtl w:val="true"/>
          <w:lang w:bidi="ar-SA"/>
        </w:rPr>
        <w:t>فلا تصحّ</w:t>
      </w:r>
      <w:r>
        <w:rPr>
          <w:rStyle w:val="FootnoteAnchor"/>
          <w:rtl w:val="true"/>
        </w:rPr>
        <w:footnoteReference w:id="19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خصوصاً إذا کانت بالمعروف وکان قبل حجر الحاکم، بل لا تبعدالصحّة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السَفیه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بالمعروف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کانت قبل حَجر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المُفَلَّس فلا مانع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وصیّته وإن کانت بعد حَجر الحاکم؛ لعدم الضرر بها علی الغُرماء؛ لتقدّم الدَین علی الوصیّة</w:t>
      </w:r>
      <w:r>
        <w:rPr>
          <w:rFonts w:eastAsia="IRNazanin" w:cs="IRNazanin"/>
          <w:color w:val="111111"/>
          <w:sz w:val="28"/>
          <w:szCs w:val="28"/>
          <w:rtl w:val="true"/>
          <w:lang w:bidi="fa-IR"/>
        </w:rPr>
        <w:t>.</w:t>
      </w:r>
    </w:p>
    <w:p>
      <w:pPr>
        <w:pStyle w:val="Heading5"/>
        <w:numPr>
          <w:ilvl w:val="4"/>
          <w:numId w:val="1"/>
        </w:numPr>
        <w:rPr/>
      </w:pPr>
      <w:bookmarkStart w:id="1079" w:name="__RefHeading___Toc2139202_2322387425"/>
      <w:bookmarkStart w:id="1080" w:name="_Toc394"/>
      <w:bookmarkEnd w:id="1079"/>
      <w:r>
        <w:rPr>
          <w:rtl w:val="true"/>
        </w:rPr>
        <w:t>الخامس</w:t>
      </w:r>
      <w:r>
        <w:rPr>
          <w:rtl w:val="true"/>
        </w:rPr>
        <w:t xml:space="preserve">: </w:t>
      </w:r>
      <w:r>
        <w:rPr>
          <w:rtl w:val="true"/>
        </w:rPr>
        <w:t>الحرّیّة، بیان وصیّة العبد لو انعتق</w:t>
      </w:r>
      <w:bookmarkEnd w:id="108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فلا تصحّ</w:t>
      </w:r>
      <w:r>
        <w:rPr>
          <w:rStyle w:val="FootnoteAnchor"/>
          <w:rtl w:val="true"/>
        </w:rPr>
        <w:footnoteReference w:id="1937"/>
      </w:r>
      <w:r>
        <w:rPr>
          <w:rFonts w:ascii="IRNazanin" w:hAnsi="IRNazanin" w:eastAsia="IRNazanin"/>
          <w:color w:val="111111"/>
          <w:sz w:val="28"/>
          <w:sz w:val="28"/>
          <w:szCs w:val="28"/>
          <w:rtl w:val="true"/>
          <w:lang w:bidi="fa-IR"/>
        </w:rPr>
        <w:t> وصیّة المملوک</w:t>
      </w:r>
      <w:r>
        <w:rPr>
          <w:rStyle w:val="FootnoteAnchor"/>
          <w:rtl w:val="true"/>
        </w:rPr>
        <w:footnoteReference w:id="1938"/>
      </w:r>
      <w:r>
        <w:rPr>
          <w:rFonts w:ascii="IRNazanin" w:hAnsi="IRNazanin" w:eastAsia="IRNazanin"/>
          <w:color w:val="111111"/>
          <w:sz w:val="28"/>
          <w:sz w:val="28"/>
          <w:szCs w:val="28"/>
          <w:rtl w:val="true"/>
          <w:lang w:bidi="fa-IR"/>
        </w:rPr>
        <w:t> بناءً علی عدم ملکه وإن أجاز</w:t>
      </w:r>
      <w:r>
        <w:rPr>
          <w:rStyle w:val="FootnoteAnchor"/>
          <w:rtl w:val="true"/>
        </w:rPr>
        <w:footnoteReference w:id="1939"/>
      </w:r>
      <w:r>
        <w:rPr>
          <w:rFonts w:ascii="IRNazanin" w:hAnsi="IRNazanin" w:eastAsia="IRNazanin"/>
          <w:color w:val="111111"/>
          <w:sz w:val="28"/>
          <w:sz w:val="28"/>
          <w:szCs w:val="28"/>
          <w:rtl w:val="true"/>
          <w:lang w:bidi="fa-IR"/>
        </w:rPr>
        <w:t xml:space="preserve"> مولاه بل وکذا بناءً علی ما هو     </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1940"/>
      </w:r>
      <w:r>
        <w:rPr>
          <w:rFonts w:ascii="IRNazanin" w:hAnsi="IRNazanin" w:eastAsia="IRNazanin"/>
          <w:color w:val="111111"/>
          <w:sz w:val="28"/>
          <w:sz w:val="28"/>
          <w:szCs w:val="28"/>
          <w:rtl w:val="true"/>
          <w:lang w:bidi="fa-IR"/>
        </w:rPr>
        <w:t> من ملکه؛ لعموم</w:t>
      </w:r>
      <w:r>
        <w:rPr>
          <w:rStyle w:val="FootnoteAnchor"/>
          <w:rtl w:val="true"/>
        </w:rPr>
        <w:footnoteReference w:id="1941"/>
      </w:r>
      <w:r>
        <w:rPr>
          <w:rFonts w:ascii="IRNazanin" w:hAnsi="IRNazanin" w:eastAsia="IRNazanin"/>
          <w:color w:val="111111"/>
          <w:sz w:val="28"/>
          <w:sz w:val="28"/>
          <w:szCs w:val="28"/>
          <w:rtl w:val="true"/>
          <w:lang w:bidi="fa-IR"/>
        </w:rPr>
        <w:t xml:space="preserve"> أدلّة الحَجر،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w:t>
      </w:r>
      <w:r>
        <w:rPr>
          <w:rStyle w:val="FootnoteAnchor"/>
          <w:rtl w:val="true"/>
        </w:rPr>
        <w:footnoteReference w:id="1942"/>
      </w:r>
      <w:r>
        <w:rPr>
          <w:rFonts w:ascii="IRNazanin" w:hAnsi="IRNazanin" w:eastAsia="IRNazanin"/>
          <w:color w:val="111111"/>
          <w:sz w:val="28"/>
          <w:sz w:val="28"/>
          <w:szCs w:val="28"/>
          <w:rtl w:val="true"/>
          <w:lang w:bidi="fa-IR"/>
        </w:rPr>
        <w:t>بناءً علی إرادة</w:t>
      </w:r>
      <w:r>
        <w:rPr>
          <w:rStyle w:val="FootnoteAnchor"/>
          <w:rtl w:val="true"/>
        </w:rPr>
        <w:footnoteReference w:id="1943"/>
      </w:r>
      <w:r>
        <w:rPr>
          <w:rFonts w:ascii="IRNazanin" w:hAnsi="IRNazanin" w:eastAsia="IRNazanin"/>
          <w:color w:val="111111"/>
          <w:sz w:val="28"/>
          <w:sz w:val="28"/>
          <w:szCs w:val="28"/>
          <w:rtl w:val="true"/>
          <w:lang w:bidi="fa-IR"/>
        </w:rPr>
        <w:t> نفی وصیّته لغیره، لا نفی الوصیّة له، نعم، لو أجاز مولاه صحّ علی البناء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أوصی بمالِه ثمّ انعتق وکان المال باقیاً فی یده صحّت</w:t>
      </w:r>
      <w:r>
        <w:rPr>
          <w:rStyle w:val="FootnoteAnchor"/>
          <w:rtl w:val="true"/>
        </w:rPr>
        <w:footnoteReference w:id="1944"/>
      </w:r>
      <w:r>
        <w:rPr>
          <w:rFonts w:ascii="IRNazanin" w:hAnsi="IRNazanin" w:eastAsia="IRNazanin"/>
          <w:color w:val="111111"/>
          <w:sz w:val="28"/>
          <w:sz w:val="28"/>
          <w:szCs w:val="28"/>
          <w:rtl w:val="true"/>
          <w:lang w:bidi="fa-IR"/>
        </w:rPr>
        <w:t>علی إشکال</w:t>
      </w:r>
      <w:r>
        <w:rPr>
          <w:rStyle w:val="FootnoteAnchor"/>
          <w:rtl w:val="true"/>
        </w:rPr>
        <w:footnoteReference w:id="1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تصحّ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صحّته بإنشائه السابق الّذی کان فی حال عبودیّته، إلّا أن یُنشئ الوصیّة ثانیاً بعد انعتاقه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یندفع هذا الإشکال إذا کان العبد باقیاً علی إیجابه للوصیّة بعد انعتاقه، بالجمع بین مطلقات الصحّة، وارتفاع ما یکون مانعاً عن الصحّة، وهو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فیه، وضعیف فی ما یلیه من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قویّ فیه وفی ما بعده، نعم، إذا أجازها بعد العتق صحّت وإن لم یجزهاالمولی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وفی ما بعده وبعد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علّقها     </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علی الحرّیة</w:t>
      </w:r>
      <w:r>
        <w:rPr>
          <w:rStyle w:val="FootnoteAnchor"/>
          <w:rtl w:val="true"/>
        </w:rPr>
        <w:footnoteReference w:id="1946"/>
      </w:r>
      <w:r>
        <w:rPr>
          <w:rFonts w:ascii="IRNazanin" w:hAnsi="IRNazanin" w:eastAsia="IRNazanin"/>
          <w:color w:val="111111"/>
          <w:sz w:val="28"/>
          <w:sz w:val="28"/>
          <w:szCs w:val="28"/>
          <w:rtl w:val="true"/>
          <w:lang w:bidi="fa-IR"/>
        </w:rPr>
        <w:t> فالأقوی</w:t>
      </w:r>
      <w:r>
        <w:rPr>
          <w:rStyle w:val="FootnoteAnchor"/>
          <w:rtl w:val="true"/>
        </w:rPr>
        <w:footnoteReference w:id="1947"/>
      </w:r>
      <w:r>
        <w:rPr>
          <w:rFonts w:ascii="Amiri" w:hAnsi="Amiri" w:eastAsia="Amiri" w:cs="Amiri"/>
          <w:color w:val="111111"/>
          <w:sz w:val="28"/>
          <w:sz w:val="28"/>
          <w:szCs w:val="28"/>
          <w:rtl w:val="true"/>
          <w:lang w:bidi="ar-SA"/>
        </w:rPr>
        <w:t> صحّتها</w:t>
      </w:r>
      <w:r>
        <w:rPr>
          <w:rStyle w:val="FootnoteAnchor"/>
          <w:rtl w:val="true"/>
        </w:rPr>
        <w:footnoteReference w:id="1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لعدم ثبوت صحّة التعلیق بغیر الموت لولا دعوی عدم شمول معاقد الإجماعات لمثله، إلّا بدعوی إطلاقها فی مطلق الأسباب، عقداً کان أم إیقاعاً، مطلقاً أم مشروطاً، ولیس الأخیر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یضرّ التعلیق المفروض، کما لا  یضرّ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لزیدٍ إن مِتُّ فی سفری</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أوصی</w:t>
      </w:r>
      <w:r>
        <w:rPr>
          <w:rStyle w:val="FootnoteAnchor"/>
          <w:rtl w:val="true"/>
        </w:rPr>
        <w:footnoteReference w:id="1949"/>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     .     . </w:t>
      </w:r>
      <w:bookmarkStart w:id="1081" w:name="pg13286_154314"/>
    </w:p>
    <w:p>
      <w:pPr>
        <w:pStyle w:val="BookText"/>
        <w:rPr/>
      </w:pPr>
      <w:bookmarkEnd w:id="1081"/>
      <w:r>
        <w:rPr>
          <w:rFonts w:ascii="IRNazanin" w:hAnsi="IRNazanin" w:eastAsia="IRNazanin"/>
          <w:color w:val="111111"/>
          <w:sz w:val="28"/>
          <w:sz w:val="28"/>
          <w:szCs w:val="28"/>
          <w:rtl w:val="true"/>
          <w:lang w:bidi="fa-IR"/>
        </w:rPr>
        <w:t>بدفنه</w:t>
      </w:r>
      <w:r>
        <w:rPr>
          <w:rStyle w:val="FootnoteAnchor"/>
          <w:rtl w:val="true"/>
        </w:rPr>
        <w:footnoteReference w:id="1950"/>
      </w:r>
      <w:r>
        <w:rPr>
          <w:rFonts w:ascii="Amiri" w:hAnsi="Amiri" w:eastAsia="Amiri" w:cs="Amiri"/>
          <w:color w:val="111111"/>
          <w:sz w:val="28"/>
          <w:sz w:val="28"/>
          <w:szCs w:val="28"/>
          <w:rtl w:val="true"/>
          <w:lang w:bidi="ar-SA"/>
        </w:rPr>
        <w:t> فی مکانٍ خاصٍّ لا یحتاج إلی صرف مالٍ فالأقوی</w:t>
      </w:r>
      <w:r>
        <w:rPr>
          <w:rStyle w:val="FootnoteAnchor"/>
          <w:rtl w:val="true"/>
        </w:rPr>
        <w:footnoteReference w:id="1951"/>
      </w:r>
      <w:r>
        <w:rPr>
          <w:rFonts w:ascii="Amiri" w:hAnsi="Amiri" w:eastAsia="Amiri" w:cs="Amiri"/>
          <w:color w:val="111111"/>
          <w:sz w:val="28"/>
          <w:sz w:val="28"/>
          <w:szCs w:val="28"/>
          <w:rtl w:val="true"/>
          <w:lang w:bidi="ar-SA"/>
        </w:rPr>
        <w:t> الصحّة</w:t>
      </w:r>
      <w:r>
        <w:rPr>
          <w:rStyle w:val="FootnoteAnchor"/>
          <w:rtl w:val="true"/>
        </w:rPr>
        <w:footnoteReference w:id="1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ما کان من هذا القبیل</w:t>
      </w:r>
      <w:r>
        <w:rPr>
          <w:rFonts w:eastAsia="IRNazanin" w:cs="IRNazanin"/>
          <w:color w:val="111111"/>
          <w:sz w:val="28"/>
          <w:szCs w:val="28"/>
          <w:rtl w:val="true"/>
          <w:lang w:bidi="fa-IR"/>
        </w:rPr>
        <w:t>.</w:t>
      </w:r>
    </w:p>
    <w:p>
      <w:pPr>
        <w:pStyle w:val="Heading5"/>
        <w:numPr>
          <w:ilvl w:val="4"/>
          <w:numId w:val="1"/>
        </w:numPr>
        <w:rPr/>
      </w:pPr>
      <w:bookmarkStart w:id="1082" w:name="__RefHeading___Toc2139204_2322387425"/>
      <w:bookmarkStart w:id="1083" w:name="_Toc395"/>
      <w:bookmarkEnd w:id="1082"/>
      <w:r>
        <w:rPr>
          <w:rtl w:val="true"/>
        </w:rPr>
        <w:t>السادس</w:t>
      </w:r>
      <w:r>
        <w:rPr>
          <w:rtl w:val="true"/>
        </w:rPr>
        <w:t xml:space="preserve">: </w:t>
      </w:r>
      <w:r>
        <w:rPr>
          <w:rtl w:val="true"/>
        </w:rPr>
        <w:t>أن لا یکون قاتل نفسه، وفیه أحکام</w:t>
      </w:r>
      <w:bookmarkEnd w:id="1083"/>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قاتل نفسه بأن أوصی بعد ما أحدث فی نفسه ما یوجب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جرحٍ أو شُرب سُمٍّ أو نحو ذلک، فإنّه لا تصحّ وصیّته علی المشهور المدّعی علیه الإجماع، للنصّ</w:t>
      </w:r>
      <w:r>
        <w:rPr>
          <w:rStyle w:val="FootnoteAnchor"/>
          <w:rtl w:val="true"/>
        </w:rPr>
        <w:footnoteReference w:id="1953"/>
      </w:r>
      <w:r>
        <w:rPr>
          <w:rFonts w:ascii="IRNazanin" w:hAnsi="IRNazanin" w:eastAsia="IRNazanin"/>
          <w:color w:val="111111"/>
          <w:sz w:val="28"/>
          <w:sz w:val="28"/>
          <w:szCs w:val="28"/>
          <w:rtl w:val="true"/>
          <w:lang w:bidi="fa-IR"/>
        </w:rPr>
        <w:t> الصحیح الصریح</w:t>
      </w:r>
      <w:r>
        <w:rPr>
          <w:rStyle w:val="FootnoteAnchor"/>
          <w:rtl w:val="true"/>
        </w:rPr>
        <w:footnoteReference w:id="1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لابن إدریس</w:t>
      </w:r>
      <w:r>
        <w:rPr>
          <w:rStyle w:val="FootnoteAnchor"/>
          <w:rtl w:val="true"/>
        </w:rPr>
        <w:footnoteReference w:id="1955"/>
      </w:r>
      <w:r>
        <w:rPr>
          <w:rFonts w:ascii="IRNazanin" w:hAnsi="IRNazanin" w:eastAsia="IRNazanin"/>
          <w:color w:val="111111"/>
          <w:sz w:val="28"/>
          <w:sz w:val="28"/>
          <w:szCs w:val="28"/>
          <w:rtl w:val="true"/>
          <w:lang w:bidi="fa-IR"/>
        </w:rPr>
        <w:t>وتبعه بعض</w:t>
      </w:r>
      <w:r>
        <w:rPr>
          <w:rStyle w:val="FootnoteAnchor"/>
          <w:rtl w:val="true"/>
        </w:rPr>
        <w:footnoteReference w:id="1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المنصرف إلیه الإطلاق الوصیّة بالمال، وأمّا الوصیّة بما یتعلّق بالتجهیز ونحوه ممّا لا تعلّق له بالمال فالظاهر صحّتها</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الحکم مختصّ بما إذا کان فعل ذلک عمداً، لا سهواً أو خطأً، وبرجاء أن یموت، لا لغرضٍ آخر، وعلی وجه العصیان، لا مثل الجهاد فی سبیل الله، وبما لو مات من ذلک</w:t>
      </w:r>
      <w:r>
        <w:rPr>
          <w:rFonts w:eastAsia="IRNazanin" w:cs="IRNazanin"/>
          <w:color w:val="111111"/>
          <w:sz w:val="28"/>
          <w:szCs w:val="28"/>
          <w:rtl w:val="true"/>
          <w:lang w:bidi="fa-IR"/>
        </w:rPr>
        <w:t xml:space="preserve">. </w:t>
      </w:r>
      <w:bookmarkStart w:id="1084" w:name="pg13286_154315"/>
    </w:p>
    <w:p>
      <w:pPr>
        <w:pStyle w:val="BookText"/>
        <w:rPr/>
      </w:pPr>
      <w:bookmarkEnd w:id="1084"/>
      <w:r>
        <w:rPr>
          <w:rFonts w:ascii="Amiri" w:hAnsi="Amiri" w:eastAsia="Amiri" w:cs="Amiri"/>
          <w:color w:val="111111"/>
          <w:sz w:val="28"/>
          <w:sz w:val="28"/>
          <w:szCs w:val="28"/>
          <w:rtl w:val="true"/>
          <w:lang w:bidi="ar-SA"/>
        </w:rPr>
        <w:t>وأمّا إذا عُوفِیَ</w:t>
      </w:r>
      <w:r>
        <w:rPr>
          <w:rStyle w:val="FootnoteAnchor"/>
          <w:rtl w:val="true"/>
        </w:rPr>
        <w:footnoteReference w:id="1958"/>
      </w:r>
      <w:r>
        <w:rPr>
          <w:rFonts w:ascii="Amiri" w:hAnsi="Amiri" w:eastAsia="Amiri" w:cs="Amiri"/>
          <w:color w:val="111111"/>
          <w:sz w:val="28"/>
          <w:sz w:val="28"/>
          <w:szCs w:val="28"/>
          <w:rtl w:val="true"/>
          <w:lang w:bidi="ar-SA"/>
        </w:rPr>
        <w:t> ثمّ أوصی صحّت وصیّته بلا إشکال</w:t>
      </w:r>
      <w:r>
        <w:rPr>
          <w:rStyle w:val="FootnoteAnchor"/>
          <w:rtl w:val="true"/>
        </w:rPr>
        <w:footnoteReference w:id="19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وهل تصحّ وصیّته قبل المعافاة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لا إشکال فیها إذا أوصی ثمّ عُوفِیَ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أوصی بعد ما فعل السبب ثمّ عُوفِیَ ثمّ مات فالظاهر صحّة وصیّته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ولا یلحق التنجیز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أوصی قبل أن یُحدِثَ فی نفسه ذلک ثمّ أحدث صحّت وصیّته وإن کان حین الوصیّة بانیاً علی أن یُحدِث ذلک بعدها؛ للصحیح</w:t>
      </w:r>
      <w:r>
        <w:rPr>
          <w:rStyle w:val="FootnoteAnchor"/>
          <w:rtl w:val="true"/>
        </w:rPr>
        <w:footnoteReference w:id="1960"/>
      </w:r>
      <w:r>
        <w:rPr>
          <w:rFonts w:ascii="IRNazanin" w:hAnsi="IRNazanin" w:eastAsia="IRNazanin"/>
          <w:color w:val="111111"/>
          <w:sz w:val="28"/>
          <w:sz w:val="28"/>
          <w:szCs w:val="28"/>
          <w:rtl w:val="true"/>
          <w:lang w:bidi="fa-IR"/>
        </w:rPr>
        <w:t> المتقدّم، مضافاً إلی العمومات</w:t>
      </w:r>
      <w:r>
        <w:rPr>
          <w:rFonts w:eastAsia="IRNazanin" w:cs="IRNazanin"/>
          <w:color w:val="111111"/>
          <w:sz w:val="28"/>
          <w:szCs w:val="28"/>
          <w:rtl w:val="true"/>
          <w:lang w:bidi="fa-IR"/>
        </w:rPr>
        <w:t>.</w:t>
      </w:r>
    </w:p>
    <w:p>
      <w:pPr>
        <w:pStyle w:val="Heading4"/>
        <w:numPr>
          <w:ilvl w:val="3"/>
          <w:numId w:val="1"/>
        </w:numPr>
        <w:rPr/>
      </w:pPr>
      <w:bookmarkStart w:id="1085" w:name="__RefHeading___Toc2139206_2322387425"/>
      <w:bookmarkStart w:id="1086" w:name="_Toc396"/>
      <w:bookmarkEnd w:id="1085"/>
      <w:r>
        <w:rPr>
          <w:rtl w:val="true"/>
        </w:rPr>
        <w:t>وصیّة الأب أو الجدّ مع فقد الآخر بالولایة علی الأطفال</w:t>
      </w:r>
      <w:bookmarkEnd w:id="10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لکلٍّ من الأب والجَدّ الوصیّة بالولایة علی الأطفال مع فقد الآخر، ولا تصحّ مع وجوده، کما لایصحّ ذلک لغیرهما حتّی الحاکم الشرعیّ</w:t>
      </w:r>
      <w:r>
        <w:rPr>
          <w:rStyle w:val="FootnoteAnchor"/>
          <w:rtl w:val="true"/>
        </w:rPr>
        <w:footnoteReference w:id="19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فإنّه بعد فقدهما</w:t>
      </w:r>
      <w:r>
        <w:rPr>
          <w:rStyle w:val="FootnoteAnchor"/>
          <w:rtl w:val="true"/>
        </w:rPr>
        <w:footnoteReference w:id="1962"/>
      </w:r>
      <w:r>
        <w:rPr>
          <w:rFonts w:ascii="IRNazanin" w:hAnsi="IRNazanin" w:eastAsia="IRNazanin"/>
          <w:color w:val="111111"/>
          <w:sz w:val="28"/>
          <w:sz w:val="28"/>
          <w:szCs w:val="28"/>
          <w:rtl w:val="true"/>
          <w:lang w:bidi="fa-IR"/>
        </w:rPr>
        <w:t> له الولایة علیهم ما دام حیّاً، ولیس له</w:t>
      </w:r>
      <w:r>
        <w:rPr>
          <w:rStyle w:val="FootnoteAnchor"/>
          <w:rtl w:val="true"/>
        </w:rPr>
        <w:footnoteReference w:id="1963"/>
      </w:r>
      <w:r>
        <w:rPr>
          <w:rFonts w:ascii="IRNazanin" w:hAnsi="IRNazanin" w:eastAsia="IRNazanin"/>
          <w:color w:val="111111"/>
          <w:sz w:val="28"/>
          <w:sz w:val="28"/>
          <w:szCs w:val="28"/>
          <w:rtl w:val="true"/>
          <w:lang w:bidi="fa-IR"/>
        </w:rPr>
        <w:t> أن یوصی بها لغیره بعد موته، فیرجع الأمر بعد موته إلی الحاکم الآخر، فحاله حال کلٍّ من الأب والجَدّ مع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ولایة فی ذلک للاُمّ، خلافاً لابن الجنید</w:t>
      </w:r>
      <w:r>
        <w:rPr>
          <w:rStyle w:val="FootnoteAnchor"/>
          <w:rtl w:val="true"/>
        </w:rPr>
        <w:footnoteReference w:id="1964"/>
      </w:r>
      <w:r>
        <w:rPr>
          <w:rFonts w:ascii="IRNazanin" w:hAnsi="IRNazanin" w:eastAsia="IRNazanin"/>
          <w:color w:val="111111"/>
          <w:sz w:val="28"/>
          <w:sz w:val="28"/>
          <w:szCs w:val="28"/>
          <w:rtl w:val="true"/>
          <w:lang w:bidi="fa-IR"/>
        </w:rPr>
        <w:t> حیث جعل لها بعد الأب إذا کانت رشیدة</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ما ذکرنا فلو أوصی للأطفال واحد من أرحامهم أو غیرهم بمالٍ وجعل أمره إلی غیر الأب والجَدّ وغیر الحاکم لم یصحّ، بل یکون للأب والجَدّ مع وجود أحدهما، وللحاکم مع فقدهما، نعم، لو أوصی لهم علی أن یبقی بید الوصیّ ثمّ یُمَلِّکه لهم بعد بلوغهم</w:t>
      </w:r>
      <w:r>
        <w:rPr>
          <w:rStyle w:val="FootnoteAnchor"/>
          <w:rtl w:val="true"/>
        </w:rPr>
        <w:footnoteReference w:id="1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لا إشکال فیه، وغیر مربوطٍ بالوصیّة علی الأطفال، وأمّا الوصیّة بالصرفعلیهم قبل البلوغ من دون المراجعة إلی الولیّ الشرعیّ فلا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یصرفه علیهم من غیر أن یُمَلِّکَهم یمکن</w:t>
      </w:r>
      <w:r>
        <w:rPr>
          <w:rStyle w:val="FootnoteAnchor"/>
          <w:rtl w:val="true"/>
        </w:rPr>
        <w:footnoteReference w:id="1967"/>
      </w:r>
      <w:r>
        <w:rPr>
          <w:rFonts w:ascii="IRNazanin" w:hAnsi="IRNazanin" w:eastAsia="IRNazanin"/>
          <w:color w:val="111111"/>
          <w:sz w:val="28"/>
          <w:sz w:val="28"/>
          <w:szCs w:val="28"/>
          <w:rtl w:val="true"/>
          <w:lang w:bidi="fa-IR"/>
        </w:rPr>
        <w:t xml:space="preserve"> أن </w:t>
      </w:r>
    </w:p>
    <w:p>
      <w:pPr>
        <w:pStyle w:val="BookText"/>
        <w:rPr/>
      </w:pPr>
      <w:r>
        <w:rPr>
          <w:rFonts w:ascii="IRNazanin" w:hAnsi="IRNazanin" w:eastAsia="IRNazanin"/>
          <w:color w:val="111111"/>
          <w:sz w:val="28"/>
          <w:sz w:val="28"/>
          <w:szCs w:val="28"/>
          <w:rtl w:val="true"/>
          <w:lang w:bidi="fa-IR"/>
        </w:rPr>
        <w:t>یقال</w:t>
      </w:r>
      <w:r>
        <w:rPr>
          <w:rStyle w:val="FootnoteAnchor"/>
          <w:rtl w:val="true"/>
        </w:rPr>
        <w:footnoteReference w:id="1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صحّتها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صحیح من دون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أمره إلی الأب والجَدّ أو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87" w:name="pg13286_154319"/>
    </w:p>
    <w:p>
      <w:pPr>
        <w:pStyle w:val="Heading3"/>
        <w:numPr>
          <w:ilvl w:val="2"/>
          <w:numId w:val="1"/>
        </w:numPr>
        <w:rPr/>
      </w:pPr>
      <w:bookmarkStart w:id="1088" w:name="__RefHeading___Toc2139208_2322387425"/>
      <w:bookmarkStart w:id="1089" w:name="_Toc397"/>
      <w:bookmarkEnd w:id="1087"/>
      <w:bookmarkEnd w:id="1088"/>
      <w:r>
        <w:rPr>
          <w:rtl w:val="true"/>
        </w:rPr>
        <w:t xml:space="preserve">فصل </w:t>
      </w:r>
      <w:r>
        <w:rPr>
          <w:rtl w:val="true"/>
        </w:rPr>
        <w:t>[</w:t>
      </w:r>
      <w:r>
        <w:rPr>
          <w:rtl w:val="true"/>
        </w:rPr>
        <w:t>فی الموصی به</w:t>
      </w:r>
      <w:r>
        <w:rPr>
          <w:rtl w:val="true"/>
        </w:rPr>
        <w:t>]</w:t>
      </w:r>
      <w:bookmarkEnd w:id="1089"/>
    </w:p>
    <w:p>
      <w:pPr>
        <w:pStyle w:val="Heading4"/>
        <w:numPr>
          <w:ilvl w:val="3"/>
          <w:numId w:val="1"/>
        </w:numPr>
        <w:rPr/>
      </w:pPr>
      <w:bookmarkStart w:id="1090" w:name="__RefHeading___Toc2139210_2322387425"/>
      <w:bookmarkStart w:id="1091" w:name="_Toc398"/>
      <w:bookmarkEnd w:id="1090"/>
      <w:r>
        <w:rPr>
          <w:rtl w:val="true"/>
        </w:rPr>
        <w:t>ما تصحّ الوصیّة به من الاُمور وما لا تصحّ</w:t>
      </w:r>
      <w:bookmarkEnd w:id="1091"/>
    </w:p>
    <w:p>
      <w:pPr>
        <w:pStyle w:val="BookText"/>
        <w:rPr/>
      </w:pPr>
      <w:r>
        <w:rPr>
          <w:rFonts w:ascii="Amiri" w:hAnsi="Amiri" w:eastAsia="Amiri" w:cs="Amiri"/>
          <w:color w:val="111111"/>
          <w:sz w:val="28"/>
          <w:sz w:val="28"/>
          <w:szCs w:val="28"/>
          <w:rtl w:val="true"/>
          <w:lang w:bidi="ar-SA"/>
        </w:rPr>
        <w:t>تصحّ الوصیّة بکلِّ ما یکون فیه غرض عقلائیّ</w:t>
      </w:r>
      <w:r>
        <w:rPr>
          <w:rStyle w:val="FootnoteAnchor"/>
          <w:rtl w:val="true"/>
        </w:rPr>
        <w:footnoteReference w:id="1969"/>
      </w:r>
      <w:r>
        <w:rPr>
          <w:rFonts w:ascii="Amiri" w:hAnsi="Amiri" w:eastAsia="Amiri" w:cs="Amiri"/>
          <w:color w:val="111111"/>
          <w:sz w:val="28"/>
          <w:sz w:val="28"/>
          <w:szCs w:val="28"/>
          <w:rtl w:val="true"/>
          <w:lang w:bidi="ar-SA"/>
        </w:rPr>
        <w:t> محلَّل، من عین أو منفعة، أو حقٍّ قابلٍ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فی العین بین أن تکون موجودةً فعلاً أو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فتصحّ بما تحمله الجاریة أو الدابّة أو الشجرة</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وتصحّ بالعبد الآبق منفرداً ولو لم یصحّ بیعه إلّا بالضمیمة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تصحّ بالمحرّمات</w:t>
      </w:r>
      <w:r>
        <w:rPr>
          <w:rStyle w:val="FootnoteAnchor"/>
          <w:rtl w:val="true"/>
        </w:rPr>
        <w:footnoteReference w:id="19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لصرفها فی الجهات المحرّمة، أمّا لو فرض لها جهات محلّلة فلا تبعد صحّةالوصیّة بها، کالوصیّة بالخنزیر لاستعمال شعره فی صنع الحبل، أو شحمه فی طَلِی الأجرب،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     .     .     .     .     .     .     .     .</w:t>
      </w:r>
    </w:p>
    <w:p>
      <w:pPr>
        <w:pStyle w:val="BookText"/>
        <w:rPr/>
      </w:pPr>
      <w:r>
        <w:rPr>
          <w:rFonts w:ascii="IRNazanin" w:hAnsi="IRNazanin" w:eastAsia="IRNazanin"/>
          <w:color w:val="111111"/>
          <w:sz w:val="28"/>
          <w:sz w:val="28"/>
          <w:szCs w:val="28"/>
          <w:rtl w:val="true"/>
          <w:lang w:bidi="fa-IR"/>
        </w:rPr>
        <w:t>کالخمر</w:t>
      </w:r>
      <w:r>
        <w:rPr>
          <w:rStyle w:val="FootnoteAnchor"/>
          <w:rtl w:val="true"/>
        </w:rPr>
        <w:footnoteReference w:id="1972"/>
      </w:r>
      <w:r>
        <w:rPr>
          <w:rFonts w:ascii="IRNazanin" w:hAnsi="IRNazanin" w:eastAsia="IRNazanin"/>
          <w:color w:val="111111"/>
          <w:sz w:val="28"/>
          <w:sz w:val="28"/>
          <w:szCs w:val="28"/>
          <w:rtl w:val="true"/>
          <w:lang w:bidi="fa-IR"/>
        </w:rPr>
        <w:t> والخنزیر ونحوهما، ولا بآلات اللهو، ولا بمالا نفع فیه ولا  غرض عقلائیّ، کالحشرات وکلب الهِرَاش</w:t>
      </w:r>
      <w:r>
        <w:rPr>
          <w:rStyle w:val="FootnoteAnchor"/>
          <w:rtl w:val="true"/>
        </w:rPr>
        <w:footnoteReference w:id="1973"/>
      </w:r>
      <w:r>
        <w:rPr>
          <w:rFonts w:ascii="IRNazanin" w:hAnsi="IRNazanin" w:eastAsia="IRNazanin"/>
          <w:color w:val="111111"/>
          <w:sz w:val="28"/>
          <w:sz w:val="28"/>
          <w:szCs w:val="28"/>
          <w:rtl w:val="true"/>
          <w:lang w:bidi="fa-IR"/>
        </w:rPr>
        <w:t>، وأمّا کلب الصید فلا مانع منه، وکذا کلب الحائط والماشیة والزرع وإن قلنا بعدم مملوکیّة ما عدا کلب الصید؛ إذ یکفی وجود الفائدة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تصحّ بما لا یقبل النقل من الحقوق، کحقّ القذف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بالخمر المتَّخَذ للتخلیل</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فی عدم صحّة الوصیّة بالخمر والخنزیر بین کون الموصی والموصی له مسلمَین أو کافرَین</w:t>
      </w:r>
      <w:r>
        <w:rPr>
          <w:rStyle w:val="FootnoteAnchor"/>
          <w:rtl w:val="true"/>
        </w:rPr>
        <w:footnoteReference w:id="1975"/>
      </w:r>
      <w:r>
        <w:rPr>
          <w:rFonts w:ascii="Amiri" w:hAnsi="Amiri" w:eastAsia="Amiri" w:cs="Amiri"/>
          <w:color w:val="111111"/>
          <w:sz w:val="28"/>
          <w:sz w:val="28"/>
          <w:szCs w:val="28"/>
          <w:rtl w:val="true"/>
          <w:lang w:bidi="ar-SA"/>
        </w:rPr>
        <w:t> أو مختلفَین؛ لأنّ الکفّار أیضاً مکلَّفون بالفروع</w:t>
      </w:r>
      <w:r>
        <w:rPr>
          <w:rStyle w:val="FootnoteAnchor"/>
          <w:rtl w:val="true"/>
        </w:rPr>
        <w:footnoteReference w:id="19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وصیّة کلِّ مَن تشملهم قاعدة الإلزام، کالکافر یوصی بالخمر والخنزیر لکافرٍ آخر، ولا تلازم بین صحّة الوصیّة وبین تکلیفهم بالفروع عقاباً، لا بما ینافی قاعدة الإلزام، ویؤیّده قول الماتن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یُقِرّون علی مذهبهم وإن لم یکن عملهم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     .</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1977"/>
      </w:r>
      <w:r>
        <w:rPr>
          <w:rFonts w:ascii="Amiri" w:hAnsi="Amiri" w:eastAsia="Amiri" w:cs="Amiri"/>
          <w:color w:val="111111"/>
          <w:sz w:val="28"/>
          <w:sz w:val="28"/>
          <w:szCs w:val="28"/>
          <w:rtl w:val="true"/>
          <w:lang w:bidi="ar-SA"/>
        </w:rPr>
        <w:t>، هم یُقِرّون علی مذهبهم وإن لم یکن عملهم صحیحاً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تصحّ الوصیّة بمال الغیر ولو أجاز</w:t>
      </w:r>
      <w:r>
        <w:rPr>
          <w:rStyle w:val="FootnoteAnchor"/>
          <w:rtl w:val="true"/>
        </w:rPr>
        <w:footnoteReference w:id="1978"/>
      </w:r>
      <w:r>
        <w:rPr>
          <w:rFonts w:ascii="IRNazanin" w:hAnsi="IRNazanin" w:eastAsia="IRNazanin"/>
          <w:color w:val="111111"/>
          <w:sz w:val="28"/>
          <w:sz w:val="28"/>
          <w:szCs w:val="28"/>
          <w:rtl w:val="true"/>
          <w:lang w:bidi="fa-IR"/>
        </w:rPr>
        <w:t> ذلک</w:t>
      </w:r>
      <w:r>
        <w:rPr>
          <w:rStyle w:val="FootnoteAnchor"/>
          <w:rtl w:val="true"/>
        </w:rPr>
        <w:footnoteReference w:id="1979"/>
      </w:r>
      <w:r>
        <w:rPr>
          <w:rFonts w:ascii="IRNazanin" w:hAnsi="IRNazanin" w:eastAsia="IRNazanin"/>
          <w:color w:val="111111"/>
          <w:sz w:val="28"/>
          <w:sz w:val="28"/>
          <w:szCs w:val="28"/>
          <w:rtl w:val="true"/>
          <w:lang w:bidi="fa-IR"/>
        </w:rPr>
        <w:t> الغیر إذا أوصی لنفسه</w:t>
      </w:r>
      <w:r>
        <w:rPr>
          <w:rStyle w:val="FootnoteAnchor"/>
          <w:rtl w:val="true"/>
        </w:rPr>
        <w:footnoteReference w:id="19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الصحّة فی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أوصی فضولاً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إجازة ذلک الغیر تکون وصیّةً منه، لا أنّها تنفیذ لتلک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الوصیّة کافیةً عن إنشائها، نظیر ما إذا کتب وصیّةً من دون قصد الإنشاء،بل لتسجیل ما یرید أن یوصی به وتفصیله،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لعدماشتراطِ لفظٍ خاصٍّ فی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زیدٍ بعد وفاته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فأمضاه زید، والظاهر عدم الإشکال فیه علی تقدیر کون الوصیّة عقداً، نعم، علی تقدیر کونها إیقاعاً فجریان الفضولیّ فیها محلّ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bookmarkStart w:id="1092" w:name="pg13286_154322"/>
    </w:p>
    <w:p>
      <w:pPr>
        <w:pStyle w:val="BookText"/>
        <w:rPr/>
      </w:pPr>
      <w:bookmarkEnd w:id="1092"/>
      <w:r>
        <w:rPr>
          <w:rFonts w:ascii="IRNazanin" w:hAnsi="IRNazanin" w:eastAsia="IRNazanin"/>
          <w:color w:val="111111"/>
          <w:sz w:val="28"/>
          <w:sz w:val="28"/>
          <w:szCs w:val="28"/>
          <w:rtl w:val="true"/>
          <w:lang w:bidi="fa-IR"/>
        </w:rPr>
        <w:t>احتمل</w:t>
      </w:r>
      <w:r>
        <w:rPr>
          <w:rStyle w:val="FootnoteAnchor"/>
          <w:rtl w:val="true"/>
        </w:rPr>
        <w:footnoteReference w:id="1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الظاهر، وکذا فی الصورة الاُولی؛ لعدم الفرق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الصورة الاُولی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2139212_2322387425"/>
      <w:bookmarkStart w:id="1094" w:name="_Toc399"/>
      <w:bookmarkEnd w:id="1093"/>
      <w:r>
        <w:rPr>
          <w:rtl w:val="true"/>
        </w:rPr>
        <w:t>بطلان الوصیّة فی الزائد عن الثلث إلّا مع إجازة الورثة</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نفوذ الوصیّة کونها بمقدار الثلث أو بأقلّ منه، فلو کانت بأزید بطلت فی الزائد، إلّا مع إجازة الورثة بلا إشکال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عن علیّ بن     </w:t>
      </w:r>
      <w:r>
        <w:rPr>
          <w:rFonts w:eastAsia="IRNazanin" w:cs="IRNazanin"/>
          <w:color w:val="111111"/>
          <w:sz w:val="28"/>
          <w:szCs w:val="28"/>
          <w:rtl w:val="true"/>
          <w:lang w:bidi="fa-IR"/>
        </w:rPr>
        <w:t xml:space="preserve">.     .     .     .     .     .     .     .     .     . </w:t>
      </w:r>
      <w:bookmarkStart w:id="1095" w:name="pg13286_154323"/>
    </w:p>
    <w:p>
      <w:pPr>
        <w:pStyle w:val="BookText"/>
        <w:rPr/>
      </w:pPr>
      <w:bookmarkEnd w:id="1095"/>
      <w:r>
        <w:rPr>
          <w:rFonts w:ascii="IRNazanin" w:hAnsi="IRNazanin" w:eastAsia="IRNazanin"/>
          <w:color w:val="111111"/>
          <w:sz w:val="28"/>
          <w:sz w:val="28"/>
          <w:szCs w:val="28"/>
          <w:rtl w:val="true"/>
          <w:lang w:bidi="fa-IR"/>
        </w:rPr>
        <w:t>بابویه</w:t>
      </w:r>
      <w:r>
        <w:rPr>
          <w:rStyle w:val="FootnoteAnchor"/>
          <w:rtl w:val="true"/>
        </w:rPr>
        <w:footnoteReference w:id="1982"/>
      </w:r>
      <w:r>
        <w:rPr>
          <w:rFonts w:ascii="IRNazanin" w:hAnsi="IRNazanin" w:eastAsia="IRNazanin"/>
          <w:color w:val="111111"/>
          <w:sz w:val="28"/>
          <w:sz w:val="28"/>
          <w:szCs w:val="28"/>
          <w:rtl w:val="true"/>
          <w:lang w:bidi="fa-IR"/>
        </w:rPr>
        <w:t> من نفوذها مطلقاً</w:t>
      </w:r>
      <w:r>
        <w:rPr>
          <w:rStyle w:val="FootnoteAnchor"/>
          <w:rtl w:val="true"/>
        </w:rPr>
        <w:footnoteReference w:id="1983"/>
      </w:r>
      <w:r>
        <w:rPr>
          <w:rFonts w:ascii="IRNazanin" w:hAnsi="IRNazanin" w:eastAsia="IRNazanin"/>
          <w:color w:val="111111"/>
          <w:sz w:val="28"/>
          <w:sz w:val="28"/>
          <w:szCs w:val="28"/>
          <w:rtl w:val="true"/>
          <w:lang w:bidi="fa-IR"/>
        </w:rPr>
        <w:t> علی تقدیر ثبوت النسبة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بحصّة مشاعة من الترکة أو بعین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زائدةً وأجازها بعض الورثة دون بعضٍ نفذت</w:t>
      </w:r>
      <w:r>
        <w:rPr>
          <w:rStyle w:val="FootnoteAnchor"/>
          <w:rtl w:val="true"/>
        </w:rPr>
        <w:footnoteReference w:id="1984"/>
      </w:r>
      <w:r>
        <w:rPr>
          <w:rFonts w:ascii="IRNazanin" w:hAnsi="IRNazanin" w:eastAsia="IRNazanin"/>
          <w:color w:val="111111"/>
          <w:sz w:val="28"/>
          <w:sz w:val="28"/>
          <w:szCs w:val="28"/>
          <w:rtl w:val="true"/>
          <w:lang w:bidi="fa-IR"/>
        </w:rPr>
        <w:t> فی حصّة المجیز فقط، ولا یضرّ التبعیض</w:t>
      </w:r>
      <w:r>
        <w:rPr>
          <w:rStyle w:val="FootnoteAnchor"/>
          <w:rtl w:val="true"/>
        </w:rPr>
        <w:footnoteReference w:id="1985"/>
      </w:r>
      <w:r>
        <w:rPr>
          <w:rFonts w:ascii="IRNazanin" w:hAnsi="IRNazanin" w:eastAsia="IRNazanin"/>
          <w:color w:val="111111"/>
          <w:sz w:val="28"/>
          <w:sz w:val="28"/>
          <w:szCs w:val="28"/>
          <w:rtl w:val="true"/>
          <w:lang w:bidi="fa-IR"/>
        </w:rPr>
        <w:t>، کما فی سائر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خلَّف ابناً وبنتاً وأوصی بنصف ترکته فأجاز الابن دون البنت کان للموصی له ثلاثة إلّا ثلث من ستّة، ولو انعکس کان له اثنان وثلث من ستّة</w:t>
      </w:r>
      <w:r>
        <w:rPr>
          <w:rFonts w:eastAsia="IRNazanin" w:cs="IRNazanin"/>
          <w:color w:val="111111"/>
          <w:sz w:val="28"/>
          <w:szCs w:val="28"/>
          <w:rtl w:val="true"/>
          <w:lang w:bidi="fa-IR"/>
        </w:rPr>
        <w:t>.</w:t>
      </w:r>
    </w:p>
    <w:p>
      <w:pPr>
        <w:pStyle w:val="Heading4"/>
        <w:numPr>
          <w:ilvl w:val="3"/>
          <w:numId w:val="1"/>
        </w:numPr>
        <w:rPr/>
      </w:pPr>
      <w:bookmarkStart w:id="1096" w:name="__RefHeading___Toc2139214_2322387425"/>
      <w:bookmarkStart w:id="1097" w:name="_Toc400"/>
      <w:bookmarkEnd w:id="1096"/>
      <w:r>
        <w:rPr>
          <w:rtl w:val="true"/>
        </w:rPr>
        <w:t>وصیّة من لم یقصد الثلث ومن قصد کونها من الأصل أو ثلثی الورثة</w:t>
      </w:r>
      <w:bookmarkEnd w:id="109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نفوذها قصد الموصی کونها من الثلث الّذی جعله الشارع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أوصی بعینٍ غیر ملتفتٍ إلی ثلثه وکانت بقدره أو أقلّ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کونها من الأصل</w:t>
      </w:r>
      <w:r>
        <w:rPr>
          <w:rStyle w:val="FootnoteAnchor"/>
          <w:rtl w:val="true"/>
        </w:rPr>
        <w:footnoteReference w:id="1986"/>
      </w:r>
      <w:r>
        <w:rPr>
          <w:rFonts w:ascii="Amiri" w:hAnsi="Amiri" w:eastAsia="Amiri" w:cs="Amiri"/>
          <w:color w:val="111111"/>
          <w:sz w:val="28"/>
          <w:sz w:val="28"/>
          <w:szCs w:val="28"/>
          <w:rtl w:val="true"/>
          <w:lang w:bidi="ar-SA"/>
        </w:rPr>
        <w:t> أو من ثُلُثَی الورثة وبقاء ثلثه سلیماً مع وصیّته بالثلث سابقاً أو لاحقاً</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بطلت</w:t>
      </w:r>
      <w:r>
        <w:rPr>
          <w:rStyle w:val="FootnoteAnchor"/>
          <w:rtl w:val="true"/>
        </w:rPr>
        <w:footnoteReference w:id="1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لغویّة قصده وصحّة وصیّته فی الثلث، ولغویّة الوصیّة الثانیة بالثلث، وکذالا یبعد صحّتها فی الفرض الآتی ولغویّة قصده، لکن فی الفرعین إشکال، لا یُترک التخلّص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وصیّته بالثلث سابقاً، وأمّا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قصده الوصیّة زائداً عن الثلث فعلاً وقصد بیان مصرف الثلث بعد ذلک فهذه عین الوصیّة بالثلث مع الزیادة،وفی الزائد موقوفة علی إمضاء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لم یرجع إلی الوصیّة بالثلث فعلاً مع الزیادة فقصد کون ذلک من الأصل وزائداً علی الثلث لغو، سواء أوصی بعد ذلکبالثلث أم لم یوصِ، وهذه الوصیّة نافذة بمقدار الثلث، وما أوصی بعد ذلک فموقوف علی الإمضاء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وصیّته بالثلث سابقاً، ومع عدمها فالبطلان محلّ إشکال، ومع عدمها رأساًالظاهر هی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إجازة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إن اتّفق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علی وجه التقیید،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لم</w:t>
      </w:r>
      <w:r>
        <w:rPr>
          <w:rStyle w:val="FootnoteAnchor"/>
          <w:rtl w:val="true"/>
        </w:rPr>
        <w:footnoteReference w:id="1989"/>
      </w:r>
      <w:r>
        <w:rPr>
          <w:rFonts w:ascii="Amiri" w:hAnsi="Amiri" w:eastAsia="Amiri" w:cs="Amiri"/>
          <w:color w:val="111111"/>
          <w:sz w:val="28"/>
          <w:sz w:val="28"/>
          <w:szCs w:val="28"/>
          <w:rtl w:val="true"/>
          <w:lang w:bidi="ar-SA"/>
        </w:rPr>
        <w:t> یوصِ</w:t>
      </w:r>
      <w:r>
        <w:rPr>
          <w:rStyle w:val="FootnoteAnchor"/>
          <w:rtl w:val="true"/>
        </w:rPr>
        <w:footnoteReference w:id="1990"/>
      </w:r>
      <w:r>
        <w:rPr>
          <w:rFonts w:ascii="IRNazanin" w:hAnsi="IRNazanin" w:eastAsia="IRNazanin"/>
          <w:color w:val="111111"/>
          <w:sz w:val="28"/>
          <w:sz w:val="28"/>
          <w:szCs w:val="28"/>
          <w:rtl w:val="true"/>
          <w:lang w:bidi="fa-IR"/>
        </w:rPr>
        <w:t> بالثلث</w:t>
      </w:r>
      <w:r>
        <w:rPr>
          <w:rStyle w:val="FootnoteAnchor"/>
          <w:rtl w:val="true"/>
        </w:rPr>
        <w:footnoteReference w:id="1991"/>
      </w:r>
      <w:r>
        <w:rPr>
          <w:rFonts w:ascii="Amiri" w:hAnsi="Amiri" w:eastAsia="Amiri" w:cs="Amiri"/>
          <w:color w:val="111111"/>
          <w:sz w:val="28"/>
          <w:sz w:val="28"/>
          <w:szCs w:val="28"/>
          <w:rtl w:val="true"/>
          <w:lang w:bidi="ar-SA"/>
        </w:rPr>
        <w:t> أصلاً</w:t>
      </w:r>
      <w:r>
        <w:rPr>
          <w:rStyle w:val="FootnoteAnchor"/>
          <w:rtl w:val="true"/>
        </w:rPr>
        <w:footnoteReference w:id="1992"/>
      </w:r>
      <w:r>
        <w:rPr>
          <w:rFonts w:ascii="Amiri" w:hAnsi="Amiri" w:eastAsia="Amiri" w:cs="Amiri"/>
          <w:color w:val="111111"/>
          <w:sz w:val="28"/>
          <w:sz w:val="28"/>
          <w:szCs w:val="28"/>
          <w:rtl w:val="true"/>
          <w:lang w:bidi="ar-SA"/>
        </w:rPr>
        <w:t>؛ لأنّ الوصیّة</w:t>
      </w:r>
      <w:r>
        <w:rPr>
          <w:rStyle w:val="FootnoteAnchor"/>
          <w:rtl w:val="true"/>
        </w:rPr>
        <w:footnoteReference w:id="1993"/>
      </w:r>
      <w:r>
        <w:rPr>
          <w:rFonts w:ascii="Amiri" w:hAnsi="Amiri" w:eastAsia="Amiri" w:cs="Amiri"/>
          <w:color w:val="111111"/>
          <w:sz w:val="28"/>
          <w:sz w:val="28"/>
          <w:szCs w:val="28"/>
          <w:rtl w:val="true"/>
          <w:lang w:bidi="ar-SA"/>
        </w:rPr>
        <w:t> المفروضة</w:t>
      </w:r>
      <w:r>
        <w:rPr>
          <w:rStyle w:val="FootnoteAnchor"/>
          <w:rtl w:val="true"/>
        </w:rPr>
        <w:footnoteReference w:id="1994"/>
      </w:r>
      <w:r>
        <w:rPr>
          <w:rFonts w:ascii="Amiri" w:hAnsi="Amiri" w:eastAsia="Amiri" w:cs="Amiri"/>
          <w:color w:val="111111"/>
          <w:sz w:val="28"/>
          <w:sz w:val="28"/>
          <w:szCs w:val="28"/>
          <w:rtl w:val="true"/>
          <w:lang w:bidi="ar-SA"/>
        </w:rPr>
        <w:t> مخالفة للشرع</w:t>
      </w:r>
      <w:r>
        <w:rPr>
          <w:rStyle w:val="FootnoteAnchor"/>
          <w:rtl w:val="true"/>
        </w:rPr>
        <w:footnoteReference w:id="1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تکن حینئذٍ زائدة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فی الفرض المذکور، بل وفی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عدم کونها زائدةً علی الثلث کیف یدّعی أنّها مخالفة للشرع وباطلة؟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بلالأظهر الصحّة فی قدر ما یَسعه الثلث علی أیّ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کانت فی</w:t>
      </w:r>
      <w:bookmarkStart w:id="1098" w:name="pg13286_154326"/>
    </w:p>
    <w:p>
      <w:pPr>
        <w:pStyle w:val="BookText"/>
        <w:rPr/>
      </w:pPr>
      <w:bookmarkEnd w:id="1098"/>
      <w:r>
        <w:rPr>
          <w:rFonts w:ascii="Amiri" w:hAnsi="Amiri" w:eastAsia="Amiri" w:cs="Amiri"/>
          <w:color w:val="111111"/>
          <w:sz w:val="28"/>
          <w:sz w:val="28"/>
          <w:szCs w:val="28"/>
          <w:rtl w:val="true"/>
          <w:lang w:bidi="ar-SA"/>
        </w:rPr>
        <w:t>واجبٍ</w:t>
      </w:r>
      <w:r>
        <w:rPr>
          <w:rStyle w:val="FootnoteAnchor"/>
          <w:rtl w:val="true"/>
        </w:rPr>
        <w:footnoteReference w:id="19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لازم الخروج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ما یخرج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من الواجبات المالیّة أقلّ توجب اشتغال ذمّته، ویلحق بها الحجّ الإسلامی من المیقات، لا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نفذت؛ لأنّه یخرج 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مع تصریحه بإخراجه من  الثلث</w:t>
      </w:r>
      <w:r>
        <w:rPr>
          <w:rFonts w:eastAsia="IRNazanin" w:cs="IRNazanin"/>
          <w:color w:val="111111"/>
          <w:sz w:val="28"/>
          <w:szCs w:val="28"/>
          <w:rtl w:val="true"/>
          <w:lang w:bidi="fa-IR"/>
        </w:rPr>
        <w:t>.</w:t>
      </w:r>
    </w:p>
    <w:p>
      <w:pPr>
        <w:pStyle w:val="Heading4"/>
        <w:numPr>
          <w:ilvl w:val="3"/>
          <w:numId w:val="1"/>
        </w:numPr>
        <w:rPr/>
      </w:pPr>
      <w:bookmarkStart w:id="1099" w:name="__RefHeading___Toc2139216_2322387425"/>
      <w:bookmarkStart w:id="1100" w:name="_Toc401"/>
      <w:bookmarkEnd w:id="1099"/>
      <w:r>
        <w:rPr>
          <w:rtl w:val="true"/>
        </w:rPr>
        <w:t>الوصیّة بالأزید أو بتمام الترکة مع الجهل بکونها فی واجب أو فی غیره</w:t>
      </w:r>
      <w:bookmarkEnd w:id="1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أوصی بالأزید أو بتمام ترکته ولم یعلم کونها فی واجبٍ حتّی تنفذ، أو لا حتّی یتوقّف الزائد علی إجازة الورثة، فهل الأصل النفوذ إلّا إذا ثبت عدم کونها بالواجب، أو عدمه إلّا إذا ثبت کونها بالواجب؟ وجهان</w:t>
      </w:r>
      <w:r>
        <w:rPr>
          <w:rStyle w:val="FootnoteAnchor"/>
          <w:rtl w:val="true"/>
        </w:rPr>
        <w:footnoteReference w:id="19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والأقرب بناء المسألة علی الوجهَین فی باب المیراث، من أنّ ترکة المیّت المدیون هل تنتقل بمجرّد موته إلی مَن یرثه وتصیر ملکاً له لکنّه غیر طلق، بلمتعلّق لحقّ الغرماء، أم لا تنتقل إلیه إلّا الزائد عن مقدار الدَین؟ فعلی الأوّل لو شکّ فتجری أصالة عدم تعلّق حقّ الغیر، فلا محذور فی تصرّف الوارث، ولا ضرورة إلی إثبات کون المورد من الواجبات المالیّة حتّی تخرج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الثانی فلایجوز له التصرّف فی الترکة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ربّما یقال بالأوّل</w:t>
      </w:r>
      <w:r>
        <w:rPr>
          <w:rStyle w:val="FootnoteAnchor"/>
          <w:rtl w:val="true"/>
        </w:rPr>
        <w:footnoteReference w:id="1998"/>
      </w:r>
      <w:r>
        <w:rPr>
          <w:rFonts w:ascii="IRNazanin" w:hAnsi="IRNazanin" w:eastAsia="IRNazanin"/>
          <w:color w:val="111111"/>
          <w:sz w:val="28"/>
          <w:sz w:val="28"/>
          <w:szCs w:val="28"/>
          <w:rtl w:val="true"/>
          <w:lang w:bidi="fa-IR"/>
        </w:rPr>
        <w:t>، ویُحمل علیه ما دلّ من الأخبار</w:t>
      </w:r>
      <w:r>
        <w:rPr>
          <w:rStyle w:val="FootnoteAnchor"/>
          <w:rtl w:val="true"/>
        </w:rPr>
        <w:footnoteReference w:id="1999"/>
      </w:r>
      <w:r>
        <w:rPr>
          <w:rFonts w:ascii="IRNazanin" w:hAnsi="IRNazanin" w:eastAsia="IRNazanin"/>
          <w:color w:val="111111"/>
          <w:sz w:val="28"/>
          <w:sz w:val="28"/>
          <w:szCs w:val="28"/>
          <w:rtl w:val="true"/>
          <w:lang w:bidi="fa-IR"/>
        </w:rPr>
        <w:t xml:space="preserve">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بماله کلّه فهو جائز</w:t>
      </w:r>
      <w:r>
        <w:rPr>
          <w:rFonts w:eastAsia="IRNazanin" w:cs="IRNazanin"/>
          <w:color w:val="111111"/>
          <w:sz w:val="28"/>
          <w:szCs w:val="28"/>
          <w:rtl w:val="true"/>
          <w:lang w:bidi="fa-IR"/>
        </w:rPr>
        <w:t>»</w:t>
      </w:r>
      <w:r>
        <w:rPr>
          <w:rStyle w:val="FootnoteAnchor"/>
          <w:rtl w:val="true"/>
        </w:rPr>
        <w:footnoteReference w:id="2000"/>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أحقّ بماله ما دام فیه الروح</w:t>
      </w:r>
      <w:r>
        <w:rPr>
          <w:rFonts w:eastAsia="IRNazanin" w:cs="IRNazanin"/>
          <w:color w:val="111111"/>
          <w:sz w:val="28"/>
          <w:szCs w:val="28"/>
          <w:rtl w:val="true"/>
          <w:lang w:bidi="fa-IR"/>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الأظهر</w:t>
      </w:r>
      <w:r>
        <w:rPr>
          <w:rStyle w:val="FootnoteAnchor"/>
          <w:rtl w:val="true"/>
        </w:rPr>
        <w:footnoteReference w:id="2002"/>
      </w:r>
      <w:r>
        <w:rPr>
          <w:rFonts w:ascii="IRNazanin" w:hAnsi="IRNazanin" w:eastAsia="IRNazanin"/>
          <w:color w:val="111111"/>
          <w:sz w:val="28"/>
          <w:sz w:val="28"/>
          <w:szCs w:val="28"/>
          <w:rtl w:val="true"/>
          <w:lang w:bidi="fa-IR"/>
        </w:rPr>
        <w:t> الثانی؛ لأنّ مقتضی</w:t>
      </w:r>
      <w:r>
        <w:rPr>
          <w:rStyle w:val="FootnoteAnchor"/>
          <w:rtl w:val="true"/>
        </w:rPr>
        <w:footnoteReference w:id="2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ویُشبِه التمسّک بالعامّ فی الشبهة المصداقیّة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صحّتها إذا کانت أزید ذلک، والخارج منه کونها بالواجب وهو غیر</w:t>
      </w:r>
      <w:bookmarkStart w:id="1101" w:name="pg13286_154328"/>
    </w:p>
    <w:p>
      <w:pPr>
        <w:pStyle w:val="BookText"/>
        <w:rPr/>
      </w:pPr>
      <w:bookmarkEnd w:id="1101"/>
      <w:r>
        <w:rPr>
          <w:rFonts w:ascii="IRNazanin" w:hAnsi="IRNazanin" w:eastAsia="IRNazanin"/>
          <w:color w:val="111111"/>
          <w:sz w:val="28"/>
          <w:sz w:val="28"/>
          <w:szCs w:val="28"/>
          <w:rtl w:val="true"/>
          <w:lang w:bidi="fa-IR"/>
        </w:rPr>
        <w:t>معلوم</w:t>
      </w:r>
      <w:r>
        <w:rPr>
          <w:rStyle w:val="FootnoteAnchor"/>
          <w:rtl w:val="true"/>
        </w:rPr>
        <w:footnoteReference w:id="2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 التمسّک بعموم العامّ فی الشبهات المصداقیّة؛ إذ لیس أصلاً منقّحاًللموضوع فی البین، وأصالة عدم کونها من الواجبات من قبیل الاستصحاب العدمالأزلیّ 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إذا أقرّ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بکون ما أوصی به من الواجب علیه 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اُعطُوا مقدار کذا خُمساً أو زکاةً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وشکّ فی أنّها واجبة علیه، أو من باب الاحتیاط المستحبّیّ فإنّها أیضاً تخرج 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الظاهر من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والزکاة الواجب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کلامه اشتغال ذمّته بهما</w:t>
      </w:r>
      <w:r>
        <w:rPr>
          <w:rFonts w:eastAsia="IRNazanin" w:cs="IRNazanin"/>
          <w:color w:val="111111"/>
          <w:sz w:val="28"/>
          <w:szCs w:val="28"/>
          <w:rtl w:val="true"/>
          <w:lang w:bidi="fa-IR"/>
        </w:rPr>
        <w:t>.</w:t>
      </w:r>
    </w:p>
    <w:p>
      <w:pPr>
        <w:pStyle w:val="Heading4"/>
        <w:numPr>
          <w:ilvl w:val="3"/>
          <w:numId w:val="1"/>
        </w:numPr>
        <w:rPr/>
      </w:pPr>
      <w:bookmarkStart w:id="1102" w:name="__RefHeading___Toc2139218_2322387425"/>
      <w:bookmarkStart w:id="1103" w:name="_Toc402"/>
      <w:bookmarkEnd w:id="1102"/>
      <w:r>
        <w:rPr>
          <w:rtl w:val="true"/>
        </w:rPr>
        <w:t>نفوذ إجازة الوارث فی الوصیّة بعد وفاة الموصی وحال حیاته علی کلام</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أجاز الوارث بعد وفاة الموصی فلا إشکال فی نفوذها، ولا یجوز له الرجوع فی إجازته، وأمّا إذا أجاز فی حیاة الموصی ففی نفوذها وعدمه قولان</w:t>
      </w:r>
      <w:r>
        <w:rPr>
          <w:rStyle w:val="FootnoteAnchor"/>
          <w:rtl w:val="true"/>
        </w:rPr>
        <w:footnoteReference w:id="2005"/>
      </w:r>
      <w:r>
        <w:rPr>
          <w:rFonts w:ascii="IRNazanin" w:hAnsi="IRNazanin" w:eastAsia="IRNazanin"/>
          <w:color w:val="111111"/>
          <w:sz w:val="28"/>
          <w:sz w:val="28"/>
          <w:szCs w:val="28"/>
          <w:rtl w:val="true"/>
          <w:lang w:bidi="fa-IR"/>
        </w:rPr>
        <w:t> أقواهما</w:t>
      </w:r>
      <w:r>
        <w:rPr>
          <w:rStyle w:val="FootnoteAnchor"/>
          <w:rtl w:val="true"/>
        </w:rPr>
        <w:footnoteReference w:id="20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کما هو</w:t>
      </w:r>
    </w:p>
    <w:p>
      <w:pPr>
        <w:pStyle w:val="BookText"/>
        <w:rPr/>
      </w:pPr>
      <w:r>
        <w:rPr>
          <w:rFonts w:ascii="IRNazanin" w:hAnsi="IRNazanin" w:eastAsia="IRNazanin"/>
          <w:color w:val="111111"/>
          <w:sz w:val="28"/>
          <w:sz w:val="28"/>
          <w:szCs w:val="28"/>
          <w:rtl w:val="true"/>
          <w:lang w:bidi="fa-IR"/>
        </w:rPr>
        <w:t>المشهور</w:t>
      </w:r>
      <w:r>
        <w:rPr>
          <w:rStyle w:val="FootnoteAnchor"/>
          <w:rtl w:val="true"/>
        </w:rPr>
        <w:footnoteReference w:id="2007"/>
      </w:r>
      <w:r>
        <w:rPr>
          <w:rFonts w:ascii="IRNazanin" w:hAnsi="IRNazanin" w:eastAsia="IRNazanin"/>
          <w:color w:val="111111"/>
          <w:sz w:val="28"/>
          <w:sz w:val="28"/>
          <w:szCs w:val="28"/>
          <w:rtl w:val="true"/>
          <w:lang w:bidi="fa-IR"/>
        </w:rPr>
        <w:t>، للأخبار</w:t>
      </w:r>
      <w:r>
        <w:rPr>
          <w:rStyle w:val="FootnoteAnchor"/>
          <w:rtl w:val="true"/>
        </w:rPr>
        <w:footnoteReference w:id="2008"/>
      </w:r>
      <w:r>
        <w:rPr>
          <w:rStyle w:val="FootnoteAnchor"/>
          <w:rtl w:val="true"/>
        </w:rPr>
        <w:footnoteReference w:id="2009"/>
      </w:r>
      <w:r>
        <w:rPr>
          <w:rFonts w:ascii="IRNazanin" w:hAnsi="IRNazanin" w:eastAsia="IRNazanin"/>
          <w:color w:val="111111"/>
          <w:sz w:val="28"/>
          <w:sz w:val="28"/>
          <w:szCs w:val="28"/>
          <w:rtl w:val="true"/>
          <w:lang w:bidi="fa-IR"/>
        </w:rPr>
        <w:t>المویّدة باحتمال</w:t>
      </w:r>
      <w:r>
        <w:rPr>
          <w:rStyle w:val="FootnoteAnchor"/>
          <w:rtl w:val="true"/>
        </w:rPr>
        <w:footnoteReference w:id="2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علیل، والاحتمال غیر موجَّه، فلا تأیید فی البَین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کما یأتی منه 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کونه ذا حقٍّ فی الثُلُثَین فیرجع إجازته إلی إسقاط حقّه، کما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استفادته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الدالّة علی أنْ لیس للمیّت من ماله إلّا الثُلُث</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والإجازة من الوارث تنفیذ لعمل الموصی، ولیست ابتداءً عطیّةً من الوارث، فلا ینتقل الزائد إلی الموصی له من الوارث بأن ینتقل إلیه بموت الموصی أوّلاً ثمّ ینتقل إلی الموصی له، بل ولا بتقدیر ملکه، بل ینتقل إلیه من الموصی من الأوّل</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1104" w:name="pg13286_154330"/>
    </w:p>
    <w:p>
      <w:pPr>
        <w:pStyle w:val="Heading4"/>
        <w:numPr>
          <w:ilvl w:val="3"/>
          <w:numId w:val="1"/>
        </w:numPr>
        <w:rPr/>
      </w:pPr>
      <w:bookmarkStart w:id="1105" w:name="__RefHeading___Toc2139220_2322387425"/>
      <w:bookmarkStart w:id="1106" w:name="_Toc403"/>
      <w:bookmarkEnd w:id="1104"/>
      <w:bookmarkEnd w:id="1105"/>
      <w:r>
        <w:rPr>
          <w:rtl w:val="true"/>
        </w:rPr>
        <w:t>إذا أجاز الورثة ثمّ ادّعوا الظنّ بقلّة المال</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بعضهم</w:t>
      </w:r>
      <w:r>
        <w:rPr>
          <w:rStyle w:val="FootnoteAnchor"/>
          <w:rtl w:val="true"/>
        </w:rPr>
        <w:footnoteReference w:id="2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أوصی بنصف ماله مثلاً فأجاز الورثة،</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ظنّنا أنّه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علیهم بما ظنّوه، وعلیهم الحِلف علی الزائد</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ظنّنا أنّه ألف درهمٍ فبان أنّه ألف دینارٍ قُضِیَ علیهم  بصحّة الإجازة فی خمس مائة درهم، واُحلِفوا علی نفی ظنّ الزائد</w:t>
      </w:r>
      <w:r>
        <w:rPr>
          <w:rStyle w:val="FootnoteAnchor"/>
          <w:rtl w:val="true"/>
        </w:rPr>
        <w:footnoteReference w:id="20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الحِلف علی وقوع الإجازة علی نصف ألف درهمٍ بمشیریّة عنوان نصف المال إلیه، وعدم وقوعها علی مُعنوَن نصف المال، وهو خمسمائة دینارٍ علی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نفی احتماله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لیرجع إلی الحِلف علی نفی الإجازة عن الزائد ممّا ظنّوا، وإلّا فمجرّد نفی الظنّ لایفید نفی 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فللموصی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الترکة وثُلُث البقیّة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نصف تمام ماله زائداً عن الثلث، وإلّا فضمّ الثلث علی هذا الفرض أیضاًمنظور فیه، ولکنّ ما أفاده ذیلاً هو الأقوی، کما لا یخفی،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لثلث البقیّة زائداً علی خمسمائة دِرهَم؛ لأنّه لو کان المُمضی تمام خمسمائة درهمٍ زائداً علی الثلث فللموصی له ثلث المجموع زائداً علی خمسمائة درهم، وإن کان الممضی سُدُس ألف دِرهَمٍ زائداً علی الثلث فللموصی له ثلث المجموع وسُدُس ألف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لأصالة</w:t>
      </w:r>
      <w:r>
        <w:rPr>
          <w:rStyle w:val="FootnoteAnchor"/>
          <w:rtl w:val="true"/>
        </w:rPr>
        <w:footnoteReference w:id="2015"/>
      </w:r>
      <w:r>
        <w:rPr>
          <w:rFonts w:ascii="IRNazanin" w:hAnsi="IRNazanin" w:eastAsia="IRNazanin"/>
          <w:color w:val="111111"/>
          <w:sz w:val="28"/>
          <w:sz w:val="28"/>
          <w:szCs w:val="28"/>
          <w:rtl w:val="true"/>
          <w:lang w:bidi="fa-IR"/>
        </w:rPr>
        <w:t> عدم</w:t>
      </w:r>
      <w:r>
        <w:rPr>
          <w:rStyle w:val="FootnoteAnchor"/>
          <w:rtl w:val="true"/>
        </w:rPr>
        <w:footnoteReference w:id="2016"/>
      </w:r>
      <w:r>
        <w:rPr>
          <w:rFonts w:ascii="Amiri" w:hAnsi="Amiri" w:eastAsia="Amiri" w:cs="Amiri"/>
          <w:color w:val="111111"/>
          <w:sz w:val="28"/>
          <w:sz w:val="28"/>
          <w:szCs w:val="28"/>
          <w:rtl w:val="true"/>
          <w:lang w:bidi="ar-SA"/>
        </w:rPr>
        <w:t> تعلّق الإجازة بالزائد</w:t>
      </w:r>
      <w:r>
        <w:rPr>
          <w:rStyle w:val="FootnoteAnchor"/>
          <w:rtl w:val="true"/>
        </w:rPr>
        <w:footnoteReference w:id="20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وأصالة عدم</w:t>
      </w:r>
      <w:r>
        <w:rPr>
          <w:rStyle w:val="FootnoteAnchor"/>
          <w:rtl w:val="true"/>
        </w:rPr>
        <w:footnoteReference w:id="2018"/>
      </w:r>
      <w:r>
        <w:rPr>
          <w:rFonts w:ascii="IRNazanin" w:hAnsi="IRNazanin" w:eastAsia="IRNazanin"/>
          <w:color w:val="111111"/>
          <w:sz w:val="28"/>
          <w:sz w:val="28"/>
          <w:szCs w:val="28"/>
          <w:rtl w:val="true"/>
          <w:lang w:bidi="fa-IR"/>
        </w:rPr>
        <w:t> علمهم بالزائد</w:t>
      </w:r>
      <w:r>
        <w:rPr>
          <w:rStyle w:val="FootnoteAnchor"/>
          <w:rtl w:val="true"/>
        </w:rPr>
        <w:footnoteReference w:id="2019"/>
      </w:r>
      <w:r>
        <w:rPr>
          <w:rFonts w:ascii="IRNazanin" w:hAnsi="IRNazanin" w:eastAsia="IRNazanin"/>
          <w:color w:val="111111"/>
          <w:sz w:val="28"/>
          <w:sz w:val="28"/>
          <w:szCs w:val="28"/>
          <w:rtl w:val="true"/>
          <w:lang w:bidi="fa-IR"/>
        </w:rPr>
        <w:t>، بخلاف ما إذا</w:t>
      </w:r>
      <w:r>
        <w:rPr>
          <w:rStyle w:val="FootnoteAnchor"/>
          <w:rtl w:val="true"/>
        </w:rPr>
        <w:footnoteReference w:id="2020"/>
      </w:r>
      <w:r>
        <w:rPr>
          <w:rFonts w:ascii="IRNazanin" w:hAnsi="IRNazanin" w:eastAsia="IRNazanin"/>
          <w:color w:val="111111"/>
          <w:sz w:val="28"/>
          <w:sz w:val="28"/>
          <w:szCs w:val="28"/>
          <w:rtl w:val="true"/>
          <w:lang w:bidi="fa-IR"/>
        </w:rPr>
        <w:t> أوصی</w:t>
      </w:r>
      <w:r>
        <w:rPr>
          <w:rStyle w:val="FootnoteAnchor"/>
          <w:rtl w:val="true"/>
        </w:rPr>
        <w:footnoteReference w:id="2021"/>
      </w:r>
      <w:r>
        <w:rPr>
          <w:rFonts w:ascii="Amiri" w:hAnsi="Amiri" w:eastAsia="Amiri" w:cs="Amiri"/>
          <w:color w:val="111111"/>
          <w:sz w:val="28"/>
          <w:sz w:val="28"/>
          <w:szCs w:val="28"/>
          <w:rtl w:val="true"/>
          <w:lang w:bidi="ar-SA"/>
        </w:rPr>
        <w:t> بعینٍ معیّنةٍ</w:t>
      </w:r>
      <w:r>
        <w:rPr>
          <w:rStyle w:val="FootnoteAnchor"/>
          <w:rtl w:val="true"/>
        </w:rPr>
        <w:footnoteReference w:id="2022"/>
      </w:r>
      <w:r>
        <w:rPr>
          <w:rFonts w:ascii="Amiri" w:hAnsi="Amiri" w:eastAsia="Amiri" w:cs="Amiri"/>
          <w:color w:val="111111"/>
          <w:sz w:val="28"/>
          <w:sz w:val="28"/>
          <w:szCs w:val="28"/>
          <w:rtl w:val="true"/>
          <w:lang w:bidi="ar-SA"/>
        </w:rPr>
        <w:t> کدارٍ أو عبدٍ فأجازوا، ثمّ ادّعوا أنّهم ظنّوا أنّ ذلک أزید من الثلث بقلیل فبان أنّه أزید بکثیرٍ فإنّه لا یُسمَع منهم ذلک؛ لأنّ إجازتهم تعلّقت بمعلومٍ وهو الدار أو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سوّی بین المسألتین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سوّی بینهما فی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Style w:val="FootnoteAnchor"/>
          <w:rtl w:val="true"/>
        </w:rPr>
        <w:footnoteReference w:id="2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کون الأوّل أقوی؛ لأنّه فی الصورة الثانیة یرجع إلی العلّیّة وتخلّف الداعی،بخلاف الصورة الاُولی، فإنّ النصف قابل للکثرة والقلّة، ففی الحقیقة ماتعلّقت الإجازة بالأکثر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التقویة فی صورة الشکّ فی الصدق محلّ تأمّل، وأمّا فی صورة العلم فالأقوی التفصیل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بالسماع فی الاُولی، وعدمه فی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الشکّ فی الصدق، وأمّا مع العلم بصدق المدّعَی فالأقوی فی الصورة الاُولی السماع؛ لأنّ النصف فی نظر مَن یعلم بکون الکلّ ألف درهمٍ لیس إلّا خمسمائة درهم، بخلاف الصورة الثانیة؛ فإنّ العبد لا یتفاوت بکثرة المال وقلّته أوکثرة قیمته وقلّتها، نعم، تخیّل ذلک أوجب إمضاء الدار والعبد، وهذا لا یضرّ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أخذاً</w:t>
      </w:r>
      <w:r>
        <w:rPr>
          <w:rStyle w:val="FootnoteAnchor"/>
          <w:rtl w:val="true"/>
        </w:rPr>
        <w:footnoteReference w:id="20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الأقوی بحسب القواعد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الإجازة بمعلوم کالعبد والدار فلایُسمَع منهم، حتّی مع العلم بصدقهم فی دعواهم، إلّا ما کانت إجازتهم عند إنشائهامقیّدةً بکونه بمقدار کذا، وأمّا إن تعلّقت الإجازة بالنصف مثلاً فتُسمع دعواهم، ثمّهل یکونون مدّعِین وعلیهم الإثبات أم یکونون منکِرِین، أو یفصّل بین ما لو علم من حال الموصی أنّه کان دأبه الاختفاء علی أمواله حتّی علی أقربائه وولده،فیکون قولهم موافقاً لظاهر الحال، أم لم یکن کذلک، ولعلّه یختلف فی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أَوَّلاً وَآخِراً وَصَلَّی اللهُ عَلی مُحَمَّدٍ وَآلِهِ الطَاهِرِین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     .     .     .     .     .     .     .     .     .     .     .</w:t>
      </w:r>
    </w:p>
    <w:p>
      <w:pPr>
        <w:pStyle w:val="BookText"/>
        <w:rPr/>
      </w:pPr>
      <w:r>
        <w:rPr>
          <w:rFonts w:ascii="IRNazanin" w:hAnsi="IRNazanin" w:eastAsia="IRNazanin"/>
          <w:color w:val="111111"/>
          <w:sz w:val="28"/>
          <w:sz w:val="28"/>
          <w:szCs w:val="28"/>
          <w:rtl w:val="true"/>
          <w:lang w:bidi="fa-IR"/>
        </w:rPr>
        <w:t>بظاهر</w:t>
      </w:r>
      <w:r>
        <w:rPr>
          <w:rStyle w:val="FootnoteAnchor"/>
          <w:rtl w:val="true"/>
        </w:rPr>
        <w:footnoteReference w:id="20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الاستظهار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کلامهم فی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کلامهم فی الإجازة لا یوجب عدم سماع الدعوی، نعم، منافاتها للإقرارموجب له إذا لم تکن راجعةً إلی تفسیره، کما فی 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فی سائر المقامات، کما إذا أقرّ بشیءٍ ثمّ ادّعی أنّه ظنّ کذا، أو وهب أو صالح أو نحو ذلک ثمّ ادّعی أنّه ظنّ کذا فإنّه لا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خلافه فی الصورة الاُولی، وأمّا فی الصورة الثانیة ـ وهی تعلّق الوصیّةبمثل الدار والعبد ـ وإن کان یمکن الالتزام بعدم السماع وکونها من قبیل تخلّف الداعی إلّا أنّ الأحوط التصالح بین الورثة والموصی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بصدقهم فی دعواهم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علم کون إجازتهم</w:t>
      </w:r>
      <w:bookmarkStart w:id="1107" w:name="pg13286_154335"/>
    </w:p>
    <w:p>
      <w:pPr>
        <w:pStyle w:val="BookText"/>
        <w:rPr/>
      </w:pPr>
      <w:bookmarkEnd w:id="1107"/>
      <w:r>
        <w:rPr>
          <w:rFonts w:ascii="Amiri" w:hAnsi="Amiri" w:eastAsia="Amiri" w:cs="Amiri"/>
          <w:color w:val="111111"/>
          <w:sz w:val="28"/>
          <w:sz w:val="28"/>
          <w:szCs w:val="28"/>
          <w:rtl w:val="true"/>
          <w:lang w:bidi="ar-SA"/>
        </w:rPr>
        <w:t>مقیّدةً</w:t>
      </w:r>
      <w:r>
        <w:rPr>
          <w:rStyle w:val="FootnoteAnchor"/>
          <w:rtl w:val="true"/>
        </w:rPr>
        <w:footnoteReference w:id="2026"/>
      </w:r>
      <w:r>
        <w:rPr>
          <w:rFonts w:ascii="IRNazanin" w:hAnsi="IRNazanin" w:eastAsia="IRNazanin"/>
          <w:color w:val="111111"/>
          <w:sz w:val="28"/>
          <w:sz w:val="28"/>
          <w:szCs w:val="28"/>
          <w:rtl w:val="true"/>
          <w:lang w:bidi="fa-IR"/>
        </w:rPr>
        <w:t> بکونه</w:t>
      </w:r>
      <w:r>
        <w:rPr>
          <w:rStyle w:val="FootnoteAnchor"/>
          <w:rtl w:val="true"/>
        </w:rPr>
        <w:footnoteReference w:id="2027"/>
      </w:r>
      <w:r>
        <w:rPr>
          <w:rFonts w:ascii="IRNazanin" w:hAnsi="IRNazanin" w:eastAsia="IRNazanin"/>
          <w:color w:val="111111"/>
          <w:sz w:val="28"/>
          <w:sz w:val="28"/>
          <w:szCs w:val="28"/>
          <w:rtl w:val="true"/>
          <w:lang w:bidi="fa-IR"/>
        </w:rPr>
        <w:t> بمقدار کذا</w:t>
      </w:r>
      <w:r>
        <w:rPr>
          <w:rStyle w:val="FootnoteAnchor"/>
          <w:rtl w:val="true"/>
        </w:rPr>
        <w:footnoteReference w:id="2028"/>
      </w:r>
      <w:r>
        <w:rPr>
          <w:rFonts w:ascii="IRNazanin" w:hAnsi="IRNazanin" w:eastAsia="IRNazanin"/>
          <w:color w:val="111111"/>
          <w:sz w:val="28"/>
          <w:sz w:val="28"/>
          <w:szCs w:val="28"/>
          <w:rtl w:val="true"/>
          <w:lang w:bidi="fa-IR"/>
        </w:rPr>
        <w:t> فیرجع إلی عدم الإجازة، ومعه یشکل   </w:t>
      </w:r>
    </w:p>
    <w:p>
      <w:pPr>
        <w:pStyle w:val="BookText"/>
        <w:rPr/>
      </w:pPr>
      <w:r>
        <w:rPr>
          <w:rFonts w:ascii="IRNazanin" w:hAnsi="IRNazanin" w:eastAsia="IRNazanin"/>
          <w:color w:val="111111"/>
          <w:sz w:val="28"/>
          <w:sz w:val="28"/>
          <w:szCs w:val="28"/>
          <w:rtl w:val="true"/>
          <w:lang w:bidi="fa-IR"/>
        </w:rPr>
        <w:t>السماع</w:t>
      </w:r>
      <w:r>
        <w:rPr>
          <w:rStyle w:val="FootnoteAnchor"/>
          <w:rtl w:val="true"/>
        </w:rPr>
        <w:footnoteReference w:id="20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من سهو القلم، وصحیحه یشکل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ما ظنّوه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زیادة المظنون علی المقیّد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2139222_2322387425"/>
      <w:bookmarkStart w:id="1109" w:name="_Toc404"/>
      <w:bookmarkEnd w:id="1108"/>
      <w:r>
        <w:rPr>
          <w:rtl w:val="true"/>
        </w:rPr>
        <w:t>المدار فی الثلث علی حال وفاة الموصی لا حال الوصیّة</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اعتبار الثلث علی حال وفاة</w:t>
      </w:r>
      <w:r>
        <w:rPr>
          <w:rStyle w:val="FootnoteAnchor"/>
          <w:rtl w:val="true"/>
        </w:rPr>
        <w:footnoteReference w:id="20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الموصی، لا حال</w:t>
      </w:r>
    </w:p>
    <w:p>
      <w:pPr>
        <w:pStyle w:val="BookText"/>
        <w:rPr/>
      </w:pPr>
      <w:r>
        <w:rPr>
          <w:rFonts w:ascii="IRNazanin" w:hAnsi="IRNazanin" w:eastAsia="IRNazanin"/>
          <w:color w:val="111111"/>
          <w:sz w:val="28"/>
          <w:sz w:val="28"/>
          <w:szCs w:val="28"/>
          <w:rtl w:val="true"/>
          <w:lang w:bidi="fa-IR"/>
        </w:rPr>
        <w:t>الوصیّة، بل علی حال حصول قبض الوارث</w:t>
      </w:r>
      <w:r>
        <w:rPr>
          <w:rStyle w:val="FootnoteAnchor"/>
          <w:rtl w:val="true"/>
        </w:rPr>
        <w:footnoteReference w:id="20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کون النقص مستنداً إلی تقصیرهم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للترکة إن لم تکن بیدهم حال  الوفاة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أوصی بحصّةٍ مُشاعةٍ کالرُبُع أو الثُلُث وکان ماله بمقدارٍ ثمّ نقص کان النقص مشترکاً</w:t>
      </w:r>
      <w:r>
        <w:rPr>
          <w:rStyle w:val="FootnoteAnchor"/>
          <w:rtl w:val="true"/>
        </w:rPr>
        <w:footnoteReference w:id="2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الحکم متفرّع علی أنّ الظاهر من لفظ الموصی الربع حال الوصیّة أو حال الموت؛ ولذا لو صرّح بالربع حال الوصیّة ثمّ زاد کانت الزیادة للوارث، وکذا لونقص کان النقص علیه ما لم ینقص ربع المال حال الوصیّة عن الثلث حال الوفاة،وکذا لو صرّح بالثلث حال الوصیّة ثمّ زاد المال کانت الزیادة للوارث، نعم، لو نقص کان النقص علیهما؛ لعدم نفوذ الوصیّة فی أکثر من الثلث حال الوفاة، نعم، ما ذکر من الوصیّة بالعین المعیّنة أو بالکلّی مثل مائة دینارٍ فهو من فروع کون المدار فی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حال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الوارث والموصَی له، ولو زاد کانت الزیادة لهما مطلقاً وإن کانت کثیرة جدّاً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یقیّد بما إذا لم تکن کثیرة؛ إذ لا یعلم إرادته هذه الزیادة المتجدّدة، والأصل عدم تعلّق الوصیّة بها، ولکن لا وجه له</w:t>
      </w:r>
      <w:r>
        <w:rPr>
          <w:rStyle w:val="FootnoteAnchor"/>
          <w:rtl w:val="true"/>
        </w:rPr>
        <w:footnoteReference w:id="2033"/>
      </w:r>
      <w:r>
        <w:rPr>
          <w:rFonts w:ascii="IRNazanin" w:hAnsi="IRNazanin" w:eastAsia="IRNazanin"/>
          <w:color w:val="111111"/>
          <w:sz w:val="28"/>
          <w:sz w:val="28"/>
          <w:szCs w:val="28"/>
          <w:rtl w:val="true"/>
          <w:lang w:bidi="fa-IR"/>
        </w:rPr>
        <w:t xml:space="preserve">؛ للزوم العمل بإطلاق </w:t>
      </w:r>
      <w:bookmarkStart w:id="1110" w:name="pg13286_154337"/>
    </w:p>
    <w:p>
      <w:pPr>
        <w:pStyle w:val="BookText"/>
        <w:rPr/>
      </w:pPr>
      <w:bookmarkEnd w:id="1110"/>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قرینة قطعیة</w:t>
      </w:r>
      <w:r>
        <w:rPr>
          <w:rStyle w:val="FootnoteAnchor"/>
          <w:rtl w:val="true"/>
        </w:rPr>
        <w:footnoteReference w:id="20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اطمئنانیّة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عدم إرادته الزیادة المتجدّدة صحّ ما ذکر، لکن علیه لا فرق بین کثرة الزیادة وقلّتها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أوصی بعینٍ معیّنةٍ</w:t>
      </w:r>
      <w:r>
        <w:rPr>
          <w:rStyle w:val="FootnoteAnchor"/>
          <w:rtl w:val="true"/>
        </w:rPr>
        <w:footnoteReference w:id="2035"/>
      </w:r>
      <w:r>
        <w:rPr>
          <w:rFonts w:ascii="IRNazanin" w:hAnsi="IRNazanin" w:eastAsia="IRNazanin"/>
          <w:color w:val="111111"/>
          <w:sz w:val="28"/>
          <w:sz w:val="28"/>
          <w:szCs w:val="28"/>
          <w:rtl w:val="true"/>
          <w:lang w:bidi="fa-IR"/>
        </w:rPr>
        <w:t> کانت بقدر الثلث أو أقلّ ثمّ حصل نقص فی المال أو زیادة فی قیمة تلک العین بحیث صارت أزید من الثلث حال الوفاة بطلت بالنسبة إلی الزائد، مع عدم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أزید من الثلث حال الوصیّة ثمّ زادت الترکة أو نقصت قیمة تلک العین فصارت بقدر الثلث أو أقلّ صحّت الوصیّة فیها، وکذا الحال إذا أوصی بمقدارٍ معیَّنٍ کلّیٍّ کمائة دینارٍ مثلاً</w:t>
      </w:r>
      <w:r>
        <w:rPr>
          <w:rFonts w:eastAsia="IRNazanin" w:cs="IRNazanin"/>
          <w:color w:val="111111"/>
          <w:sz w:val="28"/>
          <w:szCs w:val="28"/>
          <w:rtl w:val="true"/>
          <w:lang w:bidi="fa-IR"/>
        </w:rPr>
        <w:t>.</w:t>
      </w:r>
    </w:p>
    <w:p>
      <w:pPr>
        <w:pStyle w:val="Heading4"/>
        <w:numPr>
          <w:ilvl w:val="3"/>
          <w:numId w:val="1"/>
        </w:numPr>
        <w:rPr/>
      </w:pPr>
      <w:bookmarkStart w:id="1111" w:name="__RefHeading___Toc2139224_2322387425"/>
      <w:bookmarkStart w:id="1112" w:name="_Toc405"/>
      <w:bookmarkEnd w:id="1111"/>
      <w:r>
        <w:rPr>
          <w:rtl w:val="true"/>
        </w:rPr>
        <w:t>حکم الوصیّة بمقدار ثمّ تلف بعض الترکة قبل تنفیذ الوصیّة</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یحتمل</w:t>
      </w:r>
      <w:r>
        <w:rPr>
          <w:rStyle w:val="FootnoteAnchor"/>
          <w:rtl w:val="true"/>
        </w:rPr>
        <w:footnoteReference w:id="2036"/>
      </w:r>
      <w:r>
        <w:rPr>
          <w:rFonts w:ascii="IRNazanin" w:hAnsi="IRNazanin" w:eastAsia="IRNazanin"/>
          <w:color w:val="111111"/>
          <w:sz w:val="28"/>
          <w:sz w:val="28"/>
          <w:szCs w:val="28"/>
          <w:rtl w:val="true"/>
          <w:lang w:bidi="fa-IR"/>
        </w:rPr>
        <w:t> فیما لو أوصی بعینٍ معیّنةٍ أو بکلّیٍّ کمائة دینارٍ مثلاً أنّه إذا اُتلف من الترکة بعد موت الموصی یُرَدّ النقص علیهما أیضاً بالنسبة، کما فی الحصّة المشاعة وإن کان الثلث وافیاً؛ وذلک بدعوی أنّ الوصیّة بهما ترجع إلی الوصیّة بمقدار ما یساوی قیمتها، فیرجع إلی الوصیّة بحصّةٍ مشاعة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w:t>
      </w:r>
      <w:r>
        <w:rPr>
          <w:rStyle w:val="FootnoteAnchor"/>
          <w:rtl w:val="true"/>
        </w:rPr>
        <w:footnoteReference w:id="2037"/>
      </w:r>
      <w:r>
        <w:rPr>
          <w:rFonts w:ascii="IRNazanin" w:hAnsi="IRNazanin" w:eastAsia="IRNazanin"/>
          <w:color w:val="111111"/>
          <w:sz w:val="28"/>
          <w:sz w:val="28"/>
          <w:szCs w:val="28"/>
          <w:rtl w:val="true"/>
          <w:lang w:bidi="fa-IR"/>
        </w:rPr>
        <w:t> عدم ورود النقص علیهما ما دام الثلث وافیاً،</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ورجوعهما إلی الحصّة المشاعة فی الثلث أو فی الترکة لا وجه له، خصوصاً فی الوصیّة بالعین المعیّنة</w:t>
      </w:r>
      <w:r>
        <w:rPr>
          <w:rFonts w:eastAsia="IRNazanin" w:cs="IRNazanin"/>
          <w:color w:val="111111"/>
          <w:sz w:val="28"/>
          <w:szCs w:val="28"/>
          <w:rtl w:val="true"/>
          <w:lang w:bidi="fa-IR"/>
        </w:rPr>
        <w:t xml:space="preserve">. </w:t>
      </w:r>
      <w:bookmarkStart w:id="1113" w:name="pg13286_154338"/>
    </w:p>
    <w:p>
      <w:pPr>
        <w:pStyle w:val="Heading4"/>
        <w:numPr>
          <w:ilvl w:val="3"/>
          <w:numId w:val="1"/>
        </w:numPr>
        <w:rPr/>
      </w:pPr>
      <w:bookmarkStart w:id="1114" w:name="__RefHeading___Toc2139226_2322387425"/>
      <w:bookmarkStart w:id="1115" w:name="_Toc406"/>
      <w:bookmarkEnd w:id="1113"/>
      <w:bookmarkEnd w:id="1114"/>
      <w:r>
        <w:rPr>
          <w:rtl w:val="true"/>
        </w:rPr>
        <w:t>المال الحاصل للموصی بعد الموت</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للموصی مال بعد الموت ـ کما إذا نصب</w:t>
      </w:r>
      <w:r>
        <w:rPr>
          <w:rStyle w:val="FootnoteAnchor"/>
          <w:rtl w:val="true"/>
        </w:rPr>
        <w:footnoteReference w:id="2038"/>
      </w:r>
      <w:r>
        <w:rPr>
          <w:rFonts w:ascii="IRNazanin" w:hAnsi="IRNazanin" w:eastAsia="IRNazanin"/>
          <w:color w:val="111111"/>
          <w:sz w:val="28"/>
          <w:sz w:val="28"/>
          <w:szCs w:val="28"/>
          <w:rtl w:val="true"/>
          <w:lang w:bidi="fa-IR"/>
        </w:rPr>
        <w:t> شبکة فوقع فیها صید بعد موته ـ یخرج منه الوصیّة</w:t>
      </w:r>
      <w:r>
        <w:rPr>
          <w:rStyle w:val="FootnoteAnchor"/>
          <w:rtl w:val="true"/>
        </w:rPr>
        <w:footnoteReference w:id="2039"/>
      </w:r>
      <w:r>
        <w:rPr>
          <w:rFonts w:ascii="IRNazanin" w:hAnsi="IRNazanin" w:eastAsia="IRNazanin"/>
          <w:color w:val="111111"/>
          <w:sz w:val="28"/>
          <w:sz w:val="28"/>
          <w:szCs w:val="28"/>
          <w:rtl w:val="true"/>
          <w:lang w:bidi="fa-IR"/>
        </w:rPr>
        <w:t>، کما یخرج منه الدیون، فلو کان أوصی بالثلث أو الربع اُخذ ثلث ذلک المال أیضاً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أوصی بعینٍ</w:t>
      </w:r>
      <w:r>
        <w:rPr>
          <w:rStyle w:val="FootnoteAnchor"/>
          <w:rtl w:val="true"/>
        </w:rPr>
        <w:footnoteReference w:id="2040"/>
      </w:r>
      <w:r>
        <w:rPr>
          <w:rFonts w:ascii="IRNazanin" w:hAnsi="IRNazanin" w:eastAsia="IRNazanin"/>
          <w:color w:val="111111"/>
          <w:sz w:val="28"/>
          <w:sz w:val="28"/>
          <w:szCs w:val="28"/>
          <w:rtl w:val="true"/>
          <w:lang w:bidi="fa-IR"/>
        </w:rPr>
        <w:t> وکانت أزید من الثلث حین الموت وخرجت منه بضمّ ذلک المال نفذت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أوصی بکلّیٍّ کمائة دینارٍ مثلاً، بل لو أوصی ثمّ قُتِل حسبت دیته من جملة ترکته</w:t>
      </w:r>
      <w:r>
        <w:rPr>
          <w:rStyle w:val="FootnoteAnchor"/>
          <w:rtl w:val="true"/>
        </w:rPr>
        <w:footnoteReference w:id="2041"/>
      </w:r>
      <w:r>
        <w:rPr>
          <w:rFonts w:ascii="IRNazanin" w:hAnsi="IRNazanin" w:eastAsia="IRNazanin"/>
          <w:color w:val="111111"/>
          <w:sz w:val="28"/>
          <w:sz w:val="28"/>
          <w:szCs w:val="28"/>
          <w:rtl w:val="true"/>
          <w:lang w:bidi="fa-IR"/>
        </w:rPr>
        <w:t>، فیخرج منها الثلث، کما یخرج منها دیونه إذا کان القتل خطأً، بل وإن کان عمداً وصالحوا علی الدیة؛ للنصوص الخاصّة</w:t>
      </w:r>
      <w:r>
        <w:rPr>
          <w:rStyle w:val="FootnoteAnchor"/>
          <w:rtl w:val="true"/>
        </w:rPr>
        <w:footnoteReference w:id="2042"/>
      </w:r>
      <w:r>
        <w:rPr>
          <w:rFonts w:ascii="IRNazanin" w:hAnsi="IRNazanin" w:eastAsia="IRNazanin"/>
          <w:color w:val="111111"/>
          <w:sz w:val="28"/>
          <w:sz w:val="28"/>
          <w:szCs w:val="28"/>
          <w:rtl w:val="true"/>
          <w:lang w:bidi="fa-IR"/>
        </w:rPr>
        <w:t>، مضافاً إلی الاعتبار</w:t>
      </w:r>
      <w:r>
        <w:rPr>
          <w:rStyle w:val="FootnoteAnchor"/>
          <w:rtl w:val="true"/>
        </w:rPr>
        <w:footnoteReference w:id="2043"/>
      </w:r>
      <w:r>
        <w:rPr>
          <w:rFonts w:ascii="IRNazanin" w:hAnsi="IRNazanin" w:eastAsia="IRNazanin"/>
          <w:color w:val="111111"/>
          <w:sz w:val="28"/>
          <w:sz w:val="28"/>
          <w:szCs w:val="28"/>
          <w:rtl w:val="true"/>
          <w:lang w:bidi="fa-IR"/>
        </w:rPr>
        <w:t>، وهو کونه أحقّ بعوض</w:t>
      </w:r>
      <w:r>
        <w:rPr>
          <w:rStyle w:val="FootnoteAnchor"/>
          <w:rtl w:val="true"/>
        </w:rPr>
        <w:footnoteReference w:id="2044"/>
      </w:r>
      <w:r>
        <w:rPr>
          <w:rFonts w:ascii="IRNazanin" w:hAnsi="IRNazanin" w:eastAsia="IRNazanin"/>
          <w:color w:val="111111"/>
          <w:sz w:val="28"/>
          <w:sz w:val="28"/>
          <w:szCs w:val="28"/>
          <w:rtl w:val="true"/>
          <w:lang w:bidi="fa-IR"/>
        </w:rPr>
        <w:t> نفسه من غیره</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إذا أخذ دیةَ جُرحِه خطأً، بل أو 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16" w:name="pg13286_154339"/>
    </w:p>
    <w:p>
      <w:pPr>
        <w:pStyle w:val="Heading3"/>
        <w:numPr>
          <w:ilvl w:val="2"/>
          <w:numId w:val="1"/>
        </w:numPr>
        <w:rPr/>
      </w:pPr>
      <w:bookmarkStart w:id="1117" w:name="__RefHeading___Toc2139228_2322387425"/>
      <w:bookmarkStart w:id="1118" w:name="_Toc407"/>
      <w:bookmarkEnd w:id="1116"/>
      <w:bookmarkEnd w:id="1117"/>
      <w:r>
        <w:rPr>
          <w:rtl w:val="true"/>
        </w:rPr>
        <w:t>مِسک الختام</w:t>
      </w:r>
      <w:bookmarkEnd w:id="1118"/>
    </w:p>
    <w:p>
      <w:pPr>
        <w:pStyle w:val="BookText"/>
        <w:rPr/>
      </w:pPr>
      <w:r>
        <w:rPr>
          <w:rFonts w:ascii="IRNazanin" w:hAnsi="IRNazanin" w:eastAsia="IRNazanin"/>
          <w:color w:val="111111"/>
          <w:sz w:val="28"/>
          <w:sz w:val="28"/>
          <w:szCs w:val="28"/>
          <w:rtl w:val="true"/>
          <w:lang w:bidi="fa-IR"/>
        </w:rPr>
        <w:t xml:space="preserve">بحمدِ اللهِ ومنِّهِ، وبتوفیقٍ وتسدیدٍ من جزیل عطایاه إنتهی الجزء الخامس عشر 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تمّ هذا المشروع العلمیّ الخالد، الزاخر بمنهل ینابیع العلوم والحکمة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القرآن الکریم وسنّة صاحب الرسالة صلی الله علیه و آله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ومن خلال الحشد الهائل للتعلیقات علی متون العروة الوثقی، یتجلّی بوضوح سَیْر تطوّر الفقه الناتج من تتبّع جهابذة العلم والاجتهاد من الطائفة الحقّة، نوّر الله مراقد راحلیهم وأدام ظلّ حاضریهم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نقدّم فائق تقدیرنا وشکرنا لرئاسة المؤسّسة، سماحة آیة الله السیّد الموسویّ الإصفهانیّ دام ظلّه ؛ لإشرافه وتوجیهاته القیّمة ، وأیضآ دعمه وتشجیعه المبارَکَین لهذا المشروع العلمیّ الکبیر وسائر نشاطات المؤسّسة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ونقدّم فائق شکرنا وکثیر اعتزازنا لکلّ الإخوة الأساتذة والأفاضل المنتسبین للمدارس الحوزویّة والمراکز العلمیّة الاُخری، ممّن ساهم وعمل فی مختلف أنشطة هذا السِفر القیّم وفی تحقیق أهدافه المنشودة بأقصی دقّةٍ وسرعة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ونُعلم أنـّه سنُلحق إلی هذه المجموعة ما صنّفه الفقیه الأعظم السیّد الطباطبائی الیزدی قدّس سرّه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قریبآ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والحمدُ لله أوّلاً وآخراً علی جمیع ما أنعم ، والشکر علی جمیع ما أعطی وأکرم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السبطین علیهما السّلام العالمیّة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مصوّرة الصفحة الاُولی من النسخة المخطوطة بأنامل المؤلّف قدّس سرّه </w:t>
      </w:r>
    </w:p>
    <w:p>
      <w:pPr>
        <w:pStyle w:val="BookText"/>
        <w:rPr/>
      </w:pPr>
      <w:r>
        <w:rPr>
          <w:rFonts w:ascii="IRNazanin" w:hAnsi="IRNazanin" w:eastAsia="IRNazanin"/>
          <w:color w:val="111111"/>
          <w:sz w:val="28"/>
          <w:sz w:val="28"/>
          <w:szCs w:val="28"/>
          <w:rtl w:val="true"/>
          <w:lang w:bidi="fa-IR"/>
        </w:rPr>
        <w:t>مصوّرة الصفحة الأخیرة من النسخة المخطوطة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ویظهر منها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یُتِمَّ مسائلَ الوصیّة </w:t>
      </w:r>
      <w:bookmarkStart w:id="1119" w:name="pg13286_154342"/>
    </w:p>
    <w:p>
      <w:pPr>
        <w:pStyle w:val="Heading2"/>
        <w:numPr>
          <w:ilvl w:val="1"/>
          <w:numId w:val="1"/>
        </w:numPr>
        <w:rPr/>
      </w:pPr>
      <w:bookmarkStart w:id="1120" w:name="__RefHeading___Toc2139230_2322387425"/>
      <w:bookmarkStart w:id="1121" w:name="_Toc408"/>
      <w:bookmarkEnd w:id="1119"/>
      <w:bookmarkEnd w:id="1120"/>
      <w:r>
        <w:rPr>
          <w:rtl w:val="true"/>
        </w:rPr>
        <w:t>الفهارس الفنّیّه</w:t>
      </w:r>
      <w:bookmarkEnd w:id="1121"/>
    </w:p>
    <w:p>
      <w:pPr>
        <w:pStyle w:val="Heading3"/>
        <w:numPr>
          <w:ilvl w:val="2"/>
          <w:numId w:val="1"/>
        </w:numPr>
        <w:rPr/>
      </w:pPr>
      <w:bookmarkStart w:id="1122" w:name="__RefHeading___Toc2139232_2322387425"/>
      <w:bookmarkStart w:id="1123" w:name="_Toc409"/>
      <w:bookmarkEnd w:id="1122"/>
      <w:r>
        <w:rPr>
          <w:rtl w:val="true"/>
        </w:rPr>
        <w:t>اشارة</w:t>
      </w:r>
      <w:bookmarkEnd w:id="1123"/>
    </w:p>
    <w:p>
      <w:pPr>
        <w:pStyle w:val="BookText"/>
        <w:rPr/>
      </w:pPr>
      <w:r>
        <w:rPr>
          <w:rFonts w:ascii="IRNazanin" w:hAnsi="IRNazanin" w:eastAsia="IRNazanin"/>
          <w:color w:val="111111"/>
          <w:sz w:val="28"/>
          <w:sz w:val="28"/>
          <w:szCs w:val="28"/>
          <w:rtl w:val="true"/>
          <w:lang w:bidi="fa-IR"/>
        </w:rPr>
        <w:t>فهرست محتویات الکتـاب</w:t>
      </w:r>
    </w:p>
    <w:p>
      <w:pPr>
        <w:pStyle w:val="BookText"/>
        <w:rPr/>
      </w:pPr>
      <w:r>
        <w:rPr>
          <w:rFonts w:ascii="IRNazanin" w:hAnsi="IRNazanin" w:eastAsia="IRNazanin"/>
          <w:color w:val="111111"/>
          <w:sz w:val="28"/>
          <w:sz w:val="28"/>
          <w:szCs w:val="28"/>
          <w:rtl w:val="true"/>
          <w:lang w:bidi="fa-IR"/>
        </w:rPr>
        <w:t>فهرست الإصدارات العلمیّة</w:t>
      </w:r>
    </w:p>
    <w:p>
      <w:pPr>
        <w:pStyle w:val="BookText"/>
        <w:rPr/>
      </w:pPr>
      <w:r>
        <w:rPr>
          <w:rFonts w:ascii="IRNazanin" w:hAnsi="IRNazanin" w:eastAsia="IRNazanin"/>
          <w:color w:val="111111"/>
          <w:sz w:val="28"/>
          <w:sz w:val="28"/>
          <w:szCs w:val="28"/>
          <w:rtl w:val="true"/>
          <w:lang w:bidi="fa-IR"/>
        </w:rPr>
        <w:t>فهرست محتویات الجزء الخامس عشر من کتاب</w:t>
      </w:r>
    </w:p>
    <w:p>
      <w:pPr>
        <w:pStyle w:val="BookText"/>
        <w:rPr/>
      </w:pPr>
      <w:r>
        <w:rPr>
          <w:rFonts w:ascii="IRNazanin" w:hAnsi="IRNazanin" w:eastAsia="IRNazanin"/>
          <w:color w:val="111111"/>
          <w:sz w:val="28"/>
          <w:sz w:val="28"/>
          <w:szCs w:val="28"/>
          <w:rtl w:val="true"/>
          <w:lang w:bidi="fa-IR"/>
        </w:rPr>
        <w:t>العروة الوثقی والتعلیقات علیها</w:t>
      </w:r>
    </w:p>
    <w:p>
      <w:pPr>
        <w:pStyle w:val="Heading3"/>
        <w:numPr>
          <w:ilvl w:val="2"/>
          <w:numId w:val="1"/>
        </w:numPr>
        <w:rPr/>
      </w:pPr>
      <w:bookmarkStart w:id="1124" w:name="__RefHeading___Toc2139234_2322387425"/>
      <w:bookmarkStart w:id="1125" w:name="_Toc410"/>
      <w:bookmarkEnd w:id="1124"/>
      <w:r>
        <w:rPr>
          <w:rtl w:val="true"/>
        </w:rPr>
        <w:t>کتاب الضمان</w:t>
      </w:r>
      <w:bookmarkEnd w:id="11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الضمان وإطلاقاته وشرائطه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من المضمون له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الضامن بالغاً عاقلاً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مختاراً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کونه محجوراً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کون الضامن مملوکاً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الدین فیذمّة المضمون عنه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اشتغال ذمّة الضامن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الدین والمضمون له والمضمون عنه        </w:t>
      </w:r>
      <w:r>
        <w:rPr>
          <w:rFonts w:eastAsia="IRNazanin" w:cs="IRNazanin"/>
          <w:color w:val="111111"/>
          <w:sz w:val="28"/>
          <w:szCs w:val="28"/>
          <w:lang w:bidi="fa-IR"/>
        </w:rPr>
        <w:t>32</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اعتبار العلم بمقدار المضمون أو جنسه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انتقال الحق إلی ذمّة الضامن بالضمان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إبراء ذمّة الضامن والمضمون عنه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لزوم الضمان من طرف الضامن والمضمون له وحکم ضمان المعسر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اشتراط الخیار وغیره فی الضمان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تبیّن کون الضامن مملوکاً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ضمان الدَین الحالّ مؤجّلاً وبالعکس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حکم ضمان الدَین الحال مؤجّلاً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موت الضامن وحلول الدَین المؤجّل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ضمان الدَین المؤجّل حالّاً بإذن المضمون عنه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ضمان الدَین المؤجّل بأقلّ من أجله وأدائه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حکم الضمان من غیر إذن المضمون عنه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لیس للضامن الرجوع إلّا بعد الأداء بمقدار ما أدّی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احتساب المضمون له الدَین علی الضامن من الحقوق الشرعیّة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بیع المضمون له بما یساوی أقلّ من الدَین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لو دفع المضمون عنه إلی الضامن مقدار ما ضمن قبل الأداء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لو دفع المضمون عنه بأمر الضامن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إذا دفع المضمون عنه بغیر إذن الضامن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إذا ضمن تبرّعاً فضمن عنه ضامن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ضمان الدَین بأقلّ منه أو أکثر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الضمان بغیر جنس الدَین           </w:t>
      </w:r>
      <w:r>
        <w:rPr>
          <w:rFonts w:eastAsia="IRNazanin" w:cs="IRNazanin"/>
          <w:color w:val="111111"/>
          <w:sz w:val="28"/>
          <w:szCs w:val="28"/>
          <w:lang w:bidi="fa-IR"/>
        </w:rPr>
        <w:t>58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الضمان بشرط الرهانة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کان علی الدَین رهن فهل ینفک بالضمان؟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اشتراط الضمان فی مالٍ معیّن وما فیه من أقسام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إذن المولی لعبده بالضمان فی کسبه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ضمان إثنین عن واحد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ضمان کلّ من المدینین ما علیه للاخر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عدم اعتبار علم الضامن بثبوت الدَین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ضمان ما تشهد به البیّنة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جواز الدور فی الضمان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ضمان دَین الفقیر بالوفاء من الخمس ونحوه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کون الدَین زکاةً أو خمساً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الضمان فی مرض الموت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ضمان ما یعتبر مباشرة المدیون له وضمان الکلّی فی المعیّن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حکم ضمان نفقة الزوجة والأقارب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ضمان مال الکتابة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 ضمان مال الجعالة والسبق والرمایة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 ضمان الأعیان المضمونة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 ضمان درک الثمن للمشتری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ضمان أرش المعیب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ضمان عهدة الثمن وتبیّن بعض المبیع مستحقّاً    </w:t>
      </w:r>
      <w:r>
        <w:rPr>
          <w:rFonts w:eastAsia="IRNazanin" w:cs="IRNazanin"/>
          <w:color w:val="111111"/>
          <w:sz w:val="28"/>
          <w:szCs w:val="28"/>
          <w:lang w:bidi="fa-IR"/>
        </w:rPr>
        <w:t>93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ما یحدثه المشتری فی الأرض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126" w:name="pg13286_154345"/>
    </w:p>
    <w:p>
      <w:pPr>
        <w:pStyle w:val="BookText"/>
        <w:rPr/>
      </w:pPr>
      <w:bookmarkEnd w:id="1126"/>
      <w:r>
        <w:rPr>
          <w:rFonts w:ascii="IRNazanin" w:hAnsi="IRNazanin" w:eastAsia="IRNazanin"/>
          <w:color w:val="111111"/>
          <w:sz w:val="28"/>
          <w:sz w:val="28"/>
          <w:szCs w:val="28"/>
          <w:rtl w:val="true"/>
          <w:lang w:bidi="fa-IR"/>
        </w:rPr>
        <w:t xml:space="preserve">ضمان المتاع الملقی فی البحر لغرضٍ عقلائی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اختلاف المضمون له والمضمون عنه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اختلاف الضامن والمضمون له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اختلاف الضامن والمضمون عنه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إنکار الضامن الضمان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 ادّعی الضامن الوفاء وأنکر المضمون له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لو أذِن له المدین فی وفاء دینه بلا ضمان فوفی   </w:t>
      </w:r>
      <w:r>
        <w:rPr>
          <w:rFonts w:eastAsia="IRNazanin" w:cs="IRNazanin"/>
          <w:color w:val="111111"/>
          <w:sz w:val="28"/>
          <w:szCs w:val="28"/>
          <w:lang w:bidi="fa-IR"/>
        </w:rPr>
        <w:t>107</w:t>
      </w:r>
    </w:p>
    <w:p>
      <w:pPr>
        <w:pStyle w:val="Heading3"/>
        <w:numPr>
          <w:ilvl w:val="2"/>
          <w:numId w:val="1"/>
        </w:numPr>
        <w:rPr/>
      </w:pPr>
      <w:bookmarkStart w:id="1127" w:name="__RefHeading___Toc2139236_2322387425"/>
      <w:bookmarkStart w:id="1128" w:name="_Toc411"/>
      <w:bookmarkEnd w:id="1127"/>
      <w:r>
        <w:rPr>
          <w:rtl w:val="true"/>
        </w:rPr>
        <w:t>کتاب الحوالة</w:t>
      </w:r>
      <w:bookmarkEnd w:id="1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تعریف الحوالة وشرائطها العامّة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الشرائط المعتبرة فی الحوالة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التنجیز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من المحیل والمحتال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المحال به ثابتاً فی ذمّة المحیل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المحال به معلوماً جنساً وقدراً لهما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المالین المحال به والمحال علیه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الحوالة بالمنفعة والعمل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براءة ذمّة المحیل بمجرّد تحقّق الحوالة   </w:t>
      </w:r>
      <w:r>
        <w:rPr>
          <w:rFonts w:eastAsia="IRNazanin" w:cs="IRNazanin"/>
          <w:color w:val="111111"/>
          <w:sz w:val="28"/>
          <w:szCs w:val="28"/>
          <w:lang w:bidi="fa-IR"/>
        </w:rPr>
        <w:t>137</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وجوب قبول الحوالة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129" w:name="pg13286_154346"/>
    </w:p>
    <w:p>
      <w:pPr>
        <w:pStyle w:val="BookText"/>
        <w:rPr/>
      </w:pPr>
      <w:bookmarkEnd w:id="1129"/>
      <w:r>
        <w:rPr>
          <w:rFonts w:ascii="IRNazanin" w:hAnsi="IRNazanin" w:eastAsia="IRNazanin"/>
          <w:color w:val="111111"/>
          <w:sz w:val="28"/>
          <w:sz w:val="28"/>
          <w:szCs w:val="28"/>
          <w:rtl w:val="true"/>
          <w:lang w:bidi="fa-IR"/>
        </w:rPr>
        <w:t xml:space="preserve">لزوم الحوالة ما لم تکن علی معسر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الحوالة علی البریء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اشتراط خیار الفسخ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جواز الدور والترامی فی الحوالة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جواز التبرّع عن الغیر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لو ادّعی المحیل علی المحال علیه مالاً فأنکره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اشتغال ذمّة المحیل للبریء عند الحوالة أو الأداء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حوالة السیّد علی مکاتبه بمال الکتابة وفروع فی المقام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الاختلاف فی کون الواقع حوالة أو وکالة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إذا وقعت الحوالة علی المشتری وبالعکس وتبیّن بطلان البیع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إذا وقعت الحوالة بأحد الوجهین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إذا أحال علی وکیله بمال شخصی فی یده           </w:t>
      </w:r>
      <w:r>
        <w:rPr>
          <w:rFonts w:eastAsia="IRNazanin" w:cs="IRNazanin"/>
          <w:color w:val="111111"/>
          <w:sz w:val="28"/>
          <w:szCs w:val="28"/>
          <w:lang w:bidi="fa-IR"/>
        </w:rPr>
        <w:t>159</w:t>
      </w:r>
    </w:p>
    <w:p>
      <w:pPr>
        <w:pStyle w:val="Heading3"/>
        <w:numPr>
          <w:ilvl w:val="2"/>
          <w:numId w:val="1"/>
        </w:numPr>
        <w:rPr/>
      </w:pPr>
      <w:bookmarkStart w:id="1130" w:name="__RefHeading___Toc2139238_2322387425"/>
      <w:bookmarkStart w:id="1131" w:name="_Toc412"/>
      <w:bookmarkEnd w:id="1130"/>
      <w:r>
        <w:rPr>
          <w:rtl w:val="true"/>
        </w:rPr>
        <w:t>کتاب النکاح</w:t>
      </w:r>
      <w:bookmarkEnd w:id="1131"/>
    </w:p>
    <w:p>
      <w:pPr>
        <w:pStyle w:val="BookText"/>
        <w:rPr/>
      </w:pPr>
      <w:r>
        <w:rPr>
          <w:rFonts w:ascii="IRNazanin" w:hAnsi="IRNazanin" w:eastAsia="IRNazanin"/>
          <w:color w:val="111111"/>
          <w:sz w:val="28"/>
          <w:sz w:val="28"/>
          <w:szCs w:val="28"/>
          <w:rtl w:val="true"/>
          <w:lang w:bidi="fa-IR"/>
        </w:rPr>
        <w:t>فصل فی فضل النکاح وآدابه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التزوّج بالنساء وحبهنّ من سنن الإسلام المؤکّدة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کراهة العزوبة وثبوت الاستحباب للنکاح من غیر اختصاص بواحدة أو بنوع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حکم النکاح بالنظر إلی الطبیعة والطوارئ           </w:t>
      </w:r>
      <w:r>
        <w:rPr>
          <w:rFonts w:eastAsia="IRNazanin" w:cs="IRNazanin"/>
          <w:color w:val="111111"/>
          <w:sz w:val="28"/>
          <w:szCs w:val="28"/>
          <w:lang w:bidi="fa-IR"/>
        </w:rPr>
        <w:t>166</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مستحبات من أراد التزویج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المکروه عند إیقاع العقد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ترجیح جملة صفات للتزویج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الأخبار فی کراهة تزویج جملة من الرجال وما تحمل علیه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مستحبّات الدخول علی الزوجة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أکل ما ینثر فی الأعراس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مستحبّات ومکروهات الجماع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أوقات کراهة الجماع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جملة من سنن النکاح وآدابه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النظر إلی المرأة لمن یرید تزویجها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نظر المرأة إلی الرجل الّذی یرید تزویجها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النظر إلی نساء أهل الذمّة وسائر الکفّار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نظر کلّ من الرجل والمرأة لمماثله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حلّیّة کلّ المرأة لزوجها والرجل لزوجته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نظر الخنثی إلی الذکر وبالعکس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حکم النظر إلی الأجنبیّة وهی إلی الأجنبی وحکم الوجه والکفّین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النظر إلی المحارم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نظر السیّد إلی مملوکته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موارد الاستثناء من الحرمة فی الأجنبی والأجنبیّة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حمل وتقبیل الصبیّة من غیر المحارم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نظر المملوک والخصی لمالکتهما           </w:t>
      </w:r>
      <w:r>
        <w:rPr>
          <w:rFonts w:eastAsia="IRNazanin" w:cs="IRNazanin"/>
          <w:color w:val="111111"/>
          <w:sz w:val="28"/>
          <w:szCs w:val="28"/>
          <w:lang w:bidi="fa-IR"/>
        </w:rPr>
        <w:t>196</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المرأة للرجل الأعمی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سماع صوت الأجنبیّة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مصافحة الأجنبی للأجنبیّة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السلام علی النساء من غیر المحارم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الجلوس فی مجلس المرأة قبل برده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الاستئذان علی الأب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تفریق الأطفال فی المضاجع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النظر إلی العضو المبان من الأجنبیّ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وصل شعر المرأة بشعر غیرها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عدم اقتضاء جواز النظر جواز المسّ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اعتبار عدم التعدّی عن مقدار الضرورة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کراهة خروج النساء واختلاطهنّ بالرجال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اشتباه محلّل النظر والتستّر مع محرّمه بالشبهة المحصورة وغیرها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وجوب التستّر علی النساء وحرمة النظر علی الرجال وحکم العکس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تحدید النظر المحرّم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ما یتعلّق بأحکام الدخول علی الزوجة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حکم وطء الزوجة والمملوکة فی الدبر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حکم وطء الحائض دبراً   </w:t>
      </w:r>
      <w:r>
        <w:rPr>
          <w:rFonts w:eastAsia="IRNazanin" w:cs="IRNazanin"/>
          <w:color w:val="111111"/>
          <w:sz w:val="28"/>
          <w:szCs w:val="28"/>
          <w:lang w:bidi="fa-IR"/>
        </w:rPr>
        <w:t>214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یتحقّق النشوز بعدم تمکین الزوجة من وطئها دبراً؟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اشتراک الوطء فی الدبر والقبل فی جملة الأحکام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تحقّق الحنث بالوطء دبراً لو حلف علی الترک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موارد العزل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ترک وطء الزوجة أکثر من أربعة أشهر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حکم ما لو کانت المرأة لا تصبر عن المواقعة إلی أربعة أشهر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تدارک ما فات من ترک الوطء لمانع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وطء الزوجة الصغیرة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حرمة وطء الزوجة قبل إکمال تسع سنین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التحریم بإفضاء الصغیرة قبل إکمال التسع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وجوب الدیة وتعلّق النفقة للمفضاة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حقیقة الإفضاء وأنّه لا فرق فیه بالدخول قبلاً ودبراً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اختصاص الحکم بالزوجة الصغیرة المفضاة بالوطء دون غیرها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الدخول بالزوجة بعد إکمالها التسع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حکم المفضی إذا کان صغیراً أو مجنوناً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ضمان من عیبت بغیر الإفضاء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وطء من شکّ فی إکمالها تسع سنین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جریان أحکام الزوجیّة بعد الإفضاء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عدم سقوط النفقة بنشوز المفضاة          </w:t>
      </w:r>
      <w:r>
        <w:rPr>
          <w:rFonts w:eastAsia="Amiri" w:cs="Amiri" w:ascii="Amiri" w:hAnsi="Amiri"/>
          <w:color w:val="111111"/>
          <w:sz w:val="28"/>
          <w:szCs w:val="28"/>
          <w:lang w:bidi="ar-SA"/>
        </w:rPr>
        <w:t>241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فی ما یجوز من عدد الأزواج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حرمة الزیادة علی الأربع فی العقد الدائم وجوازه فی الملک والتحلیل والمنقطع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الجمع بین أزید من أمتین للحرّ وأزید من حرّتین للعبد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صور الجمع للحرّ والعبد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حکم العبد والأمة المبعّضین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عتق العبد عن ثلاث أو أربع إماء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الشکّ فی أنّ عقد الأربع بالدائم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من کان عنده أربع فطلّق واحدة وأراد نکاح الخامسة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التزویج فی العدّة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حرمة التزویج فی عدّة الغیر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تحریم المزوّجة فی العدّة مطلقاً دواماً ومتعة قبلاً دخل أو دبراً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ما لا یلحق بالتزویج فی العدّة من الموارد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عدم إلحاق وطء المعتدة شبهة ولا زناً ما عدا الرجعیّة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التزویج فی العدّة من قِبَل الولیّ والوکیل            </w:t>
      </w:r>
      <w:r>
        <w:rPr>
          <w:rFonts w:eastAsia="Amiri" w:cs="Amiri" w:ascii="Amiri" w:hAnsi="Amiri"/>
          <w:color w:val="111111"/>
          <w:sz w:val="28"/>
          <w:szCs w:val="28"/>
          <w:lang w:bidi="ar-SA"/>
        </w:rPr>
        <w:t>257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تزویج من فی العدّة لنفسه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المناط فی الدخول المعتبر شرطاً فی الحرمة الأبدیّة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الشکّ فی کون المرأة فی العدّة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العلم بالعدّة والشکّ فی الدخول والعلم بالدخول والشکّ من جهة اُخری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العلم الإجمالی بکون إحداهما فی العدّة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من علم بالعدّة شکّ فی أنّها لنفسه أو لغیره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الزواج بذات البعل وصوره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التزوّج بامرأة علیها عدّة لم تشرع فیها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الزواج بذات العدّة جهلاً والحمل منها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إذا اجتمعت عدد مختلفة هل تتداخل أم تتعدّد؟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حکم ما لو کانت العدّتان لشخصٍ واحد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ثبوت المهر للموطوءة أو المزوّجة فی العدّة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مبدأ العدّة فی وطء الشبهة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الموطوءة بالشبهة لو کانت عالمة فی الحرّة والأمة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حکم المهر لو تعدّد الوطء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أحکام نکاح الزانیة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لا تحرم علی الرجل امرأته بزناها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الزنا بذات البعل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الزنا بذات العدّة الرجعیّة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من لاط بغلام فأوقبه وایجابه الحرمة علی اُمّه وبنته واُخته وعدمها فی الموطوء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حکم اللواط بعد التزویج   </w:t>
      </w:r>
      <w:r>
        <w:rPr>
          <w:rFonts w:eastAsia="IRNazanin" w:cs="IRNazanin"/>
          <w:color w:val="111111"/>
          <w:sz w:val="28"/>
          <w:szCs w:val="28"/>
          <w:lang w:bidi="fa-IR"/>
        </w:rPr>
        <w:t>288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 الرضاعیّة کالنسبیة من جهة الحرمة وکذا الاُخت والبنت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الوطء غیر العمدی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الشکّ فی تحقّق الإیقاب وعدمه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من المحرّمات 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حال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التزویج حال الإحرام وفروع فی البطلان والتحریم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 تزوج عالماً بالحرمة غافلاً عن کونه محرماً أو ناسیاً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وطء الزوجة فی حال الإحرام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بطلان التزویج من غیر جهة الإحرام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الشکّ فی کون التزویج فی الإحرام أو قبله أو بعده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حکم إنکشاف فساد الإحرام أو إفساده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رجوع المحرم فی الطلاق فی العدّة الرجعیّة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جواز التوکیل للمحرم فی إیقاع التزویج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إجازة عقد الفضولی فی حال الإحرام وبعده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المحرّمات بالمصاهرة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حقیقة المصاهرة           </w:t>
      </w:r>
      <w:r>
        <w:rPr>
          <w:rFonts w:eastAsia="IRNazanin" w:cs="IRNazanin"/>
          <w:color w:val="111111"/>
          <w:sz w:val="28"/>
          <w:szCs w:val="28"/>
          <w:lang w:bidi="fa-IR"/>
        </w:rPr>
        <w:t>301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زوجة الأب والابن علی الآخر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حرمة مملوکة الأب علی الابن وبالعکس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حرمة اُمّ الزوجة علی الزوج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حرمة البنت علی الزوج الداخل باُمّها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تحدید الدخول المحرّم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وطء الأب والابن مملوکة الآخر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جواز وطء الأب مملوکة ابنه الصغیر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حکم ما لو زنی الأب أو الابن بمملوکة الآخر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حکم وطء الأب أو الابن مملوکة الآخر شبهة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نکاح المرأة علی عمّتها أو خالتها وبالعکس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شمول الحکم لمطلق العمّة والخالة بلا فرق ولا استثناء حال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اقتران العقدین علی العمّة وبنت أخیها أو الخالة وبنت اُختها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عدم الفرق فی العمّة والخالة مسلمتین وغیرهما وبین الدنیا والعلیا منهما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کفایة الرضا الباطنی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عدم کفایة الإذن السابق فی التزویج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الرجوع عن الإذن بعد العقد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کفایة الإذن وإن کان عن غرور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اعتبار إذنهما من باب الحکم الشرعی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الاشتراط علی العمّة أو الخالة الإذن فی تزویج بنت الأخ أو الاُخت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صحّة العقد بالإذن اللاحق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حکم الشکّ فی سبق أحد العقدین واقترانه          </w:t>
      </w:r>
      <w:r>
        <w:rPr>
          <w:rFonts w:eastAsia="IRNazanin" w:cs="IRNazanin"/>
          <w:color w:val="111111"/>
          <w:sz w:val="28"/>
          <w:szCs w:val="28"/>
          <w:lang w:bidi="fa-IR"/>
        </w:rPr>
        <w:t>315</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ادّعتا عدم الإذن وادّعی هو الإذن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الشکّ فی حصول إذن العمّة أو الخالة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صحّة التزویج إذا حصلت البنتیّة بعده أو کان الجمع بینهما حال الکفر ثمّ أسلم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تزوّج بنت الأخ أو الاُخت لو طلّق عمّتها أو خالتها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حکم المملوکتین والمختلفتین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الزنا الطارئ علی التزویج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الزنا السابق علی التزویج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حکم الوطء بالشبهة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الزنا بمملوکة الأب والعکس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ترتّب حکم الزنا بالوطء فی القبل أو الدبر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بعض فروع الشکّ فی الزنا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حصول الزنا بالاختیاری والاضطراری بالبالغة وغیرها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ما لو زنا لاحقاً ثمّ طلّق زوجته وأراد الرجوع لها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الزنا بعد التزویج بالفضولی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النظر واللمس بشهوة هل ینشر الحرمة؟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الجمع بین الاُختین فی النکاح وفی الملک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التزویج بإحدی الاُختین وملک الاُخری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وطء إحدی الاُختین بالملک والتزوّج بالاُخری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بطلان عقد الثانیة بعد التزوج بالاُولی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ما لو تزوّج بالاُختین واشتبه السابق واللاحق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حکم اقتران عقد الاُختین   </w:t>
      </w:r>
      <w:r>
        <w:rPr>
          <w:rFonts w:eastAsia="IRNazanin" w:cs="IRNazanin"/>
          <w:color w:val="111111"/>
          <w:sz w:val="28"/>
          <w:szCs w:val="28"/>
          <w:lang w:bidi="fa-IR"/>
        </w:rPr>
        <w:t>337</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وطء إحدی الاُختین المملوکتین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وطء الثانیة بعد وطء الاُولی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 الجمع بین الاُختین من الزنا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حکم التزوّج بإحدی الاُختین فی عدّة اُختها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حکم التزوّج بإحدی الاُختین مع الزنا بالاُخری أو وطئها شبهة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الجمع بین فاطمیّتین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التزویج بالإماء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تزویج الأمة مع عدم الشرطین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تحقّق الشرطین وزوالهما بعد التزوج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الوطء بالتحلیل أو بملک الیمین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تزویج حرّة لا یقدر علی مقاربتها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 لم تکفه مع الشرطین أمة واحدة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طلب الحرّة مهراً بمقدار یعدّ ضرراً علیه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حکم نکاح الأمة علی الحرّة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جواز نکاح الأمة علی الحرّة مع إذنها بالشرطین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نکاح الحرّة علی الأمة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نکاح الحرّة والأمة فی عقد واحد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نکاح المبعّضة علی المبعّضة أو الحرّة     </w:t>
      </w:r>
      <w:r>
        <w:rPr>
          <w:rFonts w:eastAsia="IRNazanin" w:cs="IRNazanin"/>
          <w:color w:val="111111"/>
          <w:sz w:val="28"/>
          <w:szCs w:val="28"/>
          <w:lang w:bidi="fa-IR"/>
        </w:rPr>
        <w:t>354</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موت الحرّة أو طلاقها بعد عقد الأمة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حکم التزوّج بالأمة فی عدّة الحرّة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نکاح الأمة بعد التزوّج الفضولی بحرّة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الشکّ فی السابق من عقد الحرّة والأمة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الاشتراط فی عقد الحرّة إذنها فی نکاح الأمة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نکاح العبید والإماء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أمر تزویج المملوک عبداً وأمةً لسیّده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صحّة زواج المملوک وقف علی إجازة المولی وکونها کاشفة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 المهر فی تزویج المملوک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مهر الأمة المزوّجة للمولی ونفقتها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جعل المهر للأمة المأذونة فی التزویج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نکاح المملوک عبداً أو أمةً المشترک والمبعّض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 النکاح والمهر فی فرض شراء الحرّة زوجها المملوک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الولد الحاصل من المملوکین رق وملحق بالحرّ منهما ما لم یکن عن زنا ونحو ذلک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ملکیّة المولود من مملوکین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منع اشتراط رقّیّة الولد من الحرّ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تزوّج الحرّ مملوکة غیره وحکم الولد والمهر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هل للوارث إجازة العقد الواقع علی أمةٍ مُورِّثة؟   </w:t>
      </w:r>
      <w:r>
        <w:rPr>
          <w:rFonts w:eastAsia="Amiri" w:cs="Amiri" w:ascii="Amiri" w:hAnsi="Amiri"/>
          <w:color w:val="111111"/>
          <w:sz w:val="28"/>
          <w:szCs w:val="28"/>
          <w:lang w:bidi="ar-SA"/>
        </w:rPr>
        <w:t>389</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الأمة المدَلّسة علی الحرّ من جهة النکاح والمهر والولد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زواج العبد بحرّة من دون إذن مولاه وإجازته وحکم الولد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زنا العبد بحرّة من غیر عقد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زنا الحرّ بأمة وکذا العبد بأمة الغیر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تحلیل المولی أمته لعبده وتزویجها منه وفروع ذلک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إرادة المولی التفریق بین عبده وأمته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إعطاء المولی شیئاً لأمته لو زوّجها من عبده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انتقال الأمر بالمفارقة لورثة المولی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لو زوّج الأمة غیر مولاها من حرّ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من تزوّج بأمة بین شریکین ثمّ اشتری بعضها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الطوارئ</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عتق الأمة المزوّجة وثبوت الخیار لها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حکم المهر لو کان العتق بعد الدخول وقبله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حکم المهر لو کان العتق قبل الدخول والفسخ بعده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نکاح الأمة بتفویض المهر أو البضع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الحکم لو کان العتق فی العدّة الرجعیّة أو البائنة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عدم افتقار الفسخ لإذن الحاکم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فوریّة الخیار بعد العتق للأمة المزوّجة    </w:t>
      </w:r>
      <w:r>
        <w:rPr>
          <w:rFonts w:eastAsia="IRNazanin" w:cs="IRNazanin"/>
          <w:color w:val="111111"/>
          <w:sz w:val="28"/>
          <w:szCs w:val="28"/>
          <w:lang w:bidi="fa-IR"/>
        </w:rPr>
        <w:t>412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الخیار فیمن لا یصحّ منها الاختیار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إعلام المعتقة بالحال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ثبوت الخیار ولو کان التزویج برضاها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اشتراط المولی فی العتق عدم الخیار فی الفسخ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عدم الخیار للعبد المعتق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الحکم لو کان للعبد حرّة وأمتان واُعتقت إحداهما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العقد وأحکامه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الصیغة وشرائطها فی النکاح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التعاقد بالإشارة وبالکتابة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التطابق بین الإیجاب والقبول فی ألفاظ المتعلّقات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الاکتفاء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الاستفهام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اللحن فی الصیغة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قصد الانشاء فی إجراء الصیغة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معرفة معنی الصیغة تفصیلاً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الموالاة بین الإیجاب والقبول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اتّحاد مجلس الإیجاب والقبول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التنجیز فی العقد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وقوع العقد علی وجه یخالف الاحتیاط     </w:t>
      </w:r>
      <w:r>
        <w:rPr>
          <w:rFonts w:eastAsia="IRNazanin" w:cs="IRNazanin"/>
          <w:color w:val="111111"/>
          <w:sz w:val="28"/>
          <w:szCs w:val="28"/>
          <w:lang w:bidi="fa-IR"/>
        </w:rPr>
        <w:t>430</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کمال العاقد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وکالة السفیه عن الغیر فی العقد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شرط الذکورة فی العاقد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شرط بقاء أهلیّة المتعاقدین إلی تمام العقد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شرط تعیین الزوج والزوجة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اختلاف الاسم والوصف أو أحدهما مع الإشارة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تنازع الزوجین فی التعیین وعدمه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الاتّفاق علی التعیین والاختلاف فی المعیّن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نکاح الحمل وإنکاحه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اشتراط علم کلّ من الزوجین بأوصاف الآخر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مسائل متفرّقة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اشتراط الخیار فی نفس العقد وفی المهر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تصادق الرجل والمرأة علی الزوجیّة ونکرانها من أحدهما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الإقرار بعد الإنکار ورجوع المدّعی عن دعواه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من تزوّج امرأة ادّعی غیره سبق زوجیّتها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تزوّج من ادّعی زوجیّتها رجل مع إنکارها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من أنکرت دعوی زوجیّتها من رجل وادّعت زوجیّته من اُختها أو اُمّها أو بنتها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زوجیّة العبد من مملوکة اشتراها لاحقاً له أو للمولی أو مطلقاً      </w:t>
      </w:r>
      <w:r>
        <w:rPr>
          <w:rFonts w:eastAsia="IRNazanin" w:cs="IRNazanin"/>
          <w:color w:val="111111"/>
          <w:sz w:val="28"/>
          <w:szCs w:val="28"/>
          <w:lang w:bidi="fa-IR"/>
        </w:rPr>
        <w:t>471</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تصدیق دعوی عدم الزوجیّة من غیر فحص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ادّعاء المرأة الزوجیّة بعد التزوّج بها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لزوم العلم بایقاع الوکیل للعقد فی زمان معین قبل المقاربة منهما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 فی أولیاء العقد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ولایة الأب والجدّ الأب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عدم ولایة الاُمّ ولا الجد من قبلها ولا الأخ والعم والخال وأولادهم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ولایة الأب والجدّ علی الصغیرین والمجنون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الولایة علی البالغ والبالغة الرشیدین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لزوم إذن البکر والأب ما لم تسقط ولایته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محتملات ذهاب البکارة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ثبوت ولایة الجدّ فی حیاة الأب وموته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نفوذ تزویج الولی الصغیرة بعد بلوغها ورشدها وکذا الصغیر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ما یشترط فی صحّة تزویج الأب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تزویج الولیّ البنت بدون مهر المثل أو الصغیر بأزید منه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لزوم إذن الولی فی نکاح السفیه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الرشد فی شؤون المال وعدمه فی شؤون النکاح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استقلال الأب والجد فی الولایة وما یتفرّع علیه    </w:t>
      </w:r>
      <w:r>
        <w:rPr>
          <w:rFonts w:eastAsia="IRNazanin" w:cs="IRNazanin"/>
          <w:color w:val="111111"/>
          <w:sz w:val="28"/>
          <w:szCs w:val="28"/>
          <w:lang w:bidi="fa-IR"/>
        </w:rPr>
        <w:t>490</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تزویج الولی للمولّی علیه من ذی العیب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1132" w:name="pg13286_154361"/>
    </w:p>
    <w:p>
      <w:pPr>
        <w:pStyle w:val="BookText"/>
        <w:rPr/>
      </w:pPr>
      <w:bookmarkEnd w:id="1132"/>
      <w:r>
        <w:rPr>
          <w:rFonts w:ascii="IRNazanin" w:hAnsi="IRNazanin" w:eastAsia="IRNazanin"/>
          <w:color w:val="111111"/>
          <w:sz w:val="28"/>
          <w:sz w:val="28"/>
          <w:szCs w:val="28"/>
          <w:rtl w:val="true"/>
          <w:lang w:bidi="fa-IR"/>
        </w:rPr>
        <w:t xml:space="preserve">ثبوت الخیار مع الجهل بالعیب المجوّز للفسخ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تزویج مملوک المملوک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الولایة للوصیّ فی تزویج المجنون والصغیر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ولایة الحاکم الشرعی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الاستئذان من الأب والجد والأخ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کفایة سکوت البکر فی إحراز إذنها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عامّة شرائط الأولیاء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تعدّی الوکیل عمّا عیّنه الموکّل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 xml:space="preserve">تزویج وکیل المرأة من نفسه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النکاح الفضولی حکماً ومعنیً ولزوم الإجازة وفروع فی المقام     </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33" w:name="__RefHeading___Toc2139240_2322387425"/>
      <w:bookmarkStart w:id="1134" w:name="_Toc413"/>
      <w:bookmarkEnd w:id="1133"/>
      <w:r>
        <w:rPr>
          <w:rtl w:val="true"/>
        </w:rPr>
        <w:t>کتاب الوصیّة</w:t>
      </w:r>
      <w:bookmarkEnd w:id="1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معنی الوصیّة وتقسیماتها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نفوذ الوصیّة العهدیّة والتوقّف فی الوصیّة التملیکیّة علی القبول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إیقاع القبول بعد وفاة الموصی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ما یجب عند ظهور أمارات الموت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حکم ردّ الموصی له الوصیّة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قبول أحد شیئین أو بعض شیء من قبل الموصی له       </w:t>
      </w:r>
      <w:r>
        <w:rPr>
          <w:rFonts w:eastAsia="IRNazanin" w:cs="IRNazanin"/>
          <w:color w:val="111111"/>
          <w:sz w:val="28"/>
          <w:szCs w:val="28"/>
          <w:lang w:bidi="fa-IR"/>
        </w:rPr>
        <w:t>554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تصرّف الورثة فی العین الموصی بها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موت الموصی له قبل القبول أو الردّ وقیام الوارث مقامه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فروع فی مسألة موت الموصی له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الحکم یشمل ورثة الوارث؟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بعض الورثة وردّ بعضهم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انتقال الموصی به إلی وارث الموصی له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فی الوارث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ترث الزوجة الأرض الموصی بها لزوجها لو مات قبل القبول؟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الموصی به ممّن ینعتق علی الموصی له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قیام الوارث مقام الموصی له فی الوصیّة العهدیّة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عدم اشتراط القبول فی الوصیّة العهدیّة وما إذا کان للنوع أو للجهة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 xml:space="preserve">تحقّق الوصیّة بکلّ ما دلّ علیها من لفظٍ أو فعل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شرائط الموصی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بیان نفوذ وصیّة البالغ عشراً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الرشد، بیان وصیّة السفیه المفلّس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الحرّیّة، بیان وصیّة العبد لو انعتق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قاتل نفسه، وفیه أحکام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وصیّة الأب أو الجدّ مع فقد الآخر بالولایة علی الأطفال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فی الموصی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ما تصحّ الوصیّة به من الاُمور وما لا تصحّ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بطلان الوصیّة فی الزائد عن الثلث إلّا مع إجازة الورثة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وصیّة من لم یقصد الثلث ومن قصد کونها من الأصل أو ثلثی الورثة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الوصیّة بالأزید أو بتمام الترکة مع الجهل بکونها فی واجب أو فی غیره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نفوذ إجازة الوارث فی الوصیّة بعد وفاة الموصی وحال حیاته علی کلام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إذا أجاز الورثة ثمّ ادّعوا الظنّ بقلّة المال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المدار فی الثلث علی حال وفاة الموصی لا حال الوصیّة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حکم الوصیّة بمقدار ثمّ تلف بعض الترکة قبل تنفیذ الوصیّة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المال الحاصل للموصی بعد الموت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مسک الختام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مصوّرة الصفحة الاُولی من نسخة الأصل لمخطوطة المؤلف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مصوّرة الصفحة الأخیرة من نسخة الأصل لمخطوطة المؤلّف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الفهارس الفنیّة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فهرست محتویات الکتاب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الإصدارات العلمیّة لمؤسّسة السبطین علیهما السّلام العالمیّة            </w:t>
      </w:r>
      <w:r>
        <w:rPr>
          <w:rFonts w:eastAsia="IRNazanin" w:cs="IRNazanin"/>
          <w:color w:val="111111"/>
          <w:sz w:val="28"/>
          <w:szCs w:val="28"/>
          <w:lang w:bidi="fa-IR"/>
        </w:rPr>
        <w:t>634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إنتهی فهرست محتویات الکتاب</w:t>
      </w:r>
    </w:p>
    <w:p>
      <w:pPr>
        <w:pStyle w:val="BookText"/>
        <w:rPr/>
      </w:pPr>
      <w:r>
        <w:rPr>
          <w:rFonts w:ascii="IRNazanin" w:hAnsi="IRNazanin" w:eastAsia="IRNazanin"/>
          <w:color w:val="111111"/>
          <w:sz w:val="28"/>
          <w:sz w:val="28"/>
          <w:szCs w:val="28"/>
          <w:rtl w:val="true"/>
          <w:lang w:bidi="fa-IR"/>
        </w:rPr>
        <w:t>ویلیه فهرست إصدارات المؤسّسة</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35" w:name="pg13286_154364"/>
    </w:p>
    <w:p>
      <w:pPr>
        <w:pStyle w:val="Heading2"/>
        <w:numPr>
          <w:ilvl w:val="1"/>
          <w:numId w:val="1"/>
        </w:numPr>
        <w:rPr/>
      </w:pPr>
      <w:bookmarkStart w:id="1136" w:name="__RefHeading___Toc2139242_2322387425"/>
      <w:bookmarkStart w:id="1137" w:name="_Toc414"/>
      <w:bookmarkEnd w:id="1135"/>
      <w:bookmarkEnd w:id="1136"/>
      <w:r>
        <w:rPr>
          <w:rtl w:val="true"/>
        </w:rPr>
        <w:t>فهرست الإصدارات العلمیة لمؤسسة السبطین علیهما السّلام العالمیة</w:t>
      </w:r>
      <w:bookmarkEnd w:id="1137"/>
    </w:p>
    <w:p>
      <w:pPr>
        <w:pStyle w:val="Heading3"/>
        <w:numPr>
          <w:ilvl w:val="2"/>
          <w:numId w:val="1"/>
        </w:numPr>
        <w:rPr/>
      </w:pPr>
      <w:bookmarkStart w:id="1138" w:name="__RefHeading___Toc2139244_2322387425"/>
      <w:bookmarkStart w:id="1139" w:name="_Toc415"/>
      <w:bookmarkEnd w:id="1138"/>
      <w:r>
        <w:rPr>
          <w:rtl w:val="true"/>
        </w:rPr>
        <w:t>باللغة العربیة</w:t>
      </w:r>
      <w:bookmarkEnd w:id="113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محاضرات الإمام الخوئی؛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w:t>
      </w:r>
    </w:p>
    <w:p>
      <w:pPr>
        <w:pStyle w:val="BookText"/>
        <w:rPr/>
      </w:pPr>
      <w:r>
        <w:rPr>
          <w:rFonts w:ascii="IRNazanin" w:hAnsi="IRNazanin" w:eastAsia="IRNazanin"/>
          <w:color w:val="111111"/>
          <w:sz w:val="28"/>
          <w:sz w:val="28"/>
          <w:szCs w:val="28"/>
          <w:rtl w:val="true"/>
          <w:lang w:bidi="fa-IR"/>
        </w:rPr>
        <w:t>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أدب الشریعة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عقیلة قریش آمنة بنت الحسین علیهما السّلام 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ـ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بضعة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المرتضی الرضوی، تحقیق وتنظیم مؤسسة السبطین علیهما السّلام العالمیة، یشتمل علی حیاة فاطمة علیها السّلام من ولادتها إلی شهادتها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w:t>
      </w:r>
    </w:p>
    <w:p>
      <w:pPr>
        <w:pStyle w:val="BookText"/>
        <w:rPr/>
      </w:pPr>
      <w:r>
        <w:rPr>
          <w:rFonts w:ascii="IRNazanin" w:hAnsi="IRNazanin" w:eastAsia="IRNazanin"/>
          <w:color w:val="111111"/>
          <w:sz w:val="28"/>
          <w:sz w:val="28"/>
          <w:szCs w:val="28"/>
          <w:rtl w:val="true"/>
          <w:lang w:bidi="fa-IR"/>
        </w:rPr>
        <w:t>تحقیق وتنظیم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معالم العقیـدة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تحقیق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 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السید حسن الصدر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بحوث عقائدیة فی ضوء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مختارة من مؤلفات الإمام السیّد الخوئی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وتحقیق مؤسسة السبطین علیهما السّلام العالمیة وسیلحق بها الجزء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ملحق العروة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الإمام الجواد علیه السّلام ،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مع السنّة أتباع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فاطمة بنت أسد، حجر النبوّة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لکل شیء علامة یُعرف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أفضل کل شیء وأحسنه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علم الهدی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 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البیان فی حوادث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الأمیر الشفیق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الإمام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السیّدة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0" w:name="pg13286_154367"/>
    </w:p>
    <w:p>
      <w:pPr>
        <w:pStyle w:val="BookText"/>
        <w:rPr/>
      </w:pPr>
      <w:bookmarkEnd w:id="1140"/>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الکنز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معالم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مؤسسة السبطین العالمیّة علیهما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1" w:name="__RefHeading___Toc2139246_2322387425"/>
      <w:bookmarkStart w:id="1142" w:name="_Toc416"/>
      <w:bookmarkEnd w:id="1141"/>
      <w:r>
        <w:rPr>
          <w:rtl w:val="true"/>
        </w:rPr>
        <w:t>باللغة الفارسیة</w:t>
      </w:r>
      <w:bookmarkEnd w:id="114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تحقیق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قطره 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پرسش ها و پاسخ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حجاب حریم پاکی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مجلّداً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تألیف آیت الله سید عبدالحسین الطیب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سلطان الواعظین الشیرازی،</w:t>
      </w:r>
    </w:p>
    <w:p>
      <w:pPr>
        <w:pStyle w:val="BookText"/>
        <w:rPr/>
      </w:pPr>
      <w:r>
        <w:rPr>
          <w:rFonts w:ascii="IRNazanin" w:hAnsi="IRNazanin" w:eastAsia="IRNazanin"/>
          <w:color w:val="111111"/>
          <w:sz w:val="28"/>
          <w:sz w:val="28"/>
          <w:szCs w:val="28"/>
          <w:rtl w:val="true"/>
          <w:lang w:bidi="fa-IR"/>
        </w:rPr>
        <w:t xml:space="preserve">تحقیق مؤسسة السبطین علیهما 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3" w:name="pg13286_154368"/>
    </w:p>
    <w:p>
      <w:pPr>
        <w:pStyle w:val="BookText"/>
        <w:rPr/>
      </w:pPr>
      <w:bookmarkEnd w:id="1143"/>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بیعت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دُرْدانه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ریحانه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 السّلام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4" w:name="__RefHeading___Toc2139248_2322387425"/>
      <w:bookmarkStart w:id="1145" w:name="_Toc417"/>
      <w:bookmarkEnd w:id="1144"/>
      <w:r>
        <w:rPr>
          <w:rtl w:val="true"/>
        </w:rPr>
        <w:t>باللغة الانجلیزیة</w:t>
      </w:r>
      <w:bookmarkEnd w:id="1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عقیلة قریش آمنة بنت الحسین علیهما 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شهادة فاطمة الزهراء علیها 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6" w:name="__RefHeading___Toc2139250_2322387425"/>
      <w:bookmarkStart w:id="1147" w:name="_Toc418"/>
      <w:bookmarkEnd w:id="1146"/>
      <w:r>
        <w:rPr>
          <w:rtl w:val="true"/>
        </w:rPr>
        <w:t>باللغة الاُردویة</w:t>
      </w:r>
      <w:bookmarkEnd w:id="11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شهادة فاطمة الزهراء علیها 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قطره 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مشفقانه وصیت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 xml:space="preserve">. </w:t>
      </w:r>
      <w:bookmarkStart w:id="1148" w:name="pg13286_154369"/>
    </w:p>
    <w:p>
      <w:pPr>
        <w:pStyle w:val="Heading3"/>
        <w:numPr>
          <w:ilvl w:val="2"/>
          <w:numId w:val="1"/>
        </w:numPr>
        <w:rPr/>
      </w:pPr>
      <w:bookmarkStart w:id="1149" w:name="__RefHeading___Toc2139252_2322387425"/>
      <w:bookmarkStart w:id="1150" w:name="_Toc419"/>
      <w:bookmarkEnd w:id="1148"/>
      <w:bookmarkEnd w:id="1149"/>
      <w:r>
        <w:rPr>
          <w:rtl w:val="true"/>
        </w:rPr>
        <w:t>باللغة الفرنسیة</w:t>
      </w:r>
      <w:bookmarkEnd w:id="11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قید التألیف، التحقیق، الترجمة والنشر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ملحق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تکتمل دورة العروة الوثقی والتعلیقات علیها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الخامس من تفسیر القرآن الکریم للشریف المرتضی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وإضافات مؤسسة السبطین علیهما 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الإسلامیّة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 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تاریخ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بمعاصریهم ومناطق تواجدهم ومراقدهم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النسخة العربیّة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فی المؤسّسة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النسخة العربیة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فی المؤسّسة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فی حوادث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 مراجعة وتصحیحات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مختارة من مؤلّفات الإمام الخوئی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مراجعة وتصحیحات جدیدة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الإمام الخوئی قدّس سرّه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المرحوم السیّد محمدعلی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 مراجعة وتصحیحات جدیدة</w:t>
      </w:r>
      <w:r>
        <w:rPr>
          <w:rFonts w:eastAsia="IRNazanin" w:cs="IRNazanin"/>
          <w:color w:val="111111"/>
          <w:sz w:val="28"/>
          <w:szCs w:val="28"/>
          <w:rtl w:val="true"/>
          <w:lang w:bidi="fa-IR"/>
        </w:rPr>
        <w:t xml:space="preserve">. </w:t>
      </w:r>
      <w:bookmarkStart w:id="1151" w:name="pg13286_154370"/>
    </w:p>
    <w:p>
      <w:pPr>
        <w:pStyle w:val="Heading3"/>
        <w:numPr>
          <w:ilvl w:val="2"/>
          <w:numId w:val="1"/>
        </w:numPr>
        <w:rPr/>
      </w:pPr>
      <w:bookmarkStart w:id="1152" w:name="__RefHeading___Toc2139254_2322387425"/>
      <w:bookmarkStart w:id="1153" w:name="_Toc420"/>
      <w:bookmarkEnd w:id="1151"/>
      <w:bookmarkEnd w:id="1152"/>
      <w:r>
        <w:rPr>
          <w:rtl w:val="true"/>
        </w:rPr>
        <w:t>مرکز النشر و التوزیع لمؤسسة السبطین علیهما السّلام العالمیة</w:t>
      </w:r>
      <w:bookmarkEnd w:id="1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w:t>
      </w:r>
    </w:p>
    <w:p>
      <w:pPr>
        <w:pStyle w:val="BookText"/>
        <w:rPr/>
      </w:pPr>
      <w:r>
        <w:rPr>
          <w:rFonts w:ascii="IRNazanin" w:hAnsi="IRNazanin" w:eastAsia="IRNazanin"/>
          <w:color w:val="111111"/>
          <w:sz w:val="28"/>
          <w:sz w:val="28"/>
          <w:szCs w:val="28"/>
          <w:rtl w:val="true"/>
          <w:lang w:bidi="fa-IR"/>
        </w:rPr>
        <w:t xml:space="preserve">الطابق الأوّل ـ 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i/>
          <w:iCs/>
          <w:color w:val="111111"/>
          <w:sz w:val="28"/>
          <w:szCs w:val="28"/>
          <w:lang w:val="en-US" w:bidi="en-US"/>
        </w:rPr>
        <w:t>URL: WWW.SIBTAYN.COM</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E_MAIL: SIBTAYN@SIBTAYN.COM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أکثر علماء القوم، وقلّ منهم مَن وافق أصحابنا، وفی الکتب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أنّالضمان عند الشیعة نقل ذمّةٍ إلی ذمّة، ولدی العامّة ضمّ ذمّةٍ إلی 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ضمن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یلزم کون الفعل ذا حرفین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فی أنّه منقول مألوف عند الفقهاء والمتشرّعة من المعنی الأوّل إلیالثانی، کما لا ریب فی مشروعیّته بالکتاب والسنّة، بل کان ثابتاً فی الشرائع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ریب أیضاً فی أنّ هذا المعنی المصطَلَح یعمّ الذمّة المشغولة للمضمون عنهوالبریئة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ویقرب منه ما عن شیخ الطائفة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مالٍ فی الذمّة بعقد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الأولی تعریف ما هو المقصود من هذا الفصل بأنّه إثبات مالٍ فی الذمّة بعقد،کما فی المبسوط والوسیلة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بظهورٍ عرفیٍّ ولو بالقرینة الصارفة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إذا قال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یضمن ویتعهّد دَین هذا المَدیون؟ فأشار الّذی یریدأن یضمن إلی نفسه قاصداً به الإنشاء مع علمه بجنسه ومقداره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 فعل دالّ علی ذلک علی حدّ دلالة الألفاظ الدالّة علیه، لکنّ الظاهر أنّهمجرّد 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إظهاره الرضا بالضمان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الفعل فی ذلک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علی حدّ سائر العقود اللازمة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مجرّد الرضا القلبیّ حتّی السابق منه فی غایة الإشکال، نعم، لا یبعد کفایةأن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مجرّد الرضا القلبیّ حتّی السابق منه فی غایة الإشکال، نعم، لا یبعد کفایةأن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رضیت،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ظهور رضاهُ بوجهٍ معتبرٍ عند العقلاء ولو لم یکن 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دلالة لفظٍ أو فعلٍ علیه، فلا یکفی الرضا الباطنی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معنی الضمان انتقال الذمّة والدَین من المضمون عنه إلی الضامن فلا معنیلعدم اعتبار القبول، ولا یُقاس بالتبرّع فی أداء الدَین،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المیّت والحیّ وجداناً أسقط هذا الاستظهار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عدم الضرر والحرج علی المضمون عنه فی صحّة الضمان غیرمعلوم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ذلک لا یوجب نفی سلطنة المالک علی استنقاذ ماله، سیّما إذا قلنا بوجوبالقبول عن المتبرّع، وأمّا ارتفاع الضرر والحَرَج لا یوجب عدم نفوذ الضمان وأداءالدَین؛ حیث إنّهما جاءا بسوء اختیاره؛ لأنّ المفروض تمکّنه من الأداء، نعم، فیما إذاکان فی مقام الأداء ولکن سَبَقه المتبرّع ففی النفوذ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الدائن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عدم قیام مصلحةٍ علیه، وإلّا فلا إشکال فی جوازه؛ لعموم جهةولایته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کون المضمون له مختاراً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المضمون له، فلا یصحّ قبوله مع الإکراه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الروحانی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لا یصحّ الضمان للمُکرَه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رضی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أن یضمن له بإذن ولیّه، ویدفع المال للولیّ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کلامه إشکال؛ إذ لو أذِن فی غیر ما یتعلّق به الحَجر أو بعد رفع الحَجرصحّ الرجوع إلیه، ولو کان الإذن فی حال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الرجوع علی المفلَّس الآذِن فی مقدار نصیب المضمون له، کما أنّه لامانع من الرجوع علیه بتمامه بعد ارتفاع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لا ینفع إذن المفلَّس فی جواز الرجوع علیه حال حَجره بالزائد علی نصیبالمضمون له من أمواله، وأمّا الرجوع علیه حال الحَجر بمقدار نصیب المضمون له،وبعد ارتفاع الحَجر مطلقاً بسبب إذنه فلا مانع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له بمقدار نصیب المضمون له من أمواله، وکذا یجوز الإذن فی الرجوعإلیه بعد رفع الحَجر عنه ولو بتمام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حال الفَلَس، وأمّا بعد رفعه فإذنه نافع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نعم، لو أجاز الولیّ ضمانه لا یبعد الصحّة، ویکون کما لو وقعبإذنه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الآیة الشریفة مختصّة بالمال؛ للانصراف، کما 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فی الغایة، ودعوی الانصراف عن ما لاینافی حقّ المولی 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الانصراف المزبور إشکال، بل منع، وما أفاد به من الاستشهاد واضح البطلان فی الشهادة؛ لأنّ ضمان التلف من الأحکام القهریّة المترتّبة علی إتلافه یتبع به بعدعتقه، وهذا بخلاف الضمان العقدیّ المنوط بسلطنته علی الإیقاع المزبور، الممنوعبعموم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بشهادة شموله لإطلاقه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فشهادة شموله إطلاقه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فشهادة شموله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المبانی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التعیین فی الإذن؛ لأنّ إهماله لا یفید، والتصریح بالإطلاق تعیین بالنسبةإلی فردَی ذمّة العبد وذمّة المولی، ولا معنی لإطلاق الإذن غیر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مع الانفهام العرفی، ولکنّ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الکوه‌کَمَری، الإصطهباناتی، عبدالهادی الشیرازی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صحّة تأخّر الوجود عن الإیجاد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المحقّق، کما أشرنا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تصحیح المطلب بأن یکون الضمان منجّزاً والتعلیق فی عدم الوفاء؛ لأنّالضمان بمعنی التعهّد، والتعهّد فعلیّ غیر معلّقٍ علی شیء، وکان متعلّقه تعلیقیّاًومقیّداً علی عدم أداء الدَین، کما هو معنی الضمان فی الأعیان الخارجیّة، ویصدقالضمان عرفاً، وإذا شملته الأدلّة ولم یکن إجماع علی خلافه یتمّ المطلب، ویمکنأن یکون نظر الماتن  قدّس سرّه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معنیً محصّلاً للتفکیک بین الأمرین؛ إذ الضمان مطلقاً یستلزم وجوبالوفاء مطلقاً، ولیس الوفاء بنفسه ممّا یوجبه الضامن علی نفسه، بل وجوبه من لوازمالضمان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 کما یظهر من ملاحظة الدیون الموجّلة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المثال خصوصاً فیما إذا علّق علی عدم الوفاء أصلاً أولی بالبطلان من سائرصور التعلیق؛ لاستلزامه اشتغال ذمّتَین وضمّ ذمّةٍ إلی ذمّة اُخری، وهو خلافحقیقة الضمان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القول بعدم تعقّل التفکیک بین التعلیقَین کیف یصیر ممکناً أو واقعاً فی هذاالمثال؟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تصحیح الضمان فیه لا یتمّ علی أصلنا، بل علی قول العامّة من أنّهضمّ ذمّةٍ إلی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أن یکون الضمان منجّزاً مع تعلیقه علی عدم وفاء المدیون، وکونه علیفرض إمکان ذلک من ضمّ ذمّةٍ إلی اُخری دون الضمان الناقل بمکانٍ من الوضوح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أن یکون الضمان منجّزاً مع تعلیقه علی عدم وفاء المدیون، وکونهعلی فرض إمکان ذلک من ضمّ ذمّة إلی اُخری دون الضمان الناقل بمکانٍمن الوضوح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بمعنی تعهّد ما فی ذمّة الغیر، لا بمعنی الثبوت فی الذمّة، وهذا قسم آخر من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جعل الضمان فیه بمعناه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أصل النسخة، والظاهر زیادة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تعلیقیّاً، فلا ینافی ما أفاده من عدم التفکیک بین الوفاء والضمان، بمعنی نقل ذمّة الغیر إلی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سبیل إلی هذه الدعوی، ولو فرض صحّة ما ادّعاه من الصدق العرفیّالتسامحیّ فظاهر أنّه ممّا لا یُعتدّ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سبیل إلی هذه الدعوی، ولو فرض صحّة ما ادّعاه من الصدق العرفیّ التسامحیّ فظاهر أنّه ممّا لا یُعتدّ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الضمان فیها أیضاً قضیّة فعلیّة تستتبع أحکاماً تعلیقیّةً باعتبار حال التلف مثلاً، أو إعواز المثل، وغیر ذلک، ولیست هی عین تلک القضایا، ولتوضیح ذلک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الضمان فیها أیضاً قضیّة فعلیّة تستتبع أحکاماً تعلیقیّةً باعتبار حال التلف مثلاً، أو إعواز المثل، وغیر ذلک، ولیست هی عین تلک القضایا، ولتوضیح ذلک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عهدة العین فی ضمان الید أیضاً فعلیّ، غایة الأمر أنّ علیه الردّ مع البقاء والمثل، أو القیمة مع التلف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فی غیر الثابت بالفصل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المبیع الشخصیّ قبل القبض، وهکذا فی المهر الشخصیّ صحّة الضمان مبنیّة علی کفایة وجود المقتضی للدَین فیه، أو الالتزام بکون مفاد عقد الضمان مجرّدتبدیل العهدة علی وجهٍ یشمل مثل هذه الموارد من التعلیقات، وإلّا ففیه إشکال، بلمنع، والمسألة بعدُ فی محلّ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الشخصیّ قبل القبض لیس مضموناً بضمان الید، فلا ثبوت له فی الذمّة حتّی یمکن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صورة الإتلاف یتحقّق الضمان، لکنّه بالإتلاف، فماأفاده منظور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الإصطهباناتی، الخمینی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إذ النقل فرع ثبوت شیءٍ فی  المنقول عنه، فلا ضمان جزماً، ولا عقدَحتّی تشمله العمومات الضمانیّة أو العمومات العامّة، وعلی فرض الشکّ فی الصدق فالتمسّک بها تمسّک بالعامّ فی الشبهة المصداقیّة، وهو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الضمان بمعنی المتعارف المعهود من الشرع والعرف ـ أی التعهّد بما فیذِمّة الغیر علیه ـ معلوم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یمکن إدراجه فی العمومات العامّة فی صورتَی الجزم والشکّ ، فکیف فیعمومات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المضمون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الضمان معاملة بین الدائن والثالث، وهو الضامن، فإیجابالمعاملة من الثالث ـ أی الضامن ـ والقبول من الدائن فالثالث یتعهّد للدائن، وأمّاالحوالة فهی معاملة بین المدیون والدائن، فالمُحِیل مدیون، والمُحتال دائن، والمحالعلیه ثالث، ولا دخل له فی إیجاب المعاملة وقبولها ولو فی فرض شرطیّة رضاه،فالمدیون یُحِیل الدائن من نفسه إلی الثالث، یعنی المُحال علیه، فعلم ممّا ذکر أنّ المعاملتَین متغایرتان مفهوماً وماهیةً، ولا دخل لاشتغال ذمّة الضامن بمثل ما ضمنه وعدمه فی دخوله تحت واحدٍ من العنوانین، ولا وجه لقول الماتن قدس سرّه من دخوله فیکلا العنوانَین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المضمون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ولَئِن شئت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مرجع الحوالة إلی نقل المدیون مال الدائن من ذِمّته إلیذِمّة شخصٍ آخر ولو باحتساب المُحِیل ما فی ذِمّة المحال علیه، وفاءً لِدَینه للمحتال، أو بنحو الاعتیاض، وهذا بخلاف باب الضمان؛ إذ مرجعه إلی نقل الضامنما فی ذمّة المضمون عنه إلی ذمّة نفسه، عکس الحوالة، وربّما یترتّب علی الاعتبارَین ثمرات مختلفة، وعلی أیّ حالٍ لا مجال لِما أفاده المصنّف فی وجهالامتیاز،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أنشأه الضامن فهو ضمان، وإن أنشأه مَن علیه الدَین فهو حوالة، فلا تداخل بینهما، ویلحق کلٌّ حکمه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الالتزام بمغایرة العنوانَین لا یکفی مجرّد دخوله فیهما، بل لابدّمن قصد أحدهما، بل مع الإذن فی الضمان یرجع إلی الحوالة أیضاً وإن عبّر بلفظ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الترتّب مع ما أشرنا إلیه، ومع کون الآثار متضادّة؟ فلا یُصغی إلی ما احتُمِلمن کونه من باب الحوالة لو کان الضمان بالإذن، غایة الأمر أنّ الحوالة قد اُنشئت بلفظٍ غیر صریحٍ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قبول المضمون له، وإلّا فلا یصحّ، وبذلک یظهر حال ما بعد هذاالفرع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من الضَرر أو 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غایة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بالروایتَین لا یخلو من الإشکال من جهات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الروایتَین ضعف سنداً، بل ودلالة، ولکنّ ما فی المتن لا یخلو من قوّة مطلقاً، من غیر فرقٍ بین الضمان التبرّعی وغیره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الضمان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المناط منقّحاً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یعتبر فی شیءٍ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وما قَرَّبَهُ من التفصیل لیس بالقریب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 لبراءة ذمّة المضمون عنه بنفس الضمان، من دون احتیاجٍ إلی إبراء المضمون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خارج عن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لا نقول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کأصله فی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للمناقشة فیه مجال واسع، ولیس فی المسألة روایة تدلّ علی الخیاروجواز الفسخ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العلم بالإعسار بعد حصول الیسار فثبوت الخیار محلّ تأمّلٍ وإشکال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خیاره مهما أمکن إجباره ولو بالرجوع إلی الحاکم من جهة سلطنته علی استنقاذ ماله، إلّا إذا کان ذلک حرجاً علیه فیجبر بالخیار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الخمینی، الخوئی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فی غایة الإشکال، بل لا یبعد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تحتاج إلی مزید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یشکل جوازه ولو قیل به، ففی کون التخلّف عنه موجباً للخیار أو کونه کالتخلّف عمّا تضمّنه عقد النکاح وجهان، والأظهر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تخیطَ لی ثوباً، 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لی ثوباً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أصل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 ما ذکره ؛یرجع إلی القسم الثانی، فیأتی فیه إشکال التعلیق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أن یقول بنحو التعلیق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خِطْتَ لی ثوباً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الالتزام فی الالتزام، لا بنحو التعلیق فی الضمان، وجواز الفسخ لتخلّف الشرط کأصل الشرط وإن کان علی القاعدة لکن حیث یستلزم اشتغال ذمّةالمضمون عنه بعد الخلوّ، وذلک بدون رضاه خلاف القاعدة، فالقول بأنّ الفسخ مع التخلّف موقوف علی رضا المضمون عنه لا یخلو من سَداد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أن تخیطه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لکون العبد حینئذٍ مصداقاً للمفلّس والمُعسِر، والمفروض جهل الضامن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المضمون الدَین الثابت فی الذمّة، لا الأجل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فیشکل ما فرّعه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أذِن المضمون عنه للضامن فی الضمان بشرط الأجل، ویُعکَس الحکم فی المسألة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صرّح بضمانه حالّاً فالأقرب الرجوع علیه مع أدائه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المُتفاهَم العرفیّ من الإذن بضمانه حالّاً أو بأقلّ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إذنه فی الضمان حالّاً فی جواز الرجوع علیه بمجرّد الأداء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إذنه فی الضمان حالّاً فی جواز الرجوع علیه بمجرّد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الإذن فی الضمان حالّاً أعمّ من الرجوع علیه فی الحال، ولایبعد أن یقال بکفایة الإذن الصریح فی الضمان حالّاً فی جواز الرجوع علیه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صرّح المضمون عنه بضمانه أقلّ من أجله، فإنّ الأقرب معه جواز الرجوع علیه مع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الرجوع فی صورة الإذن فی الفرض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تصریحه بالإذن فی الضمان کذلک، علی ما ذکرناه فی الحاشیة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إشکال فیه، ولیس مرجعه إلی الوَعد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 الشیخ قدّس سرّه، حیث حکم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إذا ضمن بإذنه کان له مطالبةالمضمون عنه بتخلیصه عن الدَین وإن لم یطالبه المضمون له، واختاره العلّامة فی التحریر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اللهمّ إلّا أن یکون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لیس له الرجوع بأخذ الدَین بحیث یملکه قبل الأداء، فهو صحیح، والظاهر عدم الخلاف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لأنّ اشتغال الذمّة بالضمان غیر مستقرٍّ بل متزلزل، فإن لم یتحقّق الأداءانفسخ الضمان وارتفع الاشتغال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إذن المضمون عنه بضمان الضامن استیفاء منه للمقدار المؤدّی من قبل الضامن بالضمان الطولیّ، فهو استیفاء بالعوض، والنصّ الوارد فی المقام موافق لهذهالقاعدة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ومع الغضّ عن النصّ والإجماع فالقاعدة أیضاً تقتضی ذلک؛ فإنّ إذن المضمون عنه فی الضمان عنه أو أداء دینه ونحو ذلک لا یوجب شیئاً من حیثنفسه، بل کونه استیفاءً لمال الضامن ونحوه فی أداء دینه هو الموجب لاشتغال ذمّته بما استوفاه، وظاهر أنّ قضیّة ذلک هو الاشتغال بعد الأداء وبمقداره، ویتفرّع علی ذلک من الفروع 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احتمال کون منشأ الرجوع وقوع الخسارة فی ماله فعلاً مقتضی الأصلعدم الرجوع إلّا بعد الأداء؛ إذ مجرّد اشتغال الذمّة غیر موجبٍ لورود الخسارةالفعلیّة علیه،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ولا إجماع ولا خبر علی خلافه، وهو مختار الشیخ وجماعة،نعم، خالفه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 للعلّامة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واشتهر بعده، وإنّما مورد الإجماع والخبر هو أنّه إذا صولح الضامن عمّا ضمنه بأقلّ منه لم یستحقّ علی الأصیل إلّا ما صولح علیه، ولا منافاةبینهما، غایة الأمر أنّه یجب علیه ردّ الزائد إن صولح علیه بعد أخذ مال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جواز المطالبة موقوفاً علی أداء دین المضمون عنه واشتغال ذمّته بما أدّاه الضامن، لا مجرّد براءة ذمّته من الدَین واشتغال ذمّةٍ اُخری به، فالحکم علی مقتضی القاعدة، ویصحّ ما فرّع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علی خلاف القاعدة محلّ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الرجوع بما أدّی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یُستثنی من هذه کلّها إذا کان إعطاء الأجنبیّ عن الضامن إعطاءً من الضامن عرفاً، کما لو کان المدیون فقیراً وضمن غنیّ عنه الوفاء من خُمسٍ أو زکاةٍ أونحوهما، کما سیأتی فی المسألتَین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حقیقةٍ إبراء بلفظ الهبة، وإلّا فلا تصحّ الهبة إلّا فی الأعیان ولو من جهةاستفادته من شرطیّة القبض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حقیقة بالنسبة إلی الضامن، وأمّا بالنسبة إلی المضمون عنه ففیه وجهان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النائینی، جمال الدین الگلپایگانی، الخمینی، المرعشی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سقوط الدَین بالهبة وسقوطه بالإرث غیر واضح؛ حیث حکمفی الأوّل بأنّ فی کونه کالإبراء أولاً وجهان، وحکم فی الثانی بعدم السقوط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الموافق للقاعدة، ولإطلاق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مع ظهور الخبر وعدم الاستفصال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خصوص القسم الأوّل من الروایة الشریفة أضعف من دعوی کون الحکم علی خلاف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خصوص القسم الأوّل من الروایة الشریفة أضعف من دعوی کون الحکم علی خلاف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موثّقتَی عمر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الضمان،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الضمان،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والاستظهار محلّإشکال، والظاهر عدم الفرق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شمول النصّ للصورتَین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عبدالله الشیرازی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شمول الروایة للمورد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المصالحة بعنوان الرضا بأقلّ منه ولو من غیر الجنس، بخلاف ما لوکانت المعاملة غیر محاباتیّة واتّفق ذلک لغبنٍ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کما مرّ، بل مرّ أنّه یجب علیه أیضاً مع المطالبة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الروحانی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دفعه بدلاً عمّا ضمنه عنه، فلا یبعد أن یکون کالمقبوض بالسَوم، ویملکه الضامن بنفس الأداء بلا حاجةٍ إلی إذنٍ 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عنوان الوفاء یکون کالقبول المتقدِّم علی الإیجاب؛ بمعنی أنّ الرضاالاستمراریّ بکونه وفاءٍ کافٍ فی صیرورته وفاءً بعد الأداء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المناقشة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علی ما ذکرناه فهو واضح لا یحتاج إلی توجیه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وفی المضمون عنه، ولعلّ فی العبارة تحریفاً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السَخیف من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تحقّق استیفائه من جهة أمره بالأداء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یعیّن الوجه الأوّل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یضمن البعض مع إسقاط المضمون له البقیّة، أو إبراء المضمون عنه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إلّا إذا رجع إلی اشتراط الوفاء من غیر 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بنقله إلی ذمّة بعض مراتب ما فی ذمّة غیره من مراتب مالیّته فی ضمن غیره،کما هو الشأن فی الوفاء بغیر 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علی مبنی کون الضمان موجباً للنقل، إلّا أن یراد اشتراط التأدِیةِ من غیرجنس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اشتراط الأداء من غیر الجنس، وإلّا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فیُعتبر فی صحّة القبض، کما فی سائر المرهونات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فرض صحّته، وعدم اشتراط سببٍ خاصٍّ توقیفیٍّ ولو بالإمضاء فی تحقّقه کان لاحتمال اشتراطه بالقبض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اشتراط صحّة الرهن حینئذٍ بالقبض وعدمه وجهان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الانفکاک قریب، والتفصیل فیه بین أن یکون الرهن علی أصل بقاء الدَین أو علی ذمّة المضمون عنه، فلا ینفکّ فی الأوّل، بخلاف الثانی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الروحانی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ذلک وإن ادّعی عدم الخلاف فی جوازه لکنّه لا یخلو عن الإشکال،خصوصاً إذا کان علی وجه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ذلک وإن ادّعی عدم الخلاف فی جوازه لکنّه لا یخلو من الإشکال،خصوصاً إذا کان علی وجه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التعهّد للدَین بمالٍ خاصٍّ یقتضی عدم کون عهدةٍ فی البَین إذا لم یکن المال الخاصّ موجوداً، وهو غیر معقول؛ لأنّ الکلّی الذمّی لا یتخصّص بمالٍ خاصٍّ خارجیّ، فلا معنی لانتقال الدَین عن ذمّة المضمون عنه إلی ذمّة الضامن مع حصرالضمان بالمال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علی فرض صحّة هذا التصویر إذا تلف المال لابدّ وأنلا یبقی ضمان فی الخارج، نعم، یجوز ذلک علی نحو الالتزام فی الالتزام، ونتیجةهذا الشرط ثبوت الخیار للمضمون له بتعذّر المشروط به فی عالم الوفاء وللضامن؛لأنّ لزوم الضمان علیه مع هذا الشرط ضرریّ؛ إذ ربّما کان الغرض الداعی لضمانه هو تطبیق ما فی ذمّته علی المال الخاصّ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باشتراط التأدیة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تلف تمامه، ولا یبطل إن بقی منه بمقدار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یبطل الضمان فی هذا الفرض بالنسبة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وجه له مع فرض القول بأنّ الضامن هو المولی، کما هوالمفروض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تکون عهدة المال علی الضامن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أصل الضمان بنحو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أنّه لا محصّل له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لبقاء وجوب الکسب علیه مع کون الضامن هو المَولی علی الفرض، کماأنّه لا وجه لبقاء ذمّة المولی مشغولة؛ لتعذّر الکسب بما هو مال للمولی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بناءً علی أنّ الضامن هو المولی،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اختصاصه بزمان مملوکیّته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سابقاً، أم لاحقاً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بمعنی الإبهام لا مصداق له، وبمعنی الإطلاق لا أثر له؛ إذ المال الواحد لا ینتقل إلی ذمّتَین علی نحو الاستقلال، فلابدّ من القول بالبطلان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تعقّب کلّ ضمانٍ بقبولٍ مستقلٍّ فالسابق قبوله هو الصحیح، وإن تأخّر إنشاوهمن الضامن، أو کان مقارناً لإنشاء الآخر، ویُلغی ما عداه مطلقاً، ولو تعقّب الجمیع بقبولٍ واحدٍ فالأظهر التقسیط مطلقاً، ولا أثر للتعاقب ولا التقارن فی الصدور عنالضامن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الأقوی، وحینئذٍ لو وقع بعد کلّ ضمانٍ قبول فالسابق قبوله هو الصحیح،وإن کان إنشائه من الضامن متأخّراً،أومقارناً لإنشاء الآخر، ولو وقع بعد الجمیع قبولواحدفالظاهرالتقسیط،بلاتفاوتٍ بین تقارن إنشاءالضمانات وتعاقبها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کما مرّ، وعلی هذا فهو المدار فی الدفعة والتعاقب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لِما عرفت من عدم صحّة انتقال المال الواحد إلی ذمّتَین علی سبیلالاستقلال، فالاحتمال الثالث باطل من هذه الجهة، وأمّا الاحتمال الثانی فهو باطل؛لأنّ قبول المضمون له ضمان الضامِنین إنّما هو مطاوعة لإنشائهما، والمفروض أنّکلّ واحدٍ منهما أنشأ التعهّد بتمام الدَین، فمن أین یحکم بالتقسیط الّذی لا موجبله؟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تعاقب الأیادی علی مالٍ واحدٍ فهو لا یستلزم إلّا وجوب أدائه من کلّواحدٍ من أرباب الأیادی، ولا یکون قرار الضمان إلّا علی من تلفت فی یده العین الّتی تعاقبت علیها الأیادی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یکن ضمان المتعدّد من ضمان المجموع، وإلّا فلا ینبغی الشکّ فی لزوم التقسیط، وأمّا إذا کان بنحو ضمان المتعدّد استقلالاً فهو باطل علی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أضعف الوجوه مطلقاً، بل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هو الأوّل علی مذهب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واضح علی مبنی الضمّ فی باب الضمان، لا النقل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 بل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بثبوت الخیار للمضمون له، وإذا فسخ ثبت الجمیع علی المُوسِر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لداعٍ عقلائیّ، ککونه سهل القضاء وسهل الاقتضاء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یجوز له الرجوع علی المضمون عنه فی صورة أدائه ما أذن له، کما عرفت،وهو یحتاج إلی مؤونة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التقسیط نظر بعد اعتبار العقلاء سقوط أحد الدَینَین بلا عنوان، نعم، لا یسقطأثره من الرهن؛ لأنّه تابع شخص الدَین المرهون علیه معیّناً، وهو بعدُ باقٍ بحکمالاستصحاب؛ لأنّ انتفاء أحدهما بلا عنوانٍ لابدّ وأن یکون فی ضمن انتفاء إحدیالخصوصیّتَین قهراً، وحیث لا یکون معلوماً فیرجع فیه إلی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قویّاً أن یکون أداءً لِما فی ذمّته أصلاً؛ لأنّه لا یحتاج إلی مؤونة زائدة،وقصد کونه أداءً لِما فی ذمّته أصلاً بخلاف کونه أداءً لما فی ذمّته ضماناً؛ فإنّه یحتاجإلی قصد الوفاء لِما فی ذمّته ضماناً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نظائر المسألة محتاج إلی مزید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التفصیل بین ما لو کان الدَینان علی نفسه أصلاً فالتقسیط، وبین ما إذاکان أحدهما علی نفسه أصلاً والآخر علی غیره انتقل إلیه؛ فإنّ الأداء یکون وفاءًلِما تعلّق بنفسه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علی الاشتراط بنفی الغَرر غیر تامّ، سواء کان المحذور الخطر، أمالجَهالة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السابق علی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وتقدّمه علی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طرف المضمون عنه إلی المضمون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یلزم المضمون عنه بأداء ما أقرّ علیه أخذاً بإقراره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الإنکار فی المقدار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أصل الدَین ثابتاً وکان المجهول مقداره، وأمّا إذا کان أصل الدَین غیرمحقّقٍ فقد مرّ الإشکال فیه، ولعلّه المقصود من تعلیل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واحتمال الموضوعیّة الصرفة فی حقّها ضعیف جدّاً، کما حُقّق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وجیه إن کان الثبوت بالبیّنة علی وجه التقیید، بخلاف ما إذا کان علی وجهالمعرّفیّة والمشیریّة إلی ما فی ذمّته أو مقدارٍ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فیه شیئاً إلّا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نری له وجهاً وجیهاً، والتوجیه الّذی ذکره المصنّف ؛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لداعٍ عقلائیّ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لعدم شمول إطلاق الأدلّة إیّاه بعد کونها محمولةً بالانصراف أو غیره علیالعقود العقلائیّة ذوات الجدوی، علی ما هو التحقیق فی محلّه، سواء فی ذلک الأدلّةالعامّة والخاصّة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الإبراء ولوازمه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والإبراء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إلّا فی صورة کون الضامن ولیّاً علی المضمون عنه، کالحاکم، واشتغالذمّته بالفعل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نعم، لا یبعد الجواز فی بعض الأحیان للولیّ، فتشتغل ذمّته بعنوان، وعلیه لا دخالة فیه لاشتغال ذمّته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هذا الضمان فی غایة الإشکال، خصوصاً فیما عدا الخُمس والزکاة، بللایبعد عدم جوازه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الوجهَین السابقَین، وحیث عرفت الإشکال فی الوجه الأوّل یمکنکالإشکال هنا أیضاً، فضلاً عمّا لم تشتغل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هو ولیّ فی قبول الضمان للمولی علیه، ولیس بالمضمون له، فیقوّیالإشکال الّذی یشیر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کما سیأتی فی کتاب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تکلّفٍ غیر خالٍ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ویصحّ بنحو ضمان الأعیان المضمونة،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أسقط صاحب الشرط شرطه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ضمانه، کضمان العین الشخصیّة، وهو ضمان العهدة، حسبما عرفت،وسیأتی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المؤدّی حینئذٍ لیس بالمضمون، بل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والأداء منها أیضاً؛ فإنّ جواز الضمان فیه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الأداء منها أیضاً، کما إذا کان المالک للکلّیّ فی المعیّن من صُبرةٍ متعدّداً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فیودّی من الوجوه المنطبقة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فضمن أحدهما عن الآخر فإنّه یرجع إلی ضمان الأعیان، ولا یخلو من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مع عدم بقائها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هو ظاهر الفقهاء فی کون نفقة الزوجة الماضیة دَیناً ثابتاً فی ذمّةالزوج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کشفها عن عدم ثبوتها من الأوّل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الخمینی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محمّد رضا الگلپایگانی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إذا یحتمل کونه دَیناً  علیه، بل لو لا الإجماع المدّعی لم یکن بعیداً عنظاهر الأدلّة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أقرضه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یوهم الفرق بین ما مضی وما سیأتی، لکن لا فرق بینهما؛ لأنّه معالإذن فی الاستقراض یصحّ فیهما، ومع عدمه لا یصحّ فی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المصیر إلی ذلک حتّی فی نفقة الزوجة إن لم یکن إجماع علی خلافه؛ولذا لا تکون نفقتها أیام ضیافتها عند أقاربها دَیناً علی ذمّة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بطلان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الخمینی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بعد البناء علی النقل فی الضمان؛ إذ هو فرع الثبوت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 عبدالله الشیرازی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عجز انعتق ولیس علیه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له فسخها بالعجز، فلا ثبوت ولا استقرار للمضمون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بالتأدیة یخرج عن عنوان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صورة الجزم، ولو فرض الشکّ فینفی اللزوم أو الأوّل إلیه لا وجه للتمسّک بالعمومات أیضاً لإثبات صحّة الضمان؛لأنّه تمسّک بها فی الشبهة المصداقیّة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مرجع لزوم الضمان إلی عدم قابلیّته للفسخ المنتج لاستقرار ما فی ذمّة غیرهعلی ذمّته بنحوٍ کان فی الأوّل، مستقرّاً أو متزلزلاً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الأقوی، والآیة لیست بصدد بیان حکمٍ شرعیّ، وأمّا عهدة الأمر فلاتشتغل بالعوض إلّا بعد عمل العامل؛ لأنّ الجعالة ونحوها إنّما تکون استیفاءً للعملبالعوض، فما لم یتحقّق العمل فی الخارج فلا عهدة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لِما تقدّم من کون الضمان بالنسبة إلی هذه الاُمور التزاماً وتعهّداً من الضامنبها، وإلغاءً لتعهّد المضمون عنه، لا تحویلاً لها من ذمّته إلی ذمّة نفسه، وانطباق مفاد الآیةالمبارکة علی کون الزعیم هو المتعهّد بالجعل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الأعیان المضمونة إنّما تُضمن بالمثل والقیمة بعد تلفها، وضمانها من هذه الجهةقبل التلف ضمان لِما لم یجب، وهو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العدم، وتصوّر الضمان فیه لا یخلو من خفاء، بل منع، وهکذا الکلامفی ضمان مال المضاربة، بل هناک لازم باطل لا یمکن الالتزام به، بناءً علی ما نقولبه فی معنی الضمان، نعم، هو صحیح بناءً علی ما یقول به غیرنا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التعهّد الفعلیّ للعین، وأثره وجوب الردّ مع بقاء العین وردّ مثلها أو قیمتهاعند تلفها، وبغیر هذا المعنی فلا تخلو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الضمان بمعناه المصطلح ـ أی نقل ما فی ذمّةٍ إلی ذمّة اُخری بالنسبة إلیالأعیان المضمونة کالمغصوبة والمقبوضة بالعقد الفاسد ـ معلوم العدم، نعم، لا مانعمن التعهّد والالتزام بردّها أو ردّ مثلها عند تلفها إن کانت مثلیةً، وقیمتها إن کانتقیمیّة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الالتزام بالردّ حال وجودها شرط ابتدائیّ، فلا تدخل تحت عنوان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جعلها بأعیانها فی عهدته علی نحو کونها شرعاً فی عهدة مَن هی فییده، المستَتبِـع لاستحقاق مطالبته بها موجودة أو تالفة، ثمّ لوجوب ردّها بشخصهاإن أمکن، وإلّا فبنوعها أو بمالیّتها، ولکنّ صحّته محلّ إشکال، سواء اُرید به نقلهاعن عهدة ذی الید إلی عهدته أم ضمّها إلیها؛ لاحتمال کونها من الأحکام الشرعیّة،لا من الاُمور الّتی بید الناس وضعاً ورفعاً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الضمان فی موارد الضمان هو العهدة، وهی أمر فعلیّ، أثره وجوبالردّ عند وجود العین، وردّ مثلها أو قیمتها عند تلفها، ومع ذلک کونه قابلاً للضمانبأن یثبت تلک العهدة للضامن بسبب تعهّده محلّ إشکال، والتمسّک 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وبعموم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الزعیم غارم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الضمان لِما لم یجب، وهو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یظهر من هذه الجملة صحّة کلّ التزامٍ بعنوان الضمان، والعمومات غیر متکفّلةٍلإثبات العناوین المعاملیّة، فلا یمکن تطبیقها علی کلّ التزامٍ وإن ترتّبت علیه توالیفاسدة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والعمومات لیست متکفّلةً لقابلیّة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بمعنی التزام مثلها أو قیمتها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التأمّل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الأقوی عدم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تجدی العمومات بعد التشکیک فی أصل حقیقته العرفیّة فی أمثال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مع بقاء الثمن، سواء کان قبل القبض أم بعده، وأمّا فیما إذا تلف فیید البائع فلا إشکال فی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الثمن فی ید البائع محلّ تردّد، نعم، لا إشکال فیه مع تلفه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قبض البائع، واحتمال الضیاع فی حقّه الّذی عبّر عنه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الإسلام بضمان العهدة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 وعدم الخلاف فیه مع قلّة التعرّض له لا یفید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أقوی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لم یثبت، بل الحال فیه هو الحال فی ضمان بقیّة الأعیان الخارجیّة،وبذلک یظهر حال بقیّة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 فیه وفی ما بعده، نعم، لا یبعد ذلک فی الأرش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أولویّته 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صحّة ضمان ما لم یجب فی جمیع الموارد، ولا معنی لکفایةوجود السبب فی صحّة ضمان ما لم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ذکره بعده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عدم کفایة وجود السبب والمقتضی للضمان، ولا یخرج بذلک عنضمان ما لم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صحیحة بالنسبة إلی کون المورد من الضمان لِما لم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یثبت الأرش بالاختیار، بل ثابت له فیختار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للصحّة لفرض أنّ الذمّة غیر مشغولة بالأرش إلّا بعد المطالبة، وعلیه فلایصحّ ضمانه لأنّه من ضمان ما 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فیه ما قوّینا فی ضمان درک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بصحّته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التمسّک بالعمومات الخاصّة والعامّة، ولکنّه قد تقدّم النظر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بل لمّا کان منشأ ضمان البائع لأمثال هذه الخسارات الواردة علی المشتری هو قاعدة الغَرور دون نفس العقد، فلو قیل بکفایة تحقّق السبب فی صحّةضمان المسبّب کان تعمیمه لمثل الغَرور من الضعف بمکان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بل لمّا کان منشأ ضمان البائع لأمثال هذه الخسارات الواردة علیالمشتری هو قاعدة الغَرور دون نفس العقد، فلو قیل بکفایة تحقّق السبب فی صحّةضمان المسبّب کان تعمیمه لمثل الغَرور من الضعف بمکان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بحیث یعتنی به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هو المرسوم من کتبه فی أوراق الأملاک وسنداتها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بل لا معنی له، وتعدّد الجهة لا یُجدی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بالغرور، وهو غیر متحقّقٍ حین إنشاء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الإشکال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کذلک، ولا ترجع دعوی تعدّد الجهة فی المقام إلی محصّل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النائینی،جمال الدین الگلپایگانی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بل لا وجه له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وهن هذا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الضمان بالاستیفاء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تطبیقه علی القواعد؛ لأنّه أتلف ماله بأمر الغیر، واحترام المال یقتضیالضمان، نعم، لابدّ أن یکون الأمر بداعٍ عقلائیّ، کحفظ السفینة من الغرق، وأمّالمجرّد خِفّة السفینة ونحوها فیمکن الخدشة فی کونه عقلائیّاً؛ ولذا لم یحکموابالصحّة، والإنصاف أنّ الموارد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لسرعة سیرها، أو من جهة سعة المکان علی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ما ذکروه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مبناه، وقد مرّ الکلام فی المسائل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 یساره، وقول المضمون له مع سبق إعساره، ومع عدم العلم بالحالةالسابقة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تکن محکومةً بأصلٍ موضوعیّ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مسبوقاً بالإعسار المجهول عند الضامن فالقول قوله فی دعوی 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 یساره، وقول المضمون له مع سبق إعساره، ومع الجهل بالحالة السابقةفمحلّ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سبق یساره، وقول المضمون له مع سبق إعساره، ولو لم یعلم حاله السابقففیه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فالمُقدَّم قول مدّعی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لموافقة قوله للاُصول العدیدة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ادّعی الضامن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صدّقه المضمون له یلزم المضمون عنه بالأداء، ولا یلتفتإلی إنکاره، ولو أنکراه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أقام البیّنة علی ما یدّعیه یثبت علیهما مطلقاً، وإلّا لم یکنحتّی الیمین المردودة من أحدهما حجّةً له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ضمن عقدٍ آخر؛ لأنّه لیس طرفاً فی عقد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اشتراطه علیه فی ضمن عقدٍ آخر، وإلّا فهو لیس طرفاً فی عقد الضمانحتّی یشترط علیه فی ضمنه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الزیادة،وأمّالواختلفافی أصل الضمان فالقول قول مُنکِره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لا دخالة له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کون المضمون عنه منکِراً للإذن أو الدَین غیر محتاجٍ إلیه؛ لأنّ الحکم فیصورتَی الاعتراف والإنکار واحد، وإرجاع القید إلی الضامن لا مصحِّح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فرق بین صورتَی الإنکار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الفرض بقیوده من التشویش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الفرض بقیوده من التشویش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إذ الإذن غیر مستلزِمٍ للرجوع، بل هو أعمّ، اللهمّ إلّا أن یوجّه الرجوعبالتقاصّ، وفی صدقه فی المورد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بأنّ الواقع لا یخلو من أحد الأمرین، أی صدق دعوی الضامن بأنّهمأذون فی الأداء من طرف المضمون عنه، أو صدق دعوی المضمون عنه بأنّه إذنللضامن فی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لی مورد المسألة، وأنّ عدم الاعتراف هل فُرِضَ فی صورة ادّعاء الضامن الضمان والإذن فیه، أو فُرِضَ فی صورة ادّعائه الإذن فی الأداء، وکون المأخوذمنه ظلماً؟ فعلی الأوّل لا معنی للمقاصّة أصلاً؛ لأنّه بعد فرض الثبوت بالبیّنةیجوز له الرجوع علی المضمون عنه بعنوان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الثانی لا وجه لقیام البیّنةعلی غیر ما یدّعیه المدّعی، بل یُنکِره؛ لأنّ مدّعی الضامن إنّما یدّعی مجرّدالإذن ویُنکِر الضمان رأساً، والمفروض إنکار المضمون عنه له أیضاً، کما أنّه لا وجهلإقامة المضمون له البیّنة، علی أنّ المضمون عنه قد أذن فی الضمان، فالعبارةمشوّشة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تشویش؛ فإنّ جواز الرجوع علی المضمون عنه مقاصّةً باذنٍ منالحاکم الشرعیّ لا یرتبط بثبوت الضمان أو الإذن فیه بالبیّنة، بل المناط فیه اعترافهبالدَین وبعدم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یشهدا بالإذن فی الأداء الجامع بین الفرضَین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بلا ضمان، ومعالضمان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العدم؛ لِما اُفید من أنّه لیس الإذن مع قطع النظر عن متعلّقه موضوعاًمتحصّلاً له أحکام حتّی تترتّب علیه أحکامه بقیام البیّنة علیه بدون ذکر متعلّقه، ولیسمثل الدَین، فإنّ له فی حدّ نفسه تحصّلاً وأحکاماً، ولیس متقوِّماً بأسبابه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عدمه؛ إذ لیس الإذن مع قطع النظر عن متعلّقه موضوعاً متحصّلاً لهأحکام حتّی تترتّب علیه أحکامه بقیام البیّنة علیه بدون ذکر متعلّقه، ولیس مثلالدَین فإنّ له فی حدّ نفسه تحصّلاً وأحکاماً، ولیس متقوّماً بأسبابه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بکون نظر الشاهدَین إلی جهةٍ واحدةٍ لا إشکال فی سماعها بالنسبة إلیتلک الجهة؛ لصدق البیّنة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إن لم یحلف ما لم یکن یصدِّقه المضمون عنه، ولم یثبت علیه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التقیّد بالتبرّع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وتعلیله بحصول الغرض أضعف، کما لا یخفی، والحمد لله ربّالعالَمین، والصلاة علی نبیّه وآله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الغرض منحصِراً بهذا، بل الظاهر أنّ الغرض هو وجود الحجّة إذا أنکر الدائن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اختلاف ذلک باختلاف الموارد؛ إذ قد یکون لنفس الإشهاد والاشتیاقموضوعیّة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المقصود إحالة الدائن بماله إلی غیره، والإحالة بالمال هی عین إحالة مافی ذمّته إلی ذمّة غیره، فمرجع التعبیرین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أنّه لیس فی الضمان إحالة المدیون؛ لأنّ المحیل فیه هو الضامن، فإنّهبنفسه یُحِیل دَین المدیون إلی ذمّته، من غیر فرقٍ بین کون الضمان تبرّعاً أوباستدعاء المضمون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اعتبار شیءٍ من ذلک فی المحال علیه، إلّاإذا کانت الحوالة علی البریء فإنّه تعتبر فیه الاُمور المذکورة غیر الفَلَس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المحال علیه بریئاً فالأظهر عدم اعتبار الاختیار فیه، إلّا أن تکونالحوالة بغیر جنس ما فی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حکم الحَجر بالسَفَه حکمه بالفَلَس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الحَجر بالفَلَس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بدل السَفَه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وکأنّه من سهو القلم أو غلط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الحوالة علی البریء فلا یعتبر عدم الفَلَس فی المحال علیه أیضاً، وفیهذه الصورة اعتبار عدم السَفَه فی المحیل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یکون المحیل محجوراً بالفَلَس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اعتبار رضا المحال علیه فی البریء وفی غیر الجنس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هی عقود، سواء کانت لازمةً أم جائزة، لا ما تقتضیه أدلّتها الخاصّة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کونها عقداً لا یضرّها تأخیر 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کونه من أطراف العقد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ما لو وقعت بوسیلة الأدوات النقّالة للصوت؛ فإنّ الموالاة محفوظة فیهعرفاً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کونها من العقود، وما ذکره 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هذه العقود من الإیقاع مشکل شرعاً، نعم، لا ریب فی توسعة الأمر فیها بمالم یوسَّع فی غیرها من العقود، وهو أعمّ من کونها إیقاعاً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ضعف هذه الدعوی فی الحوالة وکذا فی الضمان أیضاً والوکالة وانعقادهابالکتابة ومع عدم التوالی بین الإیجاب والقبول لا یوجب أن تکون من الإیقاعولتوضیح الفرق بینهما وبین سائر العقود اللازمة فی ذلک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جمال‌الدینالگلپایگانی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ما یدلّ علیه لفظاً أو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الحوالة من سنخ الوفاء محلّ إشکال؛ لقوّة احتمال کونه من باب تبدیلالذِمَم، ولو لم یکن اعتیاضاً، کما فی البریء، ویترتّب علیه رضا الثلاثة من المحتالوالمحال علیه والمحیل، والأصل أیضاً یقتضیه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أنّ الحوالة بین المحیل والمحتال عبارة عن تطبیق ما فی ذمّة المحیلعلی ما فی ذمّة المحال علیه، وقبول المحتال ذلک، وبهذا یصحّ القول بأنّه نوع وفاء،ونتیجة الحوالة صیرورة ما فی ذمّة المحال علیه مُلکاً للمحتال من دون صدقالمعاوضة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مع سلطنةٍ فی الجملة فی الحوالة، وهی الموجبة لصیرورتها عقداً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عقد، ولیس بصرف الوفاء، بداهة أنّ الوفاء تأدیة الدَین إلی مالکه، والمحیللیس بمؤدٍّ، بل له السلطة علی التأدیة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أنّه من العقود، وکذا الکلام فی الوکالة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یترتّب علیها ما یترتّب علی العقدَین من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أنّها أیضاً من العقود؛ لأنّها نیابة الوکیل عن الموکّل، ولها إضافةإلیهما، فلیس لأحدهما الاستبداد بجعلها من دون دخالة الآخر، ولیست هیکالإذن؛ فإنّه قائم بنفس الآذن فقط، وإن کان ینتزع عنه بنفسه وصف المأذونیّةللاخر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الوکالة العقدیّة ومجرّد الإذن والرخصة ظاهر، وقد اعتبر فی کلٍّ منهماما لم یعتبر فی الآخر، وکون الثانی من الإیقاع لا یوجب أن یکون الأوّل أیضاًکذلک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مجرّد الإذن والرخصة، بخلاف الثانی فإنّها تفویض وإعطاءسلطنة، وهو لا یتمّ إلّا بقبول الطرف، ولها أحکام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قبول الآخر ولو بالتطبیق العملیّ علی وفق إذنه یکون عقداً، وإن شئت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التعبیر مختلف، والحقیقة واحدة، وهی الوکالة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یشترط الرضا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الصحّة، وإن لم تکن بضمانٍ فتشملها الأدلّة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للمدیون قبول الحوالة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قولاً قویّاً فصلاً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الفرق الظاهر بینهما کیف یکونان من وادٍ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الدینالگلپایگانی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الفرق الواضح بینهما کیف یکونان من وادٍ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نحو الحوالة علی المدیون والبریء نحو واحد؛ ولذا یعتبر قبولالمدیون، کما مرّ، وقد مرّ أیضاً أنّ حصول الإیفاء والاستیفاء فی المدیون خارجعن الحوالة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الإشکال فی کفایة ذلک فی باب الضمان الجاری وجهه فی المقام أیضاً،فالمشهور هو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فصل الضمان عدم کفایة وجود السبب فی ضمان المسبّب، وفی ما نحنفیه أیضاً کذلک، فالأقوی ما ذهب إلیه المشهور من لزوم کون المال ثابتاً فی ذمّةالمحیل فی صحّة الحوالة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ذکرنا أنّه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یشبه أن یکون من قبیل 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من وجوده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الحوالة ممنوع، ولو قلنا بصحّته فهو داخل فی عنوانٍ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شمول عمومات الحوالة مشکل، والعمومات من 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تُثبِتالأحکام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حَذوَ ما مرّ فی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ما أفاده من هذه الفروع إشکال؛ لعموم نفی الضرر لولا دعوی ضعفسنده، وعدم جبره بالعمل؛ ولذا اشتهر بینهم عدم إضراره فی عقد الصلح، بلا نظرٍمنهم إلی دلیلٍ مخصِّص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جدّاً هو وما یتلوه من الفرعَین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إلی آخر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فرق فارق بین هذا وسابقه الّذی صرّح ببطلانه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فرق فارق بین هذا وسابقه الّذی صرّح ببطلانه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بل منع؛ لعدم ظهور فرقٍ بینه وبین ما تقدّمه الّذی حکم ببطلانه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والظاهر عدم صحّة مثل تلک الحوالة وبطلانها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اتّحادهما کمّاً وکیفاً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یُغنی اشتراط رضا المحال علیه فی صورة اختلاف المالَین عن هذا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الشرط وإن اعتبره غیر واحدٍ ممّن یری جواز الحوالة علی البریء لکن لایبعد أن یکون منشأ اشتراطه هو القول بعدم جوازها، وکیف کان فعدم اعتبار هذاالشرط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بمنزلة الخبر 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رضا المحال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بعدم التسلّط علی المحال علیه وإن لم یشمل المثالَین مع فرض رضاهلکنّ الحوالة حیث کانت نقل ما فی ذمّة المحیل إلی ذمّة المحال علیه فبإحالة مَن لهعلیه الدراهم علی البریء بالدنانیر لا تتحقّق الحوالة، ولا تصحّ ولو مع رضاه، بلیشبه المعاوضة بتبدیل الدراهم بالدنانیر، نعم، إذا أحال مَن له علیه الدراهم علی مَنله علیه الدنانیر بالدراهم تتحقّق الحوالة، لکن لعدم تسلّطه علیغیر ما فی ذمّتهیشترط رضا المحال علیه ـ کما فی الحوالة ـ علی البریء، ومعه فلا مانع منصحّتها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له علیه دنانیر، ومع ذلک العبارة مختلّة النظام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الجواز فیما کان علی البریء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رضی به المحال علیه،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البروجردی، حسنالقمّی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الفراغ عن رضا المحال علیه أیضاً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بمجرّد الحوالة وإن لم یتحقّق الأداء من المحال علیه، وسیأتی البحث عن ذلکفی المسألة العاشرة، وأنّ الأقوی خلاف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للمحتال بالدراهم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تبقی ذمّة المحال علیه مشغولةً بالدنانیر الّتی کانت علیه من قبل الحوالة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للمحال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ویشمل هذه الصورة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الحوالة فی الاُمور المذکورة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والاتّفاق المدّعی علی فرض الثبوت لیس بإجماع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غیر مضرّةٍ علی تقدیره،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أنّه مجمل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من الوجوه والمحامل؛ لمکان تعارض الروایات الاُخَر، الدالّة علی عدماعتبار الإبراء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بأنّ الحوالة تطبیق لِما فی ذمّة المحیل علی ما فی ذمّة المحال علیه فی عالمالوفاء بالدَین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ذمّة المحیل فی الحوالة علی البریء بمجرّد الحوالة محلّ منع، والمحقّقاشتغال ذمّته بعد أداء المحال علیه، کما فی الضمان، وقد مرّ أنّه مطابق للقواعد، وأمّاالحوالة علی المشغول بغیر الجنس فقد مرّ منه  قدّس سرّه أنّه وفاء بغیر الجنس، فلا وجهلاشتغال ذمّته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التحاسب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للإطلاقات المانعة عن الرجوع إلی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الأشبه عدم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عدم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حسن القمّی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لو لم یکن المتعارف ـ ولو فی نوعه ـ اشتغال ذمّة المحال علیه، وإلّا فیُقَدَّمقول المحال علیه؛ لکونه موافقاً للظاهر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یجری الاستصحاب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بأنّ المحیل والمحال علیه طَرَفانِ فی هذه الدعوی، ولا ربط لها بالمحتال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التمسّک فی المقام باستصحاب عدم اشتغال ذمّته؛ فإنّه یُحرِز الموضوعدون أصالة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والتعلیل علیل، لصحّة المعاهدة، وإن کانت بالإذن فی وفاء الدَین، کمایأتی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قوله من جهة موافقة قوله لإصالة الصحّة مخالف للقول بعدم الصحّة،ومقتضی استصحاب عدم اشتغال ذمّة المحال علیه عدم المال عنده للمحیل،ومقتضی قاعدة الغَرور الرجوع إلیه، وکذا مقتضی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یُضمَن بصحیحه یُضمَنبفاسده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الفقهیّة للمقداد السیوری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حسن القمّی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فإنّ الحوالة علی البریء إنّما توجب الضمان من جهة استیفاء مالالمحال علیه بأمره، ومن المعلوم أنّ قضیّة ذلک هو  الاشتغال بعد الأداء وبمقداره،وبه یظهر أنّ حالها حال الضمان فی بقیّة الاُمور المذکورة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وقد مرّ أنّه موافق للقاعدة فی الضمان والحوالة علی البریء، ومرّبیانه،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الحقّ؛ لأنّ الحوالة علی البریء استیفاء بالعوض من المحیل، وضمان منالمحال علیه، فدعوی أنّ مجرّد الحوالة علیه تستلزم اشتغال ذمّة المحیل للمحالعلیه مصادرة 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اشتغال ذمّة المحیل للمحال علیه إلّا بعد الأداء، وبمقداره، حَذوَما مرّ فی الضمان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أنّ ذمّة المحیل لا تشتغل للمحال علیه إلّا بعد الأداء؛ إذ به یتحقّقاستیفاوه لماله بأمره؛ وعلیه یترتّب أنّ حال الحوالة حال الضمان فی بقیّة الجهاتالمذکورة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الضمان أنّ القاعدة لا تقتضی ضمان المضمونعنه للضامن قبل الأداء؛ لأنّ ضمانه له إنّما هو فی طول الأداء وبسببه، وعلیمقدار ما أدّاه، وکذلک الحال فی الحوالة علی البریء؛ لأنّها ـ کما عرفت ـضمان فی الحقیقة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الإجماع غیر محقّق، والخبر غیر دالٍّ هناک فضلاً عن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دلالة خبر الصلح علی ذلک ممنوعة، بل مفاده عدم استحقاقهالزائد علی ما صُولِح علیه، وقد مرّ أنّ الحکم فی الضمان أیضاً علیوفق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مضافاً إلی مساعدة العرف علی شرطیّة فعلیّة الأداء، علاوةً علی إمکان تنقیحالمناط من باب الضمان فی المقام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حکمها حکم الضمان فی ذلک؛ إذ هی مع براءة المحال علیه ضمان فیالمعنی وإن اختلف اللفظ، وخصوصیّة اللفظ لا دخل لها فی نظر العرف، بل الظاهرأنّ الإبراء والوفاء بالأقلّ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عندی أنّ الحوالة علی المکاتب کالحوالة علی البریء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تحتاج إلی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الدَین الّذی أحاله السیّد علی مکاتَبِه من جنس مال الکتابة وبمقدارٍفبمجرّد الحوالة یتحرّر العبد من دون اعتبار قبوله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الأصحّ من کون مال الکتابة دَیناً علی العبد، وأمّا لو قیل بعدم الدَینلِلُزُوم کون المولی مدیوناً لنفسه فتکون الحوالة علیه کالحوالة علی البریء، ولایُعتَق ما لم یودِّ، کما مرّ؛ وعلی هذا لو أعتقه المولی صحّ وبطلت الکتابة، ولم یسقطعن المکاتب مال الحوالة، ولا یضمن السیّد ما یغرمه العبد بعد الحرّیة، کما اختارهالمسالک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جواز مطالبة المحال علیه من المحیل قبل الأداء، بل وبمقدار مایؤدّی؛ فإنّ براءة ذمّة المحیل بل والمضمون عنه تحصل بقبول المحال علیه فیالأوّل، والضامن فی الثانی، ولکنّ اشتغال ذمّة المحیل والمضمون عنه إنّما تحصلبعد أداء المحال علیه أو الضامن، وبمقدار ما أدّاه، وفرق بین براءة ذمّته واشتغالها،وربّما کان نظر المشهور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نظره إلی ما ذکر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بین الحوالة علی المدیون والبریء من البون البعید، وقصورها فیالقسم الثانی عن کونها موجبةً لاشتغال ذمّة المحیل للمحال علیه قبل الأداء لایوجب أن تکون فی القسم الأوّل بالنسبة إلی فراغ ذمّة المحال علیه عن دَینالمحیل أیضاً کذلک، وإلّا لزم اشتغال ذمّة المحال علیه قبل الأداء لکلٍّ من المحیلوالمحتال بذلک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قیل بابتناء ما أفاده الشهید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علی المنع عنکون العبد ذا ذمّةٍ اختیاریّةٍ کان أولی من أن یُنسَب إلیه ما یستلزم هذا المحال،خصوصاً مع ما نقل عنه من تصریحه فی غیر المقام بفراغ ذمّة المحال علیه عن دَینالمحیل بنفس الحوالة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تسلیم التوقّف المزبور فی موارد رجوع المحال علیه علی المحیل،کما فی البریء لا مجال لدعواه فی المقام؛ لأنّ بنفس الحوالة تفرغ ذمّة المحالعلیه من المحیل، وفراغ ذمّته عنه بمنزلة أدائه، فلیس للسیّد حینئذٍ عِتقُهبمجرّد الحوالة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ناقصة، والصحیح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أحال علیه غریمه بثمنها ـ کما عَنونَالمسألة فی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المحکیّ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قدّس سرّه هو المنع فیما لو أحالَه بمال الکتابة، وأمّاالحوالة علیه بثمن السلعة الّتی ابتاعها فاحتمل فیها الوجهان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 منع الشیخ بإحالة المولی غریمه علی المکاتَب، وهو فرضآخر غیر ما عَنونَه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یحتاج إلی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فرض المسألة فیما إذا کان مدّعی الوکالة یدّعیها بأن یکون أمانة عند الوکیل، وإلّا فلا یترتّب علی هذه الدعوی بالنسبة إلی ما بعد القبض أثر أصلاً،ضرورة اتّفاقهما حینئذٍ علی کون المال للمحتال، وارتفاع اشتغال ذمّة المحیل له،کما أنّ إجراء الاُصول المذکورة بالنسبة إلی ما بعد القبض مخدوش فیهذه الصورة، ضرورة أنّ ارتفاع اشتغال ذمّة المحیل للمحتال، وکذا ذمّة المحال علیهللمحیل، وکذا ملکیّة المحتال للمال المأخوذ معلوم، سواء کان الواقع هی الحوالةأو الوکالة بالنحو المذکور، نعم، لو کانت الوکالة بنحو الأمانة لا بأس بجریانأکثر هذه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المعیار فی مَیز الخصمین المقصود والغرض الواقعیّ فی الدعوی،لا مصبّها ومطرحها، کما هو المختار، فالباب باب التداعی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بمعنی ثبوت الوکالة وترتیب أثرها لو کان لها أثر، وللمسألة صور، وکذا لطرحالدعوی، ولعلّ فی بعضها یکون المرجع التحالف علی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جریان الاُصول المذکورة قبل القبض، وأمّا بعد القبض فلا معنیلبقاء اشتغال ذمّة المحال علیه للمحیل؛ لأنّه علی فرض الحوالة تبرأ ذمّتهبمجرّدها، وعلی فرض الوکالة تبرأ بأدائها إلی وکیل المحیل، والمفروضهو العلم بعدم الخروج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ذمّة المحیل فی الحوالة تبرأ بمجرّدها،وفی الوکالة بأخذه الوکیل بمقدار ما علیه من المحال علیه عوضاً عن دَینالمحیل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کانت الدعوی الوکالة فی أخذ المحتال بوکالة المحیل والبقاءعنده أمانةً فیصحّ استصحاب اشتغال ذمّة المحیل للمحتال، واستصحاب عدمانتقال ما أخذه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وجریان ما یلیها قبل القبض واضح، وفی جریانها بعده فی بعضالصور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هذا الید لا یوجب تقدیم قول المدّعی للحوالة؛ لعدم إثباتها سببدعواه، ولکن لا یخرج عن الأماریّة لأصل الملکیّة بعد کون المدار فی مثل المقامعلی ترجیح ید الحادثة علی السابقة، وإن کان فی مقام استناد الشاهد کان الأمربالعکس، کما یظهر من التعلیل فی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الحکم بملکیّة صاحب الید،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بأنّه لولاه لَما یبقی للمسلمین سوق؛إذ نفس هذه العلّة یقتضی تقدیم الید اللاحقة علی السابقة فی غیر مورد الشهادة،وتقدیم السابقة فی مقام استناد الشاهد بها؛ لئلّا یختلّ أمر قیام البیّنة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ولکن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اُفید فی وجه تقدیم اللاحقة علی السابقة فی غیر بابالشهادة وعکسه فیها للعلّة المزبورة فی غایة المتانة، وإنّما الکلام فی أماریّة الیدعلی أصل الملکیّة فی المقام بعد سقوطها عن إثبات السبب، بدعوی أنّ قضیّةسقوطها تقتضی إجراء أحکام المدّعی علیه، کما هو ظاهر کلماتهم بلا خلافٍ فیه،ومن المعلوم أنّ لازمه إجراء أصالة عدم الانتقال فی حقّ قائله کی یصیر منکراً،ومن المعلوم أنّ مثل هذا الأصل مع فرض أماریّة الید علی أصل الملکیّة لایجتمعان؛ لأنّ نتیجة مثل هذا الأصل وما هو المصحّح جریانه لیس إلّا ترتیب أثرهمن عدم الملکیّة؛ إذ لولاه لا یتصوّر لمثل هذا الأصل أثر عملی، فلو کانت الیدحینئذٍ أمارةً علی الملکیّة لا یتصوّر مجال لجریان الأصل المزبور، فلا یبقی حینئذٍ مجال جعل القائل بعدم الانتقال منکِراً، فإطباقهم علی جعله منکِراً مساوقإجماعهم علی جریان الأصل المزبور فی حقّه، وهو مساوق إطباقهم علی عدمأماریّة مثل هذه الید علی أصل الملکیّة أیضاً، ولا علی استحقاق کون المال تحتیده من جهة اُخری؛ لاعترافه علی نفیها، ولازمه حینئذٍ انتزاع الحاکم المال من یده،ولعلّه إلی هذه النکتة نظر شیخنا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دعوی الإجماع علی انتزاع المال منیده، فلا یبقی حینئذٍ مجال إشکال المحشِّین بأنّه لا وجه لانتزاعه مع بقاء الید علیأماریّتها فی أصل الملکیّة، فتأمّل وتدبّر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 التمسّک بالید، وکذا فی النظیر، نعم، لا یمکن المتسّک بها إذا کان فیالبین استصحاب حال الید بأن کان إجارةً أو غصباً، وفی الحال یدّعی الملکیّة منجهة تملیکه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اختصاص ذلک بالعارف بالاصطلاح المستعمل له، وإلّا فلا ظهور، وکذافی مشتقّات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قوّة، ومنع الظهور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المنع منع، وتقدیم مدّعی الحوالة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الوجدان إنصافاً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قوله للظهور المذکور هو الموافق للأصل اللفظی، فلا وجه لمنعه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اللازم فی الحوالة أن تکون ذمّة المحیل مشغولةً للمحتال، وهنا لیس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قبوله الحوالة أو رضاه مقیّد بکون الثمن فی ذمّته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من قبیل تخلّف الداعی واندراج المقام فی الحوالة علی البریء لا یخلو منوجهٍ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من قبیل تخلّف الداعی واندراج المقام فی الحوالة علی البریء لا یخلو منوجه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بنحو تخلّف الداعی، وإلّا صحّت الحوالة ولزم، ویرجع بعد أدائه إلیالمحیل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صورة إحالة المشتری البائع علی الأجنبیّ البریء، وأمّا فیها فالمقبوضباقٍ علی ملک الأجنبی فی صورة بطلان الحوالة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خصوصاً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موجب للبطلان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نعم، لا بأس بالالتزام بکون الفاسخ له السلطنة علی فسخ التصرّف الملزم الواردعلی ماله إن کان فی بقائه علی الملزوم ضرر علیه،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الضررالمتصوّر فیه لیس إلّا ضرر نقض الغرض، وإلّا فمالیّته مجبورة بالقیمة جزماً، ومنالمعلوم أنّ هذا الضرر فی غیر باب نفس العقود غیر مجبور، کما هو ظاهر علی منراجع ولاحظ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یرجع المشتری علی البائع، کما هو ظاهر، ولعلّ فی النسخة تحریفاً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کاشفالغطاء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الصورتَین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الثانیة بالفسخ ینتفی الموضوع وهو الدَین المحال،وفی الاُولی یصیر کالحوالة علی البریء، لکنّ ذلک لا یوثّر؛ لأنّ الفسخ بعد الحوالةبمنزلة الفسخ بعد سائر النواقل ـ مثل البیع أو الصلح ـ لا یفید فی رفع أثر الحوالة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الثانیة المذکورة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اُخذ الثمن علی نحو الداعی، أو لم یُلحَظ أصلاً، أو اُخذ علی نحو الشرط  واُسقط الشرط، أمّا إذا اُخذ الثمن علی نحو القید أو کان مصبّ الحوالة بطلت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محمّدالشیرازی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الثانیة ـ وهی تحویل البائع أجنبیّاً علی المشتری بالثمن أیضاً ـ الحوالةواقعة علی الثمن، فلا فرق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الدعوی المذکورة خروجاً عن الفرض ورجوعاً إلی دعوی الاعتیاضظاهر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الدعوی المذکورة خروجاً عن الفرض ورجوعاً إلی دعوی الاعتیاضظاهر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إنکار للمبنی، لا للبناء بعد تسلیم المبنی، وإنکار المبنی وجیه، وفرق بینکونها استیفاءً أو لازمها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معاملة لازمة، فلا تتبع البیع فی الانفساخ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من أوّله إلی آخره لا یخلو من اغتشاش، فإن کان المقصود الوکالة فیردّ عین ماله إلی غریمه فهذا لا یحتاج إلی قبول المحتال والمحتال علیه؛ فإنّ الأمینیکفی فی جواز الردّ له إذن المالک، ولا یلزم علیه الردّ إلی الغریم ولو مع قبولالوکالة، بل علیه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علی المالک، وإمّا علی مَن أمر بالردّ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الغریم فإنکان ما أمر بالردّ إلیه مصداقاً لدینه فملزم بالقبول، وهذا لیس من الحوالة فی شیء،لا المصطَلَحَة ولا غیر المصطَلَحَة، والحکم بالضمان لقاعدة الغَرر فی المقام محلّمنع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فیترتّب علی قبوله الضمان؛ لعنوان الغَرور من جهة اطمئنانه بالوفاء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لیس من الحوالة أصلاً، ولا یحتاج إلی قبول المحال علیه؛ لأنّه وکیل علی ماهو المفروض، بل وقبول المحتال إذا کان ذلک المال مصداقاً لدَینه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النقل من الذمّة إلی الذمّة ولا الضمّ، کما علیه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تخلّف الوکیل عن أمر المالک وإن کان موجباً لصیرورة یده علی المال ید ضمانٍویضمنه لمالکه لکنّ ضمانه للمحتال لا موجب له، والتشبّث بقاعدة الغَرور ضعیفغایته، والحمدُ للهِ ربّ العالمین، والصلاةُ علی رسولِهِ وآلِهِ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جمال‌الدینالگلپایگانی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تخلّف الوکیل عن أمر المالک وإن کان موجباً لصیرورة یده علی المال ید ضمانویضمنه لمالکه لکنّ ضمانه للمحتال لا موجب له، والتشبّث بقاعدة الغَرور ضعیفغایته، والحمدُ للهِ ربّ العالمین، والصلاةُ علی رسولِهِ وآلِهِ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کراهة العُزُوبة،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النکاح،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النکاح،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حبّ النساء والمحلّلات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الأمر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استفادة الاستحباب منها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التزویج ولو عند الاحتیاج والفقر،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کراهة العُزُوبة وترک التزویج والتسرّی،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الزوجیّة بین الرجل والمرأة بنفسها مرغوب فیها؛ لأنّها خروج عن الوحدةبتشکیل النظام العائلی، وتأسیس التعیّش علی نحو الاشتراک،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اسْکُنْ أَنْتَ وَزَوْجُکَ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الفائدة المهمّة من النکاح کسر الشهوة البهیمیّة قطعاً، بل فوائده لا تخفی،وکفی فائدةً بقاء النسل أو زیادته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استحباب التعدّد، والآیة فی مقام تشریع أصل جواز التعدّد، وفعلالمعصومین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یدلّ علیه، کما لا یخفی، إلّا أن یلتزم بکون کلّ صادرٍ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راجحاً، وفیه کلام فی علم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دلالة الآیة الشریفة علی استحباب أزید من الواحدة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دلیل علی استحباب تعدّد التسرّی لغیر المشتاق، وقد مرّ عدم تمامیّةالاستدلال بفعلهم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المناقشة فی وجوب المنذور بعنوانه الذاتی، بل الواجب هو عنوان الوفاءبالنذر، وإنّما ینطبق فی الخارج علی المنذور، والخارج لیس ظرفَ تعلّق الوجوب،وکذا الحال فی العهد والیمین، وکذا فی سائر أمثلته من کونه مقدّمةً للواجب المطلقوما یتلوه؛ فإنّها مع ورود الإشکال المتقدِّم علیها أو علی بعضها تَرِدُ علیها إشکالاتاُخر لیس المقام مقتضیاً لبیانها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الکلام فیالنکاح المحرّم والأمثلة المذکورة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الزیادة علی الأربع ونکاح المحرّمات عیناً وجمعاً فإنّها محرّمات وضعیّة،أی لا یقع النکاح فیها، لا أنّه یقع محرّماً، وتأتی المناقشة فی النکاح المکروهبما ذکره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بالظنّ فی غیر الضرر من الوقوع فی المحرّمات ما لم یطمئنّ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بالشیء لا یقتضی النهی عن ضدّه شرعاً، وکون فعل النکاح سبباً مفوّتاًللواجب حتّی تکون حرمته للتفویت باطل؛ لمنع السببیّة، بعد ما نری من أنّ ترکالواجب ـ وهو عدم إخراجه إلی الوجود ـ اختیاراً لیس معلولاً لفعل النکاح، فلاسببیّة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التزاحم بین المستحبَّینِ فی رتبة الامتثال لا یستلزم انقلاب حکمهما إلی الإباحة؛لعدم الموجب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ویُعبَّر عن مثل هذه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بالإباحة القهریّة تارةً، واللا اقتضائیّة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بالإباحة لذلک مسامحة غیر خفیّة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الفرض أیضاً خارج عن المقسم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نتصوّر المباح إلّا مع التزاحم فی مقام الجعل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بالعمل بجمیعها رجاءً؛ لعدم الاطمئنان بمستندٍ کثیرٍ منها، بعدما أشرنامراراً بأنّ اتّکال المشهور علی روایةٍ لا تصلح لجبر سندها فی باب المستحبّات؛لاحتمال بنائهم علی إثبات الاستحباب بقاعدة التسامح فی أدلّة السنن، وهکذا فیالمکروهات بملاحظة رجحان ترکها،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بالمستحبّات المذکورة برجاء المطلوبیّة أوفق بدرک الواقع؛ لعدم وضوحالمستند فی بعضها، وکذا ترک المکروهات برجاء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المستحبّات المذکورة فی هذه المسألة مبنیّ علی قاعدة التسامح، فاللازمأن یکون الإتیان بها برجاء المطلوبیّة، وکذا بعض المکروهات فی المسألة اللاحقةفیترک برجاء الکراهة، وکذلک سائر المستحبّات والمکروهات المذکورة فی هذاالفصل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 فی الألفاظ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بالمیثاقالّذی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طلبهم لحضور مجلس الولیمة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تسرّعهم إلی الذهاب؛ لقوله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دُعِیتُم إلی الولائِم فأبطِئُوا، فإنّه تذکّرکمالدنیا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یناسبه،ح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دُعیتم إلی الجنازة فأسرِعوا، وإذا دُعیتم إلی العرائس فأبطِئوا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وسکون الراء،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وما یناسبه،ح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دُعیتم إلی الجنازة فأسرِعوا، وإذا دُعیتم إلی العرائس فأبطِئوا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کفایة الحمد فقط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استحبابه لا یختصّ بالدائم إذا کان مُعرِضاً لتولید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ورود الخبر فی الزفاف، لا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الأحوط رعایتها ورعایة غیرها المذکورة فی کتب السنن 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الّذی وجدته خاصّ بالدخول فی لیلة الأربعاء، لا العقد، ولا الزفاف بدون دخول، ولا فی یوم الأربعاء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به نصّاً فی هذه العُجالة، ولکنّ باب التسامح واسع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یقم دلیل یُعتدّ به علی ذلک وإن نُسِب إلی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مطلقة، ولا تخصّ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لیلة أو لیلتان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بالاستحباب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التذکیر من سهو القلم؛ إذ الوداد لیست من الصفات المختصّة بها کالولادة، والنبویّالمتضمّن لها ذکرت فیها مؤنّثة فی النسخ المصحّحة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کراهة تزوّج من مسّ بعض آبائها کفر أو رقّ تأمّل، بل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یضرب لونها إلی الحُمْرة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عظیمة کبیرة الألیتین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متوسّطة قامتها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من الخبر جزءاً، والخبر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رمّة الکعب، عظیمة الکُعثُب،والمراد من قوله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رمّة 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خفیّ العظم النابت فی طَرَفی الساق منهایمینها وشمالها، ومن الثانی سمینة عریض فرجها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 الکعثب بتقدیم العین، کمافی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کعثب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وبتقدیم الثاء، کما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کثعب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تتصاون، فتمنع فی الجملة علی الدَلال، کأنّها تشتهی وتُظهِر عدم المَیل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تجتنب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الظاهرة بالمَشی والسَوق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المصادر الثلاثة الأخیرة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رکوبها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رکوبها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عدم النَجابة لیس بجامعٍ لجمیع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المربّیة، کما تقدّم فی المسألة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الرَضاعة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منه الحکم بکراهة تزویج المتولّدة من الزنا، ولا وجه للإعادة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المسألة السابعة عشرة 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التزویج فی عدّة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بعض ما ذُکر کان مختصّاً بزمن صدور الروایة، کما ربّما یؤیّده بعض العِللالمذکورة فیها، کما فی الخَزَر، وبعض ما ذُکر لاختلاف العادات کثیراً ممّا یؤدّیغالباً إلی الشجار، ونحو ذلک من الإرشادیّات الّتی ما أکثرها فی روایات الأحکامغیر الإلزامیّة، کما هو ظاهر للمتتبِّع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 البادیة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أکثر هذه الاُمور هو الکلام الّذی تقدّم مراراً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أطبق أهل القبلة علی استحبابها، وإن اختلفوا فی بعض خصوصیّاتها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،دعائم الإسلام للمغربی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 للمغربی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بقیّة الصلوات المندوبة،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فی بعض الألفاظ</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الإذن فی التملّک ممّا لا محصّل له؛ فإنّ التملیک والتملّک من ذوات الأسباب الّتیلا تحصل إلّا بأسبابها الخاصّة شرعاً، والإذن بالتملّک لیس من الأسباب الشرعیّة،فلو قال لک 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تَمَلَّک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تحصل الملکیّة قطعاً، نعم، لهأن یوکّلک علی تملیکها لک عنه، فتجری بیعاً أو صلحاً بالوکالة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نثارالأعراس وما یُبذَل من الطعام فی الولائم فلیس فیه شیء من ذلک، وإنّما هو إباحةصرفة، أو إذن فی الإتلاف فقط، فله الرجوع مع بقاء عینه قطعاً، ولا یجوز له بیعهوأخذ عوض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مقدّمات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أضرابه، وقد تقدّم مراراً، والأظهر أنّ أکثر ما ذکره منهیّإرشاداً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للوضوء علی مستند، سوی فتوی بعض الفقهاء به، کصاحب الشرائع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بعده، وأمّا عنده فلم أرَ دلیلها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علمهم قبلاً بوروده فی اللیل، وعدم تهیئتهم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لا ینافی العشرة بالمعروف المأمور بها، ولا ینافی سیرة 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معزوجاتهم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الأجانب، لا المَحارِم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الدخول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الاختصاص بالمدخولة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الدخول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حَبالة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مِلکه وتحته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فی عِدّته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الأحوط الاقتصار علی الوجه والکفّین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واختیارها مع موافقتها لطبعه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اختیارها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والصحیح ما أثبتناه من نسختی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اللنکرانی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الکوه‌کَمَری، الإصطهباناتی، عبدالهادی الشیرازی، عبدالله الشیرازی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غیر الفضولیّ وفیه، فالأقوی عدم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لخروجهنّ عن آیة الغضّ بالدلیل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لا یکون النظر مقصوداً أصلیّاً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الأزمنة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الأزمنة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الروحانی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التصمیم علی ترک النظر العمدیّ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توطین النفس علی ترک النظر عمداً، والصرف علی تقدیر وقوعه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فیه الحرج، وهو المناط، لا خوف الافتتان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خوف افتتان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بالمناط المنقّح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کون المراد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الأرحام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وإدخاله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التشبیه فی المقامین إشکال؛ للتخلّف فی بعض الأحکامکالنظر، فیجوز لکلٍّ من الرجل والمرأة النظر إلی الخُنثی، فتدبّر فی الأحکامالمرعیة من کلّ جانبٍ بالنسبة إلی الجانب الآخر، ولعلّ المصنّف ؛ أرادتکلیف الخنثی مع الابتلاء بأحدهما، لا تکلیفهما بالنسبة إلیه، وإن کان ظاهرالعبارة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معاملتها مع الاُنثی والذکر، لا معاملتها معها، وإن کان الأحوط لهماذلک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الابتلاء بطرفَی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یبعد الجواز، مثل الوجه والرأس والرقبة والیدین والرجلین ممّا جرت علیهالسیرة فی عهد 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منعٍ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جامع المقاصد للکرکی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کفایة الأحکام للسبزواری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،کشف اللثام للفاضل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ریاض المسائل للسیّد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یختصّ الحکم المذکور بالمحارم الرَضاعیّة الّتی نُزِّلت بمنزلة محارم النَسَب، ولایعمّ ما ثبت تحریمه بقاعدة یحرم علی أب المرتضع أن ینکح فی أولاد صاحباللبن أو أولاد المرضعة، فلا یجوز له النظر إلیهنّ، ویختصّ الحکم بمحارم المصاهرةالّتی نشأت الحرمة فیها من جهة الزوجیّة، فلا یعمّ ما نشأت الحرمة فیها من جهةالزنا أو اللواط، وهو واضح، وإطلاق العبارة فی المتن وغیره غیر 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هو التشبیه فی جواز النظر، لا فی جواز الوطء؛ وعلیه فاستثناءالمذکورات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نظر کلٍّ منهما إلی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من جواز الوطء، لا جواز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أرسله بعضهم إرسال المسلّمات، لکن ما ظفرنا علی نصٍّ یدلّ علیالاستثناء إلّا فی المزوّجة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بالنسبة إلی جواز الوطء، لا بالنسبة إلی جواز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معتدّة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یتحقّق به الرجوع مع عدم التلذّذ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اضطرّ إلیه ولم یمکن المعرفة من طریقٍ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الإمکان بمثل الآلات الحدیثة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مضطرّةً إلی معالجته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مساویاً مع غیر المماثل فی الرفق والعلاج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مصادیق معارضة الأهمّ فی نظر الشارع، والفرع الأوّل داخل فیالاضطرار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الضرورة، وکذا فی الشهادة علی الرضاع والولادة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مدلول الآیة الشریفة لیس راجعاً إلی عدم وجوب تستّر الشعر والرأس بالنسبةإلیهنّ، بل راجع إلی عدم وجوب لبس الثیاب الفوقانیّة بالنسبة إلیهنّ؛ لعدم ظهورأحجام الأعضاء، کما هو بالنسبة إلی غیرهنّ بمدلول الآیة، کما کان هو المعمول فیالسابق بالنسبة إلی جمیع المسلمات، وفی عصرنا بالنسبة إلی أکثر المسلمات،فاغتَنِم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ببعض الشعر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حرمة ثوران الشهوة، نعم، النظر علی التلذّذ حرام بحسب الارتکازالمتشرّعیّ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مراهقاً وإن لم یوجب الثَوَران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بعد بلوغها الستّ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ما یحرم، وقد تقدّم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بالنسبة إلی الریبة مبنیّ علی الاحتیاط؛ لعدم الدلیل علی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راجحاً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الأحوط، وظاهر الآیة الشریفة مختصّ بنساء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لا مجال للاستدلال بالآیة علی المدّعی؛ فإنّها لا تنطبق علی ما أفاده،مضافاً إلی احتمال اختصاص الحکم بزوجات النبیّ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دلالة الآیة علی دعواه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الریبة والتلذّذ،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التلذّذ والریبة، وکذا تالیه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کراهة السلام، وکذلک لا دلیل علی کراهة الدعاء إلی الطعام، نعم،بالنسبة إلی الشابّة یُکره الابتداء بالسلام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مطلقاً لأیّ رجل، لا السلام علی أیّة امرأة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حمل موثّقة مسعدة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الفریقان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لسان المیزان لابنحجر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المبسوطات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 بقاء حرارة بدنها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الوالد والولد من هذه الجهة، ولکلّ واحدٍ منهما یجوز الدخول علیالآخر بلا إذن، إلّا فی صورة عروض عارضٍ خارجیّ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تأذّیه من ذلک، وإلّا فقیام الدلیل علیه مشکل؛ لعدم الظفر علی نصٍّ دالٍّ علیهبهذا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کلتا الصورتَین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بالجواز ممنوع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الخمینی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یختصّ الحکم المذکور بصورة کونهما عاریَین، أو کون أحدهما عاریاً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خصوصاً إذا لم یکن عُمُرهم أزید من سِتِّ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أجزاء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 مع العلم بکونه مباناً ممّن لا یجوز له النظر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وصله بشعر الإنسان، والأحوط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التعلیقة منه ؛ أضفناها من نسخةٍ اُخری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وحکم عکس المسألة، أی نظر الزوجة إلی شعر غیر زوجها الموصول بشعرهیعلم ممّا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الأحوط عدم جواز النظر إلیه إن کان مباناً من الأجنبیّة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شعر المرأة الأجنبیّة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لذّةٍ ورِیبةٍ وفتنةٍ وغَمز، کما تقدّم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یجوز کلّ ذلک مع إمکان العلاج بالآلات المُعدَّة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بتدافعٍ ومزاحمة، لا مطلقاً، ویشهد له تقریر المعصومین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لحضورالنساء الجمعة والعیدین والجماعات والحجّ والزیارات والاستغفار الواجبةوالمستحبّة، بل والمباحة من غیر نکیر، والتفصیل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الاستثناء عن حضور العیدین والجمعة فقط لا عن أصل الاختلاط،فیُکره لهنّ الاختلاط مع الرجال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المقرونة بشرائط التنجّز المقرّرة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عدم الوجوب إلّا فی مورد أصلٍ موضوعیّ، وإن قلنا بجواز التمسّک بالعامّ فی الشبهة المصداقیّة؛ لعدم إحراز عنوان العامّ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الاجتناب فی الشبهة الغیر محصورة بأن تکون مرأةً أجنبیّةً مثلاً مختلطةًبغیر محصورةٍ من النساء من غیرها، ولو کانت محرّمةً نسبیّةً مختلطةً بأجنبیّاتٍ غیرمحصوراتٍ لا یجب الاجتناب عن نکاح بعضهنّ بما لا یوجب الخروج عن عدمالحصر، وأمّا الشبهة البدویّة بین المماثل وغیره وبین المحرّمة النسبیّة وغیرهافالأحوط الاجتناب، بل الأقوی فی بعض الصور، لکن لا لِما فی المتن؛ فإنّهضعیف، وأمّا الشبهة البدویّة فیما کانت مجری الأصل کالشکّ فی کونها اُختاًرضاعیّةً أو أجنبیّةً فلا یجوز النظر إلیها، ویجوز نکاحها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أو ما یلحق بها کالمحصورة الفاقدة لشرائط التنجّز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المتن موافق للاحتیاط وإن کان فیما استدلّ به نظر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لِّلْمُؤْمِنِینَ یَغُضُّوا مِنْ أَبْصَارِهِمْ وَیَحْفَظُوا فُرُوجَهُمْ ذلِکَ أَزْکَی لَهُمْ إِنَّآللهَ خَبِیرٌ بِمَا یَصْنَعُونَ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خبیر بأنّه لیس فی الآیة من خبر الاشتراطعین ولا أثر، وهکذا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وَقُل لِّلْمُؤْمِنَاتِ یَغْضُضْنَ مِنْ أَبْصَارِهِنَّ وَیَحْفَظْنَفُرُوجَهُنَّ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آیة إبداء الزینة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یُبْدِینَ زِینَتَهُنَّ إِلاَّلِبُعُولَتِهِنَّ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نِسَائِهِنَّ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ربط لها بالغَضّ المذکور من أنّ الاستثناءتخصیص کسائر التخصیصات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ویدلّ نفس هذا التعلیق علی إناطة الرخصة والجواز بإحراز ذلک الأمر، وعدمجواز الاقتحام عند الشکّ فیه، ویکون من المدالیل الالتزامیّة العرفیّة، وهذا هوالوجه فی تسالمهم علی أصالة الحرمة فی جمیع ما کان من هذا القبیل؛ وعلیه یبتنیانقلاب الأصل فی النفوس والأموال والفروج فی کلٍّ من الشبهات الموضوعیّةوالحکمیّة، وکذا أصالة انفعال الماء بملاقاة النجاسة عند الشکّ فی العاصم، وغیرذلک ممّا عُلِّقَ فیه حکم ترخیصیّ وضعیّ أو تکلیفیّ علی أمرٍ وجودیّ، ولیس شیءمن ذلک مبنیّاً علی التمسّک بالعموم فی الشبهة المصداقیّة، ولا علی قاعدة المقتضیوالمانع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تمسّک به  قدّس سرّه هو عین التمسّک بالعامّ فی الشبهة المصداقیّة،أمّا فی المماثل فلا یبعد انصراف الآیة والأخبار إلی غیره، فالشکّ فیهکالشکّ فی کونه حیواناً أو إنساناً، وأمّا فی المحارم فلأنّ التخصیص یستلزمالتنویع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علی صحّة استصحاب عدم النسب بالعدم الأزلیّفمقتضی الاستصحاب عدم تحقّق العناوین المذکورة، ومعه فلا مانع من التمسّکبالعامّ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التخصیص لا ینفکّ عن التنویع، والانفکاک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لنفی التنویع مع الظهور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کالعلم والفسق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العلماء ولا تُکرِم الفسّاق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ویالیته بیّن فیالمقام ما المقتضی وما المانع حتّی یظهر الفرق، مع منع العموم فی قاعدة المقتضیوالمانع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نظر جدّاً، کما لا یخفی علی مَن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أظهرهما عدم الوجوب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أظهرهما عدم الوجوب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إجراء أصالة عدم البلوغ أو التمیّز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الأقوی الثانی؛ فإنّ العمومات غیرشاملةٍ للأطفال، ولاسیّماغیرالممیِّزِینقطعاً، وکذا صورة عدم التمییز بین کونه رجلاً أو امرأةً، وإنساناً أو حیواناً، والعمومفی الآیة غیر مبیّن، فیوخذ منه بالقدر المتیقّن، وما استظهره من الآیة من اشتراطجواز النظر بأمرٍ وجودیٍّ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علیهم سترها مع عدم الأمن عن الناظر المحترم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کونهم فی مظانّ ذلک 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حرمة الإعانة، فالحکم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النهی عن المنکر، وفی التمسّک بهما فی المقام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الأقوی حرمة النظر فی هذا الفرض، أمّا فی الفروض اللاحقة فالظاهر عدمالحرمة؛ لانصراف دلیل وجوب غضّ البصر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الأخبار الواردة فی الحیض کقوله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اتّقی موضع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ترتّب الأحکام المترتّبة علی الوطء فی القُبُل علی الوطء فی الدُبُر مبنیّ علیالاحتیاط، والجزم بالترتّب مشکل؛ لعدم الجزم بالإطلاق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ما علّقناه علی ذلک فی مبحث الجماع، وإن لم ینزل من فصل غسلالجنابة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المشهور، وإلّا فلا یخلو أکثر الأحکام المذکورة من تأمّلٍ وإشکال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المسمّی من مقطوع الحشفة لا یخلو من قوّة،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کفایته فی هذه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الکفایة فی جمیع المذکورات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الحِنث تابع لقصد الحالف، وانصراف المفهوم غیر دخیلٍ فیه، نعم، لو قصدالمفهوم من الوطء صحّ ما ذکره قدّس سرّه ، لکنّه نادر الوقوع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إناطة الأمر إلی اختلاف حال الناذرین بالاعتیاد والتکرّر والکثرة وعدمها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إطلاق حدیث ابن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الفرق بین الدوام والمتعة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مرجوحیّة العزل فیها نظر؛ لإطلاق دلیله، وعدم وجهٍ لتخصیصه بالدائمةبعد بطلان دعوی الانصراف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صدق الضرورة، وأمّا کفایة مطلق الضرر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یخلو من إشکال، فلا یُترک الاحتیاط بالاسترضاء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یقل بالحرمة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الأعضاء،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السبب فیه هو الأجنبیّ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بالنحت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بتحقّق الدِیَة علیها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النصّ للمورد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وهو منافٍ لما ذکره فی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وأقلّ أحیاناً إذا کان الترک منافیاً عرفاً؛ للإمساک بالمعروف المأمور به، کما فیالشابّة والشَبِقة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الغُلْمة وطلب النکاح،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شَبِق وامرأة شَبِقة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مادةشبق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ونحوهما، والتفصیل فی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الاعتداء والمغاضبة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الاختصاص بالدائمة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من هذه الجهة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من هذه الجهة مشکل، بل ممنوع، لکنّ الأحوط أن یکون السفر المنافیلذلک مع عدم وجوبه برضا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من هذه الجهة مشکل، بل ممنوع، لکنّ الأحوط أن یکون السفر المنافیلذلک مع عدم وجوبه برضا الزوجة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الوجوب علی المسافر نظر؛ لقیام السیرة علی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عدم کفایته، نعم، لا یبعد کفایة الوطء بلا إنزال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خارج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الترک فی الشابّة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 الوقوع فی المعصیة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تجب علیه المبادرة إلی الوطء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الوطء الواجب موقّتاً برأس الأربعة أشهر حتّی یکون بعده قضاءً ویحتاجوجوبه إلی أمر جدید، بل ظاهر الدلیل هو حرمة إبقائها بلا وطءٍ فی هذا المقداروأکثر منه، فیجب بعده فوراً ففوراً، ولا یسقط بالعصیان، أو وجود المانع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 إذ لا دلیل علی وجوب الإرضاء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یقم دلیل علی أنّ مطلق تفویت الحقّ مستلزم لوجوب إرضاء ذِیه، ولکنّالاحتیاط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حقّاً قابلاً للترضیة بعد فوته نظر،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 تقی القمّی، اللنکرانی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زوجة، کما تقدّم، لا للاتّفاق المزعوم کونه إجماعاً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الّذی لا یجوز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إن کان مکلّفاً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الدِیَة فی صورة الجهل بالموضوع أو الحکم مبنیّ علی الاحتیاط؛ إذمقتضی حدیث عبدالصمد 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 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ترتّب الأثر عند الجهل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أوجب فی الجواهر حملهما علی سقوط الدیة صلحاً فی مقابل الإمساک،ولکنّه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ونحوها،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بالخبرَین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الفرق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بل فی تحقّق الثانی خارجاً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الجهة المذکورة، وإن وجب نفقتها من حیث الملک، وأمّا البقیّة فلا موردللتوهّم حتّی یدفع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والنصوص منصرفة إلی ما هو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لإطلاق 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وآدابه،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لاستصحاب عدم بلوغها، ویترتّب علیه تمام أحکام الوطء قبل البلوغ منالحرمة وما یترتّب علی الإفضاء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لاستصحاب عدم بلوغها تسع سنین، الّذی لا مجال معه للاستصحابالحکمیّ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فی لسان الدلیل الإفضاء الّذی هو قبل التسع یوجب الحرمةالأبدیّة، بل هکذا إن دخل بها فأفضاها ولم تبلغ تسع سنین إلی آخره، فالدخولوالإفضاء وجدانیّان، وعدم بلوغ التسع یستصحب، ولا یحتاج إلی التوصیف وإثباتالوصف والتقیید حتّی یَرِد إشکال الإثبات، وإن فرض استفادة التوصیف من بعضالأخبار أیضاً لا یفید؛ لوجود العنوان الّذی ذکرنا فیها، فعنوان المحرّم أعمّ، 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إثباته له، وعدم کونه من الاُصول المثبّتة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تفکیک غریب؛ فإنّ الأصل إذا کان لا یُثبِت الحرمة الأبدیّة فکذلک لا یثبتالدِیَة والنفقة ما دامت حیّة؛ لوضوح أنّ استصحاب الصِغَر لا یُثبِت وقوع الوطءللصغیرة حتّی تترتّب تلک الأحکام الثلاثة، والحکم بها غیر مرتّبٍ علی مطلقالوطء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حرمة الوطء، لا بمعنی حرمة المرأة علی حدّ سائر 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حرمة الوطء، لا بمعنی حرمة المرأة علی حدّ سائر 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أقربه عدم السقوط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البروجردی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یُعتنی بهذا الاحتمال البعید، بل الضعیف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بالأولویّة لو قیل بعدم السقوط فی فرض عدم التمکّن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الإجراء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الوضعیّ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قریب، فإنّه لا یُستفاد من حدیث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الحکم التکلیفیّ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أن یکون حکم النفقة بعد الطلاق حکم النفقة قبل الطلاق فی جمیعالآثار، إلّا فی عدم السقوط بالنشوز؛ لانتفاء موضوعه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وضعاً لا تکلیفاً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نوع حزازة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زوجة، کما قدّمنا، لکنّها خرجت عن هذا الحکم بالنصّ المقدّم علیمعارضه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العبارة وکذا العبارة اللاحقة مسامحة، تظهر بالتأمّل فیهما وفی بعض مافرّعه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الأمَتَین لیستا تمام النصاب بالنسبة إلی الحرّ، بخلاف الحرّتَین بالنسبة إلیالعبد، کما یظهر ذلک من الفروع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یجوز له تزویج أکثر منهما من جنسهنّ، وأمّا الحرائر فیجوز أن یتزوّجمنهنّ،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أزید منهما من جنسهما ومن الإماء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أمة وحرّتَین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الحکم وإن کان صحیحاً لکن لیس متفرّعاً علی عدم جواز الجمع بین أزیدمن حرّتَین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بین حرّتَین وأمة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 البروجردی، عبدالله الشیرازی، الخمینی،السبزواری، اللنکرانی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دعوی الانصراف فکونه من الانصرافات البدویّة الّتی لا عبرة بها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الّذی لا محیص عنه، والاحتیاط فی باب الفروج أحری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مقتضی الصناعة، ولا بُعد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الاستبعاد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اعتبار استصحاب التعلیقیّ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خروجه عن الزوجیّة قهراً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مقتضی القاعدة انتفاء الزوجیّة بالنسبة إلی جمیع الأطراف؛ لعدم المرجّح،ودلیل القرعة لا یشمل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والقرعة فیما إذا کان له واقع مجهول ظاهراً، فلا مورد لها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وکما فی العقد علی الاُختَین دفعةً واحدة، وفی العقد علی خمسٍ فی عَقدةٍواحدة، وفی العقد علی امرأتَین لمن عنده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إذ القرعة علی الأقوی مختصّة بالمشتبه ظاهراً والمتعیّن واقعاً، وفیالمورد لا تعیین حتّی یستکشف بها تعبّداً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وکذا فیما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باختیار القرعة ثمّ اختیار ما خرج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اختیار الزوج بفسخها محلّ تأمّل، لکنّ الأحوط حینئذٍ اختیار إبقاءالنصاب من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عنده أربع إماء، أو کانت المعتَقَة أمَتَین، وأمّا إذا کانت عنده ثلاثإماءٍ وکانت المعتَقَة إحداها فلا مانع من الجمع بینها وبین الباقیتَین؛ فإنّه من الجمعبین حرّةٍ وأمَتَین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 المورد لیس من مواردها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 اللازم رعایته، والتعلیل بانقطاع العصمة إن تمّ لا فرق حینئذٍ بین الخامسة الّتی هی اُخت المطلّقة وبین غیرها، وحمل الروایات علی الکراهة منظورفیه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هذاالقول إن لم یکن أظهر فهو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والأحوط الصبر إلی انقضاء العِدّة، حتّی فیما إذا کانت الخامسة اُختالمطلّقة، والنصّ الوارد فیها ساکت عن حیثیّة کونها خامسة، والتعلیل بانقطاع العصمة لاظهور له فی کونه تمام العلّة بحیث یتعدّی إلی غیر الاُختَین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ولا یُترک الاحتیاط بالصبر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الأخبار محمولة علی العِدّة الرجعیّة؛ لأنّ الرجعیّة بمنزلة الزوجة، فیمکنجریان الملاک لحرمة الخامسة، وهو اجتماع ماء الرجل فی خمسٍ فیها بالرجوع،ولیس الأمر فی البائنة علی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اُخت المطلّقة وغیرها؛ لعموم التعلیل وهو انقطاع العصمة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إشکال فی عدم الجواز؛ لعدم جامعٍ بین المقامَین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مشکل کسابقه، والنصّ والتعلیل إنّما جوّز نکاحها بما هی اُخت مطلقته،ولا یقتضی جواز نکاحها بما هی خامسة، فلا یُترک فیها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للنصّ علی جواز الخامسة إذا کانت اُختاً بعنوان الخامسة، بل هی تدلّعلی جواز تزویج الاُخت فی عدّة اُختها المطلّقة بائناً، فهی فی مقام دفع توهّم عدمجواز الجمع، والتعلیل قد عرفت أنّه علی تقدیر التمامیّة یعمّ الاُخت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والرجحان معه لکونه أحدث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الخِطبة علی الأقوی فی الرجعیّة، وفی غیرها علی الأحوط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لإطلاق الدخول الوارد فی النصّ؛ ولما ورد أنّه أحد المأتیَّین، ولِما فی الحکمبالتحریم أبداً من الاحتیاط، نعم، لو عقدها بعد العِدّة اتّفاقاً فلا یُترک الاحتیاطبالطلاق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الزنا فی العِدّة الرجعیّة یوجب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غیر العِدّة الرجعیّة، وأمّا فیها فیجری علیها حکم الزنا بذات البعل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للوطء، لا للمعتدّة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صدق العقد علیه عند المتشرّعة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بالأُمّ مطلقاً، وبالبنت فی صورة الدخول بالأُمّ لا مورد له لحرمتها مع قطعالنظر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اُمّ الزوجة لکونها من المحرّمات الأبدیّة بنفسها ولا یعقل أن یترتّبأثر علی العقد علیها فی عدّتها فذکرها فی المقام من غلط الناسخ، أو سهو القلم، بللا یستقیم ذکر بنتها أیضاً فی المقام إلّا مع التقیید بعدم الدخول باُمّها لا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المولّی علیه وجهله لا دخل لهما فی ترتّب الحکم وعدمه؛ إذ موضوع الحکمعنوان التزویج، والتزویج مستند إلی الولیّ، لا إلی المولّی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ولایة لأحدٍ علی غیره بالنسبة إلی التزویج فی العِدّة؛ ولذا لا یترتّب علیه شیءمن آثار العقد فی العِدّة مطلقاً، ولو مع الدخول وعلم الولیّ، وکذلک الوکیل فی العقدالصحیح، سواء کان وکیلاً فی عقد امرأةٍ معیّنةٍ أو غیر معیّنة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وکیلاً للعقدفی العِدّة أو لعقد امرأةٍ معیّنةٍ فی عِدّتها ففیه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بطلان الوکالة، والمتیقّن ممّایوجب الحرمة الأبدیّة عقده مباشرةً، ومن صدق العقد فی العِدّة ولو بالتسبیب،والمناط حینئذٍ علم الموکّل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ما یأتی من التعلیل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الضمیر إلی الولیّ، وکذا فیالوکیل؛ وعلیه فلا وجه لزیادة فرعٍ ثالثٍ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 لو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أرجع الضمیرإلی المولّی علیه صحّت الفروع الثلاثة، ولکن لا یلائمه التعلیل، وعلی أیّ حالٍ فلاتخلو هذه المسألة من الاضطراب فی التعبیر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تعیین الموکّل مرأةً وهی فی العِدّة مع علم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حتّی لو کانت الزوجة معیّنةً وکان الموکّل جاهلاً بأنّها فی عدّة، وکان الوکیلعالماً فإنّها لا تحرم علیه أبداً إلّا بالدخول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هذا التزویج خارج عن دائرة الوکالة؛ لتعلّقها بالتزویج الصحیح، ومعخروجه یصیر فضولیّاً لا یتفاوت الحال فیه بین علم الموکّل وعدمه، نعم، لو أجازهمع العلم وقلنا بشمول الأدلّة للعقد الفضولیّ أیضاً لا یبعد الحکم بالحرمة الأبدیّة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إحدی المعیّنات تخییراً، وکانت إحداهنّ فی العِدّة فاختارها الوکیل فإنّتزویجه بها یوجب الحرمة الأبدیّة، کمباشرته بنفسه إن علم أنّها فی العِدّة، ومعالدخول إن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أذن فی تزویج إحدی المعیّنات علی سبیل التخییر، وکانت إحداهنّ فیالعِدّة فاختار الوکیل تزویج مَن فی العِدّة فإنّ الظاهر فی هذه الصورة أیضاً أنّه کمباشرته بنفسه فی أنّه یوجب الحرمة الأبدیّة إن علم بکونها فی العِدّة، وبشرط الدخول إن جهل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العِدّة الّتی تتربّصها المرأة من جهة نفس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مورد للتزویج فی العِدّة حیثما ینفسخ العقد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لا یوافق المعلّل، بل التعلیل الموافق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زوجة، والعُلقة باقیة،وانقطاعها موقوف علی انقضاء العِدّة، والأظهر کونها بمنزلتها بمقدار ما ثبت منترتیب الآثار، ولا یبطل عقدها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بطلانه تأمّل؛ لعدم شمول العمومات المانعة، نعم، لولا العمومات المجوّزةمقتضی الاستصحاب 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التزویج فی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الأوّل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الفحص علی الأحوط، وکذا فی المسائل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بها ولم ینکشف الخلاف، وأمّا مع الانکشاف فلا تحرم، ومع عدمالدخول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تکن متّهمة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الظهور تأمّل، 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قبول قولها بعد إقدامها بالعقد تأمّل، نعم ، مقتضی الاستصحاب بقاء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إذا لم یَفِد إخبارها القطع، وإن کان الاحتیاط لا ینبغی ترکه، بل لا یُترک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یسبق عِلمها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مسبوقةً بالعلم بالعِدّة؛ حیث إنّ مقتضی استصحابها إلی زمان وقوعالعقد الحرمة الأبدیّة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فی المقام وفی ما بعده مبنیّ علی تنجّز العلم الإجمالیّ بالجملة، وهومحلّ الإشکال، وإنّما یکون منجّزاً فی الجملة، فالحکم فی کلا الموردَین مبنیّ علیالاحتیاط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إحداهما خارجةً عن محلّ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کانتا معتدّتَین وعلم بخروج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یسبق العلم التفصیلیّ باعتدادهما، والإجماع بخروج إحداهما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جریان القرعة للتعیین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بغیر العِدّة الرجعیّة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طرف العلم هو العِدّة الرجعیّة لنفسها، والمسألة مطلقاً لا تخلو من تأمّلٍوإشکال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الأصل عدم کونها فی عِدّته أثراً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والأولی أن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یکن الأصل عدم کونها فی عِدّته ذا أثرٍ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وأمّا لو کانت لها اُخت مثلاًفیتعارضان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نصّاً وفتوی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جهل کلٍّ من الرجل والمرأة بأنّ لها بعلاً، فلو علم به أحدهما حَرُمَت المرأةعلیه مؤبّداً وإن لم یدخل، وکان الآخر جاهلاً، کما تقدّم نظیره فی ذات 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علمت الزوجة بالموضوع والحکم أم لا، بخلاف المعتدّة فإنّه فیها التفصیل،کما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وأقواهما الثانی، وفی تقویة الأوّل ضعف بَیِّن، نعم، العقد فاسد فلابدّ من تجدیده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هو الثانی، لکنّ الظاهر فساد العقد وجواز تجدیده بعد خروجها منالعِدّة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استبعادَ فی الاُمور التعبّدیّة، فکم له من نظیرٍ فی أبواب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مشکل، ومن المشتبه ظاهراً والمتعیّن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 أکثر من قولَین لأصحابنا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قوّاه فی المتن وهو مختارالنهایة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هذا القـول مرسلة جمیل بن درّاج علی نقل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 ذ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فیخصوص المورد، یعنی التزویج فی العِدّة، والأخبار الواردة فی التزویج بذات البعلبعد إلغاء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القرعة، وهی مختار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مشیراً إلی کونهامجمعاً علیها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الإلحاق بالأوّل ففی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خلاففی عدمه، نعم، فی المبسوط وعند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القافة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القائف؛ الّذی یعرف الآثار، ویعرف شَبَه الرجل بأخیه وأبیه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غریبالحدیث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ویلحق الولد بمن ألحقوه به، ومع عدم التمکّن أو حصول الشبهة لهم یلحق بمَن ینتسب به بعد البلوغ،والظاهر أنّ مقصوده من القوم هو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 لعدم دلیلٍ معتبرٍ علیه، کما أنّ دلیل القُرعة لا یشمل المقام، فلابدّ منالعمل علی طبق القواعد الجاریة فی موارد الشکّ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بالأشهر فی الطلاق وهکذا فی عدّة الوفاة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فتجری فیه الفروض المتقدّمة کلّها وتنطبق علیه أحکامها، وفی الفرض الأوّلمنها یلحق الولد بالزوج الأوّل، وینکشف بذلک أنّ وطء الثانی وقع فی العدّة، فتحرمعلیه مؤبّداً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البروجردی، الروحانی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الشهرة العظیمة علی خلافه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یظهر بالتتبّع والتأمّل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تعدّد إلّا فیما إذا کان الوطء بشبهةٍ فی عدّة الوفاة، ولابدّ فیه منإتمام عدّة الوفاة أوّلاً ثمّ الاعتداد بعدّة الوطء بالشبهة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وقوع البینونة فی الطلاق الرجعیّ بنفسه یمکن الفرق بین الحکمَینبالاستصحاب، بعد عدم إضرار الفصل بینهما فی الحکم الظاهریّ وإن لم یکن کذلکواقعاً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الجواز بمقتضی دلیل العِدّة، وعدم بطلان النکاح بعدّة الوطءبالشبهة لا یستلزم جواز النکاح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السبزواری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والانصراف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فیه بعد شمول الأدلّة، وکون الانصراف فی محلّ المنع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ینبغی الإشکال فیه بالإضافة إلی الغیر، نعم، فیما إذا کانت إحداهما عدّةالطلاق الرجعیّ، والاُخری عدّة الوفاة یکون مقتضی النصّ الوارد فیه انقلاب الاُولیإلی الثانیة، ولزوم الاعتداد بخصوص عدّة الوفاة الّتی هی أبعد الأجلَین، نعم، فیإطلاقه وشموله لجمیع الموارد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ویساعده الاستصحاب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وجه ثالث، وهو عُشر القیمة إن کانت بکراً، ونصف العُشر إن کانت ثیّباً، لصحیحتی فضیل 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وولید بن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یُستحقّ شیءٌ بعنوان المَهر، وأمّا بعنوان الأرش فلا یبعد ثبوت عُشر قیمتهاللمولی إن کانت بکراً، ونصفه إن کانت ثیّباً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وسیأتی منه فی أحکام العبید والإماء ما ظاهره المنافاة لِما اختاره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العقد، وأمّا بدونه فلا یبعد تعدّده بتعدّد الوطء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حکمها ذات العِدّة الرجعیّة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للزانی بها ولغیره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بالنسبة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تکن مشهورةً بالزنا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بدعوتها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قرینة علی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خبر ابن یقطین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ونحوها،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لو زنت بعد العقد قبل الدخول تحرم علیزوجها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صارت مشهورةً یأتی فیها الاحتیاط المذکور فی المسألة السابقة؛ لعدمالفرق بین الابتداء والاستدامة بحسب الآیة والأخبار، فالأحوط اعتزالها بمجرّدالاشتهار، وتجدید عقدها بعد التوبة مع عدم إرادة الطلاق، وإلّا فالطلاق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الصغیر الواطئ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الدخول، وهو المعیار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أثر للعلم فی التحریم بعد فرض الدخول، نعم، لو کان جاهلاً بفساد العقد لمیکن 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الاشتباه من جهة اعتقاد صحّة العقد،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الموطوءة من مولاها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اللحوق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کسابقته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 حسن القمّی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انکشف عدم کونها فی العدّة، أو عدم کونها 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مع إخبارها بعدم العِدّة، لکونها متّهمة لا یسمع دعواها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أخبرت بالانقضاء؛ بناءً علی عدم حجّیّة قولها وإخبارها؛ لاستصحاب بقائها وعدم انقضائها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 الشریعتمداری،زین‌الدین، محمّد الشیرازی، اللنکرانی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جمیع ما ذکر، لکنّ الظاهر عدم جریان الحکم إذا کان الواطئصغیراً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ولکنّ الاحتیاط بالترک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نعم، لا ینبغی 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المتیقّن من ذلک ما إذا کان الواطئ بالغاً، والموطوء یسمّی غلاماً، والحکم فی غیرهذه الصورة مبنیّ علی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الواطئ غیر بالغ، أو کان الموطوءصغیراً جدّاً فالحکم بالحرمة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فی 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وطئ فی تلک الثقبتَین أو فی دُبُرها، وأمّا لو وطئ فی قُبُلها فلا یعلم أحدالأمرین، بل یحتمل أن لا یکون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الراء المکسورة، أی یوجب 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 الخطّیّة وبعض النسخ المطبوعة ممّا بأیدینا، ولکنّ أکثر النسخ المتأخّرة فیهاکلمة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ویظهر من استقصاء التعلیقات أنّ بعضها ناظر إلی ما فی أصلالمخطوط، وبعضها الآخر إلی ما فی النسخ المطبوعة، فلاحظ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غیر صورة تجدید العقد بعد الطلاق، وأمّا فیها فالأظهرالحرمة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الاُخت الاحتیاط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خلافه، نعم، لو طلّقها ففی تزویجها جدیداً إشکال، والاحتیاط 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خلافه، نعم، لو طلّق زوجته السابق نکاحها فجواز تزویجها جدیداًلا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خلافه، نعم، لو طلّق زوجته السابق نکاحها فجواز تزویجها جدیداًلا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هذه الصورة لا بأس بترک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یفرّق بین العالم والجاهل، کما أنّه یفرّق بین الاختیار والإکراه، وأیضاً لایترتّب الحکم إذا لم یکن الفعل مستنداً إلی الفاعل، کما لو باشر المفعول أو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وجه للأولویّة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للمرسلة الضعیفة،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الراء المکسورة خبر مقدّم، والمبتدأ الموخّر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التزویج حال الإحرام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استفادة الکشف الحکمیّ من القواعد نظر وإشکال، تعرّضناه فی کتاب البیع،فراجع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مناط الحکم فی المسألتَین واحد؛ لأنّ المذکور فی الروایات لیس إلّاالمحرم، فإن کان محمولاً علی الجنس یُحمَل علیه فی کِلا الحکمَین، وذِکر الرجلفی بعض الأخبار یُحمَل علی کونه من باب المثال، وإن اُخذ بالمتیقّن من المُحرِمـ وهو الرجل ـ فالمتیقّن بطلان عقد المُحرِم دون المُحرِمة، والأقوی ما فی المتن،کما صرّح به فی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مستدلّاً بالأخبار والإجماع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دعوی أظهریّة عدم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المذکور لا یکون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لأنّ علمه بحرمتها له الّذی هو مضمون الروایة المقیّدة ملازم معالتفاته بحرمتها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بنی علی صحّته، وکذا فی ما یتلوه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بنائه علی صحّة التزویج،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انکشاف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 إذا لم ینکشف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 إذا لم ینکشف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لا یقوم مقام العلم المأخوذ فی الموضوع، وحیث إنّ المأخوذ فیموضوع التحریم العلم فلا یکفی الاستصحاب لترتّبه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فرض غیر واقع، وما هو محلّ الکلام هو فساد الحجّ فی بعض الموارد؛لإفساد الإحرام، فإنّ الظاهر عدم فساده مع فساد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إفساد الإحرام بعد النیّة وعقده بالتلبیة غیر متصوّر؛ لأنّ بقیّة المحرّمات أحکامثابتة فی حاله، وبمثله یمتاز عن 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المزوَّج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یکون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منها المعنی الأعمّ من المصطلح، حتّی تشمل اُمّ المزنیِّ بها وبِنتِها نسباً أورضاعاً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التملّک عیناً أو انتفاعاً غیر مقتضٍ لحدوث المصاهرة، فلابدّ من تقییدالکلام بالدخول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ونظائرها من المسائل المتعلّقة بأحکام العبید والإماء، لا نتعرّضلها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الأمرین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نشر الحرمة إذا نظر إلی عورتها وإن لم یکن بشهوة، بل لا یخلو منقرب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ملموسة ولا منظورة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وتراجع المسألة السابعة والثلاثون من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المسمّی فی مقطوع الحشفة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الاشتراء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إلحاق البنت بالابن، ولا یترک الاحتیاط فی الجَدّ، فلا یلحق بالأب إذا کانذلک من باب الولایة وتمّت شروطها، فیعتبر حینئذٍ وجود المصلحة للصبیّ والملاءةوإجراء الصیغة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الجَدّ، وکذا فی اعتبار الملاءة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 بل اعتباره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المعتبر إیقاع المعاوضة علیها بالقیمة فی ذمّته ولو لم یکن هناک مبرز ومظهر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یکون التقویم بعنوان التملّک فی مقابل العوض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 الکوه‌کَمَری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الجَدّ والبنت؛ للاقتصار فی إطلاق النصّ الخاصّ بغیرهما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 وأمّا المفسدة غیر المحرّمة فالحکم فیها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محمّدالشیرازی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التقویم معتبر شرعاً، ومع عدم القدرة علی أداء الثمن ولو فی المستقبل یکونلغواً، فلابدّ من اعتبار القدرة علی أداء الثمن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فیه وفی ما قبله من الصورتَین، بل لا یخلو اعتبار إجراء صیغة البیعونحوه من وجه، وعلی فرض العدم لابدّ من أن یکون التقویم بعنوان التملّک فیمقابل العوض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السبزواری</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تملّک الأب ولد ولده، ذکوراً کانوا أو إناثاً، فالرقّیّة مستلزمة للانعتاق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الولد حینئذٍ أخٌ للمالک، ولا مانع من رقّیّة الأخ للأخ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مات الابن فانتقلت الموطوءة إلی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 أخ الزوجة أو اُختها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المسألة من انفرادیّات أصحابنا الإمامیّة، وفیه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الصورة محلّ تأمّل وإشکال، وکذا صورة الاقتران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بنت الأخ أو الاُخت والعمّة والخالة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کانت العمّة والخالة صغیرتَین فالأحوط ترک العقد علی ابنة الأخ وابنةالاُخت، ولا یکفی إذن ولیّ الصغیرة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بعد إطلاق الأخبار، ودعوی الانصراف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الأشبه عکسه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لانصراف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ونحوها، أحادیث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الوجه الظاهر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یبطل العقد الواقع بعد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الوعد إعطاءَها قبل العقد، وإلّا ففی البطلان مع عدم الإعطاء تأمّل، بلمنع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العزم علی عدم الوفاء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العزم علی عدم الوفاء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 الاستظهار غیر معلوم، نعم، مقتضی الاستصحاب عدم التأثیر، لا الإسقاط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بالحقّ أشبه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أسقَطَتَا ثمّ أظهَرَتَا عدم الرضا لا یصحّ عقدهما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حقّاً غیر قابلٍ للإسقاط؛ إذ لیس کلّ حقٍّ قابلاً له، ففی دعوی الظهور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هذا الشرط تأمّل، إلّا إذا رجع إلی الصورة الاُولی، فکیف کان فالأقوی فساد العقد مع إظهار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المعتبر هو الإذن الکاشف عن الرضا، أو الرضا وحده، ولا وجهللإجبار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 الإجبار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هذا الشرط نظر؛ لأنّه بإطلاقه خلاف السنّة الدالّة علی اعتبار رضاهمابالتزویج، وتوهّم انصرافه إلی صورة عدم الشرط فاسد بعد اقتضاء العنوانَین دَخلُرضاهما فی صحّة العقد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البطلان؛ لأنّ الشرط خلاف السنّة، ولیس حقّاً حتّی یرجع الشرط إلی إسقاطالحقّ، 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أن یکون الزوج مأذوناً من قبلهما فی تزویجهما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عدم الاکتفاء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یعلم غفلته عن ذلک حال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شرط الصحّة قائم بمن یدّعی عدمه، وکذا الحال فی تالی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حصل الشکّ منه أم من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یعلم بغفلته عن ذلک حال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بناءً علی بطلان الجمع بینهما مطلقاً ولو 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الفانی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رجع الزوج لم یبطل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إذا أراد الرجوع بها فالأحوط له أن یستأذنها فی العقد علی البنت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نتعرّض لهذه المسألة وأمثالها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أصل الملک، بل بلحاظ الوطء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العمّة أو الخالة حرّةً وبنت الأخ أو الاُخت مملوکةً تجری الأحکامظاهراً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 ولو من جهة وجود مقیّدات، وإن قیل بضعفهاسنداً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الطارئ بعد العقد وقبل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یجوز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بالنسبة إلیها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بنت العمّة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وطء الشبهة بالزنا فی 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وأمثالها خارجة عن محلّ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للأخبار المقیّدة بعموم العلّة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 لا یحرّمه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ونحوها،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وعملهم بها فیالمقام یکشف عن اعتبارها، وهو الفارق بین المقام والمقام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جهل کلّ من تاریخ العقد علی المرأة وتاریخ الزنا بها حکم بصحّة العقدوثبوت الزوجیّة، وإذا علم تاریخ العقد وشکّ فی تاریخ الزنا حکم بالحلّ وعدمالتحریم المؤبّد، أمّا إذا علم تاریخ الزنا بالمرأة وشکّ فی تاریخ العقد علیها فالحکمهو التحریم المؤبّد، وکذلک مملوکة الأب والابن إذا زنا بها الآخر منهما، فإذا جهل  تاریخ وطءِ المالک للأمة وتاریخ زنا الآخر بها حکم بالحلّ، وکذلک یحکم بالحلّإذا علم بتاریخ الوطء وشکّ فی تاریخ الزنا، وأمّا إذا علم تاریخ الزنا وشکّ فیتاریخ الوطء فالحکم هو التحریم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لأصالة الصحّة، لا للاستصحاب کی یشکل فی 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کانت هی أیضاً زانیة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مبنیّ علی کون العلم الإجمالیّ منجَّزاً بالجملة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یکن أحد طرفَی علمه مسبوقاً بالحرمة برضاعٍ أو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خارجةً عن محلّ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للاستصحاب فیهما بلا معارض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المرأة زانیةً، لا مشتبهة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إذا کانت إحداهما المعیّنة محرمةً علیه قبل ذلک برضاعٍ أو نحوه، فلایحرم علیه نکاح اُمّ الاُخری وبنتها بسبب هذا الزنا المعلوم بالإجمال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الفرق فی الفروع المذکورة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شمول الحکم لما إذا کان الواطئ نائماً؛ وذلک لاعتبار الاختیار فیمفهوم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لشبهة الانصراف فی الأدلّة إلی غیرها، ولا یُترک الاحتیاطفیها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فی ذلک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فیها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من تفویت مورد الإجازة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المعدوم غیر معقول، لکنّ النتیجة 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الزوجیّة الاُولی باقیة حقیقةً، والرجوع إبطال لأثر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الحکمیّ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إنّما یتمّ علی الکشف اللغویّ، وأمّا علی الکشف الحقیقیّ المصطَلَح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فرجها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المنظور أو الملموس هو الوجه أو الکفّین، وأمّا هما فیأتی حکمهما فیالمسألة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فی المسألة الثانیة من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التحریم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فرجها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کانت ملموسةً لإثارة الشهوة، کما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النظر، لا اللَمس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 فی اللَمس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مختلِفَتَین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موجودة فی النسخ الّتی بأیدینا، ولکن لا یُستبعد ما استظهره السیّد البروجردی قدّس سرّه ومَن بعده بإرجاع اختلاف الانتساب إمّا للأبّ أو للاُمّ، وهو الملاک فی کونهما اُختَین، فراجعتعلیقته فی نهایة هذه الصفحة بعد التعلیقة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لجنة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غلط من النسّاخ؛ لأنّالاُختیّة من النسب المتکرّرة المتشابهة الأطراف، فلا یعقل أن تکونا مختلِفَتَین، ومنذلک تعرف ما فی بعض المحامل الّذی ذکروه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نشأت الاُختیّة بینهما بارتضاع کلتیهما من امرأةٍ واحدةٍ أو 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یجوز هو وطوهما بالملک، لا جمعهما فیه مع وطئهما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المقتضی لعدم الجواز هو الوطء فی المِلک، لا الجمع، والوطء بالاشتراک فی العلّیّة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المقام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الروحانی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التزویج باُختها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احتیاطٍ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والنهی عن الجمع لا یقتضی البطلان، بل بمقتضی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أحادیث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 الجمع فی الوطء، ویمکن الاجتناب عنه بترک الاُولی، والاعتزال عنها أوبیعها أو هبتها ولو لابنه وولده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لیس بواضح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صحّته، وحرمة وطء الثانیة مادامت الاُولی فی ملکه لسَبق وطئها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إلّا بعد إخراج الاُولی من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الشیخ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حَمَله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الکراهة؛ لضعف سندها،والمسألة لمخالفة الشیخ والنصوص لا تخلو من إشکال، لا یُترک الاحتیاط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معلوم التاریخ ومجهوله؛ فإنّ الاستصحاب یجری فی کلیهما، کماحُقِّق فی محلِّه، فعلی تقدیر القول بتعارض الأصلَین وتنجّز العلم الإجمالیّ بالجملةیلزم الاحتیاط فی کِلا الطرفین، نعم، علی ما سلکناه من جریان الأصل فی بعضالأطراف یکون العلم الإجمالیّ منجّزاً فی الجملة، وعلی فرض الدخول بهما یثبتلإحداهما مهر المسمّی، وللاُخری مهر المثل، فعلی فرض الاحتیاط لابدّ منملاحظة هذه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 وذلک لِما بنینا علیه من معارضة الاستصحابَین فی أمثالالمقام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رجعیّةً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یفسخ الحاکم بلا إجبار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نعم، یُجبَر علیه؛ فإن لم یطلِّق طلّقهما الحاکم الشرعیّ قهراً علیه، وله أن یتزوّجبمن یشاء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وتخلّصاً من الحقوق الواجبة علیه فی حقّ الزوجة الواقعیّة، منهما المعلومةبالإجمال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ولا یبعد التعیین بالقرعة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عبدالله الشیرازی</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لی وجه الاستدلال بالآیة الشریفة، وإن کان المدّعی لا یخلو من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القرعة والتعیین بها لیس ببعیدٍ کلّ البعد؛ لأنّ المفروض أنّ له واقعاً معیّناً،ولکنّه 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الرجوع إلی القرعة؛ دفعاً لضرر الزوج بإنفاقه علی مَن لیس بزوجتهواقعاً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یخلو من وجه، لکن بمعنی أن تُعطی کلّ واحدةٍ منهما نصف ما سُمِّی لهامن المَهر أو ربعه، لا أن یقسّم نصف مجموع المَهرَین أو ربعه بینهما، بل لا یبعدالقول بتنصیف النفقة الواحدة الواجبة بینهما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نصف مهر کلّ واحدة، وهو یوازی نصف مجموع المَهرَین فی صورة تساویهماکمّاً وکیفاً، بخلاف صورة الاختلاف، ومنه یستظهر حکم النفقة وتقسیمهاأیضاً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المُسمَّیَین مع تمام مهر المثل لإحداهما مع الدخول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ولاحتمال صحّة عقد نفسه وجه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صحّة هذا القول؛ فإنّ الروایة صحیحة، وظاهرة الدلالة، وقد عمل بهاجماعة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الأصحاب، فلا وجه لحملها علی خلاف 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الصورةالاُولی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الصورة الثانیة فلا تبعد صحّة عقد نفسه فیها، وبما ذکرنا یظهر ما فیالحکم ببطلانهما فی فرض الشکّ فی السَبق والاقتران؛ وعلیه فإن کان محتمل السبق عقد إحداهما معیّنةً فیوخذ به، وإن کانت غیر معیّنة فالمرجع هو القرعةلتعیین السَبق والاقتران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ولا موجب لحمل الصحیحة علی ما أفاد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الغضّ عن المناقشة بالإرسال فلاحتمال قبولها والعمل بها وجه وجیه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الأحوط له اختیار إحداهما، ثمّ الطلاق إذا أراد التسریح، والعقد الجدیدإذا أراد الإمساک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لأنّه بعد تعارض أصالَتَی الصحّة یرجع إلی الاستصحابویجری فیه التفصیل فی السَبق واللحوق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الابتلاء بهذه المسألة ومثلها ممّا یتعلّق بالإماء والعبید من المسائل الآتیةاقتضی رفع الید عن الورود فیها والتعرّض لأحکامها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لنصّ ابن سنان المعلّق فیه الجواز بالخروج عن الملکیّة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محلّ إشکال؛ لأنّ الجَمع بین الاُختَین المملوکتَین بالوطء إذا کان‌حراماًفیکون وطء اُخت المملوکة الموطوءة نظیر وطء اُمّها، ولا أظنّ أحداً أن لا یحکمبأنّه زنا، ولکن مع ذلک الحدود تُدرَأ بالشُبُهات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لعموم حرمة الجمع بین الاُختین المخصوص فی الاماء بوطئها، وعدم الجمعیقتضی تحریم الثانیة بعد وطء الاُولی، ومع وطئهما ینطبق وطء کلّ واحدةٍ مع وطءالاُخری، ولا کذلک فی العقد؛ فإنّ العقد علی الثانیة لا یکون صحیحاً، نعم، لو عقدامرّةً واحدةً بطل العقدان؛ لبطلان الترجیح بلا مرجّح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 خبر أبی الصلاح الکنانی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الإشارة إلی هذا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لصحیحة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علی تقدیر رجوعها لا إمکان لرجوع الزوج إلی الزوجة، الّذی هو أحدالعوضین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الجواز، کما هو المشهور، والنصّ معارض بأقوی منه، فهو محمول علینوع 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الأحوط ترک الوطء حتّی تنقضی عدّة الموطوءة بشبهة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الجواز مع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منطوقه النهی عن وطء الزوجة بعد وطء اُختها لشبهةٍ حتّی تنقضیعدّتها، لکنّ الظاهر عدم الفرق بینه وبین نکاح اُخت الموطوءة، کما أنّه لا فرق بینکون الموطوءة زانیةً أو مشتبهة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للکراهة، وقاعدة التسامح لا تشمل مواردها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الحدائق ومَن تَبِعه من علماء البحرین، واستُظهِر من صاحب الوسائل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اختصاص المنع بالثانی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الأقوی، واستفادة التعمیم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مخدوشة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المشار إلیه مخدوش سنداً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غیر صحیح؛ لأنّ فی سنده محمّد بن علیّ ماجیلویه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لم یوثَّق،ومجرّد کونه شیخاً للصدوق لا یدلّ علی وثاقته، وعلیه فالحکم بالکراهة مبنیّ علیقاعدة التسامح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لحنانها علی ذراریها وإن کان الأمر جائزاً؛ لأنّ الضَرّة بنفسها توجب مشقّة الضَرّة،وتکره الاُمُّ الحنونةُ مشقّة بنتِها، ومجرّد ذلک لیس إیذاءً محرّماً علی الزوج بالنسبةإلی الزهراء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المشهور لا یوجب سقوط الخبر المعتبر، لکنّ الحدیث بنفسه غیر تامٍّسنداً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المشهور لا یسقط الصحیح عن الاعتبار علی ما حقّقناه فی محلّه،والتعلیل غیر ظاهرٍ فی الکراهة، فلا مناص عن القول بالحرمة، نعم، الحرمة تکلیفیّة،لا وضعیّة، کما یظهر بالتأمّل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التعلیقة منه  قدّس سرّه أضفناها من نسخةٍ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ولا مساغ لإنکار ظهور المشقّة فی المقام فیما لا یستلزم  الإیذاء، ویؤیّده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من نهیها ـ روحی لها الفداء ـ من إلقاء البَغضاء والشَحناء بینأولادها، نعم، ما أفاده من الإعراض حتّی من القدماء هو المانع من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شرح الأخبار للنعمان المغربی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10/201</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16/273</w:t>
      </w:r>
      <w:r>
        <w:rPr>
          <w:rFonts w:ascii="IRNazanin" w:hAnsi="IRNazanin" w:eastAsia="IRNazanin"/>
          <w:b w:val="false"/>
          <w:b w:val="false"/>
          <w:bCs w:val="false"/>
          <w:i w:val="false"/>
          <w:i w:val="false"/>
          <w:iCs w:val="false"/>
          <w:color w:val="333333"/>
          <w:sz w:val="20"/>
          <w:sz w:val="20"/>
          <w:szCs w:val="20"/>
          <w:rtl w:val="true"/>
        </w:rPr>
        <w:t xml:space="preserve">، الاستغاثة لأبی القاسم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المسألة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العقد وأحکامه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 محلّ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فی الإثم، 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الفجور والزنا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وأصله المشقّة والصعوبة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فی أمرٍ 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وهو مصدر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عنت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لعدم ثبوت الحقیقة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وعدم خوف الوقوع فی محذورٍ آخرَ من المرض أو المحرّمات الشرعیّة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الظهور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المصحّحة من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ینبت فی الفرج فی مدخل الذکر، کالغُدّة الغلیظة، وقد یکون 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یتمکّن من سائر الاستمتاعات علی وجهٍ یزول خوف العَنَت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حرجاً وعسراً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حرجاً علیه، وکذا فی أمثال المقام، وأمّا قاعدة الضرر ففیها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ممّا لا یستطیعه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یُعَدّ النکاح المنوط علیه ممّا لا یُستطاع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یحتمل خیار الحرّة بین بقائها مع الأمة وبین ذهابها إلی أهلها، فلا یُترکمقتضی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الإذن مجوّزاً إشکال، فضلاً عن الإجازة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المصحّحة من الکتاب مع عدم الشرطَین 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فلا یُترک الاحتیاط بتجدید العقد عند إرادة الإمساک، والطلاق عند إرادةالتسریح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بطلانه تأمّل، فلا یُترک الاحتیاط، وکذا فی کفایة الإجازة، 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لایخلو من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المبعَّضة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مورد لهذه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لانصراف الأمة إلی غیر المبعّضة فی أمثال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تُترک مراعاة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الشرطَین احتیاطاً، وهکذا فی الفروع الآتیة المبنیّة علی صحّة نکاح الأمةسابقاً علی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الطَول وخوف العَنَت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الجواز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باب نکاح الحرّة علی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نکاح الحرّة علی الأمة، وکذا علی الکشف الحقیقیّ دون الکشف اللغویّ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للحرّة الخیار فی عقد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وتقدّم منه قریباً بطلان عقد الأمة إلّا مع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للحکم بصحّة عقد الأمة، وإن سلَّمنا وجود أصلٍ مُحرِز لها بعدالعلم الإجمالیّ بفساده، أو ثبوت الخیار للحرّة فی عقد نفسها، فلا یُترکالاحتیاط بما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جمال‌الدین الگلپایگانی، السبزواری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الصورة أیضاً یبطل عقد الأمّة إذا لم تأذن الحرّة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تقدّم نظیره فی العمّة والخالة بعد الشکّ فی کون ذلک من الحقوقالقابلة للإسقاط، واحتمال کونه من الأحکام بملاحظة اقتضاء حرّیّة الزوجة ذلکمطلقاً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هذا الشرط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أغمضنا عن هذا الفصل والفصلَین التالیَین ممّا یتعلّق بالعبید والإماء، لعدمالابتلاء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أوقع علیهما العقد وهما صغیران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حینئذٍ من نیّة الحرام والعزم علی ارتکابه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تکرار لما سبق فی صدر المسألة، ولعلّه إنّما أعاد البیان علی طوله لبیانقضیّة سلب القدرة، ولکن لیس حقّ البیان ذلک، فتدبّره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تزویجهما وعقدهما بإیقاعٍ من غیر العبد والأمة علیهما، کأنّه عطفعلی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لا یناسب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ناظر إلی الأوّل، ووجه الثانی مرّقبل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ممنوع؛ لأنّ سلب القدرة وضعاً لا یستلزم حرمة إنشاء التزویج تکلیفاً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تقدّم من الانصراف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ـ بما هی سبب لربط الإنشاء بالأصیل ـ ناقلة، بمعنی صیرورتها سبباًلربط المنشأ بالمُجِیز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ضعیف جدّاً، والصحیح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 تقدیر الحرمة فهی فی المعاملاتلا توجب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المشهور، بل ادُّعی علیه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جبره علی التزویج إشکال، والأحوط للمولی التعیین فی 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تصرّفات العبد وتحرّکاته وکسبه بید مولاه وتحت رعایته، وأمّا إذا کانمطلق الإرادة فی التصرّف من قبل مولاه فلا یبعد أن یکون المهر فی ذمّة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قدرة المولی بهذا المقدار ـ أی إشغال ذمّة عبده ودخول ذمّته تحت سلطته ـ محلّ إشکال، وکذا الاستدانة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مالکیّة السیّد لذمّة العبد التابع له بعد عتقه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المهر فی عهدة العبد، إلّا أن یجعله فی ذمّة المولی، أو فی ماله المعیّن بإذنه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وتعهّده ابتداءً، إلّا أنّه ینتقل إلیه من ذمّة العبد؛ کی یکون من باب الضمان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ذمّة العبد وکون اشتغال ذمّته بشیءٍ بإذن المولی عین اشتغال ذمّة المولی بذلک الشیء، کما أنّ مالکیّته لشیءٍ عین مالکیّته، ولعلّ هذا أقرب الوجوه، ولاتنافیه الروایة، والظاهر عدم الفرق بین الإذن والإجازة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ذمّة العبد یتبع به بعد عتقه، فلا تعهّد للمولی فی أدائه ولو من ماله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وجه آخر، وهو کونه فی ذمّة العبد، لکنّ معنی اشتغال ذمّته اشتغال ذمّةالمولی، والأقوی الأوّل؛ لأنّ ذلک الوجه أیضاً یحتاج إلی موونة واعتبار زائد، بل هومن أقسام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الکلّیّة نظر، فالعمدة فی المسألة النصوص الخاصّة، وإلّا فالأقوی ما ذکرنامن الاحتمال؛ لعدم اقتضاء إذن السیّد تعهّده فی ماله فی ذمّته أو فی غیرها، فقهراًیستقرّ المهر فی ذمّة الزوج یتبع به بعد عتقه؛ للعمومات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الالتزام فیالنفقة بما ذکر من کونها علی السیّد بلا خصوصیّة فی کسبه؛ لاحتساب العرف کونهامن عیال السیّد، وإن أمکن النظر فی ملازمة العیلولة العرفیّة مع وجوب النفقة، فمنالمحتمل کونها بمقتضی القواعد ممّن لا یقدر علینفقة عیاله ولا علی طلاقها،فیجب علی الناس کفایة القیام بأمرها، ولکن لا أظنّ التزام هذا المعنی أیضاً منأحد، بل هو أیضاً خلاف السیرة، بل السیرة قائمة علی قیام السیّد بأمرها فی نفقتها،ومنها یُستکشَف کون نفقتها علیه، وکونها من عیالاته الواجب نفقتها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الروایتَین بل وفی دلالتهما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الإجازة توجب صحّة العقد علی ما وقع، فیأتی فیه التفصیل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أقربهما الأوّل؛ لأنّ الإجازة کالإذن السابق فی کون المهر علی المولی، إلّا إذاجعل العبد المهر فی ذمّته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التفصیل حسن 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التفصیل المتقدّم فی کلٍّ من هذه الأقسام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أذِن المولی فی جعل المهر فی ذمّته أو فی عینٍ خارجیّةٍ یملکها ولکن اطلقمن حیث الکمّیة فیرجع إلی المتعارف، فإذا تعدّی وقف علی إجازته، سواء قلنا بأنّالزائد فی ذمّة المولی أم فی ذمّة العبد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یؤدّیه من کسبه إذا کان کَسوباً بإذن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إلّا إذا کان تعدّیاً عن اللائق بحال المالک فیلزم ذلک علی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وامتنعت عن التمکین، ولکن فی شمول دلیل النشوز للمورد تأمّل، کلّ ذلک إذاقلنا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للمولی منعها بعد إذنه أو إجازته، وفیه تأمّل؛ لأنّ التمکین من أظهر آثارالتزویج، سیّما فی الدوام الّذی هو محلّ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هذا الشرط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التوزیع إنّما هو نظر إلی أنّ زمان الخدمة فی الأغلب إنّما هو النهاروزمان الاستمتاع اللیل، ویستفاد ذلک ممّا ورد فی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أیضاً فی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طبع الکمپانی،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من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الانتفاع للمولی فی اللیل والنهار ما لم یزاحمه حقّ الزوج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الأقوی أنّ للزوج حقّ الاستمتاع بها ولو نهاراً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جواز أن یسافر بها الزوج أو السیّد تأمّل، فالأحوط التصالحوالتراضی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والأوجه ما ذکره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تزاحم مقتضی الملکیّة والزوجیّة، وقصور شمول الدلیل من کلّ طرفٍ صورةقصور المحلّ عن القابلیّة؛ لعدم کون إطلاقاتها فی مقام البیان من تلک الجهة،فالمرجع فی الترجیح هو الأصل الجاری فی طرف المالک بعد منع الکلّیّة مناقتضاء الالتزام بالشیء الالتزام باللوازم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نظر واضح؛ لأنّه لا یفهم العرف من الإذن فی تزویج الأمة الإذن فی أخذهامعه فی الأسفار المانع من الخدمة والمنافیة لحقّ الملکیّة، وهذا لیس من اللوازمالظاهرة فی نظر العقلاء، ولمعارضة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علی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مختصر 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والزوجیلتزم بلوازم ملکیّة الزوجیّة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ولکنّهما محجوران عن التصرّف فی ما یملکانه إلّا بإذن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کون المهر لمولاها المالک لبضعها، وأنّها لا تملک إلّا ماملّکها مولاها،وأنّ المهر المزبور لیس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وعلی ذلک فالمهر لها دائماً؛ لکون المهر بدل المنافع عرفاً، وإن کانت هی ومالهالمولاها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جمیعه وإن کان قویّاً لکنّه لا یخلو من الإشکال، وعلی تقدیره فحیث إنّهمعلول لتملّک الزوجة رقبة زوجها، ومتأخّر عنه فی الرتبة ففی رتبة إنشاء البیع یکون ثابتاً علی کلّ تقدیر، ولو جعل ثمناً لا یلزم منه خلوّ البیع عن العوض فیشیءٍ من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ترتیب آثار البطلان علیه، ویظهر من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30/210</w:t>
      </w:r>
      <w:r>
        <w:rPr>
          <w:rFonts w:ascii="IRNazanin" w:hAnsi="IRNazanin" w:eastAsia="IRNazanin"/>
          <w:b w:val="false"/>
          <w:b w:val="false"/>
          <w:bCs w:val="false"/>
          <w:i w:val="false"/>
          <w:i w:val="false"/>
          <w:iCs w:val="false"/>
          <w:color w:val="333333"/>
          <w:sz w:val="20"/>
          <w:sz w:val="20"/>
          <w:szCs w:val="20"/>
          <w:rtl w:val="true"/>
        </w:rPr>
        <w:t>، آخر المسألة الاُولی من نکاح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الانفساخ،ولکن لا یساعده أخباره، والأصل أیضاً یقتضی عدم سقوط تمام المهر عنه لولاقیام إجماعٍ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عدم الصحّة إنّما السقوط مترتّب علی الانتقال وما هو لازم هوالثبوت فی رتبةٍ سابقةٍ أو مُقارِنة،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المنع غیر موجّه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الثمن إن کان نفس ما فی ذمّة العبد ففی فرض عدم صحّة تملّکالمولی ما فی ذمّة عبده یکون الحکم بصحّة البیع مستلزماً للدور؛ لأنّ صحّة البیعتتوقّف علی قابلیّة الثمن لملکیّة البائع، وهی تتوقّف علی صحّة البیع؛ لأنّ العبد مالم ینتقل إلی الزوجة لم یکن ما فی ذمّته قابلاً لتملّک البائع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العبد ثمناً للعبد؛ وبناءً علی هذا یملکه البائع فی ذمّة العبد یتبع به بعد العتق،ویسعی به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فکأنّ العبد مشغول الذمّة لمولاه السابق یتبع به بعد العتق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بجعل ذمّة العبد مشغولةً لمولاه السابق یتبع به بعد العتق، ولا یخلو من شوبالإشکال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محلّ الإشکال والتأمّل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إذا کان بتوقّع الإذن أو رجاء الإجازة فالحکم بالرِقّیّة مشکل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الحرّ الزانی هو الرجل، ویشکل الحکم إذا کانت الحرّة الزانیة هی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الاُمّ أمة، وأمّا إذا کانت الاُمّ حرّةً فلا یبعد أن یکون الولد حرّاً، وإنکانت الاُمّ زانیة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هذا الفرض مشکل، وکذا فی بقیّة فروض المسألة، والتعلیلاتالمذکورة لا یمکن الاعتماد علیها، فلا یُترک الاحتیاط ما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الولد لمالک الأمة علی أساس أنّه نماوها، کما هو الحال فی الحیوانات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یرید بذلک وبما بعده عدم العلم بفساد العقد لیکون الوطء شبهة، وإلّا فهوداخل فی ذیل المسألة، وهو قول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لو کان الولد عن زناً من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محتاجة إلی التأمّل التامّ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عبدالهادی الشیرازی</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الّذی ذکر للمشهور أیضاً غیر وجیه، والمسألة تحتاج إلی المراجعة ومزیدالتأمّل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فی المسألة الخامسة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خلاف الحکم الشرعیّ الاقتضائیّ، ولیس الإلحاق من باب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ضعیفاً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واضحة المنع، کما تقدّم فی نظائر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الدینالگلپایگانی</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رجع إلی إسقاط العمل بالشرط عرفاً، وسیأتی فی الاُولی من المسائل المتفرّقةبعض ما یرتبط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ناقلة، فیترتّب علی الوطء السابق آثاره من الحرمة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علی القول بالکشف الانقلابیّ کما هو الأقوی؛ فإنّ العقد وإن کان باطلاًقبل الإجازة والوطء حراماً ولکنّ الحکم قد تبدّل بالإجازة، فحکم الشارع بصحّةالعقد، وحلّ الوطء من حین وقوعهما، فلا یحدّ بعد ذلک حدّ الزنا، بل یُعَزَّر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الإجازة بناءً علی الکشف إنّما تؤثّر من حین حصولها، لا من حینالعلم بوقوعها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ثبوتها حتّـی علی الکشـف علی المختار المشهور، لا الکشف المرضیّلدی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الکشف الحقیقیّ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المسألة الخامسة والعشرین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نسخة الأصل، والظاهر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الخامسة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 التزویج فی عِدّةالغَیر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الفصل الرابع ما یخالف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منه  قدّس سرّه خلاف ذلک فی المسألة الخامسة عشرة من الفصل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المهر فی هذا الفرض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حرّیّة الولد إذا کانت الشبهة من جهة جهله بالحکم أو احتماله الإذن من مولاهامحلّ إشکال، بل عدمها 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إیضاح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إذ الاستیلاد لکونه استیفاءً لهذه المنفعة من أمة الغیر، فیضمنهاالمستوفی لها، وتکون العبرة بیوم سقوطه حیّاً من ذلک، وهذا هو المراد من تفویتالمنفعة فی المقام ونظائره، لا إعدامها بلا استیفاء، کما 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 إذ الاستیلاد لکونه استیفاءً لهذه المنفعة من أمة الغیر، فیضمنهاالمستوفی لها، وتکون العبرة بیوم سقوطه حیّاً من ذلک، وهذا هو المراد من تفویتالمنفعة فی المقام ونظائره، لا إعدامها بلا استیفاء، کما توهّم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قیمة یوم یصیر إلیه؛ لأنّه یوم استلام الأب ابنه، ویدلّ علی ذلک أیضاً موثقةسماعة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علیه الدلیل فی مقامٍ آخر، کما فی الأمة المشتراة جهلاً بحالها فأولدها،ثمّ ظهر کونها مستحقّةً للغیر، لکنّ الظاهر شمول قوله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ویأخذ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أیالمشتری الواطئ ولده بقیمته لغیر مورده، وما ذکره من القاعدة خلاف مقتضی النصّوظاهره، ونسبة التفویت إلی الشارع،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لا تخلو من 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لا یبعد دعوی أنّ ولد الحرّ یُعدّ منفعةً مستوفاةً من أمة الغیر عرفاً، ومعلومأنّه یحسب منفعة یوم ولد حیّاً، ویمکن استفادة ذلک من روایة سماعة بعد حملجملة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تصیر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یوم الولادة، أی یوم تصیر ذاتَ ولدٍ دون یوم التسلیم؛لأنّها بهذا المعنی غیر معمولٍ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مالیّة له إلّا بلحاظ حین التولّد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للصحّة وجه،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نفوذ إجازته، ولیس المحذور المتوهّم فی المقام کونه من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مَنباع شیئاً ثمّ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المتوهّم هو کونه من قبیل مغایرة المالک حال العقد للمالکحال الإجازة، وخروج العقد بذلک عن صلاحیّة أن یجیزه المالک الثانی علی کلٍّ منالکشف والنقل، ومنشأ ذلک هو قیاس ملک الوارث بالانتقال إلی الأجنبیّ مع مابینهما من البون البعید؛ فإنّ ملک الوارث هو بعینه ملک المورّث، وبموته یقوم وارثهمقامه فی قیام تلک الإضافة بجمیع شوونها الّتی منها السلطنة علی إجازة العقدالواقع علی ذلک المال، وصلاحیّتها للتأثیر علی کلٍّ من الکشف والنقل؛ وعلی هذایبتنی بقاء الحقوق المتعلّقة بذلک المال ممّا یکون من قبیل حقّ الرهانة ونحوها معالانتقال إلی الوارث بحالها، بخلاف ما إذا انتقل إلی الأجنبیّ فی جمیع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نفوذ إجازته، ولیس المحذور المتوهّم فی المقام کونه من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مَنباع شیئاً ثمّ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وإنّما المتوهّم هو کونه من قبیل مغایرة المالک حال العقد للمالکحال الإجازة، وخروج العقد بذلک عن صلاحیّة أن یجیزه المالک الثانی علی کلٍّ منالکشف والنقل، ومنشأ ذلک هو قیاس ملک الوارث بالانتقال إلی الأجنبیّ مع مابینهما من البون البعید؛ فإنّ ملک الوارث هو بعینه ملک المورّث، وبموته یقوم وارثهمقامه فی قیام تلک الإضافة به بجمیع شوونها الّتی منها السلطنة علی إجازة العقدالواقع علی ذلک المال، وصلاحیّتها للتأثیر علی کلٍّ من الکشف والنقل؛ وعلی هذایبتنی بقاء الحقوق المتعلّقة بذلک المال ممّا یکون من قبیل حقّ الرهانة ونحوها معالانتقال إلی الوارث بحالها، بخلاف ما إذا انتقل إلی الأجنبیّ فی جمیع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لاجتماع المالکَین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إمکان الکشف فی المقام نظر؛ بناءً علی المختار فی معنی الکشف،والفارق بین المقام وبین بیع ما لیس عنده النصّ المخصوص بالبیع دون المقام،فتأمّل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والفارق تغایر المالک الثانی مع الفضولیّ فی المشبّه، واتّحادهما فی المشبّهِ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جواز إجازة مَن لم یکن مالکاً حین البیع ثمّ ملک، سواء کان هو البائع أم غیرهبحث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تحتاج إلی مجالٍ واسع، وعدم الابتلاء بها یمنع عن صرف الوقتفیها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یجز مولاها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کسائر دیونه، وخبر ابن الولید مُأوَّل، أو مطروح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قیمة یوم یصیر إلی أبیه؛ لموثّقة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الأقوائیّة غیر معلومة؛ لأنّ المسألة محلّ البحث الطویل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مردودة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دفعها علی هذا القول من باب الضمان، لا لأجل فکّه من الرِقِّیّة، ومقتضاهقیمة یوم وضعه حیّاً، کما مرّ، وهو خلاف صریح موثّقة سماعة؛ حیث جعل فیهالعبرة بقیمة الولد حین تسلیمه إلی أبیه الّذی ولّده، فالظاهر أنّ الموثّقة أجنبیّة عنهذا القول، بل تناسب القول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مصداقاً للواطئ بشبهةٍ کان زعم عدم حجّیّة الاستصحاب فی حقّه، أو اعتقد حجّیّة قولها، أو حصل القطع من قولها ونحوها من موجبات الشبهة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حجّیّة الدعوی بلا معارض، وإلّا فهو حاکم علی الأصل المزبور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بیان الحکم فیه، فلیُلاحَظ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حصول شبهةٍ له، کما فصّلنا فی الحاشیة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الحدّ وإن کان الوطء محرّماً، کما مرّ نظیره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عدم کفایة العلم بذلک علی التحقیق فی معنی الکشف 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 حصولها، کما تقدّم فی التعلیقة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حصلت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لفعلها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إلحاقاً للشبهة بالعقد الصحیح، حتّی فی أنّ الولد تابع لأشرف أبویه فی الحرّیّة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جریان قاعدة تبعیّة النماء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هذه الصورة محلّ إشکال، والفرق بین الزنا المجرّد والمقرون بالعقدالفاسد فی غایة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والفارق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التأمّل فی الفرق وفی الحکم الأوّل والنصّ الّذی أنّه الفارق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حسنالقمّی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ذلک بناءً علی انّه نکاح لا تحلیل ـ کما قوّاه ـ نظر، وکذلک فی ما بعدهمن الولیّ والوکیل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فلا یُترک الاحتیاط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وفیما ألحق به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البروجردی، عبدالله الشیرازی</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اعتبار القبول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الصحّة، ولا یعتبر مباشرة المولی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مُدّاً من الطعام أو درهماً، والظاهر عدم کون المُعطَی مَهراً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حرمة مقاربتها، لا فی حصول الفرقة؛ إذ یتوقّف ذلک علی أمر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لأنّ قاعدة الغَرور غیر ثابتةٍ مطلقاً، والروایة الدالّة علی ذلک ضعیفةسنداً، بل لا یبعد أن یکون المستفاد من صحیحة ابن الولید عدم وجوب شیءٍ علیهغیر المهر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ذلک، وتقدّم الکلام فی نظیر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إذن الشریک ما دامت الشرکة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الترک، والنصّ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والإماء،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یعمل به إلّا ابن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والمتأخّرون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نهایة المرامللعاملی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یبعد أن لا یکون الحکم علی خلاف القاعدة حتّی یحتاج إلی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یتزوّجها 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المرعشی، محمّد رضا الگلپایگانی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للشیخ فی مبسوطه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کونه لمولاها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لو صحّحنا جعل المهر لها، وإلّا فالمتعیّن هو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دلالة علی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أقواها الثانی، والأحوط التصالح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نظیره أیضاً فی فرض تملّک الزوجة زوجها قبل الدخول، ولکنّالإنصاف أنّ المستفاد من التعبیر بالتخییر فی أخبار المقام کون المقام من بابالفسخ المتعارف، مثل هذا التعبیر عنه فی أبواب المعاملات، بل هو مقتضی الأصلأیضاً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النصوص عدم کونه من باب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فسخاً وموجباً لسقوط المهر ظاهر، بل لا یرجع احتمال البطلان ولا استقرارالمهر علی تقدیره إلی محصّل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فسخاً وموجباً لسقوط المهر ظاهر، بل لا یرجع احتمال البطلان ولا استقرارالمهر علی تقدیره إلی محصّل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یحتمل أن یکون اختیار الزوجة المفارقة رافعاً للزوجیّة، نظیر الطلاقمن قبل الزوج، لا ناقضاً لعقد النکاح، فلا یکون موجباً لسقوط المهر، ولا ینتصف بهکما ینتصف بالطلاق قبل الدخول؛ وحینئذٍ فیکون مقتضی الأصل عدمسقوطه، ولعلّ هذا هو مراد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بطلان النکاح فهو لا یختلف عنالفسخ فی النتیجة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والفسخ کلاهما موجبان لسقوط المهر، ولا فرق بینهما فی سقوطه، لکنمن جهة احتمالٍ ثالث وکون الفرق بینهما من قبیل الطلاق، فالمسألة فی غایةالإشکال، وتحتاج إلی التأمّل التامّ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یسقط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 المهر لها فی صورة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یذکر المهر إجمالاً، ویفوّض تعیینه إلی أحد الزوجَین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بذکره فی العقد، لا مطلقاً وإجمالاً، وتفویض التعیّن إلی أحد الزوجین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 أن یعیّن فالمهر لها إن تحقّق الدخول، وإلّا فثبوت المهر فیه 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بقاؤه لا یخلو من إشکال، وثبوت تمام أحکام الزوجة للمعتدّة الرجعیّة محلّتأمّل، سیّما التمسّک بالأولویّة، فلا یُترک الاحتیاط بعدم الفسخ وما یترتّب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باستئناف عدّة الحُرّة من زمان تحقّق الفسخ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الأظهر عدم فوریّته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بقاء الخیار مع الجهل بالفوریّة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نظر؛ لعدم ثبوت الولایة بهذه التوسعة،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 عبدالهادی الشیرازی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إلجاوها فی اختیارها مثل هذا الشخص ولو من جهة عدم إقدام الشرفاءلنکاح الإماء، ومن المعلوم أنّ هذا المقدار من الاختیار لا ینافی بقاء خیارها؛ إرفاقاًلها لتحصیل الأشرف نسباً وحسباً، ولا وجه لانصراف الأخبار عن مثلها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لا تخلو من مجازفة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یکون مرجع الشرط عدم فعل الفسخ أو إسقاطه، لا عدم استحقاقها ذلک فإنّهشرط فاسد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صحّة هذا الشرط، والاحتیاط بعدم اشتراط المولی ذلک لا یُترک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وألحق بعضهم به شرطه فی ضمن العقد الخارج اللازم، ولا یخلو من 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یشترط علی أمته أن لا تختار فراق زوجها بعد عتقها، وأمّا أصل الخیار فهوحکم شرعیّ لا یسقط بالشرط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الأظهر عدم السقوط؛ فإنّه حکم شرعیّ، لا حقّ مالیّ، فلا یسقط بالشرط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سلطته علی نفسه حین العقد، سواء کان مُکرَهاً علی النکاح،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فاجتمعت لدی العبد حرّتان وأمة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ثبوت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إبقاء المعتقة والإعراض عن الأمة الاُخری، أو إبقائها والإعراض عن المعتَقَة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دعوی انصراف الأخبار إلی صورة إمکان بقائها علی حالها بعداختیار البقاء، وفی المقام لیس کذلک ولو من جهة اختیار الزوج غیرها فضلاً عمّا لوقیل ببطلان نکاحها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علی فرض ثبوت الخیار لها ولو بإطلاق الأخبار لمثلالمورد لا وجه للالتزام ببطلان نکاح غیرها، فلا یبعد حینئذٍ إجراء حکم تخیّرالزوج الثابت فی إسلام الزوجات فی المقام أیضاً لوحدة المناط، وإن کان الأحوطعدم اختیارها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لتقدیم تخییر أحدهما علی الآخر، بل لکلٍّ من الزوج والباقیات الاختیارفی عرضٍ واحدٍ إن لم نقل ببطلان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ثبوت الخیار لهما کالبطلان له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والمعیار صدق عنوان عقد النکاح، بلا فرقٍ بین المصادیق المتصوّرة، فلاوجه لهذه القیود المذکورة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الخوئی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هذا الشرط، بل هو أحوط،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التمکّن منها مطلقاً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جواز العکس؛ إذ الزوجیّة ـ کما حُقِّق فی محلّه ـ علاقة بینالطرفَین حاصلة من تسلیط الزوجة الرجل علی بِضعها وقبوله إیّاه، لا أنّه صرفعلاقةٍ فی قبال الفردیّة حتّی توجد بإیجاد أیٍّ منهما وقبول الآخر، وذلک منالوضوح بمکان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الإصطهباناتی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اُرید بالعکس إیجاب الزوج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 مثلاً فصحّته محلّ إشکال،بل عدمها لا یخلو من رجحان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اُرید به إیجابه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 به، لکنّه راجع إلی تقدیم القبول،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الکفایة هو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کـ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نکحتک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تأمّل، بل منع، ولقد شرحنا وجهه فی کتاب البیع،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تختصّ بما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أضفناه لاقتضاء 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الأمر اُرید به قبول الإیجاب المتأخّر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قوّته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بالکفایة مشکل،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وبتحریک لسانه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والأحوط توکیله، خصوصاً إذا کان أحد طرفَی العقد، بل لا یُترک الاحتیاط فیه؛ لإمکان التشکیک فی شمول الدلیل لمثل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للقادر علی التکلّم، وأمّا للعاجز ففیه إشکال، وکذا فی الاکتفاء بالإشارة مع القدرةعلی الکتابة، فالأحوط للعاجز عن التکلّم الجمع بین الکتابة والإشارة مع عدمالتوکیل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وإن کان یشعر به بعض الروایات لکن لا وثوق فی اعتنائهم بسندهاومضمونها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 به إنشاء الإیجاب، لا جواب الاستفهام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الکوه‌کَمَری</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اللحن المغیّر للمعنی، فلا یکفی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عدم الاکتفاء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والمثال مناقَش فیه؛ لکونه مغیِّراً، فلا یکفی قطعاً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الّذی مُثِّلَ به فالظاهر فیه عدمالجواز، وهو من اللحن المغیِّر للمعنی وإن کان یُستعمل الآن فی اللسان الدارج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خفیف المؤونة جدّاً، فلا ینبغی الدِقّة فیه، الموجبة للوسوسة وقد نهیالشارع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کان جاهلاً باللغة بحیث لا یفهم أنّ العلقة تحصل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أوبلفظ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فصحّته محلّ إشکال، وإن علم أنّ هذه الجملة لهذا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هذا النحو من الإجمال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یقصد إنشاء الزوجیّة بها، کما أنّ غیر العربیّ یُنشِئ التحیّة بجملة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عدم العلم التفصیلیّ بمعنی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 المرعشی، محمّد رضا الگلپایگانی، اللنکرانی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من زمرة الاحتیاطات السابقة الّتی یمکن دعوی القاعدة علی خلافه،ولکنّ شدّة الاحتیاط بأمر النکاح أوجبه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تصدق المطابقة والمعاهدة، بل المطاوعة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لا دلیل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بواسطة الآلات الحدیثة المُوصِلَة للصوت، کالهاتف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 اعتبر اتّحاد المجلس یعتبره فی غیر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الوجوبیّ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 الخوئی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یُجریها المجتهد الفاحص عن الأدلّة ولیس إجراؤها من وظیفة المقلِّدالعامّیّ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الطلاق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عبدالهادی الشیرازی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لانصراف الأدلّة عنه، وکذا السَکری، والنصّ فیها مُأوّل أو مطروح، کما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الاعتداد بعقده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النائینی،الإصطهباناتی</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سلب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عقده فی هذه الصورة إذا کان وکیلاً عن الغیر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الصحّة حینئذٍ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 للشافعی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5/275</w:t>
      </w:r>
      <w:r>
        <w:rPr>
          <w:rFonts w:ascii="IRNazanin" w:hAnsi="IRNazanin" w:eastAsia="IRNazanin"/>
          <w:b w:val="false"/>
          <w:b w:val="false"/>
          <w:bCs w:val="false"/>
          <w:i w:val="false"/>
          <w:i w:val="false"/>
          <w:iCs w:val="false"/>
          <w:color w:val="333333"/>
          <w:sz w:val="20"/>
          <w:sz w:val="20"/>
          <w:szCs w:val="20"/>
          <w:rtl w:val="true"/>
        </w:rPr>
        <w:t>، قرب الإسناد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المستدرک للنیسابوری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ناظر إلی رفع العقوبة من حیث ملاک الرفع وهو الامتنان، ومن حیثسیاق الحدیث وهو وجود النائم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ینفذ تصرّف الصبیّ ولو بإذن الولیّ، نعم ، لو أجاز الولیّ عقده نفذ؛ بناءًعلیعدم کونه مسلوبَ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سُکرُه إلی حدّ عدم التحصیل والتمییز بأن لم یلتفت إلی ما یقول، ولعلّه المراد من العبارة بقرینة حمل الروایة الواردة فی السَکری علی غیر هذه الصورة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عدم الاعتبار به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 السبزواری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المختصر النافع للمحقّق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کشف الرموز للابی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شرحاللمعة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نهایة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فیما إذا کان السُکر بحیث لا التفات لها إلی ما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ما هی ظاهرة فیه، وهو کون السَکری ملتفتةً إلی ما تقول، کما یدلّ علیه قولالسائل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فَزَوَّجَتْ نفسَها رجلاً فی سُکرِها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وحمل إنکار المرأة علی کون الزواج خلاف صلاحها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بأس، ولا أثر للإجازة المتأخّرة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العقد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الصورة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قصدٍ لواحدةٍ معیّنةٍ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القصد والنیّة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المعاهدة السابقة وعدمها؛ فإنّ المیزان فی الصحّة وقوع الإیجابوالقبول علی موردٍ واحد، ویصدق أنّهما عَقَدَا وزَوَّجَا المرأة الفلانیّة، فإذا صدق هذاالمعنی ولو صدفةً یصحّ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 هذه الصورة وسابقتها فی الإشکال والدفع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تقاوَلاَ وتَعاهَدا علی معیّنٍ فَعَقَدا بلا فصلٍ مبنیّاً علیه فالظاهر الصحّة، کما إذاقال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 بنتی منکَ، لکنّه من قبیل القرینة الخارجیّة الحافّة بالکلام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قال بعد التعاهد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 إحدی بناتی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إجمال؛ فإنّ تحقّق المعاهدة مع انتفاء ما یدلّ علی وحدةالمقصود غیر متصوّر، وإجراء العقد مبنیّاً علی المعاهدة یدلّ علی وحدته فی العقدأیضاً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کان المقصود العقد علی الکبری فتخیّل أنّ المرأة الحاضرة هی الکبریفقال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زوّجتُکَ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الکبری فالصحّة بالنسبة إلی الحاضرة لا تخلو من وجه،لکن لا یُترک الاحتیاط بتجدید العقد أو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صحیح، ولکن لیس ذکرها أوّلاً دلیلاً علی کونها المقصود، وذکرها ثانیاً دلیلاًعلی أنّ الغلط فیها، بل یختلف بحسب المقامات، والتشخیص موکول إلی القرائن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تقدیر کونها هی المقصودة، کما یستفاد من عبارة الإیجاب أیضاً، وکذلک فی الفرض 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من إجمالٍ وتشویش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ولیّها، والنزاع إنّما هو فی التعیین وعدمه بحسب القصد؛ إذ لا أثر لعدمه فیالعقد، فمدّعی التعیین إنّما یدّعی صحّة العقد الراجعة إلی وقوع العقد علی المعیَّن،وخصمه یدّعی البطلان الراجع إلی وقوعه علی غیر المعیَّن، فالنزاع إنّما هو فیالوصف، ومدّعی الصحّة مقدَّم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هو کون النزاع فی وقوع العقد علیها أو علی امرأةٍ اُخری، فیکونأجنبیّاً عن جریان أصالة الصحّة فیه، بل یقدّم قول المنکر بیمینه، نعم، لو تسالماعلی وقوع العقد علیها وکان النزاع فی صحّته أو فساده یقدَّم قول مدّعی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سائر العقود إنّما تجری أصالة الصحّة فیها إذا کان الشکّ فی شرائط العقد،لا فی مقوّماته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ویترتّب علیه سقوط الدعوی فقط، فلیس لکلٍّ من طَرَفَی الدعوی إلزام الآخر بمایدّعیه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کون التحالف موجباً لانفساخ العقد کما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فمحلّ منع، بلاللازم علی کلٍّ منهما أن یعمل بما هو وظیفته فی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ثبوت الشهرة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التحالف محلّ نظر، بل مقتضی القاعدة تقدیم قول الأب فإنّه أعلمبقصده، غایته أنّ للزوج حقّ الیمین علیه، بل فی الحقیقة لا معنی لمنازعة الزوجللأب فی ما قصده کی یدخل فی باب التحالف، بل الحکم هو أن یحلف الأب أنّهعیّن فلانة، فإمّا أن یقبل الزوج بها أو یطلّق، ویجری علیه أحکام الطلاق قبلالدخول، نعم، لو أخبره الأب بما عیّن فتنازعا فی ما أخبره کان الحکم هو التحالف،فإن حلفا أو نَکَلا بطل کلّ من الدعویَین، والأحوط مع ذلک الطلاق لهما معاً، وإنحلف أحدهما مضی قوله علی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ونُکتها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أعرف بما قصده بعد کونه کالوکیل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یثبت الإعراض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إسناده إلیهم تأمّل؛ إذ هم بین عاملٍ به وبین غیر متعرّضٍ للفرع، ولکنّ الأقویالتحالف بعد فرض صدق النکاح علیه عرفاً، وفیه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الإعراض عن الصحیحة غیر ثابت، ومخالفتها للقواعد غیر مضرٍّ بحجّیّتها،ولا موجبَ لحملها علی بعض المحامل، فالمتعیَّن القول بالتفصیل، والاحتیاط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کتوکیل الزوج أبا البنات فی تزویج أیّتهنّ شاء له، وذلک فی صورة رؤیته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الجنین الّذی فی بطن اُمّه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لغیر الانصراف من بعض الوجوه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یوجد إطلاق یعمّ نکاح الحمل حتّی یُدّعی انصرافه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بالصحّة فی صورة کثرة الجهالة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 فلا یُترک الاحتیاط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ذکرها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توجیهها بأنّ شرط الخیار مرجعه إلی تحدید الزوجیّة بما قبل الفسخ، وهذا ینافی قصد الدوام أو المؤجّل إلیأجلٍ معلوم، وأمّا سائر الشروط فهی إنّما یکون مرجعها إلی تعلیق الالتزام بترتیبالآثار علی وجودها، لا جعل الخیار علی تقدیر التخلّف،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المنع إشکال، وعلی فرض القول بالجواز لا وجه لاشتراط تعیین المدّة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المشهور، ولکن لا یخلو من 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شمول دلیل الرجوع إلی مهر المثل للمقام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کفایة قاعدة الإقرار فی أمثال المقام نظر؛ إذ لیس شأنها إلّا ترتیب ما کانضرراً علی المقرّ،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هذه القاعدة لترتیب جمیع أحکام الزوجیّة منها وراثة المقرّ من المدّعینظر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مُنکِراً بَتّاً، وإن کان یُظهِر الشکّ فالظاهر عدم السماع إلّا بالبیّنة؛لعدم جواز الحلف مع الشکّ، ولا الردّ، من غیر فرق بین کون المدّعی علیهالزوج أو الزوجة، ولعلّ هذه الصورة هی المراد من عبارة القواعد؛ حیث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ادّعی رجل زوجیّة امرأةٍ لم تسمع إلّا بالبیّنة، سواء کانت معقوداً علیها أملا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ترتیب آثار الواقع مهما تیسّر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لیس له ذلک، ولا علی واحدٍ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یطأ إذا لم تکن زوجته واقعاً، ولا تُمکِّنه هی من الوطء، وهکذا، ولا تمتنع عنه إذا کانت زوجته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یختصّ بصورة العلم بکونها زوجةً له، وأمّا إقراره باستحقاق الزوجةالمهر فهو معارض بإقرار المرأة بعدم استحقاقها، فلا أثر لإقرار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علیه الإیصال إلیها بأیّ طریق، وعلیها عدم الأخذ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لها أخذه، فلو کان الزوج عالماً بالواقعة یجب علیه إیصال المهر بنحوٍإلیها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إشکالٍ فی کون هذا النُشُوز موجباً لسقوط النفقة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امتنع عن الطلاق فللحاکم الشرعیّ أن یطلِّقها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 غیر السفر ممّا یتوقّف علی إذنه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عندی فی المسألة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الحکم وفیها بعده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بعده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سماع إقراره علی نفسه بلوازم إنکاره نظر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بالإضافة إلی الحقوق الّتی ادُّعِیَت علیه، والظاهر أنّه لا یعتبر فی سماعه حینئذٍ أن یُظهِر عذراً لإنکاره؛ وأن لا یکون متَّهَماً، وأمّا بالإضافة إلی حقوقه علی المدّعی ففی سماعه إشکال، وکذلک الحال فیما إذا رجع المدّعی عن دعواه وکذّب نفسه، بلا فرقٍ بین الرجوع قبل إقامة البیّنة والرجوع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یُسمَع إقراره، حتّی مع عدم إظهار عذر، أو مع کونه متَّهَماً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حلف منکِر النکاح علی نفیه ثمّ کذّب نفسه فیشکل سماعه؛ لقوّة احتمال أنیکون حلفه فاسخاً تعبّدیّاً للزوجیّة، ولو حلف المدّعی یمین الردّ ثمّ رجع عندعواه، أو کذّب نفسه فالظاهر بطلان یمینه وسقوط دعواه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الإشکال فی سقوط النزاع ، وانتفاء موضوع الحکم برجوع المدّعیعن الدعوی ، سواء کان قبل الحکم أم بعده کذّبت البیّنة نفسها،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وإن لم تکذّب البیّنة نفسها، وکذّب المدّعی نفسه ورجع عن دعواه یسمع إقراره، وتبطل دعواه بالنسبة إلی ما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لم تُسمع بحیث کانت حجّةً علی الزوج والزوجة، فلا ینافی قوله بعد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ظاهر النصّ وفتوی الأکثر علی ما قیل عدم السماع مطلقاًإلّا بالبیّنة، فلا محلّ لتوجّه الیمین علی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مقتضی مکاتبة ابن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الزوجیّة بحالها، إلّا أن تقوم البیّنة علی الدعوی،فلا مجال للترافع إلّا مع وجود البیّنة، وممّا ذُکر یظهر أنّ الفروع المذکورة فی المتنلا موضوع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عدم 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فرض صدق المنکِر البتّی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میزاناً للفصل بینه وبین المدّعی حتّی یحکم الحاکم له علی الزوج بسببه،وهذا فیما إذا کان الزوج منکِراً لدعواه علی البَتّ، وأمّا 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لا أعلم،وإنّما تزوّجتها بإخبارها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 الحاکم یُلزِمه الحکم بیمین المدّعی إذا 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زیادة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علیه، ویکون حکمه حجّةً علی الزوج أیضاً، ولا یبقیبعده نزاع 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مراراً فی هذه التعلیقة عدم ثبوت حجّیّة خبره فی غیر صورة الاطمئنان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الثقة هو المدّعی للزوجیّة فالأحوط إن لم یکن أقوی قبول قوله،فالأحوط للزوج طلاقها، ولا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رعایته لروایة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ثبوت الحقّ بمجرّد النکول، بل یردّ الحاکم الحلف علی المدّعی، فإنحلف یثبت الحقّ، والمسألة سیّالة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یثبت الحقّ علی المنکِر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یثبت الحقّ بجمیع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یتبعّض فی لوازم الحقّ الثابت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 </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وجوبهما علیه لا یخلو من وجه، فلا یُترک الاحتیاط بإیصالهما إلیها بأیّ طریق،أو الاسترضاء والاستبراء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یجب علی الزوج بمقتضی إقراره دَسّه فی مالها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یجب علی الزوج دفعهما؛ لأنّها بحکم الشرع زوجته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خفیٍّ أنّ صرف المعرضیّة قبل الحکم والإثبات غیر مانعٍ عن إعمال سلطنةنفسها، ولا هو موجب للتفویت المحرّم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شرعاً علی مانعیّة حقّ الدعوی عن إنشاء الزوجیّة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إذ مقتضی ما تقدّم من عدم توجّه الحلف علی الزوجة هو کون التزویج من الغیر تفویتاً لهذا الحقّ الثابت للمدّعی بنفس الدعوی،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إذ مقتضی ما تقدّم من عدم توجّه الحلف علی الزوجة هو کون التزوّج من الغیر تفویتاً لهذا الحقّ الثابت للمدّعی بنفس الدعوی،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سماع الدعوی، وکذلک الحکم فی نظائرها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الحلف لا یتوجّه علی الزوجة بعد التزویج، کما هو المفروض هنا؛ حیثلا موضوع لحلفها؛ فإنّ موضوعه إنّما هو فیما إذا کان لاعترافها أثر، ولا أثر له فیالمقام، وبذلک یظهر حال الیمین المردودة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 اُخری منه  قدّس سرّه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إشکال، ولا یبعد أن یکون الوجه الأوّل أوجه؛ فإنّ الیمینالمردودة فی مفروض المسألة تُثبِت الدعوی السابقة علی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الأوجه هو الأوّل؛ فإنّه إنّما یحلف الیمین المردودة لإثبات ما کان ادّعاه علیهاحینما کانت خلیّةً من هذا الزوج، ولم یکن لدعواه توجّه إلیه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تُسمَع الدعوی فی شیءٍ ممّا یکون من هذا القبیل إلّا بالبیّنة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النائینی،جمال الدین الگلپایگانی</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صفة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لتقدیم قولها بیمینها علی فرض الدخول، ولتقدیم یمینه علی فرض عدمه وجه،فلا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بمقتضی الحِلفَین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سقوط الدعویَین فی الأوّل یکون للعمل بکلا الحِلفَین، وفی الثانی لسقوطهما عن الاعتبار بالتعارض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سقوط الدعویَین فی هذه الصورة بواسطة تعارضهما؛ إذ لا یمکن ثبوت کلیهما؛ لعدم جواز الجمع، کما هو المفروض، وثبوت أحدهما ترجیح بلا مرجّح،فلابدّ من سقوط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الاکتفاء بلوازم الیمین علی إثبات مدّعاه فی وظیفة المنکِر فی مقامإسقاط دعوی الغیر عنه، وإلّا فیتساقطان، فتبقی الدعوی بلا میزان، فینتظر إلی زمان وجود البیّنة، ولا معنی حینئذٍ لسقوط الدعویَین، اللهمّ إلّا أن یحمل السقوط علی السکوت، وعدم الحکم بواحدٍ من الدعویَین إلی زمان التمکّن من المیزان للفصل،وهو بعید عن سَوق العبارة،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ذلک المنکِر منهما؛ بناءً علی قبول بیّنته، وکونها بدلاً عن یمینه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هو الوجه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یختلج بالبال فی هذه العجالة أنّ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یتحقّق فیما لا مزیّة لإحدیالبیّنتین علی الاُخری، وإمّا إذا کان مستند إحداهما العلم الوجدانی، ومستند الاُخریالظاهر أو الأصل، تقدّم ما یکون مستنداً إلی العلم، کما أنّ المستند إلی الظاهر یُقدَّم علیالمستند إلی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لا یمکن الجمع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فیما یمکن فیؤخذبکلا الدلیلَین، کما لو أخبر أحدهما علی الزوجیّة السابقة والآخر علی اللاحقةفیؤخذ بکلیهما، إلّا فیما لا یمکن، کما لو کانت زوجیّة البنت مقدَّمةً علی زوجیّةالاُمّ، ویلحق بها ما لو کانت زوجیّة الاُمّ مقدّمةً بشرط تحقّق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الدخول وبدونه فی هذه الصورة وفی ما تلیها من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إحداهما مورّخة، والاُخری مطلَقة بوقوع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مرجّحیّة الأسبقیّة من الروایة الآتیة مطلقاً، وإلّا ففی إطلاقه تأمّل،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تکون إحداهما مؤرَّخةً، والاُخری مطلقة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شهدت المتقدّمة بوقوع العقد السابق وبقائه إلی زمانٍ تَشهَد المتأخّرة بوقوع العقد الثانی فیه، فإنّ مقتضی العمل بکلتا البیّنتین بطلان العقد الثانی، وأمّا إذاشهدت البیّنتان علی زوجیّتهما الفعلیّة فالظاهر تعارض البیّنتَین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وتشهد الثانیة بنفس وقوع العقد الظاهر فی کونه صحیحاً، وأمّا إذا شهدت أیضاًبالزوجیّة الفعلیّة فالظاهر وقوع التعارض وإن کانت الاُولی أسبق، وهنا فروض اُخرمن جهة اختلاف مستند البیّنتَین یختلف فیها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ضعیفة سنداً، وعمل المشهور بها لا یوجب اعتبارها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التعدّی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التعدّی؛ لأنّ الحکم علی خلاف القاعدة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بعد عمل المعظم، وإنّما الإشکال فی التعدّی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ککون المورد من مصادیق قضیّةٍ فی واقعة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وللمولی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الأوفق بالقواعد أنّه لا یفتقر إلی الإذن بمقتضی الملکیّة، نعم، للمولی منعه عنالوطء بمقتضی مالکیّته الطولیّة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وللمولی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هذه الصورة ترک الاعتماد علی قولها، إلّا إذا ادّعت أنّها خلیّة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محمّدرضا الگلپایگانی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الحکم إشکال؛ فإنّ النصّ لا یشمل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اللنکرانی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إذا أخبرت بأنّها لا زوج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 وقوع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نعم، لو ادّعت ذلک قبل الدخول فالأحوط للزوج التفحّص، وإن کان الأقوی عدملزومه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سماع الحاکم دعواها والحکم لها ببیّنتها علی الزوج إن کان منکِراً، وهومشکل، وإن کان اتّباع البیّنة واجباً علی الزوج فی عمل نفسه مع 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تشهد بأنّها کانت ذات بعلٍ وتزوّجت من الثانی حین کونها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العدل 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 الکفایة، ولکنّ الاحتیاط لا ینبغی ترکه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بالترک إلی حصول العلم أو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الماتن یتعرّض لحکم الوصیّ والسیّد والحاکم فی ما بعد، فانتظر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الولایة فیه للحاکم، وإن کان الأحوط الاستئذان من أبیه أو جدّه معإمکان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اختصاص الولایة فی المنفصل بالحاکم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السبزواری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استقلالها بالأمر، وإن کان الأحوط 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أوّل الأقوال أوفق بالجمع بین الأخبار ثمّ التشریک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القول الثانی فی صور الاختلاف 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لزم الاحتیاط، وقد عرفت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بالسقوط مشکل، ویُحتمل کفایة تصدّی الحاکم نیابةً وأصالةً للإذن إذا کانالمقام مقام الضرورة واللابدّیّة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کُفؤٍ آخَرَ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الاحتیاط لا یُترک فی جمیع الصور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یقال بجواز منع الولیّ عن التزویج بغیر الکفؤ عرفاً، وإن لم تکن الولایةثابتةً له بوجه، غایة الأمر أنّها لو خالفت وزوّجت نفسها منه یصحّ نکاحها، ولکنّه مشکل، کما أنّ ما فی المتن أیضاً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الکُفؤ العرفیّ، وإلّا فمشکل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استئذان حاکم الشرع لولایته عن الغائب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عذرتها، وإلّا فالبَکارة لا تزول بغیر الوطء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ولایة الأب علی غیر البِکر علی فرض ولایته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عدم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اشتراط حیاة 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لضعف مستنده صدوراً ودلالةً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الخیار مشکل، وعدمه أشکل، والأحوط الطلاق بعد البلوغ، لا الفسخ، ونحوهالمجنون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لا یُترک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بخیاره فی الفسخ والإمضاء له وجه؛ لورود روایةٍ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وأولیاء العقد،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به،وقد أفتی بمضمونها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الأظهر عدم الخیار له، والاحتیاط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 بالاشتراط مشکل،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ضعیفاً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کفایة الإجازة بعد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ضعیف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رعایة المصلحة فی تزویج البنت الصغیرة مبنیّة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حُجِر علیه للتبذیر، نعم، السفیه المتّصل سفهه بزمان الصغر محجور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ممنوع لو لم یکن الظاهر خلافه، نعم، الأحوط له الاستئذان من الولیّ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والأحوط له الاستئذان من الولیّ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قریباً کونه مورد 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فیه إجراء حکم المرأة المعلوم إجمالاً کونها زوجةً لأحد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ولا دلالة فی خبر عبیدٍ علی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الروایة تعرّض لتقدیم عقد الأب حتّی یکون سبقه شرطاً له، بل هیمَسُوقة لبیان تقدیم عقد الجَدّ مشروطاً بعدم کون الأب زوّجها قبله؛ وعلیه فالشرطإنّما هو لهذا التقدیم، ومع عدم الإحراز لا مجال له، فلا محیص إلّا عن تقدیم عقدالأب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الواقع، ولا یکفی عدم العلم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الأوّل، ودعوی أنّ لازم الأولویّة البطلان ممنوعة، والاحتیاط سبیلالنجاة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 وجیهاً إشکال، فکیف بکونه أوجه، وعموم حدیث ابن جعفر المعلَّل یشمل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المرعشی، محمّد الشیرازی</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موجب للضرر عرفاً، لا مطلقَ العیب، کنقص بعض الأصابع مثلاً أو زیادته، فإنّهلا یمنع من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فیه المفسدة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أوجهیّة العدم إذا أعمل الولیّ جهده فی إحراز المصلحة، وکشف عدمالمصلحة لا تأثیر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 فیسقط ما فرّع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ثبوت الحقّ للمولّی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قِبل المولّی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نیابةً، وأمّا أصالةً فلا وجه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العَیب کاشفاً عن وجود المفسدة فی التزویج کان العقد باطلاً، ولا یصحّ إلّا بالإجازة بعد البلوغ فی الصبیّ، والإفاقة فی المجنون، وإذا لم یوجِب المفسدة کان العقد صحیحاً، ولا خیار للولیّ ولا للمولّی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أوجههُما العدم، وماذکره من التعلیل علیل، سیّما دعوی کون العقد فضولیّاً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یکفی عدم المفسدة، فلو لم یکن فی العقد المذکور مفسدة لم یکن للمولّی علیه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محیص عنه،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المذکور وأمثاله لا تکون محلّ الابتلاء فی زماننا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رضا مالک المملوک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ثبوت الولایة للموصِی، کالمتّصل جنونه بصِغَره، والأحوط الّذی لایُترک ضمّ إذن الحاکم، وأمّا المجنون الّذی عرض جنونه بعد البلوغ فالأقرب أنّأمره إلی الحاکم حتّی مع وجود الأب والجَدّ، وإن کان الاحتیاط حسن، وأمّا أمرالصغیر مشکل، فلا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بالاستئذان من الحاکم الشرعیّ أیضاً حتّی فی الصغیر، کما أنّالأحوط له الاستئذان من الوصیّ لو کان، ثمّ إنّ ما ذکره  قدّس سرّه فی الجنون المتّصل بالصغر، وأمّا المنفصل فلا ولایة للوصِیّ علیه، وتختصّ بالحاکم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اتّصال جنونه بصِغَره،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الجنون المتّصل بالصِغَر، وأمّا فی غیره فالأحوط الاستجازة من الحاکمأیضاً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تقدیم الأب علی وصِیّ الجَدّ تأمّل؛ لأنّه ینوب مَناب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الحِسبة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وأولیاء العقد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الفرع لا یکون مورد الابتلاء فی زماننا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والعدالة علی الأحوط فی غیر الأب والجَدّ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المراد من نحو الجنون الإغماء ظهر الإشکال فیه ممّا تقدّم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إذ لا دلیل علی المُدَّعَی، وقاعدة الإلزام غیر تامّةٍ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له جَدّ، أو کان ولم یکن مسلماً، وإلّا فدعوی اختصاصها به غیر بعیدة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یُعامَل فی باب ولایته حسب عقیدته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للوجوب مع الإطلاق إلّا مع الانصراف إلی صورةٍ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هناک مانع عن الانصراف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النکاح وأولیاء العقد،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ظاهرة فی عدم جواز تولّی الإیجاب والقبول بنفسه، ولا ربط لها بماأفاده، فلا وجه للکراهة أیضاً؛ وعلیه فله أن یوکِّل عنها مَن یتولّی الإیجاب عنها،ولا بأس له أن یوکِّلها فتتولّی الإیجاب منها والقبول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لحملها علی الکراهة مع وضوح الدلالة وکونها من الموثّق، فالاحتیاط لایُترک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مسامحة واضحة، من حیث الشمول بظاهرها للعقد الصادر منالزوجَین؛ لأنّهما غیر الولیّ والوکیل، ومن حیث کون الفضولیّ وصفاً للعاقد، لاللعقد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مَن لیس بیده زمام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إذا لم یصدر العقد منهما، بل وکَّلاَ الغیر فی العقد لنفسهما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کانت فیه المفسدة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اشتراط الإجازة بعدم الردّ قبلها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نفوذها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تعلیقة ثانیة له  قدّس سرّه أوردناها من نسخة اُخری غیر ما بأیدینا، وهی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إشکال،والأحوط رعایة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وقوعها بدون الإنشاء اللفظی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الاشتراط المذکور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فی صحّة العقد إضافته إلیه بإجازته ورضاه بذلک العقد حقیقةً، ولا یعتبر فیذلک علمه بأنّ له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مجرّد الرضا باعتقاد کونه لازماً علیه، وأمّا لو أظهر الرضا بالعقد قولاً أو فعلاًفلا یبعد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الکفایة فی صورة إظهاره بأحد الکاشِفَین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أو الفعل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رضاه به بمعنی إرادة ترتیب الأثر علیه فقط، وأمّا إن رضی بمفاده وبنیعلیه فلا یبعد کفایته، ولا یضرّ اعتقاده لزوم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مشکلة لابدّ فیها من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سکوته کاشفاً عرفاً عن 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قرائن قامت علی أنّ سکوته 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حضوره وسکوته عن الاعتراض إجازةً له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الردّ لا أثر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بعید جدّاً، بل الظاهر کونه بمنزلة الردّ، ودعوی الفرق بینه وبینه ممنوعة، کدعوی عدم کونه أدون من عقد المُکرَه إذا لحقه الرضا؛ لوضوح التفاوتبینهما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صحّتها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وجه معتبر للإشکال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جعل هذا العنوان مرآةً إلی ذاتها لا إشکال فی الصحّة، کما أنّه مع جعله عنواناًللمعقود علیه الأقوی بطلانه، إلّا مع تشریعه فی تطبیقه علیه فإنّه حینئذٍ یمکنالمصیر إلی تصحیح إجازته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أیضاً،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الإشکال ضعیف، والفرق بین الصورتَین غیر ظاهر، وکذا الکلام فی زیادة أونقیصة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صحّتها فی الموردَین، نعم، فی الأوّل لا یجب الوفاء بالشرط، وفی الثانی الخیار للطرف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عدم اشتراط صحّة الوکالة بالعلم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عدم اللزوم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منه أنّه لا یشترط فی الفضولیّ قصد الفضولیّة، ولا الالتفات إلیها، والظاهرجریان هذا فی الوکالة والولایة، وأنّه لا یعتبر فیهما القصد، ولا الالتفات، وعلیه فلایبقی محصّل للفرض، بل یتعیّن الصحّة واللزوم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یمکن إیقاع العقد منهما معلّقاًعلی رضاً جدیدٍ من الموکّل، أو من المولّی علیه، أو نفسه متأخّراً، وحینئذٍفالإشکال فیه إنّما هو من ناحیة التعلیق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محصّل للفرض، والأقوی صحّته ولزومه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بقصد الفضولیّة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الصحّة، وما ذکره من التعلیل علیل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لهما الخیار بمقتضی النصّ، راجع المسألة الرابعة من هذا 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تقیالقمّی</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فیه، ولکنّه مع ذلک یثبت بینهما التوارث؛ لأنّ المفروض صحّة العقدوإن ثبت لهما الخیار بعد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موافقاً لمصلحتهما، وإلّا فلهما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الکشف ولزوم الاحتیاط، وإن لا یبعد الالتزام به فی المقام؛لأجل النصّ الخاصّ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قصور؛ حیث إنّ البطلان بالموت لیس کالأثر المترتّب علی الإجازة،والردّ فی التفرّع علی البلوغ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یختصّ بصورة موت الزوج فیشکل الجزم بالعموم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والمراد بالولیّ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یَلِی أمرهما عرفاً، لا الشرعیّ؛کی ینافی ما تقدّم من لزوم النکاح الصادر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عبّر به الفقهاء قدّس سرّهم، وفی الروایة یحلف علی أنّه ما دعاه علی أخذ المیراث إلّا رضاهُ بالتزویج، والفرق بین التعبیرین واضح، ولعلّهم استفادوا من الروایة ماعبّروا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 المفروض موت الزوجة بعد اجازتها وقبل بلوغ الزوج، فلا وجه لحرمةبنتها علیه علی تقدیر الإجازة والحلف منه؛ لأنّها غیر مدخولٍ بها، إلّا أن یفرض دخوله بها قبل بلوغه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لأنّه خلاف ظاهر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إشکال، بل منع؛ إذ کیف یجوز التعدّی عن مورد الحدیث إلی غیرهمع کون الأحکام الشرعیّة تعبّدیّة؟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الاستفادة من الروایة أنّ الملاک فی الحلف هو رفع الاتّهام ـ والمفروض وجوده فی المقام ـ لا یبقی مجال لدعوی الظهور، فلا یُترک الاحتیاط بالإحلاف فی الإرث وأخذ المهر، وکذا سائر الأحکام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 فی الإرث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سهو القلم، کما مرّ؛ لعدم ترتّب حرمة البنت علی مجرّد العقد، بل تتوقّف علی الدخول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للاستثناء؛ فإنّه ما لم تتحقّق الإجازة یجوز کلّ تصرّفٍ للأصیل،ومع فرض تصرّفه تصرّفاً وضعیّاً لا یبقی مجال للإجازة، نعم، لو قیل بکونهاکاشفةً حقیقةً یکون التصرّف علی الإجازة باطلاً، لکنّ القول المذکور باطلمن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مع فرض العلم بالإجازة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فرض العلم بحصولها أیضاً، وإن کان یجب من حین الإجازة ترتیب آثارالصحّة من حین العقد، کما أشرنا إلیه سابقاً، وهو الّذی تقتضیه القواعد فی باب الفضولیّ من کلّ عقد، والتزم به المشهور القائِلِین بالکشف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تصحّ الإجازة؛ لخروج العقد المذکور عن القابلیّة للتصحیح؛ بسبب وقوع العقدعلی الاُمّ والبنت عقداً صحیحاً سابقاً علی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فی حقّ البنت الّتی لم تکن اُمّها مدخولة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مدخولاً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الالتزام ببطلان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کَمَری</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تقع الإجازة باطلة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نکاح أب المعقود أو ابنه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وإن کان کذلک فی المقام حیث لم یتحقّق عقد قبل الإجازة إلّا أنّ بین نکاحالاُمّ ونکاح البنت فرقاً من جهةٍ اُخری،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مجرّد نکاح الاُمّ لا یوجب بطلان العقد علی البنت فلو عقد علی البنت والحال هذه بطل عقد الاُمّ، وهذا بخلاف عقدالبنت فإنّه بمجرّده یوجب بطلان العقد علی الاُمّ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ذات بعلٍ فیحرم علیها التزویج الحاصل بالإجازة، أو لانصراف أدلّة صحّةالفضولیّ عن الفرض، ومنه یُعلم الحال فی الزوج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کشف الإجازة فرع سلطنة المُجِیز، وهو فرع بطلان نکاحه، فکیف یوثّر فیبطلانه؟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ملحقاً بما عُلِم عدم الاقتران، لا بما علم الاقتران، فلو کان أحدهما معلومَ التاریخ یُحکَم بصحّته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یکون ملحقاً بما عُلِم عدم الاقتران، لا بما علم الاقتران، فلو کانأحدهما معلومَ التاریخ یُحکَم بصحّته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واستصحاب عدم تحقّق المجهول إلی زمانٍ مقارنٍ للمعلوم لا یترتّب علیه أثرشرعیّ کی یلحق ذلک بمعلوم السَبق، کما أفاده غیر واحدٍ من أکابر المحشّین؛ لأنّ بطلان العقد المقارن بمثله عقلیّ، لا شرعیّ، بخلاف المسبوق بمثله حیث إنّ بطلانه شرعیّ، فیستصحب عدم وقوع العقد السابق، فیترتّب علیه عدم البطلان شرعاً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رعایة الاحتیاط بالطلاق ـ کما مرّ ـ إن لم یناقش بالإثبات، وهی ممنوعة، والتفصیل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یحتمل الاقتران، وإلّا فیُحکَم ببطلانهما،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وعلی طبق القاعدة، إلّا أن یصل الأمر إلی حدٍّ یدخل المقام فی الاُمور الحسبیّة، فیقوم الحاکم ویتصدّی الطلاق نیابةً عن الزوج، وباقی الوجوه المذکورة مخدوشة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 والأحوط الطلاق منهما، ولو امتنعا فلا یبعد أن یکون للحاکم إلزامهما بذلک، وکذا فی نظائر المسألة، والحمد لله ربّ العالمین، والصلاةعلی رسوله وآله الطاهرین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عقد البنت صحیح وعقد الاُمّ باطل،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للاخر علیهما الحلف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لیست بمصدر من الثلاثی، ولا اسمه، سواء کان تفعیلاً أم إفعالاً، وأنّهاـ علی أیّ حالٍ ـ بمعنی العهد فی تمام اشتقاقاتها وفروعها أینما ذکرت وکلّمااستعملت، کما لا یخفی علی مَن جاس خلال دیار استعمالها فی الکتاب والسنّةوألسنة المتشرّعة، غایة الأمر أنّ متعلّقاتها تختلف، ککونها تملیک العین أو المنفعةأو الحقّ أو التسلیط علی الفکّ أو التحریر وصنوف العقود والإیقاعات، وأمّاالمأخوذة من وَصِیَ یَصِی لو سلّم ذلک فهی بمعنی الوصل بلا ریب، ووجه التسمیةعلی کلا الفرضین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العهد متحقّق فی التملیکیّة أیضاً؛ إذ کما تتعلّق التوصیة والعهد بالعمل کذایتعلّق بالاُمور الوضعیّة کالولایة وافتکاک الملک ویویّده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یُوصِیکُمُ آللهُ  فِی أَوْلاَدِکُم لِلْذَّکَرِ مِثْلُ حَظِّ آلاُْنْثَیَیْنِ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ومرجعه إلی الإیصاء بترتیب آثارها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لیس عبارةً اُخری لِما سبق؛ لأنّ الوصیّة بالفکّ لیست من القسمین، ولوجُعِلت العهدیّة أعمّ من الفکّ لا تکون الوصیّة إلّا قسماً واحداً، والأمر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قبول الموصی له، وإن کانت ربمّا احتاجت إلی قبول الموصی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أصل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فیبعض أحکامها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قدّمناه فی الحاشیة السابقة أن جعل الوصیّة بالفَکّ قسیماً للوصیّةالعهدیّة لا مساغ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الوصیّة التملیکیّة مطلقاً یعتبر فیها القبول جزءاً فی حیاة الموصِی أوبعد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یقتضیه التحصیل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القبول وإن کان معتبراً فی تحقّق الموصیبه جزءاً أو شرطاً لکنّه غیر معتبرٍ فی تحقّق الوصیّة حتّی تکون من العقودبذلک، فالإیجاب من الموصی کافٍ فی صدق أنّه أوصی بکذا، وفی ترتّب أحکامها من حرمة التبدیل والتصرّفات المزاحمة وإن کان غیر کافٍ فی تحقّق الموصی به فی الجملة فالوصیّة بما هی وصیّة من الإیقاعات مطلقاً وإن کانت جزءالسبب للملکیّة؛ ولذا لا تبطل بتخلّل الموت بین إیجابها وقبولها، مع أنّ اعتبارالمعاقدة مع تخلّله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موارد استعمالاته ومشتقّاته فی هذا الباب هو کونها اسم مصدر، بمعنی العهد إلی الغیر، وهو الجامع بین الوصیّة التملیکیّةوالعهدیّة، وإنّما الاختلاف فی متعلّق العهد إلی الغیر، فتارةً یکون مالاً،عیناً کان أو منفعةً أو حقّاً متعلّقاً بهما، وتارةً یکون عتق عبده، وتارةً یکون فعل الغیر المتعلّق بما یرجع إلی نفسه أو إلی صغاره وأموالهم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أنّها برزخ بین العقد والإیقاع، ومثلها الوکالة والجعالة والوقففی بعض أنواعه، کما شرحنا ذلک فی تحریرالمجلّة وغیرها من مولّفاتنا،فراجع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بمقتضی الأصل الاحتیاج إلی القبول مطلقاً، غایة الأمر بنحو الشرطیّةللإیجاب، لا بنحو الجزئیّة لعقدٍ علی حدّ سائر العقود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هو الصحیح، بل لا دلیل علی کون الردّ مانعاً سوی ظهور التسالم علیه، فإن تمّ إجماع، وإلّا فلا وجه له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الاتّفاق علیه، فإن ثبت إجماع فهو وإلّا فمقتضی عموم الأدلّة و إطلاقها عدم کون الردّ مانعاً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من الأسباب المُمَلَّکَة شرعاً وعرفاً، فلا معنی للإشکال بأنّ عدماشتراط القبول یستلزم قهریّة حصول الملک، اللهمّ إلّا أن یراد بذلک أنّه لا سلطنة لشخصٍ علی آخر وإن کان بتملیک شیءٍ له، ویدفع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سلطنة الردِّ بیده،فهذا المحذور مندفع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ومقتضی القاعدة توقّف الوصیّة علی قبول الوصیّ إذا تضمّنت إلزامه بعمل، إلّاأن یثبت خلاف ذلک، وأمّا الوصیّة التملیکیّة إذا کانت وصیّةً بالنتیجة فلابدّ من دلیلٍیدلّ علی نفوذها من دون قبول 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الوصیّة من العقود، وإلّا ففی کفایته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والقیاس علی بیع ما سیملکه وقبوله مع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الأمر عدم ترتّب ثمرةٍ علی الکشف والنقل فی خصوص هذه الصورة، وهولا یقدح فی أصل المطلب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للبدار وجوباً؛ فإنّ الاستصحاب الاستقبالیَّ فی البقاء یقتضی جوازالتأخیر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عنده أموال الناس، أو کان علیه حقوق وواجبات یعلم بها الورثة، ویطمئنّ بإیصالهم وتأدیتهم علی ما هی علیها لا یجب الإیصاء بها وإن کان أولی، بل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للوجوب مع کون المالک راضیاً بالتأخیر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وذهب بعض إلی التخییر بین الردّ والإشهاد والوصیّة، وفیه إشکال، فلا یُترکالاحتیاط بالردّ فی صورة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یعلم برضا المالک ببقائها فی ید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لأصحابها مقتضٍ لذلک، أمّا إذا علم أنّ أصحابها راضون ببقائها عندورثته بعد موته فلا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ممنوع، بل لابدّ من التقیید، کما تقدّم نظیره فی الواجبات الموسّعة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الإطلاق فی نظیر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فرقٍ بین صورة المطالبة وعدمها، کما أنّه لا یختصّ هذا الوجوب بما إذاظهرت أمارات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وخیّر بعض بین الإشهاد والوصیّة، ولا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فی سائر العقود لا یکون مبطلاً، وکذا فی العقد الفضولیّ لولا الإجماع التعبّدی علی خلافه، وأمّا فی الوصیّة فقبل القبول وبعد موت الموصِی قد تقدّم حاله، وأمّا فیها قبل موته فالمشهور أنّه لا یکون مبطلاً، وهو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تحقّق الوصیّة لا یتوقّف علی مثل القبول، ولکن قام الإجماععلی أنّ الردّ مانع عن حصول الملکیّة، والقدر المتیقّن من معقده حصوله بعدالموت وقبل القبول، وفی غیره من الصور تحصل الملکیّة، ولا أثر للردّ أصلاً،ومنه انقدح أنّ الوجه فی مانعیّة الردّ هو الإجماع، لا أصالة عدم الملکیّة، کما هوظاهر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الوجه فی عدم المنع فی مورده إطلاق أدلّة نفوذ الوصیّة، لاأصالة الملکیّة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لا ینتج المعلَّل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کفایة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القبول بعد الردّ حال حیاة الموصی إنّما هو لبقاء الوصیّة، وعدم الرجوع فیها بعد فرض عدم لزوم الموالاة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عدم صحّة القبول بعد الردّ بعد الموت فإنّماهو لعدم بقائها، فالفرق بینهما واضح، ولا تنافی بین القولَین، بل وممّا ذکرنا نعرف الفرق بین الوصیّة وسائر العقود، فالقیاس مع الفارق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ویکفی فی الفرق بینها وبین سائر العقود عدم لزوم الموالاة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بناءً علی کون الوصیّة من العقود، کما لا إشکال فی غیرها، نعم ،بناءً علی الشرطیّة أو عدم الاعتبار أصلاً یقع الإشکال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الأقوی حتّی فی الفضولیّ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الممنوعة ممنوعة؛ لأنّ المعاهدة اللازمة فی العقود لابدّ وأن تکون بالقول بحیث یصدق عنوان العقد، والعقد عبارة عن الإیجاب والقبول المتّصلَین، وفی الفضولیّ لابدّ أن تکون الإجازة باللفظ غیر المنفصل بالردّ عن العقد حتّی یُسنَد العقد إلیالمجیز؛ حیث إنّ الظاهر من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عقودکم، وربّماهذا مراد صاحب الدعوی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مقتضاها عدم الصحّة فی البیع إلّا فی صورة کون الانحلال فیه ظاهراً فی مقام الإنشاء، کما فی فرض تعدّد الثمن والمثمَن واستقلالهما فی اللحاظ وفی نظر العرف کما أنّ مقتضاها الصحّة فی الوصیّة، لکن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التطابق بین الإیجاب والقبول ظاهر، وکون القاعدة مقتضیةً للصحّة بالنسبةإلی بعض المبیع مثلاً عند تبعّض الصفقة أجنبیّ عن المقام بالکلّیّة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التفصیل بأن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بأنّ القبول جزء أو شرط فیجوز التصرّف لإحراز عدم القبول بالاستصحاب الاستقبالیّ،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الردّ مانع لا یجوز؛لإحراز عدم الردّ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مبناه من عدم کون الوصیّة عقداً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الاختیار بما هو لا یوجب الضرر بوجه، بل الموجب علی فرضه تأخیرالردّ فیما إذا اختاره، وحینئذٍ فلا وجه لإجبار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 إنّما یوجب تفویت الانتفاع لو أخّر الردّ، لا الضرر، فلا وجه لإجبارالحاکم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لعدم الدلیل، فإنّ القاعدة ناظرة إلی النهی عن الإضرار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 ولو قلنا باعتبار القبول فی صحّة الوصیّة؛ إذ لا ضرر علی الورثة فیالتأخیر، غایة الأمر أنّه یفوِّت علیهم الانتفاع علی تقدیر تأخیر الردّ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کونه حقّاً مالیّاً، وبناءً علی صدق المتروک علیه کسائر الحقوق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خبره محذوف یدلّ علیه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کونه علی طبق القاعدة قریب جدّاً بعدما ذکرناه من أنّ القبول مع اعتباره فیتحقّق الموصی به غیر معتبرٍ فی الوصیّة؛ إذ ینتزع منها حینئذٍ للموصی له حقّ مالیّ یصدق علیه بعد موته أنّه من متروکاته، نظیر حقّ التحجیر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أنّ ما ترکه المیّت ممّا یکون قابلاً للإرث عیناً أو منفعة أو حقّاً فهولمالکه، والوصیّة مستلزمة لحقٍّ مالیٍّ قائمٍ علی مال الموصِی للموصَی له، فما یظهرمن صحیح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ویؤیّده صحیح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الساباطی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للقاعدة، وهذا المعنی أظهر فی الوصیّة التملیکیّة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والمعارض لها مخدوش من جهة الصدور،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البجلی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 لا غیره المحتمل، کما حقّق فی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مشیر إلی تضعیفه بکون الراوی مجهولاً لدیهم، وعدم ظهور الخبر فی الوصیّة التملیکیّة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ح</w:t>
      </w:r>
      <w:r>
        <w:rPr>
          <w:rFonts w:eastAsia="IRNazanin" w:cs="IRNazanin"/>
          <w:b w:val="false"/>
          <w:bCs w:val="false"/>
          <w:i w:val="false"/>
          <w:iCs w:val="false"/>
          <w:color w:val="333333"/>
          <w:sz w:val="20"/>
          <w:szCs w:val="20"/>
        </w:rPr>
        <w:t>2</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اُغمض عن المناقشة فی دلالته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ح</w:t>
      </w:r>
      <w:r>
        <w:rPr>
          <w:rFonts w:eastAsia="IRNazanin" w:cs="IRNazanin"/>
          <w:b w:val="false"/>
          <w:bCs w:val="false"/>
          <w:i w:val="false"/>
          <w:iCs w:val="false"/>
          <w:color w:val="333333"/>
          <w:sz w:val="20"/>
          <w:szCs w:val="20"/>
        </w:rPr>
        <w:t>4</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 ح</w:t>
      </w:r>
      <w:r>
        <w:rPr>
          <w:rFonts w:eastAsia="IRNazanin" w:cs="IRNazanin"/>
          <w:b w:val="false"/>
          <w:bCs w:val="false"/>
          <w:i w:val="false"/>
          <w:iCs w:val="false"/>
          <w:color w:val="333333"/>
          <w:sz w:val="20"/>
          <w:szCs w:val="20"/>
        </w:rPr>
        <w:t>5</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موثّقته؛ لمکان وجود ابن فضّال الطاطریّ الفطحیّ فی السند، ویمکن أن یرادبالصحّة المطلقة علیها الصحّة القدمائیّة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ولم یحتمل کون عدم عملهم بهما؛ لمکان أظهریّة دلالة روایة ابن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یکون المراد من قوله فی الصحیحة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موت الموصِی لیس بشیء، ولیس نصّاً أو ظاهراً أقوی من ظهور صحیحة محمّد بن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الجمع عرفاً بینهما بحسب الدلالة، بحیث لا ینافی الصحّة، وقیام الوارث مقام الموصی له بوجه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الانصراف ممنوعة، بل الغالب کون شخص الموصی له مورداً لغرض الموصی، نعم، لو قیّد الوصیّة بحیاة الموصی له بأن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لک بعد حیاتی إنکنتَ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ینتقل إلی وارث الموصی له بموته فی حیاة الموصی؛ لروایةعبدالرحمن بن أبی عبدالله، عن 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قیّده بما یلازمه کأن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فعلتَ کذا بعد موتی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للتقیید فی التملیک، اللهمّ إلّا فی الوصیّة العهدیّة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الوصیّة له مقیّدةً بحیاته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الوصیّة له مقیّدةً بحیاته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الإحاطة بما ذکرناه فی الحواشی السابقة یجب الاقتصار فی هذه الاُمور ومایتفرّع علیها علی ما یستفاد من الدلیل، مع إمکان المناقشة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أقواها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شکّ فی أنّ الشمول هو الأظهر؛ بناءً علی عدم اعتبار القبول فی حصول الملکیّة، وکون الردّ مانعاً، وأمّا بناءً علی اعتباره ـ کما استظهرناه ـ فقبل القبول ماحصل له شیء حتّی ینتقل إلی وارثه وإلی وارث وارثه، وأمّا احتمال أن یکون القبول حقّاً للموصی له المتوفّی، ویکون أیضاً قابلاً للانتقال، ولا یکون قائماً بشخصه حتّی ینتقل إلی وارثه وبعده إلی وارث وارثه فبعید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قبول الموصی له بعض الوصیّة فضلاً عن وارثه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أردأ الوجوه احتمالاً ومحتملاً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یکن التقسیط ضَرریّاً، ولعلّه أوجه الوجوه احتمالاً ومحتملاً، ویلیه فی القوّة الوجه الأخیر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الوجوه البَشِعَة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أوجههما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أقوی الوجوه ثالثها؛ لشمول الإطلاق له، وعدم اقتضائه أیضاً صحّة أزید منذلک له ولغیره، من غیر فرقٍ بین کون موته قبل موت الموصی أم بعده بعد کون القبول شرطاً، لا الردّ؛ فاسخاً للنقل الثابت بعد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والمتّجه حینئذٍ ملاحظة القسمة فی باب المواریث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ولازمه التسهیم بالسویّة لولا رعایة تبعیّة الحقّ لموضوعه الموصی به، المقسوم بینهم قسمة المواریث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 لأنّ مقتضی الوصیّة ذلک، ولا یوجب موت الموصی له انقلابحقیقة الوصیّة، ولیست الوصیّة کالوقف علی البطون، حیث یتلقّی کلّبطنٍ المِلک من الواقف، فلا تُبتنی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أصل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تصحیف، والصحیح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علی کون القبول کاشفاًأو ناقلاً؛ وعلی هذا فینقسم الموصی به بین الورثة علی حسب السهام کحقّ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فرض الأهلیّة، وفیه منع، إلّا فی موارد خاصّةٍ التزمت بها بالأدلّةالخاصّة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هُوَ حقیقةً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علی الوجه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أوجهها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البروجردی، عبدالهادی الشیرازی، الخوئی، محمّدالشیرازی، حسن القمّی</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أقواها أوّلها؛ لظهور اقتضاء استناد الوارث إلی شخصٍ کونه وارثاً حین موت مورّثه، لا موت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التصالح، وإن کان الأظهر عدم إرثها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وأصحّ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تنتقل من الموصی إلی الوارث الّذی قام مقام مورّثه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لکنّه لمکان إرثها حقّ القبول من الموصی له، مضافاً إلی إمکان دعوی انصراف الدلیل إلی الوارث علی النحو المقرّر شرعاً فی باب الإرث؛ وعلیه فهی لاترث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بتوسّط وراثته عن الموصی له حقَّ تملّکها، وحینئذٍ لا یبعد القول بحرمانهاعلی هذا الوجه أیضاً، بدعوی ظهور أدلّة حرمانها عن الأرض فی حرمانها عن الحقوق الّتی لا فائدة لها إلّا مِلک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الحاشیة 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عدل ـ دام ظِلّه ـ فی مجلس البحث عمّا فی الحاشیة، واختار مافی المتن، وأمر بضرب الخطّ علی هاتَین الحاشیتَین علی ما حکاه بعض 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موسیالشبیری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والحاشیة الاُخری منه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إخراجها منه، والأحوط أن یکون برضا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علی صدق الحَبوة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الأبوین والأولاد، أحادیث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والحبوة إصطلاحاً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 الولد الأکبر بثیاب أبیه المیّت وملابسه ومصحفه وخاتمه زائداً علی حصّته منالمیراث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ألفاظ الفقه الجعفری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بمجرّد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مات وقبل وارثه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فی هذا الفرض إلی قبول الوارث علی ما مرّ، فیحکم بانعتاق الموصی بهمن الأوّل، وأمّا إذا مات الموصی بعد الموصی له فلا وجه للانعتاق أصلاً؛ لأنّ الوارث حینئذٍ یتلقّی الموصی به من الموصی دون 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یکشف عن موت الموصی له عن وارثٍ معتقٍ حرٍّ وحصل الملک والانعتاق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أضفناه لاقتضاء السیاق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الکشف الحقیقیّ، وإلّا فتلزم لغویّة إجازتهم للکشف عن کونهم غیرالورثة من أوّل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فحصل الملک والانعتاق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حرّاً فی حیاة 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إرثه لقبول الوصیّة حتّی فی هذه الصورة نظر؛ لأنّ المنساق من الأدلّة کون الوارث وارثاً مع قطع النظر عن الحقوق الموروث بها، ولا یشمل ما کان أصل وراثته من جهة هذا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مات الموصی له عن وارثٍ منعتق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تفرّد بالإرث 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 یقوم مقام الموصی له فی الوصیّة التملیکیّة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القیام فی العهدیّة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الإطلاق إشکال، والأقوی تساویها مع التملیکیّة لو کان المآل إلی العهدبإعطاء الموصی به إلی الموصی له، وأنّ القبول الفعلی کافٍ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الاختصاص، واعتبار القبول فیها مطلقاً، کما عرفت، غیر أنّ القبول فی القسم الأوّل معتبر من الموصی له شخصاً أو أشخاصاً، وفی القسم الثانی من القیّم إن کان، وإلّا فمن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ذلک، وإن قلنا بمالکیّة الجهة أو النوع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دعوی کونها قسماً ثالثاً مسمّیً بالوصیّة التخصیصیّة؛ لامتناع تملیک النوع والجهة، وعدم کونها عهدیّةً أیضاً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ضعف ما قوّاه علی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الإجماع علیه،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 بل لا یبعد البطلان بالنسبة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ینبغی إنشاؤها بالألفاظ المتعارف استعمالها فی ذاک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الاقتصار علیهما بحال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إنشائه الوصیّة فعلاً بها علی حدّ ظهور الألفاظ، ولا یکون مع ذلک عدم نطقه بها مع قدرته علیه، کما هو العادة فی الاُمور الخطیرة قرینة صارفة عن ظهورها، کمالا یبعد، ولعلّه لذا قصّر الجماعة کفایتها علی حال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الاحتمالات المتطرّقة علی الأفعال أکثر من المتطرّقة علی الأقوال، کما حُقِّق فی محلّه من باب المجمَل والمبیَّن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کان ظاهره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بنفس الکتابة، لا لإحصاء ما یرید الوصیّة بها فیما بعد لیوصی بعد علی طبقها ویُشهِد علیها؛ فإنّ وجوب العمل بها حینئذٍ محلّ إشکال، وإن کان الأحوط،والاستدلال بالخبرَین محلّ مناقشة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الدالّة علی هذه الجهة ضعیفة فلا یمکن الاستدلال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الإرسال وضعف الدلالة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الوصیّة،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ضعف الصدور، وعن عدم عملهم بظاهره من التفصیل بین الولد و بین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یُعتبر الإسلام، بل تصحّ من الکافر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فی هذه المسألة تأمّل ونظر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لو لم یکن الأقوی اعتبار إشراف الولیّ علی وصیّته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ممیّزاً مع کون الوصیّة عقلائیّةً مشروعة، والأحوط الاقتصار فی المعروف علیذوی الأرحام دون الغرباء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وصیّته للغرباء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مخالفته فی المبنی، فلا یُعدّ هو ومن یحذو حذوه مخالفاً فی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قَبِلَ بلزوم الوصیّة أم جوازها، وإن کانت الصحّة فی الفرض الثانی علی خلاف القاعدة فی العقود المتزلزلة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اعتباره إشکال،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الرشد فی صحّة الوصیّة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الصحّة فی وصیّة المکاتب المطلق الّذی حُرِّر بعضه بقدر ما حُرِّر 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بطلانها مع إجازة مولاه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 وصیّته عن موضوع الوصیّة، ضرورة کونها کقول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مالعمرٍو لبکرٍ بعد وفاتی، وعن الفضولیّ الّذی هو الوصیّة عن زیدٍ بعد وفاة زید، لا وفاة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الاستدلال عندی نظر، ولا یبعد الصحّة معالإجازة، وحدیث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وصیّة لمملوکٍ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وکذا دلالته ضعیف، مع عدم ظهوره فی مورد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فی ما ملکه مولاه، کما هو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وإن علّقها علی الحرّیة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أجازها جدیداً،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الحرّیّة معلّقاً علیها للوصیّة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أصل التعلیقة،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یستلزم صحّة الوصیّة من المملوک، نعم،تصحّ هذه الوصیّة بالصحّة الفعلیّة إذا تحقّقت الحرّیّة مع کونه باقیاً علی الإیجاب،وکون المال باقیاً تحت یده؛ لارتفاع المانع عن الصحّة، لا لحصول المعلّق علیه وهوالحرّیّة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بطلانها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صحّتها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الفروع مبنیّة علی انصرافٍ لا یقدّر إلی التصرّفات المالیّة، وفیه نظر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فیه، وفی ما کان من هذا القبیل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أن تکون بإذنه، أو إجازته للوصیّة، أو للعمل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 تُخصَّص عمومات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أوصی ثمّ عُوفِیَ، ولا وجه للإشکال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الصحّة؛ لأنّ تلک الوصیّة لیست وصیّةَ مَن قتل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أخذاً بإطلاقه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إذا نصب قیّماً علیهم تبقی ولایته علیهم ولو بعد موت الحاکم، نعم،لو نصب وکیلاً سقطت وکالته بموت موکّله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بألطافه تعالی وحسن توفیقه قدتمّ ما تیسّر لنا من الحواشی والتعالیق علی عروة سیّدنا الاُستاذ نوّر الله ضریحه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تعلیقة کاشف الغطاء قدّس سرّه بیانٌ، أحببنا إیراده لما فیه من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ولا یزال من المعلوم أنّ هذا المولَّف الجلیل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الّذی هو من مفاخرالفقه الجعفری وآیاته الزاهرة فی العصور المتأخِّرة ـ قد کان السیّد الاُستاذ ـ رضوان الله علیه ـشرع فیه فی السنة الثانیة والعشرین بعد الألف والثلاثمائة، وکان کلّ یومین أو ثلاثٍ ینتهز منوقته المستغرق بأشغال المرجعیّة العظمی فرصةً یحرّر فیها من هذا الکتاب الورقتَین والثلاث بخطّه الدقیق، یدفعها لی ولأخی آیة الله الشیخ أحمد ـ تغمّده الله برضوانه ـ لأجل إصلاحعباراته من حیث العربیّة، ورفع الرکاکة أو التعقید، والنظر فی أدلّة الفروع، ومطابقة الفتوی للدلیل؛ حذراً من أنّ مشغولیّته العظمی أدخلت سهواً علیه فی ذلک أو غفلةً، ولا یعتمد علی غیرنافی هذا الشأن، کسائر مهمّاته الاُخری وشوونه من إرجاع المرافعات إلینا وغیرنا، واستمرّاعتماده مدّة حیاته وبعد وفاته، حیث جعلنا أوصیاءه، ولا تزال وصیّته بخطّه الشریف وخاتمه محفوظة فی خزانة أوراقی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وکنّا نستفرغ الوسع ونسهر اللیالی فی إصلاح العبارات، وجعلهابغایة الوضوح والسلامة بحیث یفهمها حتّی العامّیّ والاُمّیّ، کما ننظر أیضاً فی المدارک والأدلّة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ونتذاکر فی کلّ فرعٍ فرعٍ مع أفاضل ذلک العصر، فی دارنا الکبری الّتی کانت مجمّع الأعلام والأعاظم یومَی الخمیس والجمعة،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الحجّتان المرحوم المیرزا محمد حسین النائینی قبل أن یصیر من المراجع، والشیخ المحقّق وحید عصره الاُستاذ الشیخ حسن الکربلائی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استفراغ الوسع وسدّ الفراغ نعود إلیه ـ رضوان الله علیه ـبما أصلحنا، ونتذاکر معه فی مجلسٍ خاصّ، فربّما رجع إلی رأینا فی الفتوی، وربّما أصرّ واستمرّعلی 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السنة الثامنة والعشرین لمّا توجّهت إلی بغداد لطبع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ـالّذی حُجِز وجَری فیه ما جری ـ طلب منّی ـ تغمّده الله برحمته ـ أن اُشرف علی طبعها، وکنّانطبع الکتابین فی مطبعة دار السّلام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وفقد الوصیّ من قبل أحدهما أو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لقصور ولایته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إلی مرسلة عامّیّة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22/416</w:t>
      </w:r>
      <w:r>
        <w:rPr>
          <w:rFonts w:ascii="IRNazanin" w:hAnsi="IRNazanin" w:eastAsia="IRNazanin"/>
          <w:b w:val="false"/>
          <w:b w:val="false"/>
          <w:bCs w:val="false"/>
          <w:i w:val="false"/>
          <w:i w:val="false"/>
          <w:iCs w:val="false"/>
          <w:color w:val="333333"/>
          <w:sz w:val="20"/>
          <w:sz w:val="20"/>
          <w:szCs w:val="20"/>
          <w:rtl w:val="true"/>
        </w:rPr>
        <w:t>، فتاوی ابن الجنیدللاشتهاردی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خارج عن فرض الوصیّة علی الأطفال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المتیقّن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صحّته فی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وما بعده من الحلّیّة مبنیّان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معتاد الوقوع، لکن بشرط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لوحظت الفائدة المحرّمة کالشرب والأکل فی المثالین، وأمّا إن کان الملحوظالفائدة المحلّلة شرعاً المقصودة العقلائیّة فالظاهر الصحّة، إلّا علی مبنی حرمةالتقلّب فی النجاسات والمحرّمات مطلقاً؛ استناداً إلی ما لیس بجدیرٍ أن یستند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لها منافع محلّلة وأوصی بها بلحاظ تلک المنافع فالأظهر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المهارشة بالکلاب، وهو تحریش بعضها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وکلب هِراشٍ وخِراش،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یتهارشون تهارش الکلاب، أی یتقاتلون ویتواثبون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هرش</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خصوصیّة لهذه الفائدة فقط، فالخمر المتّخذة لغیره من الفوائد المحلّلة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ببطلان الوصیّة بالخمر والخنزیر ولو من الکافر للکافر لعلّه لا یتوقّف علی تکلیفهم بالفروع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الإلزام مخدوشة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منها مع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النظر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الوصیّة بمال الغیر قابلةً لاِن تُفسخ بالإجازة فالظاهر عدم الفرق بین الصورتَین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وحیث إنّ عبارته فی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تتوفر نسخته لدینا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وفی غیره من المسائل مطابقة لعبارات الفقهالرضوی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احتمل بعض أنّ الرضویّ هو بعینه الرسالة له، کما هو أحد الأقوال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حقّقنا فی محلّه عدم استقامة هذا القول، ولکلام ابن بابویه هنا محامل،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حملها علی ما سیأتی فی المسألة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حصّة البعض المجیز، وکذا تنفذ فی حصّة الجمیع لو أجاز الکلّ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بالمجموع من حیث المجموع،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البطلان فی تمام ما أوصی به مع قصده من الأصل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ضعفه، وکذا حکمه فی الفرع اللاحِق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علی وجه التقیید، وإلّا صحّ وبطل ما بعده إذا لم یوصِ بالثلث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الصحّة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صحّتها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نفوذها فی هذه الصورة، ولا أثر لقصده أن یکون من الأصل أو من ثلثی الورثة، بل یقع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المعتبر فی نفوذ الوصیّة من غیر توقّفٍ علیالاجازة أن لا یکون أزید من الثلث، ففی کلِّ موردٍ کان الموصی به أقلّ من الثلث أومساویاً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أضفناه لاقتضاء السیاق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نافذاً کان قصده من أیّ قسمٍ من أمواله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فی غایة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ذلک بنحو التشریع فی التطبیق، وإلّا فهو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صحّة الوصیّة علی کونها غیر زائدةٍ عن الثلث، ولا دخل لقصد کونهامن الثلث أو من غیره فی الصحّة والفساد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من مصادیق اللغو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المالیّ، ویلحق به الحجّ، وأمّا فی غیره ففیه إشکال تقدّم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یقال فی منشأ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الترکة هل تنتقل إلی الوارث إذا کان المیّت مدیوناً وتکون متعلّقةً لحقّ الدُیّان، أو لا تنتقل إلّا مازاد عن الدَین؟ فإن قلنا بالأوّل فالأصل عدم تعلّق حقّ الغیر بها، فیجوز للوارث التصرّف فی الترکة، ولا حاجة إلی إثبات أنّ مورد الوصیّة غیر الواجبات المالیّة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 بالثانی فلا یجوز للوارث التصرّف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یحتمل التفصیل بین ما کانت الوصیّة بالکلّ تضییعاً لحقّ الوارث، کما لوکان وارثه مجنوناً، فیُحمل علی الصحّة، وبین غیره ممّا یحتمل أنّه أوصی طمعاً فی إجازة الوارث فلا،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الروایات الّتی تمسّک بها والد شیخنا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إثبات النفوذ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الأظهریّة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الکوه‌کَمَری</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التمسّک بالعامّ فی الشبهة المصداقیّة، ولیس هنا أصل موضوعیّ منقّح لمصداق المخصّص غیر مثبت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أربعة، الثالث منها التفصیل بین غنی الوارث فلا یؤثّر الردّ، وبین عدمها فیؤثّر،والرابع التفصیل بین استدعاء الموصی، فعدم الصحّة وعدمه فالصحّة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 علی إجازته إلی أن مات الموصی، بل لیس له الردّ حینئذٍ علی الأقوی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بلغة الفقیه 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العمدة، وإلّا فالمویّدات موهونة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 تأیید من حیث کونه ذا حقّ، ولا فی الأخبار واستفادته، ولکنّ أصل القول بالنفوذ تعبّداً للأخبار منصور، کما هو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الأدلّة أن یفصِّل بین کون الإجازة حال الحیاة، أو بعد وفاة الموصی،فعلی الأوّل ینتقل المال إلی الموصی له رأساً، وفی الثانی ینتقل أوّلاً إلی الوارث، ثمّإلی 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 .</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وجهاً ضعیفاً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نفیه الّذی مآلُه إلی نفی وقوع الإجازة علی الزائد، والأقرب إحلافهم علی نفی إجازة الوصیّة علی الزائد فی تمام هذه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یحلفون علی عدم إجازتهم الوصیّة بالزائد علی الثلث کائناً ما کان، ولا زائداًعلی مقدار سُدُس ألف درهم، ویحتمل إحلافهم علی أنّ إجازتهم کانت مبنیّةً علیزعم کذا بناءً علی کونهم مدّعین، لکن لِما لا یعلم إلّا من قبلهم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الأصلان غیر أصیلَین وإن کان المدّعی حقّاً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الأصل لا یُجدی فی نفی وقوع الإجازة علی الزائد إلّا علی تمحّلٍ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یُعطی ثلث ألف دینار، والتفاوت بین ثلث ألف درهم ونصفه، أعنی التفاوت بین ثلاثمائةٍ وثلاثةٍ وثلاثین درهماً وثلث درهم، وبین خمسمائة درهم،وهو مائة وسبع وستّون درهماً إلّا ثُلُث درهم؛ وذلک لأنّ الوصیّة فی ثلث أصل المال نافذة لا تحتاج إلی الإجازة، وقد اعترف الورثة بإجازتهم ما به التفاوت بین الثلث والنصف وهو السدس، غایة الأمر مُدّعون أنّه هذا المقدار وینفون الزائد، فإذا حلفوا علی نفی الزائد یُلزَمون بهذا المقدار زائداً علی ثلث أصل المال الّذی نفذت فیه الوصیّة علی کلّ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الأصل یفید لدعوی عدم العلم، وأمّا لنفی الإجازة فغیر 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رضاالگلپایگانی</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الأصل غیر مفید؛ إذ یکفی فی إجازة النصف کائناً ما کان احتمال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 الصورتَین، کما أنّ الظاهر سماع الدعوی فی المسألتَین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 الفرق بین الصورتَین، کما أنّ الظاهر سماع الدعوی فی المسألتَین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فرق بین الصورتَین فی ظهور لفظ ما أجازه فی مجموع الزائد علی الثلث أی مقدار کان، وأیضاً فی إمکان ظنّهم بأنّه قلیل، فإمّا ان لا یُسمَع فی کلیهما،أو یسمع فیهما، ولا وجه للفرق بینهما، والظاهر هو السماع فی کلیهما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هو الأوّل؛ لأنّ دعواهم فی الفرض الثانی ترجع إلی علّة إجازتهم الوصیّة بالعبد بعد الاعتراف بها، وهذه لا أثر لها وإن کانت محقّقة أیضاً، بخلافها فی الأوّل فإنّها راجعة إلی متعلّق الإجازة، فإنّ النصف قابل للکثرة والقلّة، فإذا کانت إجازته مبنیّة علی زعم کونه کذا وکان فی الواقع أزید منه لم تتعلّق الإجازة بالزیادة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هو السماع، حتّی مع عدم العلم بصدق دعواهم فضلاً عن صورةالعلم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قُیِّدت عند إنشائها بذلک، فتنتفی حینئذٍ بانتفاء قیدها، ولو لم تقیّد کذلک کان علی تقدیر صدقهم فی الدعوی المذکورة من تخلّف الداعی ـ ولا أثر له ـ فلاتُسمَع دعواه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باب تخلّف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أصل دعواهم التقیید، فإذا علم بصدقهم لا وجه لعدم السماع، وبیان الحکم بعدم السماع مع العلم والاستثناء رکیک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تکن کذلک یکون من قبیل تخلّف الداعی، ولا أثر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لرضاهم بما ظنّوه، والتقیید من حیث عنوان النصف مثلاً راجع إلی عدم الرضا بالزیادة علی ما ظنّوه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أخذاً بإطلاق الأدلّة فی المقام، واستظهاراً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نقص الثلث حال قبض الوارث عن زمان الموت بتقصیرٍ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المستظهر من کلام الموصی الربع أو الثلث فی حال الموت أوالوصیّة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الوجه غیر متّجهٍ بعد تسلّم الانصراف إلی کون المعیار حال الوفاة، کما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اللفظ وجه إلیها صحّ أیضاً ما ذکر، والفرق بین القلّة والکثرة وجهه عرفاً فی الثانی، والانصراف عنه وعدم الوجه إلیه فی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المعیار حال الوفاة، کما هو الحقّ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إرجاعاً للوصیّة بالعین المعلومة مثلاً إلی الوصیّة بالحصّة المشاعة من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المنصور بالنظر الدقیق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تمامیّة دخول الصید فی ملک المیّت بنصب الشبکة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لاستناد هذا المال إلی الموصی، فیصدق علیه المتروک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 بالتصالح بین الورثة والموصی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للنصوص الخاصّة، وإلّا الاحتساب والإخراج ممنوعان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أغمض عن المناقشة بعدم ورودها فی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الملتفت إلیه فی 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ذلک من خبر أبی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القصاص،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کان المقتول هو الّذی ملک نفس قاتله عِوَضاً عن نفسه،وکانت الولایة علی مالکه عفواً أو استیفاءً أو إبدالاً بالمال لولیّه، فلو صالح القاتل بالدیة تدخل هی کالصید الواقع فی الشبکة الّتی نصبها المقتول فی ملکه، لا فیملک الولیّ، ویکون سبیلها سبیل سائر أمواله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665</Pages>
  <Words>36672</Words>
  <Characters>166285</Characters>
  <CharactersWithSpaces>203268</CharactersWithSpaces>
  <Paragraphs>4338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2026-08-24T06:11:06Z</dcterms:created>
  <dc:creator>ghaemiyeh.com</dc:creator>
  <dc:description/>
  <dc:language>en-US</dc:language>
  <cp:lastModifiedBy/>
  <dcterms:modified xsi:type="dcterms:W3CDTF">2026-08-24T09:41:34Z</dcterms:modified>
  <cp:revision>1</cp:revision>
  <dc:subject/>
  <dc:title>العروة الوثقی والتعلیقات علیها جلد 15</dc:title>
</cp:coreProperties>
</file>

<file path=docProps/custom.xml><?xml version="1.0" encoding="utf-8"?>
<Properties xmlns="http://schemas.openxmlformats.org/officeDocument/2006/custom-properties" xmlns:vt="http://schemas.openxmlformats.org/officeDocument/2006/docPropsVTypes"/>
</file>