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0567_232238742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840569_232238742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840571_2322387425">
            <w:r>
              <w:rPr>
                <w:webHidden/>
                <w:rStyle w:val="IndexLink"/>
                <w:rtl w:val="true"/>
              </w:rPr>
              <w:t>أصحاب التعلیقات لهذا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1840573_2322387425">
            <w:r>
              <w:rPr>
                <w:webHidden/>
                <w:rStyle w:val="IndexLink"/>
                <w:rtl w:val="true"/>
              </w:rPr>
              <w:t>فصل فی واجبات الصلاة وأرکانها</w:t>
            </w:r>
            <w:r>
              <w:rPr>
                <w:rStyle w:val="IndexLink"/>
                <w:rtl w:val="true"/>
              </w:rPr>
              <w:tab/>
            </w:r>
            <w:r>
              <w:rPr>
                <w:rStyle w:val="IndexLink"/>
              </w:rPr>
              <w:t>22</w:t>
            </w:r>
          </w:hyperlink>
        </w:p>
        <w:p>
          <w:pPr>
            <w:pStyle w:val="Contents3"/>
            <w:tabs>
              <w:tab w:val="clear" w:pos="8459"/>
              <w:tab w:val="right" w:pos="9026" w:leader="dot"/>
            </w:tabs>
            <w:rPr/>
          </w:pPr>
          <w:hyperlink w:anchor="__RefHeading___Toc1840575_2322387425">
            <w:r>
              <w:rPr>
                <w:webHidden/>
                <w:rStyle w:val="IndexLink"/>
                <w:rtl w:val="true"/>
              </w:rPr>
              <w:t>الصلوات الواجبة</w:t>
            </w:r>
            <w:r>
              <w:rPr>
                <w:rStyle w:val="IndexLink"/>
                <w:rtl w:val="true"/>
              </w:rPr>
              <w:tab/>
            </w:r>
            <w:r>
              <w:rPr>
                <w:rStyle w:val="IndexLink"/>
              </w:rPr>
              <w:t>22</w:t>
            </w:r>
          </w:hyperlink>
        </w:p>
        <w:p>
          <w:pPr>
            <w:pStyle w:val="Contents3"/>
            <w:tabs>
              <w:tab w:val="clear" w:pos="8459"/>
              <w:tab w:val="right" w:pos="9026" w:leader="dot"/>
            </w:tabs>
            <w:rPr/>
          </w:pPr>
          <w:hyperlink w:anchor="__RefHeading___Toc1840577_2322387425">
            <w:r>
              <w:rPr>
                <w:webHidden/>
                <w:rStyle w:val="IndexLink"/>
                <w:rtl w:val="true"/>
              </w:rPr>
              <w:t>تعداد واجبات الصلاة و بیان الأرکان منها</w:t>
            </w:r>
            <w:r>
              <w:rPr>
                <w:rStyle w:val="IndexLink"/>
                <w:rtl w:val="true"/>
              </w:rPr>
              <w:tab/>
            </w:r>
            <w:r>
              <w:rPr>
                <w:rStyle w:val="IndexLink"/>
              </w:rPr>
              <w:t>22</w:t>
            </w:r>
          </w:hyperlink>
        </w:p>
        <w:p>
          <w:pPr>
            <w:pStyle w:val="Contents2"/>
            <w:tabs>
              <w:tab w:val="clear" w:pos="8743"/>
              <w:tab w:val="right" w:pos="9026" w:leader="dot"/>
            </w:tabs>
            <w:rPr/>
          </w:pPr>
          <w:hyperlink w:anchor="__RefHeading___Toc1840579_2322387425">
            <w:r>
              <w:rPr>
                <w:webHidden/>
                <w:rStyle w:val="IndexLink"/>
                <w:rtl w:val="true"/>
              </w:rPr>
              <w:t>فصل فی النیّة</w:t>
            </w:r>
            <w:r>
              <w:rPr>
                <w:rStyle w:val="IndexLink"/>
                <w:rtl w:val="true"/>
              </w:rPr>
              <w:tab/>
            </w:r>
            <w:r>
              <w:rPr>
                <w:rStyle w:val="IndexLink"/>
              </w:rPr>
              <w:t>24</w:t>
            </w:r>
          </w:hyperlink>
        </w:p>
        <w:p>
          <w:pPr>
            <w:pStyle w:val="Contents3"/>
            <w:tabs>
              <w:tab w:val="clear" w:pos="8459"/>
              <w:tab w:val="right" w:pos="9026" w:leader="dot"/>
            </w:tabs>
            <w:rPr/>
          </w:pPr>
          <w:hyperlink w:anchor="__RefHeading___Toc1840581_2322387425">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840583_2322387425">
            <w:r>
              <w:rPr>
                <w:webHidden/>
                <w:rStyle w:val="IndexLink"/>
                <w:rtl w:val="true"/>
              </w:rPr>
              <w:t>کفایة الداعی دون الزائد علیه</w:t>
            </w:r>
            <w:r>
              <w:rPr>
                <w:rStyle w:val="IndexLink"/>
                <w:rtl w:val="true"/>
              </w:rPr>
              <w:tab/>
            </w:r>
            <w:r>
              <w:rPr>
                <w:rStyle w:val="IndexLink"/>
              </w:rPr>
              <w:t>24</w:t>
            </w:r>
          </w:hyperlink>
        </w:p>
        <w:p>
          <w:pPr>
            <w:pStyle w:val="Contents3"/>
            <w:tabs>
              <w:tab w:val="clear" w:pos="8459"/>
              <w:tab w:val="right" w:pos="9026" w:leader="dot"/>
            </w:tabs>
            <w:rPr/>
          </w:pPr>
          <w:hyperlink w:anchor="__RefHeading___Toc1840585_2322387425">
            <w:r>
              <w:rPr>
                <w:webHidden/>
                <w:rStyle w:val="IndexLink"/>
                <w:rtl w:val="true"/>
              </w:rPr>
              <w:t>درجات غایات الامتثال</w:t>
            </w:r>
            <w:r>
              <w:rPr>
                <w:rStyle w:val="IndexLink"/>
                <w:rtl w:val="true"/>
              </w:rPr>
              <w:tab/>
            </w:r>
            <w:r>
              <w:rPr>
                <w:rStyle w:val="IndexLink"/>
              </w:rPr>
              <w:t>25</w:t>
            </w:r>
          </w:hyperlink>
        </w:p>
        <w:p>
          <w:pPr>
            <w:pStyle w:val="Contents3"/>
            <w:tabs>
              <w:tab w:val="clear" w:pos="8459"/>
              <w:tab w:val="right" w:pos="9026" w:leader="dot"/>
            </w:tabs>
            <w:rPr/>
          </w:pPr>
          <w:hyperlink w:anchor="__RefHeading___Toc1840587_2322387425">
            <w:r>
              <w:rPr>
                <w:webHidden/>
                <w:rStyle w:val="IndexLink"/>
                <w:rtl w:val="true"/>
              </w:rPr>
              <w:t>وجوب تعیین العمل لو کان ما علیه فعلاً متعدداً</w:t>
            </w:r>
            <w:r>
              <w:rPr>
                <w:rStyle w:val="IndexLink"/>
                <w:rtl w:val="true"/>
              </w:rPr>
              <w:tab/>
            </w:r>
            <w:r>
              <w:rPr>
                <w:rStyle w:val="IndexLink"/>
              </w:rPr>
              <w:t>30</w:t>
            </w:r>
          </w:hyperlink>
        </w:p>
        <w:p>
          <w:pPr>
            <w:pStyle w:val="Contents3"/>
            <w:tabs>
              <w:tab w:val="clear" w:pos="8459"/>
              <w:tab w:val="right" w:pos="9026" w:leader="dot"/>
            </w:tabs>
            <w:rPr/>
          </w:pPr>
          <w:hyperlink w:anchor="__RefHeading___Toc1840589_2322387425">
            <w:r>
              <w:rPr>
                <w:webHidden/>
                <w:rStyle w:val="IndexLink"/>
                <w:rtl w:val="true"/>
              </w:rPr>
              <w:t>عدم وجوب قصد الأداء و القضاء إلا مع توقف التعیین علی أحدهما</w:t>
            </w:r>
            <w:r>
              <w:rPr>
                <w:rStyle w:val="IndexLink"/>
                <w:rtl w:val="true"/>
              </w:rPr>
              <w:tab/>
            </w:r>
            <w:r>
              <w:rPr>
                <w:rStyle w:val="IndexLink"/>
              </w:rPr>
              <w:t>34</w:t>
            </w:r>
          </w:hyperlink>
        </w:p>
        <w:p>
          <w:pPr>
            <w:pStyle w:val="Contents3"/>
            <w:tabs>
              <w:tab w:val="clear" w:pos="8459"/>
              <w:tab w:val="right" w:pos="9026" w:leader="dot"/>
            </w:tabs>
            <w:rPr/>
          </w:pPr>
          <w:hyperlink w:anchor="__RefHeading___Toc1840591_2322387425">
            <w:r>
              <w:rPr>
                <w:webHidden/>
                <w:rStyle w:val="IndexLink"/>
                <w:rtl w:val="true"/>
              </w:rPr>
              <w:t>جواز العدول فی أماکن التخییر بین القصر و التمام</w:t>
            </w:r>
            <w:r>
              <w:rPr>
                <w:rStyle w:val="IndexLink"/>
                <w:rtl w:val="true"/>
              </w:rPr>
              <w:tab/>
            </w:r>
            <w:r>
              <w:rPr>
                <w:rStyle w:val="IndexLink"/>
              </w:rPr>
              <w:t>38</w:t>
            </w:r>
          </w:hyperlink>
        </w:p>
        <w:p>
          <w:pPr>
            <w:pStyle w:val="Contents3"/>
            <w:tabs>
              <w:tab w:val="clear" w:pos="8459"/>
              <w:tab w:val="right" w:pos="9026" w:leader="dot"/>
            </w:tabs>
            <w:rPr/>
          </w:pPr>
          <w:hyperlink w:anchor="__RefHeading___Toc1840593_2322387425">
            <w:r>
              <w:rPr>
                <w:webHidden/>
                <w:rStyle w:val="IndexLink"/>
                <w:rtl w:val="true"/>
              </w:rPr>
              <w:t>کفایة القصد الإجمالی للشروع فی الصلاة</w:t>
            </w:r>
            <w:r>
              <w:rPr>
                <w:rStyle w:val="IndexLink"/>
                <w:rtl w:val="true"/>
              </w:rPr>
              <w:tab/>
            </w:r>
            <w:r>
              <w:rPr>
                <w:rStyle w:val="IndexLink"/>
              </w:rPr>
              <w:t>41</w:t>
            </w:r>
          </w:hyperlink>
        </w:p>
        <w:p>
          <w:pPr>
            <w:pStyle w:val="Contents3"/>
            <w:tabs>
              <w:tab w:val="clear" w:pos="8459"/>
              <w:tab w:val="right" w:pos="9026" w:leader="dot"/>
            </w:tabs>
            <w:rPr/>
          </w:pPr>
          <w:hyperlink w:anchor="__RefHeading___Toc1840595_2322387425">
            <w:r>
              <w:rPr>
                <w:webHidden/>
                <w:rStyle w:val="IndexLink"/>
                <w:rtl w:val="true"/>
              </w:rPr>
              <w:t>عدم منافاة نیة الوجوب اشتمال الصلاة علی المندوب</w:t>
            </w:r>
            <w:r>
              <w:rPr>
                <w:rStyle w:val="IndexLink"/>
                <w:rtl w:val="true"/>
              </w:rPr>
              <w:tab/>
            </w:r>
            <w:r>
              <w:rPr>
                <w:rStyle w:val="IndexLink"/>
              </w:rPr>
              <w:t>42</w:t>
            </w:r>
          </w:hyperlink>
        </w:p>
        <w:p>
          <w:pPr>
            <w:pStyle w:val="Contents3"/>
            <w:tabs>
              <w:tab w:val="clear" w:pos="8459"/>
              <w:tab w:val="right" w:pos="9026" w:leader="dot"/>
            </w:tabs>
            <w:rPr/>
          </w:pPr>
          <w:hyperlink w:anchor="__RefHeading___Toc1840597_2322387425">
            <w:r>
              <w:rPr>
                <w:webHidden/>
                <w:rStyle w:val="IndexLink"/>
                <w:rtl w:val="true"/>
              </w:rPr>
              <w:t>مرجوحیة التلفظ بالنیة</w:t>
            </w:r>
            <w:r>
              <w:rPr>
                <w:rStyle w:val="IndexLink"/>
                <w:rtl w:val="true"/>
              </w:rPr>
              <w:tab/>
            </w:r>
            <w:r>
              <w:rPr>
                <w:rStyle w:val="IndexLink"/>
              </w:rPr>
              <w:t>43</w:t>
            </w:r>
          </w:hyperlink>
        </w:p>
        <w:p>
          <w:pPr>
            <w:pStyle w:val="Contents3"/>
            <w:tabs>
              <w:tab w:val="clear" w:pos="8459"/>
              <w:tab w:val="right" w:pos="9026" w:leader="dot"/>
            </w:tabs>
            <w:rPr/>
          </w:pPr>
          <w:hyperlink w:anchor="__RefHeading___Toc1840599_2322387425">
            <w:r>
              <w:rPr>
                <w:webHidden/>
                <w:rStyle w:val="IndexLink"/>
                <w:rtl w:val="true"/>
              </w:rPr>
              <w:t>من لا یعرف الصلاة علیه الأخذ بالتلقین</w:t>
            </w:r>
            <w:r>
              <w:rPr>
                <w:rStyle w:val="IndexLink"/>
                <w:rtl w:val="true"/>
              </w:rPr>
              <w:tab/>
            </w:r>
            <w:r>
              <w:rPr>
                <w:rStyle w:val="IndexLink"/>
              </w:rPr>
              <w:t>45</w:t>
            </w:r>
          </w:hyperlink>
        </w:p>
        <w:p>
          <w:pPr>
            <w:pStyle w:val="Contents3"/>
            <w:tabs>
              <w:tab w:val="clear" w:pos="8459"/>
              <w:tab w:val="right" w:pos="9026" w:leader="dot"/>
            </w:tabs>
            <w:rPr/>
          </w:pPr>
          <w:hyperlink w:anchor="__RefHeading___Toc1840601_2322387425">
            <w:r>
              <w:rPr>
                <w:webHidden/>
                <w:rStyle w:val="IndexLink"/>
                <w:rtl w:val="true"/>
              </w:rPr>
              <w:t>شرطیة الخلوص من الریاء فی النیة</w:t>
            </w:r>
            <w:r>
              <w:rPr>
                <w:rStyle w:val="IndexLink"/>
                <w:rtl w:val="true"/>
              </w:rPr>
              <w:tab/>
            </w:r>
            <w:r>
              <w:rPr>
                <w:rStyle w:val="IndexLink"/>
              </w:rPr>
              <w:t>45</w:t>
            </w:r>
          </w:hyperlink>
        </w:p>
        <w:p>
          <w:pPr>
            <w:pStyle w:val="Contents3"/>
            <w:tabs>
              <w:tab w:val="clear" w:pos="8459"/>
              <w:tab w:val="right" w:pos="9026" w:leader="dot"/>
            </w:tabs>
            <w:rPr/>
          </w:pPr>
          <w:hyperlink w:anchor="__RefHeading___Toc1840603_2322387425">
            <w:r>
              <w:rPr>
                <w:webHidden/>
                <w:rStyle w:val="IndexLink"/>
                <w:rtl w:val="true"/>
              </w:rPr>
              <w:t>وجوه تحقق الریاء</w:t>
            </w:r>
            <w:r>
              <w:rPr>
                <w:rStyle w:val="IndexLink"/>
                <w:rtl w:val="true"/>
              </w:rPr>
              <w:tab/>
            </w:r>
            <w:r>
              <w:rPr>
                <w:rStyle w:val="IndexLink"/>
              </w:rPr>
              <w:t>45</w:t>
            </w:r>
          </w:hyperlink>
        </w:p>
        <w:p>
          <w:pPr>
            <w:pStyle w:val="Contents3"/>
            <w:tabs>
              <w:tab w:val="clear" w:pos="8459"/>
              <w:tab w:val="right" w:pos="9026" w:leader="dot"/>
            </w:tabs>
            <w:rPr/>
          </w:pPr>
          <w:hyperlink w:anchor="__RefHeading___Toc1840605_2322387425">
            <w:r>
              <w:rPr>
                <w:webHidden/>
                <w:rStyle w:val="IndexLink"/>
                <w:rtl w:val="true"/>
              </w:rPr>
              <w:t>الأول</w:t>
            </w:r>
            <w:r>
              <w:rPr>
                <w:rStyle w:val="IndexLink"/>
                <w:rtl w:val="true"/>
              </w:rPr>
              <w:t xml:space="preserve">: </w:t>
            </w:r>
            <w:r>
              <w:rPr>
                <w:rStyle w:val="IndexLink"/>
                <w:rtl w:val="true"/>
              </w:rPr>
              <w:t>قصد الریاء محضاً</w:t>
            </w:r>
            <w:r>
              <w:rPr>
                <w:rStyle w:val="IndexLink"/>
                <w:rtl w:val="true"/>
              </w:rPr>
              <w:tab/>
            </w:r>
            <w:r>
              <w:rPr>
                <w:rStyle w:val="IndexLink"/>
              </w:rPr>
              <w:t>45</w:t>
            </w:r>
          </w:hyperlink>
        </w:p>
        <w:p>
          <w:pPr>
            <w:pStyle w:val="Contents3"/>
            <w:tabs>
              <w:tab w:val="clear" w:pos="8459"/>
              <w:tab w:val="right" w:pos="9026" w:leader="dot"/>
            </w:tabs>
            <w:rPr/>
          </w:pPr>
          <w:hyperlink w:anchor="__RefHeading___Toc1840607_2322387425">
            <w:r>
              <w:rPr>
                <w:webHidden/>
                <w:rStyle w:val="IndexLink"/>
                <w:rtl w:val="true"/>
              </w:rPr>
              <w:t>الثانی</w:t>
            </w:r>
            <w:r>
              <w:rPr>
                <w:rStyle w:val="IndexLink"/>
                <w:rtl w:val="true"/>
              </w:rPr>
              <w:t xml:space="preserve">: </w:t>
            </w:r>
            <w:r>
              <w:rPr>
                <w:rStyle w:val="IndexLink"/>
                <w:rtl w:val="true"/>
              </w:rPr>
              <w:t>ضم الریاء إلی القربة</w:t>
            </w:r>
            <w:r>
              <w:rPr>
                <w:rStyle w:val="IndexLink"/>
                <w:rtl w:val="true"/>
              </w:rPr>
              <w:tab/>
            </w:r>
            <w:r>
              <w:rPr>
                <w:rStyle w:val="IndexLink"/>
              </w:rPr>
              <w:t>46</w:t>
            </w:r>
          </w:hyperlink>
        </w:p>
        <w:p>
          <w:pPr>
            <w:pStyle w:val="Contents3"/>
            <w:tabs>
              <w:tab w:val="clear" w:pos="8459"/>
              <w:tab w:val="right" w:pos="9026" w:leader="dot"/>
            </w:tabs>
            <w:rPr/>
          </w:pPr>
          <w:hyperlink w:anchor="__RefHeading___Toc1840609_2322387425">
            <w:r>
              <w:rPr>
                <w:webHidden/>
                <w:rStyle w:val="IndexLink"/>
                <w:rtl w:val="true"/>
              </w:rPr>
              <w:t>الثالث</w:t>
            </w:r>
            <w:r>
              <w:rPr>
                <w:rStyle w:val="IndexLink"/>
                <w:rtl w:val="true"/>
              </w:rPr>
              <w:t xml:space="preserve">: </w:t>
            </w:r>
            <w:r>
              <w:rPr>
                <w:rStyle w:val="IndexLink"/>
                <w:rtl w:val="true"/>
              </w:rPr>
              <w:t>الریاء فی الأجزاء الواجبة</w:t>
            </w:r>
            <w:r>
              <w:rPr>
                <w:rStyle w:val="IndexLink"/>
                <w:rtl w:val="true"/>
              </w:rPr>
              <w:tab/>
            </w:r>
            <w:r>
              <w:rPr>
                <w:rStyle w:val="IndexLink"/>
              </w:rPr>
              <w:t>46</w:t>
            </w:r>
          </w:hyperlink>
        </w:p>
        <w:p>
          <w:pPr>
            <w:pStyle w:val="Contents3"/>
            <w:tabs>
              <w:tab w:val="clear" w:pos="8459"/>
              <w:tab w:val="right" w:pos="9026" w:leader="dot"/>
            </w:tabs>
            <w:rPr/>
          </w:pPr>
          <w:hyperlink w:anchor="__RefHeading___Toc1840611_2322387425">
            <w:r>
              <w:rPr>
                <w:webHidden/>
                <w:rStyle w:val="IndexLink"/>
                <w:rtl w:val="true"/>
              </w:rPr>
              <w:t>الرابع</w:t>
            </w:r>
            <w:r>
              <w:rPr>
                <w:rStyle w:val="IndexLink"/>
                <w:rtl w:val="true"/>
              </w:rPr>
              <w:t xml:space="preserve">: </w:t>
            </w:r>
            <w:r>
              <w:rPr>
                <w:rStyle w:val="IndexLink"/>
                <w:rtl w:val="true"/>
              </w:rPr>
              <w:t>الریاء فی الأجزاء المستحبة</w:t>
            </w:r>
            <w:r>
              <w:rPr>
                <w:rStyle w:val="IndexLink"/>
                <w:rtl w:val="true"/>
              </w:rPr>
              <w:tab/>
            </w:r>
            <w:r>
              <w:rPr>
                <w:rStyle w:val="IndexLink"/>
              </w:rPr>
              <w:t>47</w:t>
            </w:r>
          </w:hyperlink>
        </w:p>
        <w:p>
          <w:pPr>
            <w:pStyle w:val="Contents3"/>
            <w:tabs>
              <w:tab w:val="clear" w:pos="8459"/>
              <w:tab w:val="right" w:pos="9026" w:leader="dot"/>
            </w:tabs>
            <w:rPr/>
          </w:pPr>
          <w:hyperlink w:anchor="__RefHeading___Toc1840613_2322387425">
            <w:r>
              <w:rPr>
                <w:webHidden/>
                <w:rStyle w:val="IndexLink"/>
                <w:rtl w:val="true"/>
              </w:rPr>
              <w:t>الخامس</w:t>
            </w:r>
            <w:r>
              <w:rPr>
                <w:rStyle w:val="IndexLink"/>
                <w:rtl w:val="true"/>
              </w:rPr>
              <w:t xml:space="preserve">: </w:t>
            </w:r>
            <w:r>
              <w:rPr>
                <w:rStyle w:val="IndexLink"/>
                <w:rtl w:val="true"/>
              </w:rPr>
              <w:t>الریاء من حیث المکان</w:t>
            </w:r>
            <w:r>
              <w:rPr>
                <w:rStyle w:val="IndexLink"/>
                <w:rtl w:val="true"/>
              </w:rPr>
              <w:tab/>
            </w:r>
            <w:r>
              <w:rPr>
                <w:rStyle w:val="IndexLink"/>
              </w:rPr>
              <w:t>49</w:t>
            </w:r>
          </w:hyperlink>
        </w:p>
        <w:p>
          <w:pPr>
            <w:pStyle w:val="Contents3"/>
            <w:tabs>
              <w:tab w:val="clear" w:pos="8459"/>
              <w:tab w:val="right" w:pos="9026" w:leader="dot"/>
            </w:tabs>
            <w:rPr/>
          </w:pPr>
          <w:hyperlink w:anchor="__RefHeading___Toc1840615_2322387425">
            <w:r>
              <w:rPr>
                <w:webHidden/>
                <w:rStyle w:val="IndexLink"/>
                <w:rtl w:val="true"/>
              </w:rPr>
              <w:t>السادس</w:t>
            </w:r>
            <w:r>
              <w:rPr>
                <w:rStyle w:val="IndexLink"/>
                <w:rtl w:val="true"/>
              </w:rPr>
              <w:t xml:space="preserve">: </w:t>
            </w:r>
            <w:r>
              <w:rPr>
                <w:rStyle w:val="IndexLink"/>
                <w:rtl w:val="true"/>
              </w:rPr>
              <w:t>الریاء من حیث الزمان</w:t>
            </w:r>
            <w:r>
              <w:rPr>
                <w:rStyle w:val="IndexLink"/>
                <w:rtl w:val="true"/>
              </w:rPr>
              <w:tab/>
            </w:r>
            <w:r>
              <w:rPr>
                <w:rStyle w:val="IndexLink"/>
              </w:rPr>
              <w:t>50</w:t>
            </w:r>
          </w:hyperlink>
        </w:p>
        <w:p>
          <w:pPr>
            <w:pStyle w:val="Contents3"/>
            <w:tabs>
              <w:tab w:val="clear" w:pos="8459"/>
              <w:tab w:val="right" w:pos="9026" w:leader="dot"/>
            </w:tabs>
            <w:rPr/>
          </w:pPr>
          <w:hyperlink w:anchor="__RefHeading___Toc1840617_2322387425">
            <w:r>
              <w:rPr>
                <w:webHidden/>
                <w:rStyle w:val="IndexLink"/>
                <w:rtl w:val="true"/>
              </w:rPr>
              <w:t>السابع</w:t>
            </w:r>
            <w:r>
              <w:rPr>
                <w:rStyle w:val="IndexLink"/>
                <w:rtl w:val="true"/>
              </w:rPr>
              <w:t xml:space="preserve">: </w:t>
            </w:r>
            <w:r>
              <w:rPr>
                <w:rStyle w:val="IndexLink"/>
                <w:rtl w:val="true"/>
              </w:rPr>
              <w:t>الریاء فی أوصاف العمل</w:t>
            </w:r>
            <w:r>
              <w:rPr>
                <w:rStyle w:val="IndexLink"/>
                <w:rtl w:val="true"/>
              </w:rPr>
              <w:tab/>
            </w:r>
            <w:r>
              <w:rPr>
                <w:rStyle w:val="IndexLink"/>
              </w:rPr>
              <w:t>50</w:t>
            </w:r>
          </w:hyperlink>
        </w:p>
        <w:p>
          <w:pPr>
            <w:pStyle w:val="Contents3"/>
            <w:tabs>
              <w:tab w:val="clear" w:pos="8459"/>
              <w:tab w:val="right" w:pos="9026" w:leader="dot"/>
            </w:tabs>
            <w:rPr/>
          </w:pPr>
          <w:hyperlink w:anchor="__RefHeading___Toc1840619_2322387425">
            <w:r>
              <w:rPr>
                <w:webHidden/>
                <w:rStyle w:val="IndexLink"/>
                <w:rtl w:val="true"/>
              </w:rPr>
              <w:t>الثامن</w:t>
            </w:r>
            <w:r>
              <w:rPr>
                <w:rStyle w:val="IndexLink"/>
                <w:rtl w:val="true"/>
              </w:rPr>
              <w:t xml:space="preserve">: </w:t>
            </w:r>
            <w:r>
              <w:rPr>
                <w:rStyle w:val="IndexLink"/>
                <w:rtl w:val="true"/>
              </w:rPr>
              <w:t>الریاء فی مقدمات العمل</w:t>
            </w:r>
            <w:r>
              <w:rPr>
                <w:rStyle w:val="IndexLink"/>
                <w:rtl w:val="true"/>
              </w:rPr>
              <w:tab/>
            </w:r>
            <w:r>
              <w:rPr>
                <w:rStyle w:val="IndexLink"/>
              </w:rPr>
              <w:t>50</w:t>
            </w:r>
          </w:hyperlink>
        </w:p>
        <w:p>
          <w:pPr>
            <w:pStyle w:val="Contents3"/>
            <w:tabs>
              <w:tab w:val="clear" w:pos="8459"/>
              <w:tab w:val="right" w:pos="9026" w:leader="dot"/>
            </w:tabs>
            <w:rPr/>
          </w:pPr>
          <w:hyperlink w:anchor="__RefHeading___Toc1840621_2322387425">
            <w:r>
              <w:rPr>
                <w:webHidden/>
                <w:rStyle w:val="IndexLink"/>
                <w:rtl w:val="true"/>
              </w:rPr>
              <w:t>التاسع</w:t>
            </w:r>
            <w:r>
              <w:rPr>
                <w:rStyle w:val="IndexLink"/>
                <w:rtl w:val="true"/>
              </w:rPr>
              <w:t xml:space="preserve">: </w:t>
            </w:r>
            <w:r>
              <w:rPr>
                <w:rStyle w:val="IndexLink"/>
                <w:rtl w:val="true"/>
              </w:rPr>
              <w:t>الریاء فی ما هو خارج عن الصلاة</w:t>
            </w:r>
            <w:r>
              <w:rPr>
                <w:rStyle w:val="IndexLink"/>
                <w:rtl w:val="true"/>
              </w:rPr>
              <w:tab/>
            </w:r>
            <w:r>
              <w:rPr>
                <w:rStyle w:val="IndexLink"/>
              </w:rPr>
              <w:t>51</w:t>
            </w:r>
          </w:hyperlink>
        </w:p>
        <w:p>
          <w:pPr>
            <w:pStyle w:val="Contents3"/>
            <w:tabs>
              <w:tab w:val="clear" w:pos="8459"/>
              <w:tab w:val="right" w:pos="9026" w:leader="dot"/>
            </w:tabs>
            <w:rPr/>
          </w:pPr>
          <w:hyperlink w:anchor="__RefHeading___Toc1840623_2322387425">
            <w:r>
              <w:rPr>
                <w:webHidden/>
                <w:rStyle w:val="IndexLink"/>
                <w:rtl w:val="true"/>
              </w:rPr>
              <w:t>العاشر</w:t>
            </w:r>
            <w:r>
              <w:rPr>
                <w:rStyle w:val="IndexLink"/>
                <w:rtl w:val="true"/>
              </w:rPr>
              <w:t xml:space="preserve">: </w:t>
            </w:r>
            <w:r>
              <w:rPr>
                <w:rStyle w:val="IndexLink"/>
                <w:rtl w:val="true"/>
              </w:rPr>
              <w:t>الصلاة بحیث یعجبه أن یراه الناس</w:t>
            </w:r>
            <w:r>
              <w:rPr>
                <w:rStyle w:val="IndexLink"/>
                <w:rtl w:val="true"/>
              </w:rPr>
              <w:tab/>
            </w:r>
            <w:r>
              <w:rPr>
                <w:rStyle w:val="IndexLink"/>
              </w:rPr>
              <w:t>51</w:t>
            </w:r>
          </w:hyperlink>
        </w:p>
        <w:p>
          <w:pPr>
            <w:pStyle w:val="Contents3"/>
            <w:tabs>
              <w:tab w:val="clear" w:pos="8459"/>
              <w:tab w:val="right" w:pos="9026" w:leader="dot"/>
            </w:tabs>
            <w:rPr/>
          </w:pPr>
          <w:hyperlink w:anchor="__RefHeading___Toc1840625_2322387425">
            <w:r>
              <w:rPr>
                <w:webHidden/>
                <w:rStyle w:val="IndexLink"/>
                <w:rtl w:val="true"/>
              </w:rPr>
              <w:t>الریاء المتأخر عن العبادة لا یوجب البطلان</w:t>
            </w:r>
            <w:r>
              <w:rPr>
                <w:rStyle w:val="IndexLink"/>
                <w:rtl w:val="true"/>
              </w:rPr>
              <w:tab/>
            </w:r>
            <w:r>
              <w:rPr>
                <w:rStyle w:val="IndexLink"/>
              </w:rPr>
              <w:t>54</w:t>
            </w:r>
          </w:hyperlink>
        </w:p>
        <w:p>
          <w:pPr>
            <w:pStyle w:val="Contents3"/>
            <w:tabs>
              <w:tab w:val="clear" w:pos="8459"/>
              <w:tab w:val="right" w:pos="9026" w:leader="dot"/>
            </w:tabs>
            <w:rPr/>
          </w:pPr>
          <w:hyperlink w:anchor="__RefHeading___Toc1840627_2322387425">
            <w:r>
              <w:rPr>
                <w:webHidden/>
                <w:rStyle w:val="IndexLink"/>
                <w:rtl w:val="true"/>
              </w:rPr>
              <w:t>حکم العجب المتأخر فی الصلاة</w:t>
            </w:r>
            <w:r>
              <w:rPr>
                <w:rStyle w:val="IndexLink"/>
                <w:rtl w:val="true"/>
              </w:rPr>
              <w:tab/>
            </w:r>
            <w:r>
              <w:rPr>
                <w:rStyle w:val="IndexLink"/>
              </w:rPr>
              <w:t>54</w:t>
            </w:r>
          </w:hyperlink>
        </w:p>
        <w:p>
          <w:pPr>
            <w:pStyle w:val="Contents3"/>
            <w:tabs>
              <w:tab w:val="clear" w:pos="8459"/>
              <w:tab w:val="right" w:pos="9026" w:leader="dot"/>
            </w:tabs>
            <w:rPr/>
          </w:pPr>
          <w:hyperlink w:anchor="__RefHeading___Toc1840629_2322387425">
            <w:r>
              <w:rPr>
                <w:webHidden/>
                <w:rStyle w:val="IndexLink"/>
                <w:rtl w:val="true"/>
              </w:rPr>
              <w:t>حکم الضمائم من غیر الریاء</w:t>
            </w:r>
            <w:r>
              <w:rPr>
                <w:rStyle w:val="IndexLink"/>
                <w:rtl w:val="true"/>
              </w:rPr>
              <w:tab/>
            </w:r>
            <w:r>
              <w:rPr>
                <w:rStyle w:val="IndexLink"/>
              </w:rPr>
              <w:t>55</w:t>
            </w:r>
          </w:hyperlink>
        </w:p>
        <w:p>
          <w:pPr>
            <w:pStyle w:val="Contents3"/>
            <w:tabs>
              <w:tab w:val="clear" w:pos="8459"/>
              <w:tab w:val="right" w:pos="9026" w:leader="dot"/>
            </w:tabs>
            <w:rPr/>
          </w:pPr>
          <w:hyperlink w:anchor="__RefHeading___Toc1840631_2322387425">
            <w:r>
              <w:rPr>
                <w:webHidden/>
                <w:rStyle w:val="IndexLink"/>
                <w:rtl w:val="true"/>
              </w:rPr>
              <w:t>أنحاء الضمیمة إلی داعی القربة</w:t>
            </w:r>
            <w:r>
              <w:rPr>
                <w:rStyle w:val="IndexLink"/>
                <w:rtl w:val="true"/>
              </w:rPr>
              <w:tab/>
            </w:r>
            <w:r>
              <w:rPr>
                <w:rStyle w:val="IndexLink"/>
              </w:rPr>
              <w:t>56</w:t>
            </w:r>
          </w:hyperlink>
        </w:p>
        <w:p>
          <w:pPr>
            <w:pStyle w:val="Contents3"/>
            <w:tabs>
              <w:tab w:val="clear" w:pos="8459"/>
              <w:tab w:val="right" w:pos="9026" w:leader="dot"/>
            </w:tabs>
            <w:rPr/>
          </w:pPr>
          <w:hyperlink w:anchor="__RefHeading___Toc1840633_2322387425">
            <w:r>
              <w:rPr>
                <w:webHidden/>
                <w:rStyle w:val="IndexLink"/>
                <w:rtl w:val="true"/>
              </w:rPr>
              <w:t>حکم ما یؤتی به بقصد الصلاة و غیرها</w:t>
            </w:r>
            <w:r>
              <w:rPr>
                <w:rStyle w:val="IndexLink"/>
                <w:rtl w:val="true"/>
              </w:rPr>
              <w:tab/>
            </w:r>
            <w:r>
              <w:rPr>
                <w:rStyle w:val="IndexLink"/>
              </w:rPr>
              <w:t>58</w:t>
            </w:r>
          </w:hyperlink>
        </w:p>
        <w:p>
          <w:pPr>
            <w:pStyle w:val="Contents3"/>
            <w:tabs>
              <w:tab w:val="clear" w:pos="8459"/>
              <w:tab w:val="right" w:pos="9026" w:leader="dot"/>
            </w:tabs>
            <w:rPr/>
          </w:pPr>
          <w:hyperlink w:anchor="__RefHeading___Toc1840635_2322387425">
            <w:r>
              <w:rPr>
                <w:webHidden/>
                <w:rStyle w:val="IndexLink"/>
                <w:rtl w:val="true"/>
              </w:rPr>
              <w:t>انضمام داعی إعلام الغیر إلی داعی الصلاة</w:t>
            </w:r>
            <w:r>
              <w:rPr>
                <w:rStyle w:val="IndexLink"/>
                <w:rtl w:val="true"/>
              </w:rPr>
              <w:tab/>
            </w:r>
            <w:r>
              <w:rPr>
                <w:rStyle w:val="IndexLink"/>
              </w:rPr>
              <w:t>62</w:t>
            </w:r>
          </w:hyperlink>
        </w:p>
        <w:p>
          <w:pPr>
            <w:pStyle w:val="Contents3"/>
            <w:tabs>
              <w:tab w:val="clear" w:pos="8459"/>
              <w:tab w:val="right" w:pos="9026" w:leader="dot"/>
            </w:tabs>
            <w:rPr/>
          </w:pPr>
          <w:hyperlink w:anchor="__RefHeading___Toc1840637_2322387425">
            <w:r>
              <w:rPr>
                <w:webHidden/>
                <w:rStyle w:val="IndexLink"/>
                <w:rtl w:val="true"/>
              </w:rPr>
              <w:t>وقت نیة ابتداء الصلاة</w:t>
            </w:r>
            <w:r>
              <w:rPr>
                <w:rStyle w:val="IndexLink"/>
                <w:rtl w:val="true"/>
              </w:rPr>
              <w:tab/>
            </w:r>
            <w:r>
              <w:rPr>
                <w:rStyle w:val="IndexLink"/>
              </w:rPr>
              <w:t>63</w:t>
            </w:r>
          </w:hyperlink>
        </w:p>
        <w:p>
          <w:pPr>
            <w:pStyle w:val="Contents3"/>
            <w:tabs>
              <w:tab w:val="clear" w:pos="8459"/>
              <w:tab w:val="right" w:pos="9026" w:leader="dot"/>
            </w:tabs>
            <w:rPr/>
          </w:pPr>
          <w:hyperlink w:anchor="__RefHeading___Toc1840639_2322387425">
            <w:r>
              <w:rPr>
                <w:webHidden/>
                <w:rStyle w:val="IndexLink"/>
                <w:rtl w:val="true"/>
              </w:rPr>
              <w:t>وجوب استدامة النیة إلی آخر الصلاة</w:t>
            </w:r>
            <w:r>
              <w:rPr>
                <w:rStyle w:val="IndexLink"/>
                <w:rtl w:val="true"/>
              </w:rPr>
              <w:tab/>
            </w:r>
            <w:r>
              <w:rPr>
                <w:rStyle w:val="IndexLink"/>
              </w:rPr>
              <w:t>63</w:t>
            </w:r>
          </w:hyperlink>
        </w:p>
        <w:p>
          <w:pPr>
            <w:pStyle w:val="Contents3"/>
            <w:tabs>
              <w:tab w:val="clear" w:pos="8459"/>
              <w:tab w:val="right" w:pos="9026" w:leader="dot"/>
            </w:tabs>
            <w:rPr/>
          </w:pPr>
          <w:hyperlink w:anchor="__RefHeading___Toc1840641_2322387425">
            <w:r>
              <w:rPr>
                <w:webHidden/>
                <w:rStyle w:val="IndexLink"/>
                <w:rtl w:val="true"/>
              </w:rPr>
              <w:t>حکم نیة القطع أو القاطع أثناء الصلاة</w:t>
            </w:r>
            <w:r>
              <w:rPr>
                <w:rStyle w:val="IndexLink"/>
                <w:rtl w:val="true"/>
              </w:rPr>
              <w:tab/>
            </w:r>
            <w:r>
              <w:rPr>
                <w:rStyle w:val="IndexLink"/>
              </w:rPr>
              <w:t>64</w:t>
            </w:r>
          </w:hyperlink>
        </w:p>
        <w:p>
          <w:pPr>
            <w:pStyle w:val="Contents3"/>
            <w:tabs>
              <w:tab w:val="clear" w:pos="8459"/>
              <w:tab w:val="right" w:pos="9026" w:leader="dot"/>
            </w:tabs>
            <w:rPr/>
          </w:pPr>
          <w:hyperlink w:anchor="__RefHeading___Toc1840643_2322387425">
            <w:r>
              <w:rPr>
                <w:webHidden/>
                <w:rStyle w:val="IndexLink"/>
                <w:rtl w:val="true"/>
              </w:rPr>
              <w:t>لونوی المکلف صلاة فسبق لسانه أو خیاله خطوراً إلی غیرها</w:t>
            </w:r>
            <w:r>
              <w:rPr>
                <w:rStyle w:val="IndexLink"/>
                <w:rtl w:val="true"/>
              </w:rPr>
              <w:tab/>
            </w:r>
            <w:r>
              <w:rPr>
                <w:rStyle w:val="IndexLink"/>
              </w:rPr>
              <w:t>67</w:t>
            </w:r>
          </w:hyperlink>
        </w:p>
        <w:p>
          <w:pPr>
            <w:pStyle w:val="Contents3"/>
            <w:tabs>
              <w:tab w:val="clear" w:pos="8459"/>
              <w:tab w:val="right" w:pos="9026" w:leader="dot"/>
            </w:tabs>
            <w:rPr/>
          </w:pPr>
          <w:hyperlink w:anchor="__RefHeading___Toc1840645_2322387425">
            <w:r>
              <w:rPr>
                <w:webHidden/>
                <w:rStyle w:val="IndexLink"/>
                <w:rtl w:val="true"/>
              </w:rPr>
              <w:t>وقوع صحة الصلاة علی ما التتحت علیه</w:t>
            </w:r>
            <w:r>
              <w:rPr>
                <w:rStyle w:val="IndexLink"/>
                <w:rtl w:val="true"/>
              </w:rPr>
              <w:tab/>
            </w:r>
            <w:r>
              <w:rPr>
                <w:rStyle w:val="IndexLink"/>
              </w:rPr>
              <w:t>67</w:t>
            </w:r>
          </w:hyperlink>
        </w:p>
        <w:p>
          <w:pPr>
            <w:pStyle w:val="Contents3"/>
            <w:tabs>
              <w:tab w:val="clear" w:pos="8459"/>
              <w:tab w:val="right" w:pos="9026" w:leader="dot"/>
            </w:tabs>
            <w:rPr/>
          </w:pPr>
          <w:hyperlink w:anchor="__RefHeading___Toc1840647_2322387425">
            <w:r>
              <w:rPr>
                <w:webHidden/>
                <w:rStyle w:val="IndexLink"/>
                <w:rtl w:val="true"/>
              </w:rPr>
              <w:t>حکم الشک فی تعیین الفریضة</w:t>
            </w:r>
            <w:r>
              <w:rPr>
                <w:rStyle w:val="IndexLink"/>
                <w:rtl w:val="true"/>
              </w:rPr>
              <w:tab/>
            </w:r>
            <w:r>
              <w:rPr>
                <w:rStyle w:val="IndexLink"/>
              </w:rPr>
              <w:t>68</w:t>
            </w:r>
          </w:hyperlink>
        </w:p>
        <w:p>
          <w:pPr>
            <w:pStyle w:val="Contents3"/>
            <w:tabs>
              <w:tab w:val="clear" w:pos="8459"/>
              <w:tab w:val="right" w:pos="9026" w:leader="dot"/>
            </w:tabs>
            <w:rPr/>
          </w:pPr>
          <w:hyperlink w:anchor="__RefHeading___Toc1840649_2322387425">
            <w:r>
              <w:rPr>
                <w:webHidden/>
                <w:rStyle w:val="IndexLink"/>
                <w:rtl w:val="true"/>
              </w:rPr>
              <w:t>موارد جواز العدول من صلاة إلی اخری</w:t>
            </w:r>
            <w:r>
              <w:rPr>
                <w:rStyle w:val="IndexLink"/>
                <w:rtl w:val="true"/>
              </w:rPr>
              <w:tab/>
            </w:r>
            <w:r>
              <w:rPr>
                <w:rStyle w:val="IndexLink"/>
              </w:rPr>
              <w:t>75</w:t>
            </w:r>
          </w:hyperlink>
        </w:p>
        <w:p>
          <w:pPr>
            <w:pStyle w:val="Contents3"/>
            <w:tabs>
              <w:tab w:val="clear" w:pos="8459"/>
              <w:tab w:val="right" w:pos="9026" w:leader="dot"/>
            </w:tabs>
            <w:rPr/>
          </w:pPr>
          <w:hyperlink w:anchor="__RefHeading___Toc1840651_2322387425">
            <w:r>
              <w:rPr>
                <w:webHidden/>
                <w:rStyle w:val="IndexLink"/>
                <w:rtl w:val="true"/>
              </w:rPr>
              <w:t>أولها</w:t>
            </w:r>
            <w:r>
              <w:rPr>
                <w:rStyle w:val="IndexLink"/>
                <w:rtl w:val="true"/>
              </w:rPr>
              <w:t xml:space="preserve">: </w:t>
            </w:r>
            <w:r>
              <w:rPr>
                <w:rStyle w:val="IndexLink"/>
                <w:rtl w:val="true"/>
              </w:rPr>
              <w:t>العدول من الحاضرة إلی الحاضرة</w:t>
            </w:r>
            <w:r>
              <w:rPr>
                <w:rStyle w:val="IndexLink"/>
                <w:rtl w:val="true"/>
              </w:rPr>
              <w:tab/>
            </w:r>
            <w:r>
              <w:rPr>
                <w:rStyle w:val="IndexLink"/>
              </w:rPr>
              <w:t>75</w:t>
            </w:r>
          </w:hyperlink>
        </w:p>
        <w:p>
          <w:pPr>
            <w:pStyle w:val="Contents3"/>
            <w:tabs>
              <w:tab w:val="clear" w:pos="8459"/>
              <w:tab w:val="right" w:pos="9026" w:leader="dot"/>
            </w:tabs>
            <w:rPr/>
          </w:pPr>
          <w:hyperlink w:anchor="__RefHeading___Toc1840653_2322387425">
            <w:r>
              <w:rPr>
                <w:webHidden/>
                <w:rStyle w:val="IndexLink"/>
                <w:rtl w:val="true"/>
              </w:rPr>
              <w:t>الثانی</w:t>
            </w:r>
            <w:r>
              <w:rPr>
                <w:rStyle w:val="IndexLink"/>
                <w:rtl w:val="true"/>
              </w:rPr>
              <w:t xml:space="preserve">: </w:t>
            </w:r>
            <w:r>
              <w:rPr>
                <w:rStyle w:val="IndexLink"/>
                <w:rtl w:val="true"/>
              </w:rPr>
              <w:t>العدول من الفائتة إلی الفائتة</w:t>
            </w:r>
            <w:r>
              <w:rPr>
                <w:rStyle w:val="IndexLink"/>
                <w:rtl w:val="true"/>
              </w:rPr>
              <w:tab/>
            </w:r>
            <w:r>
              <w:rPr>
                <w:rStyle w:val="IndexLink"/>
              </w:rPr>
              <w:t>78</w:t>
            </w:r>
          </w:hyperlink>
        </w:p>
        <w:p>
          <w:pPr>
            <w:pStyle w:val="Contents3"/>
            <w:tabs>
              <w:tab w:val="clear" w:pos="8459"/>
              <w:tab w:val="right" w:pos="9026" w:leader="dot"/>
            </w:tabs>
            <w:rPr/>
          </w:pPr>
          <w:hyperlink w:anchor="__RefHeading___Toc1840655_2322387425">
            <w:r>
              <w:rPr>
                <w:webHidden/>
                <w:rStyle w:val="IndexLink"/>
                <w:rtl w:val="true"/>
              </w:rPr>
              <w:t>الثالث</w:t>
            </w:r>
            <w:r>
              <w:rPr>
                <w:rStyle w:val="IndexLink"/>
                <w:rtl w:val="true"/>
              </w:rPr>
              <w:t xml:space="preserve">: </w:t>
            </w:r>
            <w:r>
              <w:rPr>
                <w:rStyle w:val="IndexLink"/>
                <w:rtl w:val="true"/>
              </w:rPr>
              <w:t>العدول من الحاضرة إلی الفائتة</w:t>
            </w:r>
            <w:r>
              <w:rPr>
                <w:rStyle w:val="IndexLink"/>
                <w:rtl w:val="true"/>
              </w:rPr>
              <w:tab/>
            </w:r>
            <w:r>
              <w:rPr>
                <w:rStyle w:val="IndexLink"/>
              </w:rPr>
              <w:t>79</w:t>
            </w:r>
          </w:hyperlink>
        </w:p>
        <w:p>
          <w:pPr>
            <w:pStyle w:val="Contents3"/>
            <w:tabs>
              <w:tab w:val="clear" w:pos="8459"/>
              <w:tab w:val="right" w:pos="9026" w:leader="dot"/>
            </w:tabs>
            <w:rPr/>
          </w:pPr>
          <w:hyperlink w:anchor="__RefHeading___Toc1840657_2322387425">
            <w:r>
              <w:rPr>
                <w:webHidden/>
                <w:rStyle w:val="IndexLink"/>
                <w:rtl w:val="true"/>
              </w:rPr>
              <w:t>الرابع</w:t>
            </w:r>
            <w:r>
              <w:rPr>
                <w:rStyle w:val="IndexLink"/>
                <w:rtl w:val="true"/>
              </w:rPr>
              <w:t xml:space="preserve">: </w:t>
            </w:r>
            <w:r>
              <w:rPr>
                <w:rStyle w:val="IndexLink"/>
                <w:rtl w:val="true"/>
              </w:rPr>
              <w:t>العدول من الجمعة إلی النافلة لمن قرأ غیر سورة الجمعة</w:t>
            </w:r>
            <w:r>
              <w:rPr>
                <w:rStyle w:val="IndexLink"/>
                <w:rtl w:val="true"/>
              </w:rPr>
              <w:tab/>
            </w:r>
            <w:r>
              <w:rPr>
                <w:rStyle w:val="IndexLink"/>
              </w:rPr>
              <w:t>81</w:t>
            </w:r>
          </w:hyperlink>
        </w:p>
        <w:p>
          <w:pPr>
            <w:pStyle w:val="Contents3"/>
            <w:tabs>
              <w:tab w:val="clear" w:pos="8459"/>
              <w:tab w:val="right" w:pos="9026" w:leader="dot"/>
            </w:tabs>
            <w:rPr/>
          </w:pPr>
          <w:hyperlink w:anchor="__RefHeading___Toc1840659_2322387425">
            <w:r>
              <w:rPr>
                <w:webHidden/>
                <w:rStyle w:val="IndexLink"/>
                <w:rtl w:val="true"/>
              </w:rPr>
              <w:t>الخامس</w:t>
            </w:r>
            <w:r>
              <w:rPr>
                <w:rStyle w:val="IndexLink"/>
                <w:rtl w:val="true"/>
              </w:rPr>
              <w:t xml:space="preserve">: </w:t>
            </w:r>
            <w:r>
              <w:rPr>
                <w:rStyle w:val="IndexLink"/>
                <w:rtl w:val="true"/>
              </w:rPr>
              <w:t>العدول من الفریضة إلی النافلة لإدراک الجماعة</w:t>
            </w:r>
            <w:r>
              <w:rPr>
                <w:rStyle w:val="IndexLink"/>
                <w:rtl w:val="true"/>
              </w:rPr>
              <w:tab/>
            </w:r>
            <w:r>
              <w:rPr>
                <w:rStyle w:val="IndexLink"/>
              </w:rPr>
              <w:t>82</w:t>
            </w:r>
          </w:hyperlink>
        </w:p>
        <w:p>
          <w:pPr>
            <w:pStyle w:val="Contents3"/>
            <w:tabs>
              <w:tab w:val="clear" w:pos="8459"/>
              <w:tab w:val="right" w:pos="9026" w:leader="dot"/>
            </w:tabs>
            <w:rPr/>
          </w:pPr>
          <w:hyperlink w:anchor="__RefHeading___Toc1840661_2322387425">
            <w:r>
              <w:rPr>
                <w:webHidden/>
                <w:rStyle w:val="IndexLink"/>
                <w:rtl w:val="true"/>
              </w:rPr>
              <w:t>السادس</w:t>
            </w:r>
            <w:r>
              <w:rPr>
                <w:rStyle w:val="IndexLink"/>
                <w:rtl w:val="true"/>
              </w:rPr>
              <w:t xml:space="preserve">: </w:t>
            </w:r>
            <w:r>
              <w:rPr>
                <w:rStyle w:val="IndexLink"/>
                <w:rtl w:val="true"/>
              </w:rPr>
              <w:t>العدول من الجماعة إلی الانفراد</w:t>
            </w:r>
            <w:r>
              <w:rPr>
                <w:rStyle w:val="IndexLink"/>
                <w:rtl w:val="true"/>
              </w:rPr>
              <w:tab/>
            </w:r>
            <w:r>
              <w:rPr>
                <w:rStyle w:val="IndexLink"/>
              </w:rPr>
              <w:t>83</w:t>
            </w:r>
          </w:hyperlink>
        </w:p>
        <w:p>
          <w:pPr>
            <w:pStyle w:val="Contents3"/>
            <w:tabs>
              <w:tab w:val="clear" w:pos="8459"/>
              <w:tab w:val="right" w:pos="9026" w:leader="dot"/>
            </w:tabs>
            <w:rPr/>
          </w:pPr>
          <w:hyperlink w:anchor="__RefHeading___Toc1840663_2322387425">
            <w:r>
              <w:rPr>
                <w:webHidden/>
                <w:rStyle w:val="IndexLink"/>
                <w:rtl w:val="true"/>
              </w:rPr>
              <w:t>السابع</w:t>
            </w:r>
            <w:r>
              <w:rPr>
                <w:rStyle w:val="IndexLink"/>
                <w:rtl w:val="true"/>
              </w:rPr>
              <w:t xml:space="preserve">: </w:t>
            </w:r>
            <w:r>
              <w:rPr>
                <w:rStyle w:val="IndexLink"/>
                <w:rtl w:val="true"/>
              </w:rPr>
              <w:t>العدول من إمام إلی إمام آخر</w:t>
            </w:r>
            <w:r>
              <w:rPr>
                <w:rStyle w:val="IndexLink"/>
                <w:rtl w:val="true"/>
              </w:rPr>
              <w:tab/>
            </w:r>
            <w:r>
              <w:rPr>
                <w:rStyle w:val="IndexLink"/>
              </w:rPr>
              <w:t>84</w:t>
            </w:r>
          </w:hyperlink>
        </w:p>
        <w:p>
          <w:pPr>
            <w:pStyle w:val="Contents3"/>
            <w:tabs>
              <w:tab w:val="clear" w:pos="8459"/>
              <w:tab w:val="right" w:pos="9026" w:leader="dot"/>
            </w:tabs>
            <w:rPr/>
          </w:pPr>
          <w:hyperlink w:anchor="__RefHeading___Toc1840665_2322387425">
            <w:r>
              <w:rPr>
                <w:webHidden/>
                <w:rStyle w:val="IndexLink"/>
                <w:rtl w:val="true"/>
              </w:rPr>
              <w:t>الثامن</w:t>
            </w:r>
            <w:r>
              <w:rPr>
                <w:rStyle w:val="IndexLink"/>
                <w:rtl w:val="true"/>
              </w:rPr>
              <w:t xml:space="preserve">: </w:t>
            </w:r>
            <w:r>
              <w:rPr>
                <w:rStyle w:val="IndexLink"/>
                <w:rtl w:val="true"/>
              </w:rPr>
              <w:t>العدول من القصر إلی التمام</w:t>
            </w:r>
            <w:r>
              <w:rPr>
                <w:rStyle w:val="IndexLink"/>
                <w:rtl w:val="true"/>
              </w:rPr>
              <w:tab/>
            </w:r>
            <w:r>
              <w:rPr>
                <w:rStyle w:val="IndexLink"/>
              </w:rPr>
              <w:t>85</w:t>
            </w:r>
          </w:hyperlink>
        </w:p>
        <w:p>
          <w:pPr>
            <w:pStyle w:val="Contents3"/>
            <w:tabs>
              <w:tab w:val="clear" w:pos="8459"/>
              <w:tab w:val="right" w:pos="9026" w:leader="dot"/>
            </w:tabs>
            <w:rPr/>
          </w:pPr>
          <w:hyperlink w:anchor="__RefHeading___Toc1840667_2322387425">
            <w:r>
              <w:rPr>
                <w:webHidden/>
                <w:rStyle w:val="IndexLink"/>
                <w:rtl w:val="true"/>
              </w:rPr>
              <w:t>التاسع</w:t>
            </w:r>
            <w:r>
              <w:rPr>
                <w:rStyle w:val="IndexLink"/>
                <w:rtl w:val="true"/>
              </w:rPr>
              <w:t xml:space="preserve">: </w:t>
            </w:r>
            <w:r>
              <w:rPr>
                <w:rStyle w:val="IndexLink"/>
                <w:rtl w:val="true"/>
              </w:rPr>
              <w:t>العدول من التمام إلی القصر</w:t>
            </w:r>
            <w:r>
              <w:rPr>
                <w:rStyle w:val="IndexLink"/>
                <w:rtl w:val="true"/>
              </w:rPr>
              <w:tab/>
            </w:r>
            <w:r>
              <w:rPr>
                <w:rStyle w:val="IndexLink"/>
              </w:rPr>
              <w:t>85</w:t>
            </w:r>
          </w:hyperlink>
        </w:p>
        <w:p>
          <w:pPr>
            <w:pStyle w:val="Contents3"/>
            <w:tabs>
              <w:tab w:val="clear" w:pos="8459"/>
              <w:tab w:val="right" w:pos="9026" w:leader="dot"/>
            </w:tabs>
            <w:rPr/>
          </w:pPr>
          <w:hyperlink w:anchor="__RefHeading___Toc1840669_2322387425">
            <w:r>
              <w:rPr>
                <w:webHidden/>
                <w:rStyle w:val="IndexLink"/>
                <w:rtl w:val="true"/>
              </w:rPr>
              <w:t>العاشر</w:t>
            </w:r>
            <w:r>
              <w:rPr>
                <w:rStyle w:val="IndexLink"/>
                <w:rtl w:val="true"/>
              </w:rPr>
              <w:t xml:space="preserve">: </w:t>
            </w:r>
            <w:r>
              <w:rPr>
                <w:rStyle w:val="IndexLink"/>
                <w:rtl w:val="true"/>
              </w:rPr>
              <w:t>العدول من القصر إلی التمام أو العکس فی مواطن التخییر</w:t>
            </w:r>
            <w:r>
              <w:rPr>
                <w:rStyle w:val="IndexLink"/>
                <w:rtl w:val="true"/>
              </w:rPr>
              <w:tab/>
            </w:r>
            <w:r>
              <w:rPr>
                <w:rStyle w:val="IndexLink"/>
              </w:rPr>
              <w:t>86</w:t>
            </w:r>
          </w:hyperlink>
        </w:p>
        <w:p>
          <w:pPr>
            <w:pStyle w:val="Contents3"/>
            <w:tabs>
              <w:tab w:val="clear" w:pos="8459"/>
              <w:tab w:val="right" w:pos="9026" w:leader="dot"/>
            </w:tabs>
            <w:rPr/>
          </w:pPr>
          <w:hyperlink w:anchor="__RefHeading___Toc1840671_2322387425">
            <w:r>
              <w:rPr>
                <w:webHidden/>
                <w:rStyle w:val="IndexLink"/>
                <w:rtl w:val="true"/>
              </w:rPr>
              <w:t>عدم جواز العدول من الفائتة إلی الحاضرة</w:t>
            </w:r>
            <w:r>
              <w:rPr>
                <w:rStyle w:val="IndexLink"/>
                <w:rtl w:val="true"/>
              </w:rPr>
              <w:tab/>
            </w:r>
            <w:r>
              <w:rPr>
                <w:rStyle w:val="IndexLink"/>
              </w:rPr>
              <w:t>86</w:t>
            </w:r>
          </w:hyperlink>
        </w:p>
        <w:p>
          <w:pPr>
            <w:pStyle w:val="Contents3"/>
            <w:tabs>
              <w:tab w:val="clear" w:pos="8459"/>
              <w:tab w:val="right" w:pos="9026" w:leader="dot"/>
            </w:tabs>
            <w:rPr/>
          </w:pPr>
          <w:hyperlink w:anchor="__RefHeading___Toc1840673_2322387425">
            <w:r>
              <w:rPr>
                <w:webHidden/>
                <w:rStyle w:val="IndexLink"/>
                <w:rtl w:val="true"/>
              </w:rPr>
              <w:t>حکم العدول من النفل إلی الفرض أو إلی نفل آخر</w:t>
            </w:r>
            <w:r>
              <w:rPr>
                <w:rStyle w:val="IndexLink"/>
                <w:rtl w:val="true"/>
              </w:rPr>
              <w:tab/>
            </w:r>
            <w:r>
              <w:rPr>
                <w:rStyle w:val="IndexLink"/>
              </w:rPr>
              <w:t>86</w:t>
            </w:r>
          </w:hyperlink>
        </w:p>
        <w:p>
          <w:pPr>
            <w:pStyle w:val="Contents3"/>
            <w:tabs>
              <w:tab w:val="clear" w:pos="8459"/>
              <w:tab w:val="right" w:pos="9026" w:leader="dot"/>
            </w:tabs>
            <w:rPr/>
          </w:pPr>
          <w:hyperlink w:anchor="__RefHeading___Toc1840675_2322387425">
            <w:r>
              <w:rPr>
                <w:webHidden/>
                <w:rStyle w:val="IndexLink"/>
                <w:rtl w:val="true"/>
              </w:rPr>
              <w:t>عدم جواز العدول فی موضع لا یجوز العدول فیه</w:t>
            </w:r>
            <w:r>
              <w:rPr>
                <w:rStyle w:val="IndexLink"/>
                <w:rtl w:val="true"/>
              </w:rPr>
              <w:tab/>
            </w:r>
            <w:r>
              <w:rPr>
                <w:rStyle w:val="IndexLink"/>
              </w:rPr>
              <w:t>87</w:t>
            </w:r>
          </w:hyperlink>
        </w:p>
        <w:p>
          <w:pPr>
            <w:pStyle w:val="Contents3"/>
            <w:tabs>
              <w:tab w:val="clear" w:pos="8459"/>
              <w:tab w:val="right" w:pos="9026" w:leader="dot"/>
            </w:tabs>
            <w:rPr/>
          </w:pPr>
          <w:hyperlink w:anchor="__RefHeading___Toc1840677_2322387425">
            <w:r>
              <w:rPr>
                <w:webHidden/>
                <w:rStyle w:val="IndexLink"/>
                <w:rtl w:val="true"/>
              </w:rPr>
              <w:t>العدول من الظهر إلی العصر</w:t>
            </w:r>
            <w:r>
              <w:rPr>
                <w:rStyle w:val="IndexLink"/>
                <w:rtl w:val="true"/>
              </w:rPr>
              <w:tab/>
            </w:r>
            <w:r>
              <w:rPr>
                <w:rStyle w:val="IndexLink"/>
              </w:rPr>
              <w:t>87</w:t>
            </w:r>
          </w:hyperlink>
        </w:p>
        <w:p>
          <w:pPr>
            <w:pStyle w:val="Contents3"/>
            <w:tabs>
              <w:tab w:val="clear" w:pos="8459"/>
              <w:tab w:val="right" w:pos="9026" w:leader="dot"/>
            </w:tabs>
            <w:rPr/>
          </w:pPr>
          <w:hyperlink w:anchor="__RefHeading___Toc1840679_2322387425">
            <w:r>
              <w:rPr>
                <w:webHidden/>
                <w:rStyle w:val="IndexLink"/>
                <w:rtl w:val="true"/>
              </w:rPr>
              <w:t>حکم العدول فی غیر موضع العدول خطأً</w:t>
            </w:r>
            <w:r>
              <w:rPr>
                <w:rStyle w:val="IndexLink"/>
                <w:rtl w:val="true"/>
              </w:rPr>
              <w:tab/>
            </w:r>
            <w:r>
              <w:rPr>
                <w:rStyle w:val="IndexLink"/>
              </w:rPr>
              <w:t>87</w:t>
            </w:r>
          </w:hyperlink>
        </w:p>
        <w:p>
          <w:pPr>
            <w:pStyle w:val="Contents3"/>
            <w:tabs>
              <w:tab w:val="clear" w:pos="8459"/>
              <w:tab w:val="right" w:pos="9026" w:leader="dot"/>
            </w:tabs>
            <w:rPr/>
          </w:pPr>
          <w:hyperlink w:anchor="__RefHeading___Toc1840681_2322387425">
            <w:r>
              <w:rPr>
                <w:webHidden/>
                <w:rStyle w:val="IndexLink"/>
                <w:rtl w:val="true"/>
              </w:rPr>
              <w:t>عدم البأس بترامی العدول</w:t>
            </w:r>
            <w:r>
              <w:rPr>
                <w:rStyle w:val="IndexLink"/>
                <w:rtl w:val="true"/>
              </w:rPr>
              <w:tab/>
            </w:r>
            <w:r>
              <w:rPr>
                <w:rStyle w:val="IndexLink"/>
              </w:rPr>
              <w:t>90</w:t>
            </w:r>
          </w:hyperlink>
        </w:p>
        <w:p>
          <w:pPr>
            <w:pStyle w:val="Contents3"/>
            <w:tabs>
              <w:tab w:val="clear" w:pos="8459"/>
              <w:tab w:val="right" w:pos="9026" w:leader="dot"/>
            </w:tabs>
            <w:rPr/>
          </w:pPr>
          <w:hyperlink w:anchor="__RefHeading___Toc1840683_2322387425">
            <w:r>
              <w:rPr>
                <w:webHidden/>
                <w:rStyle w:val="IndexLink"/>
                <w:rtl w:val="true"/>
              </w:rPr>
              <w:t>العدول بعد الفراغ من الصلاة</w:t>
            </w:r>
            <w:r>
              <w:rPr>
                <w:rStyle w:val="IndexLink"/>
                <w:rtl w:val="true"/>
              </w:rPr>
              <w:tab/>
            </w:r>
            <w:r>
              <w:rPr>
                <w:rStyle w:val="IndexLink"/>
              </w:rPr>
              <w:t>90</w:t>
            </w:r>
          </w:hyperlink>
        </w:p>
        <w:p>
          <w:pPr>
            <w:pStyle w:val="Contents3"/>
            <w:tabs>
              <w:tab w:val="clear" w:pos="8459"/>
              <w:tab w:val="right" w:pos="9026" w:leader="dot"/>
            </w:tabs>
            <w:rPr/>
          </w:pPr>
          <w:hyperlink w:anchor="__RefHeading___Toc1840685_2322387425">
            <w:r>
              <w:rPr>
                <w:webHidden/>
                <w:rStyle w:val="IndexLink"/>
                <w:rtl w:val="true"/>
              </w:rPr>
              <w:t>کفایة النیة فی تحقق العدول</w:t>
            </w:r>
            <w:r>
              <w:rPr>
                <w:rStyle w:val="IndexLink"/>
                <w:rtl w:val="true"/>
              </w:rPr>
              <w:tab/>
            </w:r>
            <w:r>
              <w:rPr>
                <w:rStyle w:val="IndexLink"/>
              </w:rPr>
              <w:t>93</w:t>
            </w:r>
          </w:hyperlink>
        </w:p>
        <w:p>
          <w:pPr>
            <w:pStyle w:val="Contents3"/>
            <w:tabs>
              <w:tab w:val="clear" w:pos="8459"/>
              <w:tab w:val="right" w:pos="9026" w:leader="dot"/>
            </w:tabs>
            <w:rPr/>
          </w:pPr>
          <w:hyperlink w:anchor="__RefHeading___Toc1840687_2322387425">
            <w:r>
              <w:rPr>
                <w:webHidden/>
                <w:rStyle w:val="IndexLink"/>
                <w:rtl w:val="true"/>
              </w:rPr>
              <w:t>بلوغ حد الترخص أثناء الصلاة</w:t>
            </w:r>
            <w:r>
              <w:rPr>
                <w:rStyle w:val="IndexLink"/>
                <w:rtl w:val="true"/>
              </w:rPr>
              <w:tab/>
            </w:r>
            <w:r>
              <w:rPr>
                <w:rStyle w:val="IndexLink"/>
              </w:rPr>
              <w:t>93</w:t>
            </w:r>
          </w:hyperlink>
        </w:p>
        <w:p>
          <w:pPr>
            <w:pStyle w:val="Contents3"/>
            <w:tabs>
              <w:tab w:val="clear" w:pos="8459"/>
              <w:tab w:val="right" w:pos="9026" w:leader="dot"/>
            </w:tabs>
            <w:rPr/>
          </w:pPr>
          <w:hyperlink w:anchor="__RefHeading___Toc1840689_2322387425">
            <w:r>
              <w:rPr>
                <w:webHidden/>
                <w:rStyle w:val="IndexLink"/>
                <w:rtl w:val="true"/>
              </w:rPr>
              <w:t>إذا عین صلاة ثم تبین أن ما فی ذمته صلاة اخری</w:t>
            </w:r>
            <w:r>
              <w:rPr>
                <w:rStyle w:val="IndexLink"/>
                <w:rtl w:val="true"/>
              </w:rPr>
              <w:tab/>
            </w:r>
            <w:r>
              <w:rPr>
                <w:rStyle w:val="IndexLink"/>
              </w:rPr>
              <w:t>94</w:t>
            </w:r>
          </w:hyperlink>
        </w:p>
        <w:p>
          <w:pPr>
            <w:pStyle w:val="Contents3"/>
            <w:tabs>
              <w:tab w:val="clear" w:pos="8459"/>
              <w:tab w:val="right" w:pos="9026" w:leader="dot"/>
            </w:tabs>
            <w:rPr/>
          </w:pPr>
          <w:hyperlink w:anchor="__RefHeading___Toc1840691_2322387425">
            <w:r>
              <w:rPr>
                <w:webHidden/>
                <w:rStyle w:val="IndexLink"/>
                <w:rtl w:val="true"/>
              </w:rPr>
              <w:t>الخطأ فی قصد عنوان الرکعات فی النوافل</w:t>
            </w:r>
            <w:r>
              <w:rPr>
                <w:rStyle w:val="IndexLink"/>
                <w:rtl w:val="true"/>
              </w:rPr>
              <w:tab/>
            </w:r>
            <w:r>
              <w:rPr>
                <w:rStyle w:val="IndexLink"/>
              </w:rPr>
              <w:t>95</w:t>
            </w:r>
          </w:hyperlink>
        </w:p>
        <w:p>
          <w:pPr>
            <w:pStyle w:val="Contents2"/>
            <w:tabs>
              <w:tab w:val="clear" w:pos="8743"/>
              <w:tab w:val="right" w:pos="9026" w:leader="dot"/>
            </w:tabs>
            <w:rPr/>
          </w:pPr>
          <w:hyperlink w:anchor="__RefHeading___Toc1840693_2322387425">
            <w:r>
              <w:rPr>
                <w:webHidden/>
                <w:rStyle w:val="IndexLink"/>
                <w:rtl w:val="true"/>
              </w:rPr>
              <w:t>فصل فی تکبیرة الإحرام</w:t>
            </w:r>
            <w:r>
              <w:rPr>
                <w:rStyle w:val="IndexLink"/>
                <w:rtl w:val="true"/>
              </w:rPr>
              <w:tab/>
            </w:r>
            <w:r>
              <w:rPr>
                <w:rStyle w:val="IndexLink"/>
              </w:rPr>
              <w:t>96</w:t>
            </w:r>
          </w:hyperlink>
        </w:p>
        <w:p>
          <w:pPr>
            <w:pStyle w:val="Contents3"/>
            <w:tabs>
              <w:tab w:val="clear" w:pos="8459"/>
              <w:tab w:val="right" w:pos="9026" w:leader="dot"/>
            </w:tabs>
            <w:rPr/>
          </w:pPr>
          <w:hyperlink w:anchor="__RefHeading___Toc1840695_2322387425">
            <w:r>
              <w:rPr>
                <w:webHidden/>
                <w:rStyle w:val="IndexLink"/>
                <w:rtl w:val="true"/>
              </w:rPr>
              <w:t>رکنیة التکبیر</w:t>
            </w:r>
            <w:r>
              <w:rPr>
                <w:rStyle w:val="IndexLink"/>
                <w:rtl w:val="true"/>
              </w:rPr>
              <w:tab/>
            </w:r>
            <w:r>
              <w:rPr>
                <w:rStyle w:val="IndexLink"/>
              </w:rPr>
              <w:t>96</w:t>
            </w:r>
          </w:hyperlink>
        </w:p>
        <w:p>
          <w:pPr>
            <w:pStyle w:val="Contents3"/>
            <w:tabs>
              <w:tab w:val="clear" w:pos="8459"/>
              <w:tab w:val="right" w:pos="9026" w:leader="dot"/>
            </w:tabs>
            <w:rPr/>
          </w:pPr>
          <w:hyperlink w:anchor="__RefHeading___Toc1840697_2322387425">
            <w:r>
              <w:rPr>
                <w:webHidden/>
                <w:rStyle w:val="IndexLink"/>
                <w:rtl w:val="true"/>
              </w:rPr>
              <w:t>حکم ترک التکبیرة و زیادتها أو نقصانها</w:t>
            </w:r>
            <w:r>
              <w:rPr>
                <w:rStyle w:val="IndexLink"/>
                <w:rtl w:val="true"/>
              </w:rPr>
              <w:tab/>
            </w:r>
            <w:r>
              <w:rPr>
                <w:rStyle w:val="IndexLink"/>
              </w:rPr>
              <w:t>96</w:t>
            </w:r>
          </w:hyperlink>
        </w:p>
        <w:p>
          <w:pPr>
            <w:pStyle w:val="Contents3"/>
            <w:tabs>
              <w:tab w:val="clear" w:pos="8459"/>
              <w:tab w:val="right" w:pos="9026" w:leader="dot"/>
            </w:tabs>
            <w:rPr/>
          </w:pPr>
          <w:hyperlink w:anchor="__RefHeading___Toc1840699_2322387425">
            <w:r>
              <w:rPr>
                <w:webHidden/>
                <w:rStyle w:val="IndexLink"/>
                <w:rtl w:val="true"/>
              </w:rPr>
              <w:t>الإتیان بتکبیرة أثناء الصلاة لصلاة اخری نسیاناً</w:t>
            </w:r>
            <w:r>
              <w:rPr>
                <w:rStyle w:val="IndexLink"/>
                <w:rtl w:val="true"/>
              </w:rPr>
              <w:tab/>
            </w:r>
            <w:r>
              <w:rPr>
                <w:rStyle w:val="IndexLink"/>
              </w:rPr>
              <w:t>98</w:t>
            </w:r>
          </w:hyperlink>
        </w:p>
        <w:p>
          <w:pPr>
            <w:pStyle w:val="Contents3"/>
            <w:tabs>
              <w:tab w:val="clear" w:pos="8459"/>
              <w:tab w:val="right" w:pos="9026" w:leader="dot"/>
            </w:tabs>
            <w:rPr/>
          </w:pPr>
          <w:hyperlink w:anchor="__RefHeading___Toc1840701_2322387425">
            <w:r>
              <w:rPr>
                <w:webHidden/>
                <w:rStyle w:val="IndexLink"/>
                <w:rtl w:val="true"/>
              </w:rPr>
              <w:t>لزوم الإتیان بتکبیرة الإحرام مجردة بلا وصل</w:t>
            </w:r>
            <w:r>
              <w:rPr>
                <w:rStyle w:val="IndexLink"/>
                <w:rtl w:val="true"/>
              </w:rPr>
              <w:tab/>
            </w:r>
            <w:r>
              <w:rPr>
                <w:rStyle w:val="IndexLink"/>
              </w:rPr>
              <w:t>99</w:t>
            </w:r>
          </w:hyperlink>
        </w:p>
        <w:p>
          <w:pPr>
            <w:pStyle w:val="Contents3"/>
            <w:tabs>
              <w:tab w:val="clear" w:pos="8459"/>
              <w:tab w:val="right" w:pos="9026" w:leader="dot"/>
            </w:tabs>
            <w:rPr/>
          </w:pPr>
          <w:hyperlink w:anchor="__RefHeading___Toc1840703_2322387425">
            <w:r>
              <w:rPr>
                <w:webHidden/>
                <w:rStyle w:val="IndexLink"/>
                <w:rtl w:val="true"/>
              </w:rPr>
              <w:t>التکبیر بغیر الکیفیة المعهودة</w:t>
            </w:r>
            <w:r>
              <w:rPr>
                <w:rStyle w:val="IndexLink"/>
                <w:rtl w:val="true"/>
              </w:rPr>
              <w:tab/>
            </w:r>
            <w:r>
              <w:rPr>
                <w:rStyle w:val="IndexLink"/>
              </w:rPr>
              <w:t>101</w:t>
            </w:r>
          </w:hyperlink>
        </w:p>
        <w:p>
          <w:pPr>
            <w:pStyle w:val="Contents3"/>
            <w:tabs>
              <w:tab w:val="clear" w:pos="8459"/>
              <w:tab w:val="right" w:pos="9026" w:leader="dot"/>
            </w:tabs>
            <w:rPr/>
          </w:pPr>
          <w:hyperlink w:anchor="__RefHeading___Toc1840705_2322387425">
            <w:r>
              <w:rPr>
                <w:webHidden/>
                <w:rStyle w:val="IndexLink"/>
                <w:rtl w:val="true"/>
              </w:rPr>
              <w:t>اعتبار القیام و الاستقرار فی تکبیرة الإحرام</w:t>
            </w:r>
            <w:r>
              <w:rPr>
                <w:rStyle w:val="IndexLink"/>
                <w:rtl w:val="true"/>
              </w:rPr>
              <w:tab/>
            </w:r>
            <w:r>
              <w:rPr>
                <w:rStyle w:val="IndexLink"/>
              </w:rPr>
              <w:t>103</w:t>
            </w:r>
          </w:hyperlink>
        </w:p>
        <w:p>
          <w:pPr>
            <w:pStyle w:val="Contents3"/>
            <w:tabs>
              <w:tab w:val="clear" w:pos="8459"/>
              <w:tab w:val="right" w:pos="9026" w:leader="dot"/>
            </w:tabs>
            <w:rPr/>
          </w:pPr>
          <w:hyperlink w:anchor="__RefHeading___Toc1840707_2322387425">
            <w:r>
              <w:rPr>
                <w:webHidden/>
                <w:rStyle w:val="IndexLink"/>
                <w:rtl w:val="true"/>
              </w:rPr>
              <w:t>أنی ما یتحقق به التلفظ</w:t>
            </w:r>
            <w:r>
              <w:rPr>
                <w:rStyle w:val="IndexLink"/>
                <w:rtl w:val="true"/>
              </w:rPr>
              <w:tab/>
            </w:r>
            <w:r>
              <w:rPr>
                <w:rStyle w:val="IndexLink"/>
              </w:rPr>
              <w:t>106</w:t>
            </w:r>
          </w:hyperlink>
        </w:p>
        <w:p>
          <w:pPr>
            <w:pStyle w:val="Contents3"/>
            <w:tabs>
              <w:tab w:val="clear" w:pos="8459"/>
              <w:tab w:val="right" w:pos="9026" w:leader="dot"/>
            </w:tabs>
            <w:rPr/>
          </w:pPr>
          <w:hyperlink w:anchor="__RefHeading___Toc1840709_2322387425">
            <w:r>
              <w:rPr>
                <w:webHidden/>
                <w:rStyle w:val="IndexLink"/>
                <w:rtl w:val="true"/>
              </w:rPr>
              <w:t>وجوب تعلم التکبیرة</w:t>
            </w:r>
            <w:r>
              <w:rPr>
                <w:rStyle w:val="IndexLink"/>
                <w:rtl w:val="true"/>
              </w:rPr>
              <w:tab/>
            </w:r>
            <w:r>
              <w:rPr>
                <w:rStyle w:val="IndexLink"/>
              </w:rPr>
              <w:t>107</w:t>
            </w:r>
          </w:hyperlink>
        </w:p>
        <w:p>
          <w:pPr>
            <w:pStyle w:val="Contents3"/>
            <w:tabs>
              <w:tab w:val="clear" w:pos="8459"/>
              <w:tab w:val="right" w:pos="9026" w:leader="dot"/>
            </w:tabs>
            <w:rPr/>
          </w:pPr>
          <w:hyperlink w:anchor="__RefHeading___Toc1840711_2322387425">
            <w:r>
              <w:rPr>
                <w:webHidden/>
                <w:rStyle w:val="IndexLink"/>
                <w:rtl w:val="true"/>
              </w:rPr>
              <w:t>کیفیة التکبیر من الأخرس</w:t>
            </w:r>
            <w:r>
              <w:rPr>
                <w:rStyle w:val="IndexLink"/>
                <w:rtl w:val="true"/>
              </w:rPr>
              <w:tab/>
            </w:r>
            <w:r>
              <w:rPr>
                <w:rStyle w:val="IndexLink"/>
              </w:rPr>
              <w:t>109</w:t>
            </w:r>
          </w:hyperlink>
        </w:p>
        <w:p>
          <w:pPr>
            <w:pStyle w:val="Contents3"/>
            <w:tabs>
              <w:tab w:val="clear" w:pos="8459"/>
              <w:tab w:val="right" w:pos="9026" w:leader="dot"/>
            </w:tabs>
            <w:rPr/>
          </w:pPr>
          <w:hyperlink w:anchor="__RefHeading___Toc1840713_2322387425">
            <w:r>
              <w:rPr>
                <w:webHidden/>
                <w:rStyle w:val="IndexLink"/>
                <w:rtl w:val="true"/>
              </w:rPr>
              <w:t>حکم التکبیرات المندوبة کحکم تکبیرة الإحرام</w:t>
            </w:r>
            <w:r>
              <w:rPr>
                <w:rStyle w:val="IndexLink"/>
                <w:rtl w:val="true"/>
              </w:rPr>
              <w:tab/>
            </w:r>
            <w:r>
              <w:rPr>
                <w:rStyle w:val="IndexLink"/>
              </w:rPr>
              <w:t>110</w:t>
            </w:r>
          </w:hyperlink>
        </w:p>
        <w:p>
          <w:pPr>
            <w:pStyle w:val="Contents3"/>
            <w:tabs>
              <w:tab w:val="clear" w:pos="8459"/>
              <w:tab w:val="right" w:pos="9026" w:leader="dot"/>
            </w:tabs>
            <w:rPr/>
          </w:pPr>
          <w:hyperlink w:anchor="__RefHeading___Toc1840715_2322387425">
            <w:r>
              <w:rPr>
                <w:webHidden/>
                <w:rStyle w:val="IndexLink"/>
                <w:rtl w:val="true"/>
              </w:rPr>
              <w:t>صحة صلاة من ترک التعلم فی سعة الوقت</w:t>
            </w:r>
            <w:r>
              <w:rPr>
                <w:rStyle w:val="IndexLink"/>
                <w:rtl w:val="true"/>
              </w:rPr>
              <w:tab/>
            </w:r>
            <w:r>
              <w:rPr>
                <w:rStyle w:val="IndexLink"/>
              </w:rPr>
              <w:t>110</w:t>
            </w:r>
          </w:hyperlink>
        </w:p>
        <w:p>
          <w:pPr>
            <w:pStyle w:val="Contents3"/>
            <w:tabs>
              <w:tab w:val="clear" w:pos="8459"/>
              <w:tab w:val="right" w:pos="9026" w:leader="dot"/>
            </w:tabs>
            <w:rPr/>
          </w:pPr>
          <w:hyperlink w:anchor="__RefHeading___Toc1840717_2322387425">
            <w:r>
              <w:rPr>
                <w:webHidden/>
                <w:rStyle w:val="IndexLink"/>
                <w:rtl w:val="true"/>
              </w:rPr>
              <w:t>استحباب الإتیان بست تکبیرات سوی تکبیرة الإحرام و اختیار الأخیرة</w:t>
            </w:r>
            <w:r>
              <w:rPr>
                <w:rStyle w:val="IndexLink"/>
                <w:rtl w:val="true"/>
              </w:rPr>
              <w:tab/>
            </w:r>
            <w:r>
              <w:rPr>
                <w:rStyle w:val="IndexLink"/>
              </w:rPr>
              <w:t>110</w:t>
            </w:r>
          </w:hyperlink>
        </w:p>
        <w:p>
          <w:pPr>
            <w:pStyle w:val="Contents3"/>
            <w:tabs>
              <w:tab w:val="clear" w:pos="8459"/>
              <w:tab w:val="right" w:pos="9026" w:leader="dot"/>
            </w:tabs>
            <w:rPr/>
          </w:pPr>
          <w:hyperlink w:anchor="__RefHeading___Toc1840719_2322387425">
            <w:r>
              <w:rPr>
                <w:webHidden/>
                <w:rStyle w:val="IndexLink"/>
                <w:rtl w:val="true"/>
              </w:rPr>
              <w:t>عموم استحباب الافتتاح، والقول بالاختصاص بمواضع</w:t>
            </w:r>
            <w:r>
              <w:rPr>
                <w:rStyle w:val="IndexLink"/>
                <w:rtl w:val="true"/>
              </w:rPr>
              <w:tab/>
            </w:r>
            <w:r>
              <w:rPr>
                <w:rStyle w:val="IndexLink"/>
              </w:rPr>
              <w:t>113</w:t>
            </w:r>
          </w:hyperlink>
        </w:p>
        <w:p>
          <w:pPr>
            <w:pStyle w:val="Contents3"/>
            <w:tabs>
              <w:tab w:val="clear" w:pos="8459"/>
              <w:tab w:val="right" w:pos="9026" w:leader="dot"/>
            </w:tabs>
            <w:rPr/>
          </w:pPr>
          <w:hyperlink w:anchor="__RefHeading___Toc1840721_2322387425">
            <w:r>
              <w:rPr>
                <w:webHidden/>
                <w:rStyle w:val="IndexLink"/>
                <w:rtl w:val="true"/>
              </w:rPr>
              <w:t>الجمع بین محتملات مسألة تعیین تکبیرة الإحرام</w:t>
            </w:r>
            <w:r>
              <w:rPr>
                <w:rStyle w:val="IndexLink"/>
                <w:rtl w:val="true"/>
              </w:rPr>
              <w:tab/>
            </w:r>
            <w:r>
              <w:rPr>
                <w:rStyle w:val="IndexLink"/>
              </w:rPr>
              <w:t>113</w:t>
            </w:r>
          </w:hyperlink>
        </w:p>
        <w:p>
          <w:pPr>
            <w:pStyle w:val="Contents3"/>
            <w:tabs>
              <w:tab w:val="clear" w:pos="8459"/>
              <w:tab w:val="right" w:pos="9026" w:leader="dot"/>
            </w:tabs>
            <w:rPr/>
          </w:pPr>
          <w:hyperlink w:anchor="__RefHeading___Toc1840723_2322387425">
            <w:r>
              <w:rPr>
                <w:webHidden/>
                <w:rStyle w:val="IndexLink"/>
                <w:rtl w:val="true"/>
              </w:rPr>
              <w:t>کیفیة الافتتاح بالسبع وصیغها</w:t>
            </w:r>
            <w:r>
              <w:rPr>
                <w:rStyle w:val="IndexLink"/>
                <w:rtl w:val="true"/>
              </w:rPr>
              <w:tab/>
            </w:r>
            <w:r>
              <w:rPr>
                <w:rStyle w:val="IndexLink"/>
              </w:rPr>
              <w:t>115</w:t>
            </w:r>
          </w:hyperlink>
        </w:p>
        <w:p>
          <w:pPr>
            <w:pStyle w:val="Contents3"/>
            <w:tabs>
              <w:tab w:val="clear" w:pos="8459"/>
              <w:tab w:val="right" w:pos="9026" w:leader="dot"/>
            </w:tabs>
            <w:rPr/>
          </w:pPr>
          <w:hyperlink w:anchor="__RefHeading___Toc1840725_2322387425">
            <w:r>
              <w:rPr>
                <w:webHidden/>
                <w:rStyle w:val="IndexLink"/>
                <w:rtl w:val="true"/>
              </w:rPr>
              <w:t>استحباب جهر الإمام بتکبیرة الإحرام</w:t>
            </w:r>
            <w:r>
              <w:rPr>
                <w:rStyle w:val="IndexLink"/>
                <w:rtl w:val="true"/>
              </w:rPr>
              <w:tab/>
            </w:r>
            <w:r>
              <w:rPr>
                <w:rStyle w:val="IndexLink"/>
              </w:rPr>
              <w:t>117</w:t>
            </w:r>
          </w:hyperlink>
        </w:p>
        <w:p>
          <w:pPr>
            <w:pStyle w:val="Contents3"/>
            <w:tabs>
              <w:tab w:val="clear" w:pos="8459"/>
              <w:tab w:val="right" w:pos="9026" w:leader="dot"/>
            </w:tabs>
            <w:rPr/>
          </w:pPr>
          <w:hyperlink w:anchor="__RefHeading___Toc1840727_2322387425">
            <w:r>
              <w:rPr>
                <w:webHidden/>
                <w:rStyle w:val="IndexLink"/>
                <w:rtl w:val="true"/>
              </w:rPr>
              <w:t>استحباب رفع الیدین حال التکبیر</w:t>
            </w:r>
            <w:r>
              <w:rPr>
                <w:rStyle w:val="IndexLink"/>
                <w:rtl w:val="true"/>
              </w:rPr>
              <w:tab/>
            </w:r>
            <w:r>
              <w:rPr>
                <w:rStyle w:val="IndexLink"/>
              </w:rPr>
              <w:t>118</w:t>
            </w:r>
          </w:hyperlink>
        </w:p>
        <w:p>
          <w:pPr>
            <w:pStyle w:val="Contents3"/>
            <w:tabs>
              <w:tab w:val="clear" w:pos="8459"/>
              <w:tab w:val="right" w:pos="9026" w:leader="dot"/>
            </w:tabs>
            <w:rPr/>
          </w:pPr>
          <w:hyperlink w:anchor="__RefHeading___Toc1840729_2322387425">
            <w:r>
              <w:rPr>
                <w:webHidden/>
                <w:rStyle w:val="IndexLink"/>
                <w:rtl w:val="true"/>
              </w:rPr>
              <w:t>حکم الشک فی تکبیرة الإحرام</w:t>
            </w:r>
            <w:r>
              <w:rPr>
                <w:rStyle w:val="IndexLink"/>
                <w:rtl w:val="true"/>
              </w:rPr>
              <w:tab/>
            </w:r>
            <w:r>
              <w:rPr>
                <w:rStyle w:val="IndexLink"/>
              </w:rPr>
              <w:t>121</w:t>
            </w:r>
          </w:hyperlink>
        </w:p>
        <w:p>
          <w:pPr>
            <w:pStyle w:val="Contents2"/>
            <w:tabs>
              <w:tab w:val="clear" w:pos="8743"/>
              <w:tab w:val="right" w:pos="9026" w:leader="dot"/>
            </w:tabs>
            <w:rPr/>
          </w:pPr>
          <w:hyperlink w:anchor="__RefHeading___Toc1840731_2322387425">
            <w:r>
              <w:rPr>
                <w:webHidden/>
                <w:rStyle w:val="IndexLink"/>
                <w:rtl w:val="true"/>
              </w:rPr>
              <w:t>فصل فی القیام</w:t>
            </w:r>
            <w:r>
              <w:rPr>
                <w:rStyle w:val="IndexLink"/>
                <w:rtl w:val="true"/>
              </w:rPr>
              <w:tab/>
            </w:r>
            <w:r>
              <w:rPr>
                <w:rStyle w:val="IndexLink"/>
              </w:rPr>
              <w:t>126</w:t>
            </w:r>
          </w:hyperlink>
        </w:p>
        <w:p>
          <w:pPr>
            <w:pStyle w:val="Contents3"/>
            <w:tabs>
              <w:tab w:val="clear" w:pos="8459"/>
              <w:tab w:val="right" w:pos="9026" w:leader="dot"/>
            </w:tabs>
            <w:rPr/>
          </w:pPr>
          <w:hyperlink w:anchor="__RefHeading___Toc1840733_2322387425">
            <w:r>
              <w:rPr>
                <w:webHidden/>
                <w:rStyle w:val="IndexLink"/>
                <w:rtl w:val="true"/>
              </w:rPr>
              <w:t>التعریف بأقسام القیام</w:t>
            </w:r>
            <w:r>
              <w:rPr>
                <w:rStyle w:val="IndexLink"/>
                <w:rtl w:val="true"/>
              </w:rPr>
              <w:tab/>
            </w:r>
            <w:r>
              <w:rPr>
                <w:rStyle w:val="IndexLink"/>
              </w:rPr>
              <w:t>126</w:t>
            </w:r>
          </w:hyperlink>
        </w:p>
        <w:p>
          <w:pPr>
            <w:pStyle w:val="Contents3"/>
            <w:tabs>
              <w:tab w:val="clear" w:pos="8459"/>
              <w:tab w:val="right" w:pos="9026" w:leader="dot"/>
            </w:tabs>
            <w:rPr/>
          </w:pPr>
          <w:hyperlink w:anchor="__RefHeading___Toc1840735_2322387425">
            <w:r>
              <w:rPr>
                <w:webHidden/>
                <w:rStyle w:val="IndexLink"/>
                <w:rtl w:val="true"/>
              </w:rPr>
              <w:t>القیام حال التکبیرة، و المتصل بارکوع واجب رکنی</w:t>
            </w:r>
            <w:r>
              <w:rPr>
                <w:rStyle w:val="IndexLink"/>
                <w:rtl w:val="true"/>
              </w:rPr>
              <w:tab/>
            </w:r>
            <w:r>
              <w:rPr>
                <w:rStyle w:val="IndexLink"/>
              </w:rPr>
              <w:t>126</w:t>
            </w:r>
          </w:hyperlink>
        </w:p>
        <w:p>
          <w:pPr>
            <w:pStyle w:val="Contents3"/>
            <w:tabs>
              <w:tab w:val="clear" w:pos="8459"/>
              <w:tab w:val="right" w:pos="9026" w:leader="dot"/>
            </w:tabs>
            <w:rPr/>
          </w:pPr>
          <w:hyperlink w:anchor="__RefHeading___Toc1840737_2322387425">
            <w:r>
              <w:rPr>
                <w:webHidden/>
                <w:rStyle w:val="IndexLink"/>
                <w:rtl w:val="true"/>
              </w:rPr>
              <w:t>القیام حال القراءة و بعد الرکوع واجب غیر رکنی</w:t>
            </w:r>
            <w:r>
              <w:rPr>
                <w:rStyle w:val="IndexLink"/>
                <w:rtl w:val="true"/>
              </w:rPr>
              <w:tab/>
            </w:r>
            <w:r>
              <w:rPr>
                <w:rStyle w:val="IndexLink"/>
              </w:rPr>
              <w:t>127</w:t>
            </w:r>
          </w:hyperlink>
        </w:p>
        <w:p>
          <w:pPr>
            <w:pStyle w:val="Contents3"/>
            <w:tabs>
              <w:tab w:val="clear" w:pos="8459"/>
              <w:tab w:val="right" w:pos="9026" w:leader="dot"/>
            </w:tabs>
            <w:rPr/>
          </w:pPr>
          <w:hyperlink w:anchor="__RefHeading___Toc1840739_2322387425">
            <w:r>
              <w:rPr>
                <w:webHidden/>
                <w:rStyle w:val="IndexLink"/>
                <w:rtl w:val="true"/>
              </w:rPr>
              <w:t>القیام المستحب و المباح</w:t>
            </w:r>
            <w:r>
              <w:rPr>
                <w:rStyle w:val="IndexLink"/>
                <w:rtl w:val="true"/>
              </w:rPr>
              <w:tab/>
            </w:r>
            <w:r>
              <w:rPr>
                <w:rStyle w:val="IndexLink"/>
              </w:rPr>
              <w:t>127</w:t>
            </w:r>
          </w:hyperlink>
        </w:p>
        <w:p>
          <w:pPr>
            <w:pStyle w:val="Contents3"/>
            <w:tabs>
              <w:tab w:val="clear" w:pos="8459"/>
              <w:tab w:val="right" w:pos="9026" w:leader="dot"/>
            </w:tabs>
            <w:rPr/>
          </w:pPr>
          <w:hyperlink w:anchor="__RefHeading___Toc1840741_2322387425">
            <w:r>
              <w:rPr>
                <w:webHidden/>
                <w:rStyle w:val="IndexLink"/>
                <w:rtl w:val="true"/>
              </w:rPr>
              <w:t>حکم القیام حال تکبیرة الإحرام و قبلها و بعدها</w:t>
            </w:r>
            <w:r>
              <w:rPr>
                <w:rStyle w:val="IndexLink"/>
                <w:rtl w:val="true"/>
              </w:rPr>
              <w:tab/>
            </w:r>
            <w:r>
              <w:rPr>
                <w:rStyle w:val="IndexLink"/>
              </w:rPr>
              <w:t>127</w:t>
            </w:r>
          </w:hyperlink>
        </w:p>
        <w:p>
          <w:pPr>
            <w:pStyle w:val="Contents3"/>
            <w:tabs>
              <w:tab w:val="clear" w:pos="8459"/>
              <w:tab w:val="right" w:pos="9026" w:leader="dot"/>
            </w:tabs>
            <w:rPr/>
          </w:pPr>
          <w:hyperlink w:anchor="__RefHeading___Toc1840743_2322387425">
            <w:r>
              <w:rPr>
                <w:webHidden/>
                <w:rStyle w:val="IndexLink"/>
                <w:rtl w:val="true"/>
              </w:rPr>
              <w:t>حکم القیام حال القراءة و التسبیحات</w:t>
            </w:r>
            <w:r>
              <w:rPr>
                <w:rStyle w:val="IndexLink"/>
                <w:rtl w:val="true"/>
              </w:rPr>
              <w:tab/>
            </w:r>
            <w:r>
              <w:rPr>
                <w:rStyle w:val="IndexLink"/>
              </w:rPr>
              <w:t>128</w:t>
            </w:r>
          </w:hyperlink>
        </w:p>
        <w:p>
          <w:pPr>
            <w:pStyle w:val="Contents3"/>
            <w:tabs>
              <w:tab w:val="clear" w:pos="8459"/>
              <w:tab w:val="right" w:pos="9026" w:leader="dot"/>
            </w:tabs>
            <w:rPr/>
          </w:pPr>
          <w:hyperlink w:anchor="__RefHeading___Toc1840745_2322387425">
            <w:r>
              <w:rPr>
                <w:webHidden/>
                <w:rStyle w:val="IndexLink"/>
                <w:rtl w:val="true"/>
              </w:rPr>
              <w:t>المراد من استحبابیة القیام حال القنوت</w:t>
            </w:r>
            <w:r>
              <w:rPr>
                <w:rStyle w:val="IndexLink"/>
                <w:rtl w:val="true"/>
              </w:rPr>
              <w:tab/>
            </w:r>
            <w:r>
              <w:rPr>
                <w:rStyle w:val="IndexLink"/>
              </w:rPr>
              <w:t>130</w:t>
            </w:r>
          </w:hyperlink>
        </w:p>
        <w:p>
          <w:pPr>
            <w:pStyle w:val="Contents3"/>
            <w:tabs>
              <w:tab w:val="clear" w:pos="8459"/>
              <w:tab w:val="right" w:pos="9026" w:leader="dot"/>
            </w:tabs>
            <w:rPr/>
          </w:pPr>
          <w:hyperlink w:anchor="__RefHeading___Toc1840747_2322387425">
            <w:r>
              <w:rPr>
                <w:webHidden/>
                <w:rStyle w:val="IndexLink"/>
                <w:rtl w:val="true"/>
              </w:rPr>
              <w:t>حکم نسیان القیام حال القراءة</w:t>
            </w:r>
            <w:r>
              <w:rPr>
                <w:rStyle w:val="IndexLink"/>
                <w:rtl w:val="true"/>
              </w:rPr>
              <w:tab/>
            </w:r>
            <w:r>
              <w:rPr>
                <w:rStyle w:val="IndexLink"/>
              </w:rPr>
              <w:t>131</w:t>
            </w:r>
          </w:hyperlink>
        </w:p>
        <w:p>
          <w:pPr>
            <w:pStyle w:val="Contents3"/>
            <w:tabs>
              <w:tab w:val="clear" w:pos="8459"/>
              <w:tab w:val="right" w:pos="9026" w:leader="dot"/>
            </w:tabs>
            <w:rPr/>
          </w:pPr>
          <w:hyperlink w:anchor="__RefHeading___Toc1840749_2322387425">
            <w:r>
              <w:rPr>
                <w:webHidden/>
                <w:rStyle w:val="IndexLink"/>
                <w:rtl w:val="true"/>
              </w:rPr>
              <w:t>المراد من القیام المتصل بالرکوع</w:t>
            </w:r>
            <w:r>
              <w:rPr>
                <w:rStyle w:val="IndexLink"/>
                <w:rtl w:val="true"/>
              </w:rPr>
              <w:tab/>
            </w:r>
            <w:r>
              <w:rPr>
                <w:rStyle w:val="IndexLink"/>
              </w:rPr>
              <w:t>133</w:t>
            </w:r>
          </w:hyperlink>
        </w:p>
        <w:p>
          <w:pPr>
            <w:pStyle w:val="Contents3"/>
            <w:tabs>
              <w:tab w:val="clear" w:pos="8459"/>
              <w:tab w:val="right" w:pos="9026" w:leader="dot"/>
            </w:tabs>
            <w:rPr/>
          </w:pPr>
          <w:hyperlink w:anchor="__RefHeading___Toc1840751_2322387425">
            <w:r>
              <w:rPr>
                <w:webHidden/>
                <w:rStyle w:val="IndexLink"/>
                <w:rtl w:val="true"/>
              </w:rPr>
              <w:t>الکلام فی زیادة القیام</w:t>
            </w:r>
            <w:r>
              <w:rPr>
                <w:rStyle w:val="IndexLink"/>
                <w:rtl w:val="true"/>
              </w:rPr>
              <w:tab/>
            </w:r>
            <w:r>
              <w:rPr>
                <w:rStyle w:val="IndexLink"/>
              </w:rPr>
              <w:t>133</w:t>
            </w:r>
          </w:hyperlink>
        </w:p>
        <w:p>
          <w:pPr>
            <w:pStyle w:val="Contents3"/>
            <w:tabs>
              <w:tab w:val="clear" w:pos="8459"/>
              <w:tab w:val="right" w:pos="9026" w:leader="dot"/>
            </w:tabs>
            <w:rPr/>
          </w:pPr>
          <w:hyperlink w:anchor="__RefHeading___Toc1840753_2322387425">
            <w:r>
              <w:rPr>
                <w:webHidden/>
                <w:rStyle w:val="IndexLink"/>
                <w:rtl w:val="true"/>
              </w:rPr>
              <w:t>الشک فی القیام بعد تجاوزه</w:t>
            </w:r>
            <w:r>
              <w:rPr>
                <w:rStyle w:val="IndexLink"/>
                <w:rtl w:val="true"/>
              </w:rPr>
              <w:tab/>
            </w:r>
            <w:r>
              <w:rPr>
                <w:rStyle w:val="IndexLink"/>
              </w:rPr>
              <w:t>133</w:t>
            </w:r>
          </w:hyperlink>
        </w:p>
        <w:p>
          <w:pPr>
            <w:pStyle w:val="Contents3"/>
            <w:tabs>
              <w:tab w:val="clear" w:pos="8459"/>
              <w:tab w:val="right" w:pos="9026" w:leader="dot"/>
            </w:tabs>
            <w:rPr/>
          </w:pPr>
          <w:hyperlink w:anchor="__RefHeading___Toc1840755_2322387425">
            <w:r>
              <w:rPr>
                <w:webHidden/>
                <w:rStyle w:val="IndexLink"/>
                <w:rtl w:val="true"/>
              </w:rPr>
              <w:t>ما یعتبر فی القیام</w:t>
            </w:r>
            <w:r>
              <w:rPr>
                <w:rStyle w:val="IndexLink"/>
                <w:rtl w:val="true"/>
              </w:rPr>
              <w:tab/>
            </w:r>
            <w:r>
              <w:rPr>
                <w:rStyle w:val="IndexLink"/>
              </w:rPr>
              <w:t>135</w:t>
            </w:r>
          </w:hyperlink>
        </w:p>
        <w:p>
          <w:pPr>
            <w:pStyle w:val="Contents3"/>
            <w:tabs>
              <w:tab w:val="clear" w:pos="8459"/>
              <w:tab w:val="right" w:pos="9026" w:leader="dot"/>
            </w:tabs>
            <w:rPr/>
          </w:pPr>
          <w:hyperlink w:anchor="__RefHeading___Toc1840757_2322387425">
            <w:r>
              <w:rPr>
                <w:webHidden/>
                <w:rStyle w:val="IndexLink"/>
                <w:rtl w:val="true"/>
              </w:rPr>
              <w:t>الإخلال بشرائط القیام نسیاناً</w:t>
            </w:r>
            <w:r>
              <w:rPr>
                <w:rStyle w:val="IndexLink"/>
                <w:rtl w:val="true"/>
              </w:rPr>
              <w:tab/>
            </w:r>
            <w:r>
              <w:rPr>
                <w:rStyle w:val="IndexLink"/>
              </w:rPr>
              <w:t>139</w:t>
            </w:r>
          </w:hyperlink>
        </w:p>
        <w:p>
          <w:pPr>
            <w:pStyle w:val="Contents3"/>
            <w:tabs>
              <w:tab w:val="clear" w:pos="8459"/>
              <w:tab w:val="right" w:pos="9026" w:leader="dot"/>
            </w:tabs>
            <w:rPr/>
          </w:pPr>
          <w:hyperlink w:anchor="__RefHeading___Toc1840759_2322387425">
            <w:r>
              <w:rPr>
                <w:webHidden/>
                <w:rStyle w:val="IndexLink"/>
                <w:rtl w:val="true"/>
              </w:rPr>
              <w:t>حکم الاعتماد علی إحدی الرجلین حال القیام</w:t>
            </w:r>
            <w:r>
              <w:rPr>
                <w:rStyle w:val="IndexLink"/>
                <w:rtl w:val="true"/>
              </w:rPr>
              <w:tab/>
            </w:r>
            <w:r>
              <w:rPr>
                <w:rStyle w:val="IndexLink"/>
              </w:rPr>
              <w:t>140</w:t>
            </w:r>
          </w:hyperlink>
        </w:p>
        <w:p>
          <w:pPr>
            <w:pStyle w:val="Contents3"/>
            <w:tabs>
              <w:tab w:val="clear" w:pos="8459"/>
              <w:tab w:val="right" w:pos="9026" w:leader="dot"/>
            </w:tabs>
            <w:rPr/>
          </w:pPr>
          <w:hyperlink w:anchor="__RefHeading___Toc1840761_2322387425">
            <w:r>
              <w:rPr>
                <w:webHidden/>
                <w:rStyle w:val="IndexLink"/>
                <w:rtl w:val="true"/>
              </w:rPr>
              <w:t>حکم الاعتماد والمعتمد علیه فی حال الاضطرار</w:t>
            </w:r>
            <w:r>
              <w:rPr>
                <w:rStyle w:val="IndexLink"/>
                <w:rtl w:val="true"/>
              </w:rPr>
              <w:tab/>
            </w:r>
            <w:r>
              <w:rPr>
                <w:rStyle w:val="IndexLink"/>
              </w:rPr>
              <w:t>141</w:t>
            </w:r>
          </w:hyperlink>
        </w:p>
        <w:p>
          <w:pPr>
            <w:pStyle w:val="Contents3"/>
            <w:tabs>
              <w:tab w:val="clear" w:pos="8459"/>
              <w:tab w:val="right" w:pos="9026" w:leader="dot"/>
            </w:tabs>
            <w:rPr/>
          </w:pPr>
          <w:hyperlink w:anchor="__RefHeading___Toc1840763_2322387425">
            <w:r>
              <w:rPr>
                <w:webHidden/>
                <w:rStyle w:val="IndexLink"/>
                <w:rtl w:val="true"/>
              </w:rPr>
              <w:t>مقدمیة القیام الاضطراری بأقسامه علی الجلوس</w:t>
            </w:r>
            <w:r>
              <w:rPr>
                <w:rStyle w:val="IndexLink"/>
                <w:rtl w:val="true"/>
              </w:rPr>
              <w:tab/>
            </w:r>
            <w:r>
              <w:rPr>
                <w:rStyle w:val="IndexLink"/>
              </w:rPr>
              <w:t>141</w:t>
            </w:r>
          </w:hyperlink>
        </w:p>
        <w:p>
          <w:pPr>
            <w:pStyle w:val="Contents3"/>
            <w:tabs>
              <w:tab w:val="clear" w:pos="8459"/>
              <w:tab w:val="right" w:pos="9026" w:leader="dot"/>
            </w:tabs>
            <w:rPr/>
          </w:pPr>
          <w:hyperlink w:anchor="__RefHeading___Toc1840765_2322387425">
            <w:r>
              <w:rPr>
                <w:webHidden/>
                <w:rStyle w:val="IndexLink"/>
                <w:rtl w:val="true"/>
              </w:rPr>
              <w:t>حکم العاجز عن القیام أو الجلوس أو الاستلقاء</w:t>
            </w:r>
            <w:r>
              <w:rPr>
                <w:rStyle w:val="IndexLink"/>
                <w:rtl w:val="true"/>
              </w:rPr>
              <w:tab/>
            </w:r>
            <w:r>
              <w:rPr>
                <w:rStyle w:val="IndexLink"/>
              </w:rPr>
              <w:t>146</w:t>
            </w:r>
          </w:hyperlink>
        </w:p>
        <w:p>
          <w:pPr>
            <w:pStyle w:val="Contents3"/>
            <w:tabs>
              <w:tab w:val="clear" w:pos="8459"/>
              <w:tab w:val="right" w:pos="9026" w:leader="dot"/>
            </w:tabs>
            <w:rPr/>
          </w:pPr>
          <w:hyperlink w:anchor="__RefHeading___Toc1840767_2322387425">
            <w:r>
              <w:rPr>
                <w:webHidden/>
                <w:rStyle w:val="IndexLink"/>
                <w:rtl w:val="true"/>
              </w:rPr>
              <w:t>حکم التمتکن من القیام و العاجز عن الرکوع قائماً أو السجود</w:t>
            </w:r>
            <w:r>
              <w:rPr>
                <w:rStyle w:val="IndexLink"/>
                <w:rtl w:val="true"/>
              </w:rPr>
              <w:tab/>
            </w:r>
            <w:r>
              <w:rPr>
                <w:rStyle w:val="IndexLink"/>
              </w:rPr>
              <w:t>152</w:t>
            </w:r>
          </w:hyperlink>
        </w:p>
        <w:p>
          <w:pPr>
            <w:pStyle w:val="Contents3"/>
            <w:tabs>
              <w:tab w:val="clear" w:pos="8459"/>
              <w:tab w:val="right" w:pos="9026" w:leader="dot"/>
            </w:tabs>
            <w:rPr/>
          </w:pPr>
          <w:hyperlink w:anchor="__RefHeading___Toc1840769_2322387425">
            <w:r>
              <w:rPr>
                <w:webHidden/>
                <w:rStyle w:val="IndexLink"/>
                <w:rtl w:val="true"/>
              </w:rPr>
              <w:t>الحکم فی ترک القیام أو ترک الرکوع و السجود</w:t>
            </w:r>
            <w:r>
              <w:rPr>
                <w:rStyle w:val="IndexLink"/>
                <w:rtl w:val="true"/>
              </w:rPr>
              <w:tab/>
            </w:r>
            <w:r>
              <w:rPr>
                <w:rStyle w:val="IndexLink"/>
              </w:rPr>
              <w:t>156</w:t>
            </w:r>
          </w:hyperlink>
        </w:p>
        <w:p>
          <w:pPr>
            <w:pStyle w:val="Contents3"/>
            <w:tabs>
              <w:tab w:val="clear" w:pos="8459"/>
              <w:tab w:val="right" w:pos="9026" w:leader="dot"/>
            </w:tabs>
            <w:rPr/>
          </w:pPr>
          <w:hyperlink w:anchor="__RefHeading___Toc1840771_2322387425">
            <w:r>
              <w:rPr>
                <w:webHidden/>
                <w:rStyle w:val="IndexLink"/>
                <w:rtl w:val="true"/>
              </w:rPr>
              <w:t>دوران الأمر بین الصلاة قائماً ماشیاً أو جالساً</w:t>
            </w:r>
            <w:r>
              <w:rPr>
                <w:rStyle w:val="IndexLink"/>
                <w:rtl w:val="true"/>
              </w:rPr>
              <w:tab/>
            </w:r>
            <w:r>
              <w:rPr>
                <w:rStyle w:val="IndexLink"/>
              </w:rPr>
              <w:t>159</w:t>
            </w:r>
          </w:hyperlink>
        </w:p>
        <w:p>
          <w:pPr>
            <w:pStyle w:val="Contents3"/>
            <w:tabs>
              <w:tab w:val="clear" w:pos="8459"/>
              <w:tab w:val="right" w:pos="9026" w:leader="dot"/>
            </w:tabs>
            <w:rPr/>
          </w:pPr>
          <w:hyperlink w:anchor="__RefHeading___Toc1840773_2322387425">
            <w:r>
              <w:rPr>
                <w:webHidden/>
                <w:rStyle w:val="IndexLink"/>
                <w:rtl w:val="true"/>
              </w:rPr>
              <w:t>فی من کانت وظیفته الجلوس و أمکنه القیام للرکوع</w:t>
            </w:r>
            <w:r>
              <w:rPr>
                <w:rStyle w:val="IndexLink"/>
                <w:rtl w:val="true"/>
              </w:rPr>
              <w:tab/>
            </w:r>
            <w:r>
              <w:rPr>
                <w:rStyle w:val="IndexLink"/>
              </w:rPr>
              <w:t>161</w:t>
            </w:r>
          </w:hyperlink>
        </w:p>
        <w:p>
          <w:pPr>
            <w:pStyle w:val="Contents3"/>
            <w:tabs>
              <w:tab w:val="clear" w:pos="8459"/>
              <w:tab w:val="right" w:pos="9026" w:leader="dot"/>
            </w:tabs>
            <w:rPr/>
          </w:pPr>
          <w:hyperlink w:anchor="__RefHeading___Toc1840775_2322387425">
            <w:r>
              <w:rPr>
                <w:webHidden/>
                <w:rStyle w:val="IndexLink"/>
                <w:rtl w:val="true"/>
              </w:rPr>
              <w:t>حکم القادر علی القیام فی بعض الرکعات أو الرکعة</w:t>
            </w:r>
            <w:r>
              <w:rPr>
                <w:rStyle w:val="IndexLink"/>
                <w:rtl w:val="true"/>
              </w:rPr>
              <w:tab/>
            </w:r>
            <w:r>
              <w:rPr>
                <w:rStyle w:val="IndexLink"/>
              </w:rPr>
              <w:t>161</w:t>
            </w:r>
          </w:hyperlink>
        </w:p>
        <w:p>
          <w:pPr>
            <w:pStyle w:val="Contents3"/>
            <w:tabs>
              <w:tab w:val="clear" w:pos="8459"/>
              <w:tab w:val="right" w:pos="9026" w:leader="dot"/>
            </w:tabs>
            <w:rPr/>
          </w:pPr>
          <w:hyperlink w:anchor="__RefHeading___Toc1840777_2322387425">
            <w:r>
              <w:rPr>
                <w:webHidden/>
                <w:rStyle w:val="IndexLink"/>
                <w:rtl w:val="true"/>
              </w:rPr>
              <w:t>مقدمیة المشی أو الرکوب حال اصلاة للعجز عن القیام</w:t>
            </w:r>
            <w:r>
              <w:rPr>
                <w:rStyle w:val="IndexLink"/>
                <w:rtl w:val="true"/>
              </w:rPr>
              <w:tab/>
            </w:r>
            <w:r>
              <w:rPr>
                <w:rStyle w:val="IndexLink"/>
              </w:rPr>
              <w:t>164</w:t>
            </w:r>
          </w:hyperlink>
        </w:p>
        <w:p>
          <w:pPr>
            <w:pStyle w:val="Contents3"/>
            <w:tabs>
              <w:tab w:val="clear" w:pos="8459"/>
              <w:tab w:val="right" w:pos="9026" w:leader="dot"/>
            </w:tabs>
            <w:rPr/>
          </w:pPr>
          <w:hyperlink w:anchor="__RefHeading___Toc1840779_2322387425">
            <w:r>
              <w:rPr>
                <w:webHidden/>
                <w:rStyle w:val="IndexLink"/>
                <w:rtl w:val="true"/>
              </w:rPr>
              <w:t>مطنة التمکن من القیام فی آخر الوقت</w:t>
            </w:r>
            <w:r>
              <w:rPr>
                <w:rStyle w:val="IndexLink"/>
                <w:rtl w:val="true"/>
              </w:rPr>
              <w:tab/>
            </w:r>
            <w:r>
              <w:rPr>
                <w:rStyle w:val="IndexLink"/>
              </w:rPr>
              <w:t>165</w:t>
            </w:r>
          </w:hyperlink>
        </w:p>
        <w:p>
          <w:pPr>
            <w:pStyle w:val="Contents3"/>
            <w:tabs>
              <w:tab w:val="clear" w:pos="8459"/>
              <w:tab w:val="right" w:pos="9026" w:leader="dot"/>
            </w:tabs>
            <w:rPr/>
          </w:pPr>
          <w:hyperlink w:anchor="__RefHeading___Toc1840781_2322387425">
            <w:r>
              <w:rPr>
                <w:webHidden/>
                <w:rStyle w:val="IndexLink"/>
                <w:rtl w:val="true"/>
              </w:rPr>
              <w:t>حکم التمکن من القیام مع خوف المرض أو بطء برئه</w:t>
            </w:r>
            <w:r>
              <w:rPr>
                <w:rStyle w:val="IndexLink"/>
                <w:rtl w:val="true"/>
              </w:rPr>
              <w:tab/>
            </w:r>
            <w:r>
              <w:rPr>
                <w:rStyle w:val="IndexLink"/>
              </w:rPr>
              <w:t>166</w:t>
            </w:r>
          </w:hyperlink>
        </w:p>
        <w:p>
          <w:pPr>
            <w:pStyle w:val="Contents3"/>
            <w:tabs>
              <w:tab w:val="clear" w:pos="8459"/>
              <w:tab w:val="right" w:pos="9026" w:leader="dot"/>
            </w:tabs>
            <w:rPr/>
          </w:pPr>
          <w:hyperlink w:anchor="__RefHeading___Toc1840783_2322387425">
            <w:r>
              <w:rPr>
                <w:webHidden/>
                <w:rStyle w:val="IndexLink"/>
                <w:rtl w:val="true"/>
              </w:rPr>
              <w:t>الحکم بین مراعاة الاستقبال و مراعاة القیام</w:t>
            </w:r>
            <w:r>
              <w:rPr>
                <w:rStyle w:val="IndexLink"/>
                <w:rtl w:val="true"/>
              </w:rPr>
              <w:tab/>
            </w:r>
            <w:r>
              <w:rPr>
                <w:rStyle w:val="IndexLink"/>
              </w:rPr>
              <w:t>166</w:t>
            </w:r>
          </w:hyperlink>
        </w:p>
        <w:p>
          <w:pPr>
            <w:pStyle w:val="Contents3"/>
            <w:tabs>
              <w:tab w:val="clear" w:pos="8459"/>
              <w:tab w:val="right" w:pos="9026" w:leader="dot"/>
            </w:tabs>
            <w:rPr/>
          </w:pPr>
          <w:hyperlink w:anchor="__RefHeading___Toc1840785_2322387425">
            <w:r>
              <w:rPr>
                <w:webHidden/>
                <w:rStyle w:val="IndexLink"/>
                <w:rtl w:val="true"/>
              </w:rPr>
              <w:t>حکم تجدد العجز عن القیام فی أثناء الصلاة</w:t>
            </w:r>
            <w:r>
              <w:rPr>
                <w:rStyle w:val="IndexLink"/>
                <w:rtl w:val="true"/>
              </w:rPr>
              <w:tab/>
            </w:r>
            <w:r>
              <w:rPr>
                <w:rStyle w:val="IndexLink"/>
              </w:rPr>
              <w:t>168</w:t>
            </w:r>
          </w:hyperlink>
        </w:p>
        <w:p>
          <w:pPr>
            <w:pStyle w:val="Contents3"/>
            <w:tabs>
              <w:tab w:val="clear" w:pos="8459"/>
              <w:tab w:val="right" w:pos="9026" w:leader="dot"/>
            </w:tabs>
            <w:rPr/>
          </w:pPr>
          <w:hyperlink w:anchor="__RefHeading___Toc1840787_2322387425">
            <w:r>
              <w:rPr>
                <w:webHidden/>
                <w:rStyle w:val="IndexLink"/>
                <w:rtl w:val="true"/>
              </w:rPr>
              <w:t>حکم تجدد القدرة علی القیام فی أثناء الصلاة</w:t>
            </w:r>
            <w:r>
              <w:rPr>
                <w:rStyle w:val="IndexLink"/>
                <w:rtl w:val="true"/>
              </w:rPr>
              <w:tab/>
            </w:r>
            <w:r>
              <w:rPr>
                <w:rStyle w:val="IndexLink"/>
              </w:rPr>
              <w:t>170</w:t>
            </w:r>
          </w:hyperlink>
        </w:p>
        <w:p>
          <w:pPr>
            <w:pStyle w:val="Contents3"/>
            <w:tabs>
              <w:tab w:val="clear" w:pos="8459"/>
              <w:tab w:val="right" w:pos="9026" w:leader="dot"/>
            </w:tabs>
            <w:rPr/>
          </w:pPr>
          <w:hyperlink w:anchor="__RefHeading___Toc1840789_2322387425">
            <w:r>
              <w:rPr>
                <w:webHidden/>
                <w:rStyle w:val="IndexLink"/>
                <w:rtl w:val="true"/>
              </w:rPr>
              <w:t>لو رکع قائماً ثم عجز عن القیام</w:t>
            </w:r>
            <w:r>
              <w:rPr>
                <w:rStyle w:val="IndexLink"/>
                <w:rtl w:val="true"/>
              </w:rPr>
              <w:tab/>
            </w:r>
            <w:r>
              <w:rPr>
                <w:rStyle w:val="IndexLink"/>
              </w:rPr>
              <w:t>174</w:t>
            </w:r>
          </w:hyperlink>
        </w:p>
        <w:p>
          <w:pPr>
            <w:pStyle w:val="Contents3"/>
            <w:tabs>
              <w:tab w:val="clear" w:pos="8459"/>
              <w:tab w:val="right" w:pos="9026" w:leader="dot"/>
            </w:tabs>
            <w:rPr/>
          </w:pPr>
          <w:hyperlink w:anchor="__RefHeading___Toc1840791_2322387425">
            <w:r>
              <w:rPr>
                <w:webHidden/>
                <w:rStyle w:val="IndexLink"/>
                <w:rtl w:val="true"/>
              </w:rPr>
              <w:t>اعتبار الاستقرار فی أفعال اصلاة و أذکارها</w:t>
            </w:r>
            <w:r>
              <w:rPr>
                <w:rStyle w:val="IndexLink"/>
                <w:rtl w:val="true"/>
              </w:rPr>
              <w:tab/>
            </w:r>
            <w:r>
              <w:rPr>
                <w:rStyle w:val="IndexLink"/>
              </w:rPr>
              <w:t>175</w:t>
            </w:r>
          </w:hyperlink>
        </w:p>
        <w:p>
          <w:pPr>
            <w:pStyle w:val="Contents3"/>
            <w:tabs>
              <w:tab w:val="clear" w:pos="8459"/>
              <w:tab w:val="right" w:pos="9026" w:leader="dot"/>
            </w:tabs>
            <w:rPr/>
          </w:pPr>
          <w:hyperlink w:anchor="__RefHeading___Toc1840793_2322387425">
            <w:r>
              <w:rPr>
                <w:webHidden/>
                <w:rStyle w:val="IndexLink"/>
                <w:rtl w:val="true"/>
              </w:rPr>
              <w:t>حکم العاجز عن السجود</w:t>
            </w:r>
            <w:r>
              <w:rPr>
                <w:rStyle w:val="IndexLink"/>
                <w:rtl w:val="true"/>
              </w:rPr>
              <w:tab/>
            </w:r>
            <w:r>
              <w:rPr>
                <w:rStyle w:val="IndexLink"/>
              </w:rPr>
              <w:t>176</w:t>
            </w:r>
          </w:hyperlink>
        </w:p>
        <w:p>
          <w:pPr>
            <w:pStyle w:val="Contents3"/>
            <w:tabs>
              <w:tab w:val="clear" w:pos="8459"/>
              <w:tab w:val="right" w:pos="9026" w:leader="dot"/>
            </w:tabs>
            <w:rPr/>
          </w:pPr>
          <w:hyperlink w:anchor="__RefHeading___Toc1840795_2322387425">
            <w:r>
              <w:rPr>
                <w:webHidden/>
                <w:rStyle w:val="IndexLink"/>
                <w:rtl w:val="true"/>
              </w:rPr>
              <w:t>کیفیة الجلوس للمصلی جالساً</w:t>
            </w:r>
            <w:r>
              <w:rPr>
                <w:rStyle w:val="IndexLink"/>
                <w:rtl w:val="true"/>
              </w:rPr>
              <w:tab/>
            </w:r>
            <w:r>
              <w:rPr>
                <w:rStyle w:val="IndexLink"/>
              </w:rPr>
              <w:t>178</w:t>
            </w:r>
          </w:hyperlink>
        </w:p>
        <w:p>
          <w:pPr>
            <w:pStyle w:val="Contents3"/>
            <w:tabs>
              <w:tab w:val="clear" w:pos="8459"/>
              <w:tab w:val="right" w:pos="9026" w:leader="dot"/>
            </w:tabs>
            <w:rPr/>
          </w:pPr>
          <w:hyperlink w:anchor="__RefHeading___Toc1840797_2322387425">
            <w:r>
              <w:rPr>
                <w:webHidden/>
                <w:rStyle w:val="IndexLink"/>
                <w:rtl w:val="true"/>
              </w:rPr>
              <w:t>مستحبات القیام</w:t>
            </w:r>
            <w:r>
              <w:rPr>
                <w:rStyle w:val="IndexLink"/>
                <w:rtl w:val="true"/>
              </w:rPr>
              <w:tab/>
            </w:r>
            <w:r>
              <w:rPr>
                <w:rStyle w:val="IndexLink"/>
              </w:rPr>
              <w:t>178</w:t>
            </w:r>
          </w:hyperlink>
        </w:p>
        <w:p>
          <w:pPr>
            <w:pStyle w:val="Contents2"/>
            <w:tabs>
              <w:tab w:val="clear" w:pos="8743"/>
              <w:tab w:val="right" w:pos="9026" w:leader="dot"/>
            </w:tabs>
            <w:rPr/>
          </w:pPr>
          <w:hyperlink w:anchor="__RefHeading___Toc1840799_2322387425">
            <w:r>
              <w:rPr>
                <w:webHidden/>
                <w:rStyle w:val="IndexLink"/>
                <w:rtl w:val="true"/>
              </w:rPr>
              <w:t>فصل فی القراءة</w:t>
            </w:r>
            <w:r>
              <w:rPr>
                <w:rStyle w:val="IndexLink"/>
                <w:rtl w:val="true"/>
              </w:rPr>
              <w:tab/>
            </w:r>
            <w:r>
              <w:rPr>
                <w:rStyle w:val="IndexLink"/>
              </w:rPr>
              <w:t>180</w:t>
            </w:r>
          </w:hyperlink>
        </w:p>
        <w:p>
          <w:pPr>
            <w:pStyle w:val="Contents3"/>
            <w:tabs>
              <w:tab w:val="clear" w:pos="8459"/>
              <w:tab w:val="right" w:pos="9026" w:leader="dot"/>
            </w:tabs>
            <w:rPr/>
          </w:pPr>
          <w:hyperlink w:anchor="__RefHeading___Toc1840801_2322387425">
            <w:r>
              <w:rPr>
                <w:webHidden/>
                <w:rStyle w:val="IndexLink"/>
                <w:rtl w:val="true"/>
              </w:rPr>
              <w:t>ما یجب قراءته فی صلاة القرائض</w:t>
            </w:r>
            <w:r>
              <w:rPr>
                <w:rStyle w:val="IndexLink"/>
                <w:rtl w:val="true"/>
              </w:rPr>
              <w:tab/>
            </w:r>
            <w:r>
              <w:rPr>
                <w:rStyle w:val="IndexLink"/>
              </w:rPr>
              <w:t>180</w:t>
            </w:r>
          </w:hyperlink>
        </w:p>
        <w:p>
          <w:pPr>
            <w:pStyle w:val="Contents3"/>
            <w:tabs>
              <w:tab w:val="clear" w:pos="8459"/>
              <w:tab w:val="right" w:pos="9026" w:leader="dot"/>
            </w:tabs>
            <w:rPr/>
          </w:pPr>
          <w:hyperlink w:anchor="__RefHeading___Toc1840803_2322387425">
            <w:r>
              <w:rPr>
                <w:webHidden/>
                <w:rStyle w:val="IndexLink"/>
                <w:rtl w:val="true"/>
              </w:rPr>
              <w:t>حکم القراءة</w:t>
            </w:r>
            <w:r>
              <w:rPr>
                <w:rStyle w:val="IndexLink"/>
                <w:rtl w:val="true"/>
              </w:rPr>
              <w:tab/>
            </w:r>
            <w:r>
              <w:rPr>
                <w:rStyle w:val="IndexLink"/>
              </w:rPr>
              <w:t>183</w:t>
            </w:r>
          </w:hyperlink>
        </w:p>
        <w:p>
          <w:pPr>
            <w:pStyle w:val="Contents3"/>
            <w:tabs>
              <w:tab w:val="clear" w:pos="8459"/>
              <w:tab w:val="right" w:pos="9026" w:leader="dot"/>
            </w:tabs>
            <w:rPr/>
          </w:pPr>
          <w:hyperlink w:anchor="__RefHeading___Toc1840805_2322387425">
            <w:r>
              <w:rPr>
                <w:webHidden/>
                <w:rStyle w:val="IndexLink"/>
                <w:rtl w:val="true"/>
              </w:rPr>
              <w:t>حکم القراءة ما یفوت الوقت</w:t>
            </w:r>
            <w:r>
              <w:rPr>
                <w:rStyle w:val="IndexLink"/>
                <w:rtl w:val="true"/>
              </w:rPr>
              <w:tab/>
            </w:r>
            <w:r>
              <w:rPr>
                <w:rStyle w:val="IndexLink"/>
              </w:rPr>
              <w:t>185</w:t>
            </w:r>
          </w:hyperlink>
        </w:p>
        <w:p>
          <w:pPr>
            <w:pStyle w:val="Contents3"/>
            <w:tabs>
              <w:tab w:val="clear" w:pos="8459"/>
              <w:tab w:val="right" w:pos="9026" w:leader="dot"/>
            </w:tabs>
            <w:rPr/>
          </w:pPr>
          <w:hyperlink w:anchor="__RefHeading___Toc1840807_2322387425">
            <w:r>
              <w:rPr>
                <w:webHidden/>
                <w:rStyle w:val="IndexLink"/>
                <w:rtl w:val="true"/>
              </w:rPr>
              <w:t>حکم قراءة سور العزائم</w:t>
            </w:r>
            <w:r>
              <w:rPr>
                <w:rStyle w:val="IndexLink"/>
                <w:rtl w:val="true"/>
              </w:rPr>
              <w:tab/>
            </w:r>
            <w:r>
              <w:rPr>
                <w:rStyle w:val="IndexLink"/>
              </w:rPr>
              <w:t>190</w:t>
            </w:r>
          </w:hyperlink>
        </w:p>
        <w:p>
          <w:pPr>
            <w:pStyle w:val="Contents3"/>
            <w:tabs>
              <w:tab w:val="clear" w:pos="8459"/>
              <w:tab w:val="right" w:pos="9026" w:leader="dot"/>
            </w:tabs>
            <w:rPr/>
          </w:pPr>
          <w:hyperlink w:anchor="__RefHeading___Toc1840809_2322387425">
            <w:r>
              <w:rPr>
                <w:webHidden/>
                <w:rStyle w:val="IndexLink"/>
                <w:rtl w:val="true"/>
              </w:rPr>
              <w:t>حکم قراءة آیة السجده</w:t>
            </w:r>
            <w:r>
              <w:rPr>
                <w:rStyle w:val="IndexLink"/>
                <w:rtl w:val="true"/>
              </w:rPr>
              <w:tab/>
            </w:r>
            <w:r>
              <w:rPr>
                <w:rStyle w:val="IndexLink"/>
              </w:rPr>
              <w:t>198</w:t>
            </w:r>
          </w:hyperlink>
        </w:p>
        <w:p>
          <w:pPr>
            <w:pStyle w:val="Contents3"/>
            <w:tabs>
              <w:tab w:val="clear" w:pos="8459"/>
              <w:tab w:val="right" w:pos="9026" w:leader="dot"/>
            </w:tabs>
            <w:rPr/>
          </w:pPr>
          <w:hyperlink w:anchor="__RefHeading___Toc1840811_2322387425">
            <w:r>
              <w:rPr>
                <w:webHidden/>
                <w:rStyle w:val="IndexLink"/>
                <w:rtl w:val="true"/>
              </w:rPr>
              <w:t>حکم قراءة السور فی النوافل</w:t>
            </w:r>
            <w:r>
              <w:rPr>
                <w:rStyle w:val="IndexLink"/>
                <w:rtl w:val="true"/>
              </w:rPr>
              <w:tab/>
            </w:r>
            <w:r>
              <w:rPr>
                <w:rStyle w:val="IndexLink"/>
              </w:rPr>
              <w:t>202</w:t>
            </w:r>
          </w:hyperlink>
        </w:p>
        <w:p>
          <w:pPr>
            <w:pStyle w:val="Contents3"/>
            <w:tabs>
              <w:tab w:val="clear" w:pos="8459"/>
              <w:tab w:val="right" w:pos="9026" w:leader="dot"/>
            </w:tabs>
            <w:rPr/>
          </w:pPr>
          <w:hyperlink w:anchor="__RefHeading___Toc1840813_2322387425">
            <w:r>
              <w:rPr>
                <w:webHidden/>
                <w:rStyle w:val="IndexLink"/>
                <w:rtl w:val="true"/>
              </w:rPr>
              <w:t>حکم قراءة العزائم فی النوافل</w:t>
            </w:r>
            <w:r>
              <w:rPr>
                <w:rStyle w:val="IndexLink"/>
                <w:rtl w:val="true"/>
              </w:rPr>
              <w:tab/>
            </w:r>
            <w:r>
              <w:rPr>
                <w:rStyle w:val="IndexLink"/>
              </w:rPr>
              <w:t>203</w:t>
            </w:r>
          </w:hyperlink>
        </w:p>
        <w:p>
          <w:pPr>
            <w:pStyle w:val="Contents3"/>
            <w:tabs>
              <w:tab w:val="clear" w:pos="8459"/>
              <w:tab w:val="right" w:pos="9026" w:leader="dot"/>
            </w:tabs>
            <w:rPr/>
          </w:pPr>
          <w:hyperlink w:anchor="__RefHeading___Toc1840815_2322387425">
            <w:r>
              <w:rPr>
                <w:webHidden/>
                <w:rStyle w:val="IndexLink"/>
                <w:rtl w:val="true"/>
              </w:rPr>
              <w:t>ما هی سور العزائم</w:t>
            </w:r>
            <w:r>
              <w:rPr>
                <w:rStyle w:val="IndexLink"/>
                <w:rtl w:val="true"/>
              </w:rPr>
              <w:tab/>
            </w:r>
            <w:r>
              <w:rPr>
                <w:rStyle w:val="IndexLink"/>
              </w:rPr>
              <w:t>203</w:t>
            </w:r>
          </w:hyperlink>
        </w:p>
        <w:p>
          <w:pPr>
            <w:pStyle w:val="Contents3"/>
            <w:tabs>
              <w:tab w:val="clear" w:pos="8459"/>
              <w:tab w:val="right" w:pos="9026" w:leader="dot"/>
            </w:tabs>
            <w:rPr/>
          </w:pPr>
          <w:hyperlink w:anchor="__RefHeading___Toc1840817_2322387425">
            <w:r>
              <w:rPr>
                <w:webHidden/>
                <w:rStyle w:val="IndexLink"/>
                <w:rtl w:val="true"/>
              </w:rPr>
              <w:t>حکم البسملة فی السور</w:t>
            </w:r>
            <w:r>
              <w:rPr>
                <w:rStyle w:val="IndexLink"/>
                <w:rtl w:val="true"/>
              </w:rPr>
              <w:tab/>
            </w:r>
            <w:r>
              <w:rPr>
                <w:rStyle w:val="IndexLink"/>
              </w:rPr>
              <w:t>203</w:t>
            </w:r>
          </w:hyperlink>
        </w:p>
        <w:p>
          <w:pPr>
            <w:pStyle w:val="Contents3"/>
            <w:tabs>
              <w:tab w:val="clear" w:pos="8459"/>
              <w:tab w:val="right" w:pos="9026" w:leader="dot"/>
            </w:tabs>
            <w:rPr/>
          </w:pPr>
          <w:hyperlink w:anchor="__RefHeading___Toc1840819_2322387425">
            <w:r>
              <w:rPr>
                <w:webHidden/>
                <w:rStyle w:val="IndexLink"/>
                <w:rtl w:val="true"/>
              </w:rPr>
              <w:t>ما حکم السور المتحدة</w:t>
            </w:r>
            <w:r>
              <w:rPr>
                <w:rStyle w:val="IndexLink"/>
                <w:rtl w:val="true"/>
              </w:rPr>
              <w:tab/>
            </w:r>
            <w:r>
              <w:rPr>
                <w:rStyle w:val="IndexLink"/>
              </w:rPr>
              <w:t>204</w:t>
            </w:r>
          </w:hyperlink>
        </w:p>
        <w:p>
          <w:pPr>
            <w:pStyle w:val="Contents3"/>
            <w:tabs>
              <w:tab w:val="clear" w:pos="8459"/>
              <w:tab w:val="right" w:pos="9026" w:leader="dot"/>
            </w:tabs>
            <w:rPr/>
          </w:pPr>
          <w:hyperlink w:anchor="__RefHeading___Toc1840821_2322387425">
            <w:r>
              <w:rPr>
                <w:webHidden/>
                <w:rStyle w:val="IndexLink"/>
                <w:rtl w:val="true"/>
              </w:rPr>
              <w:t>قراءة أکثر من سورة فی الفرائض</w:t>
            </w:r>
            <w:r>
              <w:rPr>
                <w:rStyle w:val="IndexLink"/>
                <w:rtl w:val="true"/>
              </w:rPr>
              <w:tab/>
            </w:r>
            <w:r>
              <w:rPr>
                <w:rStyle w:val="IndexLink"/>
              </w:rPr>
              <w:t>205</w:t>
            </w:r>
          </w:hyperlink>
        </w:p>
        <w:p>
          <w:pPr>
            <w:pStyle w:val="Contents3"/>
            <w:tabs>
              <w:tab w:val="clear" w:pos="8459"/>
              <w:tab w:val="right" w:pos="9026" w:leader="dot"/>
            </w:tabs>
            <w:rPr/>
          </w:pPr>
          <w:hyperlink w:anchor="__RefHeading___Toc1840823_2322387425">
            <w:r>
              <w:rPr>
                <w:webHidden/>
                <w:rStyle w:val="IndexLink"/>
                <w:rtl w:val="true"/>
              </w:rPr>
              <w:t>ما حکم تعیین السورة</w:t>
            </w:r>
            <w:r>
              <w:rPr>
                <w:rStyle w:val="IndexLink"/>
                <w:rtl w:val="true"/>
              </w:rPr>
              <w:tab/>
            </w:r>
            <w:r>
              <w:rPr>
                <w:rStyle w:val="IndexLink"/>
              </w:rPr>
              <w:t>206</w:t>
            </w:r>
          </w:hyperlink>
        </w:p>
        <w:p>
          <w:pPr>
            <w:pStyle w:val="Contents3"/>
            <w:tabs>
              <w:tab w:val="clear" w:pos="8459"/>
              <w:tab w:val="right" w:pos="9026" w:leader="dot"/>
            </w:tabs>
            <w:rPr/>
          </w:pPr>
          <w:hyperlink w:anchor="__RefHeading___Toc1840825_2322387425">
            <w:r>
              <w:rPr>
                <w:webHidden/>
                <w:rStyle w:val="IndexLink"/>
                <w:rtl w:val="true"/>
              </w:rPr>
              <w:t>ما حکم تعیین البسملة للسورة</w:t>
            </w:r>
            <w:r>
              <w:rPr>
                <w:rStyle w:val="IndexLink"/>
                <w:rtl w:val="true"/>
              </w:rPr>
              <w:tab/>
            </w:r>
            <w:r>
              <w:rPr>
                <w:rStyle w:val="IndexLink"/>
              </w:rPr>
              <w:t>207</w:t>
            </w:r>
          </w:hyperlink>
        </w:p>
        <w:p>
          <w:pPr>
            <w:pStyle w:val="Contents3"/>
            <w:tabs>
              <w:tab w:val="clear" w:pos="8459"/>
              <w:tab w:val="right" w:pos="9026" w:leader="dot"/>
            </w:tabs>
            <w:rPr/>
          </w:pPr>
          <w:hyperlink w:anchor="__RefHeading___Toc1840827_2322387425">
            <w:r>
              <w:rPr>
                <w:webHidden/>
                <w:rStyle w:val="IndexLink"/>
                <w:rtl w:val="true"/>
              </w:rPr>
              <w:t>حکم العدول فی السور حال الصلاة</w:t>
            </w:r>
            <w:r>
              <w:rPr>
                <w:rStyle w:val="IndexLink"/>
                <w:rtl w:val="true"/>
              </w:rPr>
              <w:tab/>
            </w:r>
            <w:r>
              <w:rPr>
                <w:rStyle w:val="IndexLink"/>
              </w:rPr>
              <w:t>213</w:t>
            </w:r>
          </w:hyperlink>
        </w:p>
        <w:p>
          <w:pPr>
            <w:pStyle w:val="Contents3"/>
            <w:tabs>
              <w:tab w:val="clear" w:pos="8459"/>
              <w:tab w:val="right" w:pos="9026" w:leader="dot"/>
            </w:tabs>
            <w:rPr/>
          </w:pPr>
          <w:hyperlink w:anchor="__RefHeading___Toc1840829_2322387425">
            <w:r>
              <w:rPr>
                <w:webHidden/>
                <w:rStyle w:val="IndexLink"/>
                <w:rtl w:val="true"/>
              </w:rPr>
              <w:t>حکم الجهر فی القراءة للرجل</w:t>
            </w:r>
            <w:r>
              <w:rPr>
                <w:rStyle w:val="IndexLink"/>
                <w:rtl w:val="true"/>
              </w:rPr>
              <w:tab/>
            </w:r>
            <w:r>
              <w:rPr>
                <w:rStyle w:val="IndexLink"/>
              </w:rPr>
              <w:t>220</w:t>
            </w:r>
          </w:hyperlink>
        </w:p>
        <w:p>
          <w:pPr>
            <w:pStyle w:val="Contents3"/>
            <w:tabs>
              <w:tab w:val="clear" w:pos="8459"/>
              <w:tab w:val="right" w:pos="9026" w:leader="dot"/>
            </w:tabs>
            <w:rPr/>
          </w:pPr>
          <w:hyperlink w:anchor="__RefHeading___Toc1840831_2322387425">
            <w:r>
              <w:rPr>
                <w:webHidden/>
                <w:rStyle w:val="IndexLink"/>
                <w:rtl w:val="true"/>
              </w:rPr>
              <w:t>الجهر بالبسملة فی الظهرین</w:t>
            </w:r>
            <w:r>
              <w:rPr>
                <w:rStyle w:val="IndexLink"/>
                <w:rtl w:val="true"/>
              </w:rPr>
              <w:tab/>
            </w:r>
            <w:r>
              <w:rPr>
                <w:rStyle w:val="IndexLink"/>
              </w:rPr>
              <w:t>221</w:t>
            </w:r>
          </w:hyperlink>
        </w:p>
        <w:p>
          <w:pPr>
            <w:pStyle w:val="Contents3"/>
            <w:tabs>
              <w:tab w:val="clear" w:pos="8459"/>
              <w:tab w:val="right" w:pos="9026" w:leader="dot"/>
            </w:tabs>
            <w:rPr/>
          </w:pPr>
          <w:hyperlink w:anchor="__RefHeading___Toc1840833_2322387425">
            <w:r>
              <w:rPr>
                <w:webHidden/>
                <w:rStyle w:val="IndexLink"/>
                <w:rtl w:val="true"/>
              </w:rPr>
              <w:t>حکم الجهر فی موضع الإخفات و بالعکس</w:t>
            </w:r>
            <w:r>
              <w:rPr>
                <w:rStyle w:val="IndexLink"/>
                <w:rtl w:val="true"/>
              </w:rPr>
              <w:tab/>
            </w:r>
            <w:r>
              <w:rPr>
                <w:rStyle w:val="IndexLink"/>
              </w:rPr>
              <w:t>221</w:t>
            </w:r>
          </w:hyperlink>
        </w:p>
        <w:p>
          <w:pPr>
            <w:pStyle w:val="Contents3"/>
            <w:tabs>
              <w:tab w:val="clear" w:pos="8459"/>
              <w:tab w:val="right" w:pos="9026" w:leader="dot"/>
            </w:tabs>
            <w:rPr/>
          </w:pPr>
          <w:hyperlink w:anchor="__RefHeading___Toc1840835_2322387425">
            <w:r>
              <w:rPr>
                <w:webHidden/>
                <w:rStyle w:val="IndexLink"/>
                <w:rtl w:val="true"/>
              </w:rPr>
              <w:t>حکم الناسی أو الجاهل للقراة قبل الرکوع</w:t>
            </w:r>
            <w:r>
              <w:rPr>
                <w:rStyle w:val="IndexLink"/>
                <w:rtl w:val="true"/>
              </w:rPr>
              <w:tab/>
            </w:r>
            <w:r>
              <w:rPr>
                <w:rStyle w:val="IndexLink"/>
              </w:rPr>
              <w:t>223</w:t>
            </w:r>
          </w:hyperlink>
        </w:p>
        <w:p>
          <w:pPr>
            <w:pStyle w:val="Contents3"/>
            <w:tabs>
              <w:tab w:val="clear" w:pos="8459"/>
              <w:tab w:val="right" w:pos="9026" w:leader="dot"/>
            </w:tabs>
            <w:rPr/>
          </w:pPr>
          <w:hyperlink w:anchor="__RefHeading___Toc1840837_2322387425">
            <w:r>
              <w:rPr>
                <w:webHidden/>
                <w:rStyle w:val="IndexLink"/>
                <w:rtl w:val="true"/>
              </w:rPr>
              <w:t>صور الجهل بالحکم جهراً و إخفاتاً</w:t>
            </w:r>
            <w:r>
              <w:rPr>
                <w:rStyle w:val="IndexLink"/>
                <w:rtl w:val="true"/>
              </w:rPr>
              <w:tab/>
            </w:r>
            <w:r>
              <w:rPr>
                <w:rStyle w:val="IndexLink"/>
              </w:rPr>
              <w:t>223</w:t>
            </w:r>
          </w:hyperlink>
        </w:p>
        <w:p>
          <w:pPr>
            <w:pStyle w:val="Contents3"/>
            <w:tabs>
              <w:tab w:val="clear" w:pos="8459"/>
              <w:tab w:val="right" w:pos="9026" w:leader="dot"/>
            </w:tabs>
            <w:rPr/>
          </w:pPr>
          <w:hyperlink w:anchor="__RefHeading___Toc1840839_2322387425">
            <w:r>
              <w:rPr>
                <w:webHidden/>
                <w:rStyle w:val="IndexLink"/>
                <w:rtl w:val="true"/>
              </w:rPr>
              <w:t>سقوط الجهر عن النساء</w:t>
            </w:r>
            <w:r>
              <w:rPr>
                <w:rStyle w:val="IndexLink"/>
                <w:rtl w:val="true"/>
              </w:rPr>
              <w:tab/>
            </w:r>
            <w:r>
              <w:rPr>
                <w:rStyle w:val="IndexLink"/>
              </w:rPr>
              <w:t>224</w:t>
            </w:r>
          </w:hyperlink>
        </w:p>
        <w:p>
          <w:pPr>
            <w:pStyle w:val="Contents3"/>
            <w:tabs>
              <w:tab w:val="clear" w:pos="8459"/>
              <w:tab w:val="right" w:pos="9026" w:leader="dot"/>
            </w:tabs>
            <w:rPr/>
          </w:pPr>
          <w:hyperlink w:anchor="__RefHeading___Toc1840841_2322387425">
            <w:r>
              <w:rPr>
                <w:webHidden/>
                <w:rStyle w:val="IndexLink"/>
                <w:rtl w:val="true"/>
              </w:rPr>
              <w:t>مالمناط فی صدق الجهر و الإخفات</w:t>
            </w:r>
            <w:r>
              <w:rPr>
                <w:rStyle w:val="IndexLink"/>
                <w:rtl w:val="true"/>
              </w:rPr>
              <w:tab/>
            </w:r>
            <w:r>
              <w:rPr>
                <w:rStyle w:val="IndexLink"/>
              </w:rPr>
              <w:t>225</w:t>
            </w:r>
          </w:hyperlink>
        </w:p>
        <w:p>
          <w:pPr>
            <w:pStyle w:val="Contents3"/>
            <w:tabs>
              <w:tab w:val="clear" w:pos="8459"/>
              <w:tab w:val="right" w:pos="9026" w:leader="dot"/>
            </w:tabs>
            <w:rPr/>
          </w:pPr>
          <w:hyperlink w:anchor="__RefHeading___Toc1840843_2322387425">
            <w:r>
              <w:rPr>
                <w:webHidden/>
                <w:rStyle w:val="IndexLink"/>
                <w:rtl w:val="true"/>
              </w:rPr>
              <w:t>کیفیة سدق القراءة</w:t>
            </w:r>
            <w:r>
              <w:rPr>
                <w:rStyle w:val="IndexLink"/>
                <w:rtl w:val="true"/>
              </w:rPr>
              <w:tab/>
            </w:r>
            <w:r>
              <w:rPr>
                <w:rStyle w:val="IndexLink"/>
              </w:rPr>
              <w:t>227</w:t>
            </w:r>
          </w:hyperlink>
        </w:p>
        <w:p>
          <w:pPr>
            <w:pStyle w:val="Contents3"/>
            <w:tabs>
              <w:tab w:val="clear" w:pos="8459"/>
              <w:tab w:val="right" w:pos="9026" w:leader="dot"/>
            </w:tabs>
            <w:rPr/>
          </w:pPr>
          <w:hyperlink w:anchor="__RefHeading___Toc1840845_2322387425">
            <w:r>
              <w:rPr>
                <w:webHidden/>
                <w:rStyle w:val="IndexLink"/>
                <w:rtl w:val="true"/>
              </w:rPr>
              <w:t>حکم غیر الحافظ للقراءة</w:t>
            </w:r>
            <w:r>
              <w:rPr>
                <w:rStyle w:val="IndexLink"/>
                <w:rtl w:val="true"/>
              </w:rPr>
              <w:tab/>
            </w:r>
            <w:r>
              <w:rPr>
                <w:rStyle w:val="IndexLink"/>
              </w:rPr>
              <w:t>228</w:t>
            </w:r>
          </w:hyperlink>
        </w:p>
        <w:p>
          <w:pPr>
            <w:pStyle w:val="Contents3"/>
            <w:tabs>
              <w:tab w:val="clear" w:pos="8459"/>
              <w:tab w:val="right" w:pos="9026" w:leader="dot"/>
            </w:tabs>
            <w:rPr/>
          </w:pPr>
          <w:hyperlink w:anchor="__RefHeading___Toc1840847_2322387425">
            <w:r>
              <w:rPr>
                <w:webHidden/>
                <w:rStyle w:val="IndexLink"/>
                <w:rtl w:val="true"/>
              </w:rPr>
              <w:t>قراءة العاجز عن القراءة</w:t>
            </w:r>
            <w:r>
              <w:rPr>
                <w:rStyle w:val="IndexLink"/>
                <w:rtl w:val="true"/>
              </w:rPr>
              <w:tab/>
            </w:r>
            <w:r>
              <w:rPr>
                <w:rStyle w:val="IndexLink"/>
              </w:rPr>
              <w:t>229</w:t>
            </w:r>
          </w:hyperlink>
        </w:p>
        <w:p>
          <w:pPr>
            <w:pStyle w:val="Contents3"/>
            <w:tabs>
              <w:tab w:val="clear" w:pos="8459"/>
              <w:tab w:val="right" w:pos="9026" w:leader="dot"/>
            </w:tabs>
            <w:rPr/>
          </w:pPr>
          <w:hyperlink w:anchor="__RefHeading___Toc1840849_2322387425">
            <w:r>
              <w:rPr>
                <w:webHidden/>
                <w:rStyle w:val="IndexLink"/>
                <w:rtl w:val="true"/>
              </w:rPr>
              <w:t>حکم قراءة الأخرس</w:t>
            </w:r>
            <w:r>
              <w:rPr>
                <w:rStyle w:val="IndexLink"/>
                <w:rtl w:val="true"/>
              </w:rPr>
              <w:tab/>
            </w:r>
            <w:r>
              <w:rPr>
                <w:rStyle w:val="IndexLink"/>
              </w:rPr>
              <w:t>229</w:t>
            </w:r>
          </w:hyperlink>
        </w:p>
        <w:p>
          <w:pPr>
            <w:pStyle w:val="Contents3"/>
            <w:tabs>
              <w:tab w:val="clear" w:pos="8459"/>
              <w:tab w:val="right" w:pos="9026" w:leader="dot"/>
            </w:tabs>
            <w:rPr/>
          </w:pPr>
          <w:hyperlink w:anchor="__RefHeading___Toc1840851_2322387425">
            <w:r>
              <w:rPr>
                <w:webHidden/>
                <w:rStyle w:val="IndexLink"/>
                <w:rtl w:val="true"/>
              </w:rPr>
              <w:t>فی وجوب تعلم القراءة</w:t>
            </w:r>
            <w:r>
              <w:rPr>
                <w:rStyle w:val="IndexLink"/>
                <w:rtl w:val="true"/>
              </w:rPr>
              <w:tab/>
            </w:r>
            <w:r>
              <w:rPr>
                <w:rStyle w:val="IndexLink"/>
              </w:rPr>
              <w:t>230</w:t>
            </w:r>
          </w:hyperlink>
        </w:p>
        <w:p>
          <w:pPr>
            <w:pStyle w:val="Contents3"/>
            <w:tabs>
              <w:tab w:val="clear" w:pos="8459"/>
              <w:tab w:val="right" w:pos="9026" w:leader="dot"/>
            </w:tabs>
            <w:rPr/>
          </w:pPr>
          <w:hyperlink w:anchor="__RefHeading___Toc1840853_2322387425">
            <w:r>
              <w:rPr>
                <w:webHidden/>
                <w:rStyle w:val="IndexLink"/>
                <w:rtl w:val="true"/>
              </w:rPr>
              <w:t>حکم الائتمام مع العجز عن تعلم القراءة</w:t>
            </w:r>
            <w:r>
              <w:rPr>
                <w:rStyle w:val="IndexLink"/>
                <w:rtl w:val="true"/>
              </w:rPr>
              <w:tab/>
            </w:r>
            <w:r>
              <w:rPr>
                <w:rStyle w:val="IndexLink"/>
              </w:rPr>
              <w:t>232</w:t>
            </w:r>
          </w:hyperlink>
        </w:p>
        <w:p>
          <w:pPr>
            <w:pStyle w:val="Contents3"/>
            <w:tabs>
              <w:tab w:val="clear" w:pos="8459"/>
              <w:tab w:val="right" w:pos="9026" w:leader="dot"/>
            </w:tabs>
            <w:rPr/>
          </w:pPr>
          <w:hyperlink w:anchor="__RefHeading___Toc1840855_2322387425">
            <w:r>
              <w:rPr>
                <w:webHidden/>
                <w:rStyle w:val="IndexLink"/>
                <w:rtl w:val="true"/>
              </w:rPr>
              <w:t>حکم من ضاق وقته عن التعلم</w:t>
            </w:r>
            <w:r>
              <w:rPr>
                <w:rStyle w:val="IndexLink"/>
                <w:rtl w:val="true"/>
              </w:rPr>
              <w:tab/>
            </w:r>
            <w:r>
              <w:rPr>
                <w:rStyle w:val="IndexLink"/>
              </w:rPr>
              <w:t>233</w:t>
            </w:r>
          </w:hyperlink>
        </w:p>
        <w:p>
          <w:pPr>
            <w:pStyle w:val="Contents3"/>
            <w:tabs>
              <w:tab w:val="clear" w:pos="8459"/>
              <w:tab w:val="right" w:pos="9026" w:leader="dot"/>
            </w:tabs>
            <w:rPr/>
          </w:pPr>
          <w:hyperlink w:anchor="__RefHeading___Toc1840857_2322387425">
            <w:r>
              <w:rPr>
                <w:webHidden/>
                <w:rStyle w:val="IndexLink"/>
                <w:rtl w:val="true"/>
              </w:rPr>
              <w:t>حکم من لم یعلم شیئاً من القرآن</w:t>
            </w:r>
            <w:r>
              <w:rPr>
                <w:rStyle w:val="IndexLink"/>
                <w:rtl w:val="true"/>
              </w:rPr>
              <w:tab/>
            </w:r>
            <w:r>
              <w:rPr>
                <w:rStyle w:val="IndexLink"/>
              </w:rPr>
              <w:t>235</w:t>
            </w:r>
          </w:hyperlink>
        </w:p>
        <w:p>
          <w:pPr>
            <w:pStyle w:val="Contents3"/>
            <w:tabs>
              <w:tab w:val="clear" w:pos="8459"/>
              <w:tab w:val="right" w:pos="9026" w:leader="dot"/>
            </w:tabs>
            <w:rPr/>
          </w:pPr>
          <w:hyperlink w:anchor="__RefHeading___Toc1840859_2322387425">
            <w:r>
              <w:rPr>
                <w:webHidden/>
                <w:rStyle w:val="IndexLink"/>
                <w:rtl w:val="true"/>
              </w:rPr>
              <w:t>حکم أخذ الدجرة علی تعلیم الصلاة</w:t>
            </w:r>
            <w:r>
              <w:rPr>
                <w:rStyle w:val="IndexLink"/>
                <w:rtl w:val="true"/>
              </w:rPr>
              <w:tab/>
            </w:r>
            <w:r>
              <w:rPr>
                <w:rStyle w:val="IndexLink"/>
              </w:rPr>
              <w:t>236</w:t>
            </w:r>
          </w:hyperlink>
        </w:p>
        <w:p>
          <w:pPr>
            <w:pStyle w:val="Contents3"/>
            <w:tabs>
              <w:tab w:val="clear" w:pos="8459"/>
              <w:tab w:val="right" w:pos="9026" w:leader="dot"/>
            </w:tabs>
            <w:rPr/>
          </w:pPr>
          <w:hyperlink w:anchor="__RefHeading___Toc1840861_2322387425">
            <w:r>
              <w:rPr>
                <w:webHidden/>
                <w:rStyle w:val="IndexLink"/>
                <w:rtl w:val="true"/>
              </w:rPr>
              <w:t>حکم الترتیب والموالاة فی القراءة</w:t>
            </w:r>
            <w:r>
              <w:rPr>
                <w:rStyle w:val="IndexLink"/>
                <w:rtl w:val="true"/>
              </w:rPr>
              <w:tab/>
            </w:r>
            <w:r>
              <w:rPr>
                <w:rStyle w:val="IndexLink"/>
              </w:rPr>
              <w:t>237</w:t>
            </w:r>
          </w:hyperlink>
        </w:p>
        <w:p>
          <w:pPr>
            <w:pStyle w:val="Contents3"/>
            <w:tabs>
              <w:tab w:val="clear" w:pos="8459"/>
              <w:tab w:val="right" w:pos="9026" w:leader="dot"/>
            </w:tabs>
            <w:rPr/>
          </w:pPr>
          <w:hyperlink w:anchor="__RefHeading___Toc1840863_2322387425">
            <w:r>
              <w:rPr>
                <w:webHidden/>
                <w:rStyle w:val="IndexLink"/>
                <w:rtl w:val="true"/>
              </w:rPr>
              <w:t>الإخلال بالکلمات و الحروف و الحرکات</w:t>
            </w:r>
            <w:r>
              <w:rPr>
                <w:rStyle w:val="IndexLink"/>
                <w:rtl w:val="true"/>
              </w:rPr>
              <w:tab/>
            </w:r>
            <w:r>
              <w:rPr>
                <w:rStyle w:val="IndexLink"/>
              </w:rPr>
              <w:t>238</w:t>
            </w:r>
          </w:hyperlink>
        </w:p>
        <w:p>
          <w:pPr>
            <w:pStyle w:val="Contents3"/>
            <w:tabs>
              <w:tab w:val="clear" w:pos="8459"/>
              <w:tab w:val="right" w:pos="9026" w:leader="dot"/>
            </w:tabs>
            <w:rPr/>
          </w:pPr>
          <w:hyperlink w:anchor="__RefHeading___Toc1840865_2322387425">
            <w:r>
              <w:rPr>
                <w:webHidden/>
                <w:rStyle w:val="IndexLink"/>
                <w:rtl w:val="true"/>
              </w:rPr>
              <w:t>حکم الوقف بالحرکة و الوصل بالسکون</w:t>
            </w:r>
            <w:r>
              <w:rPr>
                <w:rStyle w:val="IndexLink"/>
                <w:rtl w:val="true"/>
              </w:rPr>
              <w:tab/>
            </w:r>
            <w:r>
              <w:rPr>
                <w:rStyle w:val="IndexLink"/>
              </w:rPr>
              <w:t>241</w:t>
            </w:r>
          </w:hyperlink>
        </w:p>
        <w:p>
          <w:pPr>
            <w:pStyle w:val="Contents3"/>
            <w:tabs>
              <w:tab w:val="clear" w:pos="8459"/>
              <w:tab w:val="right" w:pos="9026" w:leader="dot"/>
            </w:tabs>
            <w:rPr/>
          </w:pPr>
          <w:hyperlink w:anchor="__RefHeading___Toc1840867_2322387425">
            <w:r>
              <w:rPr>
                <w:webHidden/>
                <w:rStyle w:val="IndexLink"/>
                <w:rtl w:val="true"/>
              </w:rPr>
              <w:t>مراعاة مخارج الحروف</w:t>
            </w:r>
            <w:r>
              <w:rPr>
                <w:rStyle w:val="IndexLink"/>
                <w:rtl w:val="true"/>
              </w:rPr>
              <w:tab/>
            </w:r>
            <w:r>
              <w:rPr>
                <w:rStyle w:val="IndexLink"/>
              </w:rPr>
              <w:t>242</w:t>
            </w:r>
          </w:hyperlink>
        </w:p>
        <w:p>
          <w:pPr>
            <w:pStyle w:val="Contents3"/>
            <w:tabs>
              <w:tab w:val="clear" w:pos="8459"/>
              <w:tab w:val="right" w:pos="9026" w:leader="dot"/>
            </w:tabs>
            <w:rPr/>
          </w:pPr>
          <w:hyperlink w:anchor="__RefHeading___Toc1840869_2322387425">
            <w:r>
              <w:rPr>
                <w:webHidden/>
                <w:rStyle w:val="IndexLink"/>
                <w:rtl w:val="true"/>
              </w:rPr>
              <w:t>المد الواجب و مورده</w:t>
            </w:r>
            <w:r>
              <w:rPr>
                <w:rStyle w:val="IndexLink"/>
                <w:rtl w:val="true"/>
              </w:rPr>
              <w:tab/>
            </w:r>
            <w:r>
              <w:rPr>
                <w:rStyle w:val="IndexLink"/>
              </w:rPr>
              <w:t>243</w:t>
            </w:r>
          </w:hyperlink>
        </w:p>
        <w:p>
          <w:pPr>
            <w:pStyle w:val="Contents3"/>
            <w:tabs>
              <w:tab w:val="clear" w:pos="8459"/>
              <w:tab w:val="right" w:pos="9026" w:leader="dot"/>
            </w:tabs>
            <w:rPr/>
          </w:pPr>
          <w:hyperlink w:anchor="__RefHeading___Toc1840871_2322387425">
            <w:r>
              <w:rPr>
                <w:webHidden/>
                <w:rStyle w:val="IndexLink"/>
                <w:rtl w:val="true"/>
              </w:rPr>
              <w:t>حکم الفصل بین حروف الکلمة</w:t>
            </w:r>
            <w:r>
              <w:rPr>
                <w:rStyle w:val="IndexLink"/>
                <w:rtl w:val="true"/>
              </w:rPr>
              <w:tab/>
            </w:r>
            <w:r>
              <w:rPr>
                <w:rStyle w:val="IndexLink"/>
              </w:rPr>
              <w:t>246</w:t>
            </w:r>
          </w:hyperlink>
        </w:p>
        <w:p>
          <w:pPr>
            <w:pStyle w:val="Contents3"/>
            <w:tabs>
              <w:tab w:val="clear" w:pos="8459"/>
              <w:tab w:val="right" w:pos="9026" w:leader="dot"/>
            </w:tabs>
            <w:rPr/>
          </w:pPr>
          <w:hyperlink w:anchor="__RefHeading___Toc1840873_2322387425">
            <w:r>
              <w:rPr>
                <w:webHidden/>
                <w:rStyle w:val="IndexLink"/>
                <w:rtl w:val="true"/>
              </w:rPr>
              <w:t>انقطاع النفس أثناء القراءة</w:t>
            </w:r>
            <w:r>
              <w:rPr>
                <w:rStyle w:val="IndexLink"/>
                <w:rtl w:val="true"/>
              </w:rPr>
              <w:tab/>
            </w:r>
            <w:r>
              <w:rPr>
                <w:rStyle w:val="IndexLink"/>
              </w:rPr>
              <w:t>246</w:t>
            </w:r>
          </w:hyperlink>
        </w:p>
        <w:p>
          <w:pPr>
            <w:pStyle w:val="Contents3"/>
            <w:tabs>
              <w:tab w:val="clear" w:pos="8459"/>
              <w:tab w:val="right" w:pos="9026" w:leader="dot"/>
            </w:tabs>
            <w:rPr/>
          </w:pPr>
          <w:hyperlink w:anchor="__RefHeading___Toc1840875_2322387425">
            <w:r>
              <w:rPr>
                <w:webHidden/>
                <w:rStyle w:val="IndexLink"/>
                <w:rtl w:val="true"/>
              </w:rPr>
              <w:t>مواضع الإدغام</w:t>
            </w:r>
            <w:r>
              <w:rPr>
                <w:rStyle w:val="IndexLink"/>
                <w:rtl w:val="true"/>
              </w:rPr>
              <w:tab/>
            </w:r>
            <w:r>
              <w:rPr>
                <w:rStyle w:val="IndexLink"/>
              </w:rPr>
              <w:t>249</w:t>
            </w:r>
          </w:hyperlink>
        </w:p>
        <w:p>
          <w:pPr>
            <w:pStyle w:val="Contents3"/>
            <w:tabs>
              <w:tab w:val="clear" w:pos="8459"/>
              <w:tab w:val="right" w:pos="9026" w:leader="dot"/>
            </w:tabs>
            <w:rPr/>
          </w:pPr>
          <w:hyperlink w:anchor="__RefHeading___Toc1840877_2322387425">
            <w:r>
              <w:rPr>
                <w:webHidden/>
                <w:rStyle w:val="IndexLink"/>
                <w:rtl w:val="true"/>
              </w:rPr>
              <w:t>القراءة بإحدی القراءات السبع</w:t>
            </w:r>
            <w:r>
              <w:rPr>
                <w:rStyle w:val="IndexLink"/>
                <w:rtl w:val="true"/>
              </w:rPr>
              <w:tab/>
            </w:r>
            <w:r>
              <w:rPr>
                <w:rStyle w:val="IndexLink"/>
              </w:rPr>
              <w:t>250</w:t>
            </w:r>
          </w:hyperlink>
        </w:p>
        <w:p>
          <w:pPr>
            <w:pStyle w:val="Contents3"/>
            <w:tabs>
              <w:tab w:val="clear" w:pos="8459"/>
              <w:tab w:val="right" w:pos="9026" w:leader="dot"/>
            </w:tabs>
            <w:rPr/>
          </w:pPr>
          <w:hyperlink w:anchor="__RefHeading___Toc1840879_2322387425">
            <w:r>
              <w:rPr>
                <w:webHidden/>
                <w:rStyle w:val="IndexLink"/>
                <w:rtl w:val="true"/>
              </w:rPr>
              <w:t>الحروف الشمسیة و القمریة</w:t>
            </w:r>
            <w:r>
              <w:rPr>
                <w:rStyle w:val="IndexLink"/>
                <w:rtl w:val="true"/>
              </w:rPr>
              <w:tab/>
            </w:r>
            <w:r>
              <w:rPr>
                <w:rStyle w:val="IndexLink"/>
              </w:rPr>
              <w:t>254</w:t>
            </w:r>
          </w:hyperlink>
        </w:p>
        <w:p>
          <w:pPr>
            <w:pStyle w:val="Contents3"/>
            <w:tabs>
              <w:tab w:val="clear" w:pos="8459"/>
              <w:tab w:val="right" w:pos="9026" w:leader="dot"/>
            </w:tabs>
            <w:rPr/>
          </w:pPr>
          <w:hyperlink w:anchor="__RefHeading___Toc1840881_2322387425">
            <w:r>
              <w:rPr>
                <w:webHidden/>
                <w:rStyle w:val="IndexLink"/>
                <w:rtl w:val="true"/>
              </w:rPr>
              <w:t>فروع فی ما یرتبط فی المقام</w:t>
            </w:r>
            <w:r>
              <w:rPr>
                <w:rStyle w:val="IndexLink"/>
                <w:rtl w:val="true"/>
              </w:rPr>
              <w:tab/>
            </w:r>
            <w:r>
              <w:rPr>
                <w:rStyle w:val="IndexLink"/>
              </w:rPr>
              <w:t>255</w:t>
            </w:r>
          </w:hyperlink>
        </w:p>
        <w:p>
          <w:pPr>
            <w:pStyle w:val="Contents2"/>
            <w:tabs>
              <w:tab w:val="clear" w:pos="8743"/>
              <w:tab w:val="right" w:pos="9026" w:leader="dot"/>
            </w:tabs>
            <w:rPr/>
          </w:pPr>
          <w:hyperlink w:anchor="__RefHeading___Toc1840883_2322387425">
            <w:r>
              <w:rPr>
                <w:webHidden/>
                <w:rStyle w:val="IndexLink"/>
                <w:rtl w:val="true"/>
              </w:rPr>
              <w:t>فصل التخییر بین القراءة والتسبیحات فی الرکعات الأخیرة</w:t>
            </w:r>
            <w:r>
              <w:rPr>
                <w:rStyle w:val="IndexLink"/>
                <w:rtl w:val="true"/>
              </w:rPr>
              <w:tab/>
            </w:r>
            <w:r>
              <w:rPr>
                <w:rStyle w:val="IndexLink"/>
              </w:rPr>
              <w:t>266</w:t>
            </w:r>
          </w:hyperlink>
        </w:p>
        <w:p>
          <w:pPr>
            <w:pStyle w:val="Contents3"/>
            <w:tabs>
              <w:tab w:val="clear" w:pos="8459"/>
              <w:tab w:val="right" w:pos="9026" w:leader="dot"/>
            </w:tabs>
            <w:rPr/>
          </w:pPr>
          <w:hyperlink w:anchor="__RefHeading___Toc1840885_2322387425">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840887_2322387425">
            <w:r>
              <w:rPr>
                <w:webHidden/>
                <w:rStyle w:val="IndexLink"/>
                <w:rtl w:val="true"/>
              </w:rPr>
              <w:t>حکم من نسی الحمد فی الرکعتین الولتین</w:t>
            </w:r>
            <w:r>
              <w:rPr>
                <w:rStyle w:val="IndexLink"/>
                <w:rtl w:val="true"/>
              </w:rPr>
              <w:tab/>
            </w:r>
            <w:r>
              <w:rPr>
                <w:rStyle w:val="IndexLink"/>
              </w:rPr>
              <w:t>267</w:t>
            </w:r>
          </w:hyperlink>
        </w:p>
        <w:p>
          <w:pPr>
            <w:pStyle w:val="Contents3"/>
            <w:tabs>
              <w:tab w:val="clear" w:pos="8459"/>
              <w:tab w:val="right" w:pos="9026" w:leader="dot"/>
            </w:tabs>
            <w:rPr/>
          </w:pPr>
          <w:hyperlink w:anchor="__RefHeading___Toc1840889_2322387425">
            <w:r>
              <w:rPr>
                <w:webHidden/>
                <w:rStyle w:val="IndexLink"/>
                <w:rtl w:val="true"/>
              </w:rPr>
              <w:t>أفضلیة التسبیحات علی القراءة</w:t>
            </w:r>
            <w:r>
              <w:rPr>
                <w:rStyle w:val="IndexLink"/>
                <w:rtl w:val="true"/>
              </w:rPr>
              <w:tab/>
            </w:r>
            <w:r>
              <w:rPr>
                <w:rStyle w:val="IndexLink"/>
              </w:rPr>
              <w:t>267</w:t>
            </w:r>
          </w:hyperlink>
        </w:p>
        <w:p>
          <w:pPr>
            <w:pStyle w:val="Contents3"/>
            <w:tabs>
              <w:tab w:val="clear" w:pos="8459"/>
              <w:tab w:val="right" w:pos="9026" w:leader="dot"/>
            </w:tabs>
            <w:rPr/>
          </w:pPr>
          <w:hyperlink w:anchor="__RefHeading___Toc1840891_2322387425">
            <w:r>
              <w:rPr>
                <w:webHidden/>
                <w:rStyle w:val="IndexLink"/>
                <w:rtl w:val="true"/>
              </w:rPr>
              <w:t>حکم القراءة فی الأخیرتین</w:t>
            </w:r>
            <w:r>
              <w:rPr>
                <w:rStyle w:val="IndexLink"/>
                <w:rtl w:val="true"/>
              </w:rPr>
              <w:tab/>
            </w:r>
            <w:r>
              <w:rPr>
                <w:rStyle w:val="IndexLink"/>
              </w:rPr>
              <w:t>269</w:t>
            </w:r>
          </w:hyperlink>
        </w:p>
        <w:p>
          <w:pPr>
            <w:pStyle w:val="Contents3"/>
            <w:tabs>
              <w:tab w:val="clear" w:pos="8459"/>
              <w:tab w:val="right" w:pos="9026" w:leader="dot"/>
            </w:tabs>
            <w:rPr/>
          </w:pPr>
          <w:hyperlink w:anchor="__RefHeading___Toc1840893_2322387425">
            <w:r>
              <w:rPr>
                <w:webHidden/>
                <w:rStyle w:val="IndexLink"/>
                <w:rtl w:val="true"/>
              </w:rPr>
              <w:t>حکم الإخفات فی الأخیرتین</w:t>
            </w:r>
            <w:r>
              <w:rPr>
                <w:rStyle w:val="IndexLink"/>
                <w:rtl w:val="true"/>
              </w:rPr>
              <w:tab/>
            </w:r>
            <w:r>
              <w:rPr>
                <w:rStyle w:val="IndexLink"/>
              </w:rPr>
              <w:t>269</w:t>
            </w:r>
          </w:hyperlink>
        </w:p>
        <w:p>
          <w:pPr>
            <w:pStyle w:val="Contents3"/>
            <w:tabs>
              <w:tab w:val="clear" w:pos="8459"/>
              <w:tab w:val="right" w:pos="9026" w:leader="dot"/>
            </w:tabs>
            <w:rPr/>
          </w:pPr>
          <w:hyperlink w:anchor="__RefHeading___Toc1840895_2322387425">
            <w:r>
              <w:rPr>
                <w:webHidden/>
                <w:rStyle w:val="IndexLink"/>
                <w:rtl w:val="true"/>
              </w:rPr>
              <w:t>العدول من القراءة إلی التسبیح و بالعکس</w:t>
            </w:r>
            <w:r>
              <w:rPr>
                <w:rStyle w:val="IndexLink"/>
                <w:rtl w:val="true"/>
              </w:rPr>
              <w:tab/>
            </w:r>
            <w:r>
              <w:rPr>
                <w:rStyle w:val="IndexLink"/>
              </w:rPr>
              <w:t>270</w:t>
            </w:r>
          </w:hyperlink>
        </w:p>
        <w:p>
          <w:pPr>
            <w:pStyle w:val="Contents3"/>
            <w:tabs>
              <w:tab w:val="clear" w:pos="8459"/>
              <w:tab w:val="right" w:pos="9026" w:leader="dot"/>
            </w:tabs>
            <w:rPr/>
          </w:pPr>
          <w:hyperlink w:anchor="__RefHeading___Toc1840897_2322387425">
            <w:r>
              <w:rPr>
                <w:webHidden/>
                <w:rStyle w:val="IndexLink"/>
                <w:rtl w:val="true"/>
              </w:rPr>
              <w:t>قراءة الحمد بتخیل أنه فی الاولیین</w:t>
            </w:r>
            <w:r>
              <w:rPr>
                <w:rStyle w:val="IndexLink"/>
                <w:rtl w:val="true"/>
              </w:rPr>
              <w:tab/>
            </w:r>
            <w:r>
              <w:rPr>
                <w:rStyle w:val="IndexLink"/>
              </w:rPr>
              <w:t>273</w:t>
            </w:r>
          </w:hyperlink>
        </w:p>
        <w:p>
          <w:pPr>
            <w:pStyle w:val="Contents3"/>
            <w:tabs>
              <w:tab w:val="clear" w:pos="8459"/>
              <w:tab w:val="right" w:pos="9026" w:leader="dot"/>
            </w:tabs>
            <w:rPr/>
          </w:pPr>
          <w:hyperlink w:anchor="__RefHeading___Toc1840899_2322387425">
            <w:r>
              <w:rPr>
                <w:webHidden/>
                <w:rStyle w:val="IndexLink"/>
                <w:rtl w:val="true"/>
              </w:rPr>
              <w:t>حکم نسیان القراءة و التسبیحات قبل الرکوع</w:t>
            </w:r>
            <w:r>
              <w:rPr>
                <w:rStyle w:val="IndexLink"/>
                <w:rtl w:val="true"/>
              </w:rPr>
              <w:tab/>
            </w:r>
            <w:r>
              <w:rPr>
                <w:rStyle w:val="IndexLink"/>
              </w:rPr>
              <w:t>276</w:t>
            </w:r>
          </w:hyperlink>
        </w:p>
        <w:p>
          <w:pPr>
            <w:pStyle w:val="Contents3"/>
            <w:tabs>
              <w:tab w:val="clear" w:pos="8459"/>
              <w:tab w:val="right" w:pos="9026" w:leader="dot"/>
            </w:tabs>
            <w:rPr/>
          </w:pPr>
          <w:hyperlink w:anchor="__RefHeading___Toc1840901_2322387425">
            <w:r>
              <w:rPr>
                <w:webHidden/>
                <w:rStyle w:val="IndexLink"/>
                <w:rtl w:val="true"/>
              </w:rPr>
              <w:t>الشک فی التسبیح بعد الهوی للرکوع</w:t>
            </w:r>
            <w:r>
              <w:rPr>
                <w:rStyle w:val="IndexLink"/>
                <w:rtl w:val="true"/>
              </w:rPr>
              <w:tab/>
            </w:r>
            <w:r>
              <w:rPr>
                <w:rStyle w:val="IndexLink"/>
              </w:rPr>
              <w:t>277</w:t>
            </w:r>
          </w:hyperlink>
        </w:p>
        <w:p>
          <w:pPr>
            <w:pStyle w:val="Contents3"/>
            <w:tabs>
              <w:tab w:val="clear" w:pos="8459"/>
              <w:tab w:val="right" w:pos="9026" w:leader="dot"/>
            </w:tabs>
            <w:rPr/>
          </w:pPr>
          <w:hyperlink w:anchor="__RefHeading___Toc1840903_2322387425">
            <w:r>
              <w:rPr>
                <w:webHidden/>
                <w:rStyle w:val="IndexLink"/>
                <w:rtl w:val="true"/>
              </w:rPr>
              <w:t>فی حکم زیادة التسبیحات علی الثلاث</w:t>
            </w:r>
            <w:r>
              <w:rPr>
                <w:rStyle w:val="IndexLink"/>
                <w:rtl w:val="true"/>
              </w:rPr>
              <w:tab/>
            </w:r>
            <w:r>
              <w:rPr>
                <w:rStyle w:val="IndexLink"/>
              </w:rPr>
              <w:t>281</w:t>
            </w:r>
          </w:hyperlink>
        </w:p>
        <w:p>
          <w:pPr>
            <w:pStyle w:val="Contents3"/>
            <w:tabs>
              <w:tab w:val="clear" w:pos="8459"/>
              <w:tab w:val="right" w:pos="9026" w:leader="dot"/>
            </w:tabs>
            <w:rPr/>
          </w:pPr>
          <w:hyperlink w:anchor="__RefHeading___Toc1840905_2322387425">
            <w:r>
              <w:rPr>
                <w:webHidden/>
                <w:rStyle w:val="IndexLink"/>
                <w:rtl w:val="true"/>
              </w:rPr>
              <w:t>قصد القربة فی التسبیحات</w:t>
            </w:r>
            <w:r>
              <w:rPr>
                <w:rStyle w:val="IndexLink"/>
                <w:rtl w:val="true"/>
              </w:rPr>
              <w:tab/>
            </w:r>
            <w:r>
              <w:rPr>
                <w:rStyle w:val="IndexLink"/>
              </w:rPr>
              <w:t>281</w:t>
            </w:r>
          </w:hyperlink>
        </w:p>
        <w:p>
          <w:pPr>
            <w:pStyle w:val="Contents2"/>
            <w:tabs>
              <w:tab w:val="clear" w:pos="8743"/>
              <w:tab w:val="right" w:pos="9026" w:leader="dot"/>
            </w:tabs>
            <w:rPr/>
          </w:pPr>
          <w:hyperlink w:anchor="__RefHeading___Toc1840907_2322387425">
            <w:r>
              <w:rPr>
                <w:webHidden/>
                <w:rStyle w:val="IndexLink"/>
                <w:rtl w:val="true"/>
              </w:rPr>
              <w:t>فصل فی مستحبّات القراءة</w:t>
            </w:r>
            <w:r>
              <w:rPr>
                <w:rStyle w:val="IndexLink"/>
                <w:rtl w:val="true"/>
              </w:rPr>
              <w:tab/>
            </w:r>
            <w:r>
              <w:rPr>
                <w:rStyle w:val="IndexLink"/>
              </w:rPr>
              <w:t>284</w:t>
            </w:r>
          </w:hyperlink>
        </w:p>
        <w:p>
          <w:pPr>
            <w:pStyle w:val="Contents3"/>
            <w:tabs>
              <w:tab w:val="clear" w:pos="8459"/>
              <w:tab w:val="right" w:pos="9026" w:leader="dot"/>
            </w:tabs>
            <w:rPr/>
          </w:pPr>
          <w:hyperlink w:anchor="__RefHeading___Toc1840909_2322387425">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1840911_2322387425">
            <w:r>
              <w:rPr>
                <w:webHidden/>
                <w:rStyle w:val="IndexLink"/>
                <w:rtl w:val="true"/>
              </w:rPr>
              <w:t>الأول</w:t>
            </w:r>
            <w:r>
              <w:rPr>
                <w:rStyle w:val="IndexLink"/>
                <w:rtl w:val="true"/>
              </w:rPr>
              <w:t xml:space="preserve">: </w:t>
            </w:r>
            <w:r>
              <w:rPr>
                <w:rStyle w:val="IndexLink"/>
                <w:rtl w:val="true"/>
              </w:rPr>
              <w:t>الاستعاذة</w:t>
            </w:r>
            <w:r>
              <w:rPr>
                <w:rStyle w:val="IndexLink"/>
                <w:rtl w:val="true"/>
              </w:rPr>
              <w:tab/>
            </w:r>
            <w:r>
              <w:rPr>
                <w:rStyle w:val="IndexLink"/>
              </w:rPr>
              <w:t>284</w:t>
            </w:r>
          </w:hyperlink>
        </w:p>
        <w:p>
          <w:pPr>
            <w:pStyle w:val="Contents3"/>
            <w:tabs>
              <w:tab w:val="clear" w:pos="8459"/>
              <w:tab w:val="right" w:pos="9026" w:leader="dot"/>
            </w:tabs>
            <w:rPr/>
          </w:pPr>
          <w:hyperlink w:anchor="__RefHeading___Toc1840913_2322387425">
            <w:r>
              <w:rPr>
                <w:webHidden/>
                <w:rStyle w:val="IndexLink"/>
                <w:rtl w:val="true"/>
              </w:rPr>
              <w:t>الثانی</w:t>
            </w:r>
            <w:r>
              <w:rPr>
                <w:rStyle w:val="IndexLink"/>
                <w:rtl w:val="true"/>
              </w:rPr>
              <w:t xml:space="preserve">: </w:t>
            </w:r>
            <w:r>
              <w:rPr>
                <w:rStyle w:val="IndexLink"/>
                <w:rtl w:val="true"/>
              </w:rPr>
              <w:t>الجهر بالبسملة</w:t>
            </w:r>
            <w:r>
              <w:rPr>
                <w:rStyle w:val="IndexLink"/>
                <w:rtl w:val="true"/>
              </w:rPr>
              <w:tab/>
            </w:r>
            <w:r>
              <w:rPr>
                <w:rStyle w:val="IndexLink"/>
              </w:rPr>
              <w:t>284</w:t>
            </w:r>
          </w:hyperlink>
        </w:p>
        <w:p>
          <w:pPr>
            <w:pStyle w:val="Contents3"/>
            <w:tabs>
              <w:tab w:val="clear" w:pos="8459"/>
              <w:tab w:val="right" w:pos="9026" w:leader="dot"/>
            </w:tabs>
            <w:rPr/>
          </w:pPr>
          <w:hyperlink w:anchor="__RefHeading___Toc1840915_2322387425">
            <w:r>
              <w:rPr>
                <w:webHidden/>
                <w:rStyle w:val="IndexLink"/>
                <w:rtl w:val="true"/>
              </w:rPr>
              <w:t>الثالث</w:t>
            </w:r>
            <w:r>
              <w:rPr>
                <w:rStyle w:val="IndexLink"/>
                <w:rtl w:val="true"/>
              </w:rPr>
              <w:t xml:space="preserve">: </w:t>
            </w:r>
            <w:r>
              <w:rPr>
                <w:rStyle w:val="IndexLink"/>
                <w:rtl w:val="true"/>
              </w:rPr>
              <w:t>الترتیل</w:t>
            </w:r>
            <w:r>
              <w:rPr>
                <w:rStyle w:val="IndexLink"/>
                <w:rtl w:val="true"/>
              </w:rPr>
              <w:tab/>
            </w:r>
            <w:r>
              <w:rPr>
                <w:rStyle w:val="IndexLink"/>
              </w:rPr>
              <w:t>287</w:t>
            </w:r>
          </w:hyperlink>
        </w:p>
        <w:p>
          <w:pPr>
            <w:pStyle w:val="Contents3"/>
            <w:tabs>
              <w:tab w:val="clear" w:pos="8459"/>
              <w:tab w:val="right" w:pos="9026" w:leader="dot"/>
            </w:tabs>
            <w:rPr/>
          </w:pPr>
          <w:hyperlink w:anchor="__RefHeading___Toc1840917_2322387425">
            <w:r>
              <w:rPr>
                <w:webHidden/>
                <w:rStyle w:val="IndexLink"/>
                <w:rtl w:val="true"/>
              </w:rPr>
              <w:t>الرابع</w:t>
            </w:r>
            <w:r>
              <w:rPr>
                <w:rStyle w:val="IndexLink"/>
                <w:rtl w:val="true"/>
              </w:rPr>
              <w:t xml:space="preserve">: </w:t>
            </w:r>
            <w:r>
              <w:rPr>
                <w:rStyle w:val="IndexLink"/>
                <w:rtl w:val="true"/>
              </w:rPr>
              <w:t>تحسین الصوت</w:t>
            </w:r>
            <w:r>
              <w:rPr>
                <w:rStyle w:val="IndexLink"/>
                <w:rtl w:val="true"/>
              </w:rPr>
              <w:tab/>
            </w:r>
            <w:r>
              <w:rPr>
                <w:rStyle w:val="IndexLink"/>
              </w:rPr>
              <w:t>288</w:t>
            </w:r>
          </w:hyperlink>
        </w:p>
        <w:p>
          <w:pPr>
            <w:pStyle w:val="Contents3"/>
            <w:tabs>
              <w:tab w:val="clear" w:pos="8459"/>
              <w:tab w:val="right" w:pos="9026" w:leader="dot"/>
            </w:tabs>
            <w:rPr/>
          </w:pPr>
          <w:hyperlink w:anchor="__RefHeading___Toc1840919_2322387425">
            <w:r>
              <w:rPr>
                <w:webHidden/>
                <w:rStyle w:val="IndexLink"/>
                <w:rtl w:val="true"/>
              </w:rPr>
              <w:t>الخامس</w:t>
            </w:r>
            <w:r>
              <w:rPr>
                <w:rStyle w:val="IndexLink"/>
                <w:rtl w:val="true"/>
              </w:rPr>
              <w:t xml:space="preserve">: </w:t>
            </w:r>
            <w:r>
              <w:rPr>
                <w:rStyle w:val="IndexLink"/>
                <w:rtl w:val="true"/>
              </w:rPr>
              <w:t>الوقف علی فواصل الآیات</w:t>
            </w:r>
            <w:r>
              <w:rPr>
                <w:rStyle w:val="IndexLink"/>
                <w:rtl w:val="true"/>
              </w:rPr>
              <w:tab/>
            </w:r>
            <w:r>
              <w:rPr>
                <w:rStyle w:val="IndexLink"/>
              </w:rPr>
              <w:t>288</w:t>
            </w:r>
          </w:hyperlink>
        </w:p>
        <w:p>
          <w:pPr>
            <w:pStyle w:val="Contents3"/>
            <w:tabs>
              <w:tab w:val="clear" w:pos="8459"/>
              <w:tab w:val="right" w:pos="9026" w:leader="dot"/>
            </w:tabs>
            <w:rPr/>
          </w:pPr>
          <w:hyperlink w:anchor="__RefHeading___Toc1840921_2322387425">
            <w:r>
              <w:rPr>
                <w:webHidden/>
                <w:rStyle w:val="IndexLink"/>
                <w:rtl w:val="true"/>
              </w:rPr>
              <w:t>السادس</w:t>
            </w:r>
            <w:r>
              <w:rPr>
                <w:rStyle w:val="IndexLink"/>
                <w:rtl w:val="true"/>
              </w:rPr>
              <w:t xml:space="preserve">: </w:t>
            </w:r>
            <w:r>
              <w:rPr>
                <w:rStyle w:val="IndexLink"/>
                <w:rtl w:val="true"/>
              </w:rPr>
              <w:t>ملاحظة المعانی و الاتعاظ بها</w:t>
            </w:r>
            <w:r>
              <w:rPr>
                <w:rStyle w:val="IndexLink"/>
                <w:rtl w:val="true"/>
              </w:rPr>
              <w:tab/>
            </w:r>
            <w:r>
              <w:rPr>
                <w:rStyle w:val="IndexLink"/>
              </w:rPr>
              <w:t>288</w:t>
            </w:r>
          </w:hyperlink>
        </w:p>
        <w:p>
          <w:pPr>
            <w:pStyle w:val="Contents3"/>
            <w:tabs>
              <w:tab w:val="clear" w:pos="8459"/>
              <w:tab w:val="right" w:pos="9026" w:leader="dot"/>
            </w:tabs>
            <w:rPr/>
          </w:pPr>
          <w:hyperlink w:anchor="__RefHeading___Toc1840923_2322387425">
            <w:r>
              <w:rPr>
                <w:webHidden/>
                <w:rStyle w:val="IndexLink"/>
                <w:rtl w:val="true"/>
              </w:rPr>
              <w:t>السابع</w:t>
            </w:r>
            <w:r>
              <w:rPr>
                <w:rStyle w:val="IndexLink"/>
                <w:rtl w:val="true"/>
              </w:rPr>
              <w:t xml:space="preserve">: </w:t>
            </w:r>
            <w:r>
              <w:rPr>
                <w:rStyle w:val="IndexLink"/>
                <w:rtl w:val="true"/>
              </w:rPr>
              <w:t>السؤال عند آیة النعمة و النقمة بما یناسبهما</w:t>
            </w:r>
            <w:r>
              <w:rPr>
                <w:rStyle w:val="IndexLink"/>
                <w:rtl w:val="true"/>
              </w:rPr>
              <w:tab/>
            </w:r>
            <w:r>
              <w:rPr>
                <w:rStyle w:val="IndexLink"/>
              </w:rPr>
              <w:t>288</w:t>
            </w:r>
          </w:hyperlink>
        </w:p>
        <w:p>
          <w:pPr>
            <w:pStyle w:val="Contents3"/>
            <w:tabs>
              <w:tab w:val="clear" w:pos="8459"/>
              <w:tab w:val="right" w:pos="9026" w:leader="dot"/>
            </w:tabs>
            <w:rPr/>
          </w:pPr>
          <w:hyperlink w:anchor="__RefHeading___Toc1840925_2322387425">
            <w:r>
              <w:rPr>
                <w:webHidden/>
                <w:rStyle w:val="IndexLink"/>
                <w:rtl w:val="true"/>
              </w:rPr>
              <w:t>الثامن</w:t>
            </w:r>
            <w:r>
              <w:rPr>
                <w:rStyle w:val="IndexLink"/>
                <w:rtl w:val="true"/>
              </w:rPr>
              <w:t xml:space="preserve">: </w:t>
            </w:r>
            <w:r>
              <w:rPr>
                <w:rStyle w:val="IndexLink"/>
                <w:rtl w:val="true"/>
              </w:rPr>
              <w:t>السکتة بین الحمد و السورة، و کذا بعد السورة</w:t>
            </w:r>
            <w:r>
              <w:rPr>
                <w:rStyle w:val="IndexLink"/>
                <w:rtl w:val="true"/>
              </w:rPr>
              <w:tab/>
            </w:r>
            <w:r>
              <w:rPr>
                <w:rStyle w:val="IndexLink"/>
              </w:rPr>
              <w:t>288</w:t>
            </w:r>
          </w:hyperlink>
        </w:p>
        <w:p>
          <w:pPr>
            <w:pStyle w:val="Contents3"/>
            <w:tabs>
              <w:tab w:val="clear" w:pos="8459"/>
              <w:tab w:val="right" w:pos="9026" w:leader="dot"/>
            </w:tabs>
            <w:rPr/>
          </w:pPr>
          <w:hyperlink w:anchor="__RefHeading___Toc1840927_2322387425">
            <w:r>
              <w:rPr>
                <w:webHidden/>
                <w:rStyle w:val="IndexLink"/>
                <w:rtl w:val="true"/>
              </w:rPr>
              <w:t>التاسع</w:t>
            </w:r>
            <w:r>
              <w:rPr>
                <w:rStyle w:val="IndexLink"/>
                <w:rtl w:val="true"/>
              </w:rPr>
              <w:t xml:space="preserve">: </w:t>
            </w:r>
            <w:r>
              <w:rPr>
                <w:rStyle w:val="IndexLink"/>
                <w:rtl w:val="true"/>
              </w:rPr>
              <w:t>قراءة المأثور بعد التوحید و الفاتحة</w:t>
            </w:r>
            <w:r>
              <w:rPr>
                <w:rStyle w:val="IndexLink"/>
                <w:rtl w:val="true"/>
              </w:rPr>
              <w:tab/>
            </w:r>
            <w:r>
              <w:rPr>
                <w:rStyle w:val="IndexLink"/>
              </w:rPr>
              <w:t>289</w:t>
            </w:r>
          </w:hyperlink>
        </w:p>
        <w:p>
          <w:pPr>
            <w:pStyle w:val="Contents3"/>
            <w:tabs>
              <w:tab w:val="clear" w:pos="8459"/>
              <w:tab w:val="right" w:pos="9026" w:leader="dot"/>
            </w:tabs>
            <w:rPr/>
          </w:pPr>
          <w:hyperlink w:anchor="__RefHeading___Toc1840929_2322387425">
            <w:r>
              <w:rPr>
                <w:webHidden/>
                <w:rStyle w:val="IndexLink"/>
                <w:rtl w:val="true"/>
              </w:rPr>
              <w:t>العاشر</w:t>
            </w:r>
            <w:r>
              <w:rPr>
                <w:rStyle w:val="IndexLink"/>
                <w:rtl w:val="true"/>
              </w:rPr>
              <w:t xml:space="preserve">: </w:t>
            </w:r>
            <w:r>
              <w:rPr>
                <w:rStyle w:val="IndexLink"/>
                <w:rtl w:val="true"/>
              </w:rPr>
              <w:t>قراءة بعض السور المخصوصة فی بعض الصلوات</w:t>
            </w:r>
            <w:r>
              <w:rPr>
                <w:rStyle w:val="IndexLink"/>
                <w:rtl w:val="true"/>
              </w:rPr>
              <w:tab/>
            </w:r>
            <w:r>
              <w:rPr>
                <w:rStyle w:val="IndexLink"/>
              </w:rPr>
              <w:t>289</w:t>
            </w:r>
          </w:hyperlink>
        </w:p>
        <w:p>
          <w:pPr>
            <w:pStyle w:val="Contents3"/>
            <w:tabs>
              <w:tab w:val="clear" w:pos="8459"/>
              <w:tab w:val="right" w:pos="9026" w:leader="dot"/>
            </w:tabs>
            <w:rPr/>
          </w:pPr>
          <w:hyperlink w:anchor="__RefHeading___Toc1840931_2322387425">
            <w:r>
              <w:rPr>
                <w:webHidden/>
                <w:rStyle w:val="IndexLink"/>
                <w:rtl w:val="true"/>
              </w:rPr>
              <w:t>استحباب قراءة بعض السور فی صلاة</w:t>
            </w:r>
            <w:r>
              <w:rPr>
                <w:rStyle w:val="IndexLink"/>
                <w:rtl w:val="true"/>
              </w:rPr>
              <w:tab/>
            </w:r>
            <w:r>
              <w:rPr>
                <w:rStyle w:val="IndexLink"/>
              </w:rPr>
              <w:t>290</w:t>
            </w:r>
          </w:hyperlink>
        </w:p>
        <w:p>
          <w:pPr>
            <w:pStyle w:val="Contents3"/>
            <w:tabs>
              <w:tab w:val="clear" w:pos="8459"/>
              <w:tab w:val="right" w:pos="9026" w:leader="dot"/>
            </w:tabs>
            <w:rPr/>
          </w:pPr>
          <w:hyperlink w:anchor="__RefHeading___Toc1840933_2322387425">
            <w:r>
              <w:rPr>
                <w:webHidden/>
                <w:rStyle w:val="IndexLink"/>
                <w:rtl w:val="true"/>
              </w:rPr>
              <w:t>کراهة ترک سورة التوحید فی جمیع الفرائض</w:t>
            </w:r>
            <w:r>
              <w:rPr>
                <w:rStyle w:val="IndexLink"/>
                <w:rtl w:val="true"/>
              </w:rPr>
              <w:tab/>
            </w:r>
            <w:r>
              <w:rPr>
                <w:rStyle w:val="IndexLink"/>
              </w:rPr>
              <w:t>290</w:t>
            </w:r>
          </w:hyperlink>
        </w:p>
        <w:p>
          <w:pPr>
            <w:pStyle w:val="Contents3"/>
            <w:tabs>
              <w:tab w:val="clear" w:pos="8459"/>
              <w:tab w:val="right" w:pos="9026" w:leader="dot"/>
            </w:tabs>
            <w:rPr/>
          </w:pPr>
          <w:hyperlink w:anchor="__RefHeading___Toc1840935_2322387425">
            <w:r>
              <w:rPr>
                <w:webHidden/>
                <w:rStyle w:val="IndexLink"/>
                <w:rtl w:val="true"/>
              </w:rPr>
              <w:t>کراهة قراءة التوحید بنفس واحد، و کذا الحمد</w:t>
            </w:r>
            <w:r>
              <w:rPr>
                <w:rStyle w:val="IndexLink"/>
                <w:rtl w:val="true"/>
              </w:rPr>
              <w:tab/>
            </w:r>
            <w:r>
              <w:rPr>
                <w:rStyle w:val="IndexLink"/>
              </w:rPr>
              <w:t>291</w:t>
            </w:r>
          </w:hyperlink>
        </w:p>
        <w:p>
          <w:pPr>
            <w:pStyle w:val="Contents3"/>
            <w:tabs>
              <w:tab w:val="clear" w:pos="8459"/>
              <w:tab w:val="right" w:pos="9026" w:leader="dot"/>
            </w:tabs>
            <w:rPr/>
          </w:pPr>
          <w:hyperlink w:anchor="__RefHeading___Toc1840937_2322387425">
            <w:r>
              <w:rPr>
                <w:webHidden/>
                <w:rStyle w:val="IndexLink"/>
                <w:rtl w:val="true"/>
              </w:rPr>
              <w:t>کراهة قراءة سورة واحدة فی الکعتین إلا التوحید</w:t>
            </w:r>
            <w:r>
              <w:rPr>
                <w:rStyle w:val="IndexLink"/>
                <w:rtl w:val="true"/>
              </w:rPr>
              <w:tab/>
            </w:r>
            <w:r>
              <w:rPr>
                <w:rStyle w:val="IndexLink"/>
              </w:rPr>
              <w:t>291</w:t>
            </w:r>
          </w:hyperlink>
        </w:p>
        <w:p>
          <w:pPr>
            <w:pStyle w:val="Contents3"/>
            <w:tabs>
              <w:tab w:val="clear" w:pos="8459"/>
              <w:tab w:val="right" w:pos="9026" w:leader="dot"/>
            </w:tabs>
            <w:rPr/>
          </w:pPr>
          <w:hyperlink w:anchor="__RefHeading___Toc1840939_2322387425">
            <w:r>
              <w:rPr>
                <w:webHidden/>
                <w:rStyle w:val="IndexLink"/>
                <w:rtl w:val="true"/>
              </w:rPr>
              <w:t>جواز تکرار الآیة فی الفریضة و غیرها و البکاء</w:t>
            </w:r>
            <w:r>
              <w:rPr>
                <w:rStyle w:val="IndexLink"/>
                <w:rtl w:val="true"/>
              </w:rPr>
              <w:tab/>
            </w:r>
            <w:r>
              <w:rPr>
                <w:rStyle w:val="IndexLink"/>
              </w:rPr>
              <w:t>291</w:t>
            </w:r>
          </w:hyperlink>
        </w:p>
        <w:p>
          <w:pPr>
            <w:pStyle w:val="Contents3"/>
            <w:tabs>
              <w:tab w:val="clear" w:pos="8459"/>
              <w:tab w:val="right" w:pos="9026" w:leader="dot"/>
            </w:tabs>
            <w:rPr/>
          </w:pPr>
          <w:hyperlink w:anchor="__RefHeading___Toc1840941_2322387425">
            <w:r>
              <w:rPr>
                <w:webHidden/>
                <w:rStyle w:val="IndexLink"/>
                <w:rtl w:val="true"/>
              </w:rPr>
              <w:t>استحباب إعادة الجمعة أو الظهر فی یوم الجمعة إذا لم یقرأهما</w:t>
            </w:r>
            <w:r>
              <w:rPr>
                <w:rStyle w:val="IndexLink"/>
                <w:rtl w:val="true"/>
              </w:rPr>
              <w:tab/>
            </w:r>
            <w:r>
              <w:rPr>
                <w:rStyle w:val="IndexLink"/>
              </w:rPr>
              <w:t>291</w:t>
            </w:r>
          </w:hyperlink>
        </w:p>
        <w:p>
          <w:pPr>
            <w:pStyle w:val="Contents3"/>
            <w:tabs>
              <w:tab w:val="clear" w:pos="8459"/>
              <w:tab w:val="right" w:pos="9026" w:leader="dot"/>
            </w:tabs>
            <w:rPr/>
          </w:pPr>
          <w:hyperlink w:anchor="__RefHeading___Toc1840943_2322387425">
            <w:r>
              <w:rPr>
                <w:webHidden/>
                <w:rStyle w:val="IndexLink"/>
                <w:rtl w:val="true"/>
              </w:rPr>
              <w:t>قراءة المعوذتین فی الصلاة</w:t>
            </w:r>
            <w:r>
              <w:rPr>
                <w:rStyle w:val="IndexLink"/>
                <w:rtl w:val="true"/>
              </w:rPr>
              <w:tab/>
            </w:r>
            <w:r>
              <w:rPr>
                <w:rStyle w:val="IndexLink"/>
              </w:rPr>
              <w:t>292</w:t>
            </w:r>
          </w:hyperlink>
        </w:p>
        <w:p>
          <w:pPr>
            <w:pStyle w:val="Contents3"/>
            <w:tabs>
              <w:tab w:val="clear" w:pos="8459"/>
              <w:tab w:val="right" w:pos="9026" w:leader="dot"/>
            </w:tabs>
            <w:rPr/>
          </w:pPr>
          <w:hyperlink w:anchor="__RefHeading___Toc1840945_2322387425">
            <w:r>
              <w:rPr>
                <w:webHidden/>
                <w:rStyle w:val="IndexLink"/>
                <w:rtl w:val="true"/>
              </w:rPr>
              <w:t>عدد آیات الحمد و التوحید</w:t>
            </w:r>
            <w:r>
              <w:rPr>
                <w:rStyle w:val="IndexLink"/>
                <w:rtl w:val="true"/>
              </w:rPr>
              <w:tab/>
            </w:r>
            <w:r>
              <w:rPr>
                <w:rStyle w:val="IndexLink"/>
              </w:rPr>
              <w:t>292</w:t>
            </w:r>
          </w:hyperlink>
        </w:p>
        <w:p>
          <w:pPr>
            <w:pStyle w:val="Contents3"/>
            <w:tabs>
              <w:tab w:val="clear" w:pos="8459"/>
              <w:tab w:val="right" w:pos="9026" w:leader="dot"/>
            </w:tabs>
            <w:rPr/>
          </w:pPr>
          <w:hyperlink w:anchor="__RefHeading___Toc1840947_2322387425">
            <w:r>
              <w:rPr>
                <w:webHidden/>
                <w:rStyle w:val="IndexLink"/>
                <w:rtl w:val="true"/>
              </w:rPr>
              <w:t>قصد الإنشاء و القرآن حین القراءة</w:t>
            </w:r>
            <w:r>
              <w:rPr>
                <w:rStyle w:val="IndexLink"/>
                <w:rtl w:val="true"/>
              </w:rPr>
              <w:tab/>
            </w:r>
            <w:r>
              <w:rPr>
                <w:rStyle w:val="IndexLink"/>
              </w:rPr>
              <w:t>294</w:t>
            </w:r>
          </w:hyperlink>
        </w:p>
        <w:p>
          <w:pPr>
            <w:pStyle w:val="Contents3"/>
            <w:tabs>
              <w:tab w:val="clear" w:pos="8459"/>
              <w:tab w:val="right" w:pos="9026" w:leader="dot"/>
            </w:tabs>
            <w:rPr/>
          </w:pPr>
          <w:hyperlink w:anchor="__RefHeading___Toc1840949_2322387425">
            <w:r>
              <w:rPr>
                <w:webHidden/>
                <w:rStyle w:val="IndexLink"/>
                <w:rtl w:val="true"/>
              </w:rPr>
              <w:t>الاستقرار حال القراءة</w:t>
            </w:r>
            <w:r>
              <w:rPr>
                <w:rStyle w:val="IndexLink"/>
                <w:rtl w:val="true"/>
              </w:rPr>
              <w:tab/>
            </w:r>
            <w:r>
              <w:rPr>
                <w:rStyle w:val="IndexLink"/>
              </w:rPr>
              <w:t>295</w:t>
            </w:r>
          </w:hyperlink>
        </w:p>
        <w:p>
          <w:pPr>
            <w:pStyle w:val="Contents3"/>
            <w:tabs>
              <w:tab w:val="clear" w:pos="8459"/>
              <w:tab w:val="right" w:pos="9026" w:leader="dot"/>
            </w:tabs>
            <w:rPr/>
          </w:pPr>
          <w:hyperlink w:anchor="__RefHeading___Toc1840951_2322387425">
            <w:r>
              <w:rPr>
                <w:webHidden/>
                <w:rStyle w:val="IndexLink"/>
                <w:rtl w:val="true"/>
              </w:rPr>
              <w:t>استحباب الصلاة علی النبی عند سماع اسمه حین القراءة</w:t>
            </w:r>
            <w:r>
              <w:rPr>
                <w:rStyle w:val="IndexLink"/>
                <w:rtl w:val="true"/>
              </w:rPr>
              <w:tab/>
            </w:r>
            <w:r>
              <w:rPr>
                <w:rStyle w:val="IndexLink"/>
              </w:rPr>
              <w:t>296</w:t>
            </w:r>
          </w:hyperlink>
        </w:p>
        <w:p>
          <w:pPr>
            <w:pStyle w:val="Contents3"/>
            <w:tabs>
              <w:tab w:val="clear" w:pos="8459"/>
              <w:tab w:val="right" w:pos="9026" w:leader="dot"/>
            </w:tabs>
            <w:rPr/>
          </w:pPr>
          <w:hyperlink w:anchor="__RefHeading___Toc1840953_2322387425">
            <w:r>
              <w:rPr>
                <w:webHidden/>
                <w:rStyle w:val="IndexLink"/>
                <w:rtl w:val="true"/>
              </w:rPr>
              <w:t>حکم القراءة فی الحرکة القهریة</w:t>
            </w:r>
            <w:r>
              <w:rPr>
                <w:rStyle w:val="IndexLink"/>
                <w:rtl w:val="true"/>
              </w:rPr>
              <w:tab/>
            </w:r>
            <w:r>
              <w:rPr>
                <w:rStyle w:val="IndexLink"/>
              </w:rPr>
              <w:t>297</w:t>
            </w:r>
          </w:hyperlink>
        </w:p>
        <w:p>
          <w:pPr>
            <w:pStyle w:val="Contents3"/>
            <w:tabs>
              <w:tab w:val="clear" w:pos="8459"/>
              <w:tab w:val="right" w:pos="9026" w:leader="dot"/>
            </w:tabs>
            <w:rPr/>
          </w:pPr>
          <w:hyperlink w:anchor="__RefHeading___Toc1840955_2322387425">
            <w:r>
              <w:rPr>
                <w:webHidden/>
                <w:rStyle w:val="IndexLink"/>
                <w:rtl w:val="true"/>
              </w:rPr>
              <w:t>حکم الشک فی صحة قراءة آیة أو کلمة</w:t>
            </w:r>
            <w:r>
              <w:rPr>
                <w:rStyle w:val="IndexLink"/>
                <w:rtl w:val="true"/>
              </w:rPr>
              <w:tab/>
            </w:r>
            <w:r>
              <w:rPr>
                <w:rStyle w:val="IndexLink"/>
              </w:rPr>
              <w:t>297</w:t>
            </w:r>
          </w:hyperlink>
        </w:p>
        <w:p>
          <w:pPr>
            <w:pStyle w:val="Contents3"/>
            <w:tabs>
              <w:tab w:val="clear" w:pos="8459"/>
              <w:tab w:val="right" w:pos="9026" w:leader="dot"/>
            </w:tabs>
            <w:rPr/>
          </w:pPr>
          <w:hyperlink w:anchor="__RefHeading___Toc1840957_2322387425">
            <w:r>
              <w:rPr>
                <w:webHidden/>
                <w:rStyle w:val="IndexLink"/>
                <w:rtl w:val="true"/>
              </w:rPr>
              <w:t>الاقتصار علی تسبیحة واحدة عند الضیق</w:t>
            </w:r>
            <w:r>
              <w:rPr>
                <w:rStyle w:val="IndexLink"/>
                <w:rtl w:val="true"/>
              </w:rPr>
              <w:tab/>
            </w:r>
            <w:r>
              <w:rPr>
                <w:rStyle w:val="IndexLink"/>
              </w:rPr>
              <w:t>298</w:t>
            </w:r>
          </w:hyperlink>
        </w:p>
        <w:p>
          <w:pPr>
            <w:pStyle w:val="Contents3"/>
            <w:tabs>
              <w:tab w:val="clear" w:pos="8459"/>
              <w:tab w:val="right" w:pos="9026" w:leader="dot"/>
            </w:tabs>
            <w:rPr/>
          </w:pPr>
          <w:hyperlink w:anchor="__RefHeading___Toc1840959_2322387425">
            <w:r>
              <w:rPr>
                <w:webHidden/>
                <w:rStyle w:val="IndexLink"/>
                <w:rtl w:val="true"/>
              </w:rPr>
              <w:t>بعض فروع القراءة</w:t>
            </w:r>
            <w:r>
              <w:rPr>
                <w:rStyle w:val="IndexLink"/>
                <w:rtl w:val="true"/>
              </w:rPr>
              <w:tab/>
            </w:r>
            <w:r>
              <w:rPr>
                <w:rStyle w:val="IndexLink"/>
              </w:rPr>
              <w:t>298</w:t>
            </w:r>
          </w:hyperlink>
        </w:p>
        <w:p>
          <w:pPr>
            <w:pStyle w:val="Contents2"/>
            <w:tabs>
              <w:tab w:val="clear" w:pos="8743"/>
              <w:tab w:val="right" w:pos="9026" w:leader="dot"/>
            </w:tabs>
            <w:rPr/>
          </w:pPr>
          <w:hyperlink w:anchor="__RefHeading___Toc1840961_2322387425">
            <w:r>
              <w:rPr>
                <w:webHidden/>
                <w:rStyle w:val="IndexLink"/>
                <w:rtl w:val="true"/>
              </w:rPr>
              <w:t>فصل فی الرکوع</w:t>
            </w:r>
            <w:r>
              <w:rPr>
                <w:rStyle w:val="IndexLink"/>
                <w:rtl w:val="true"/>
              </w:rPr>
              <w:tab/>
            </w:r>
            <w:r>
              <w:rPr>
                <w:rStyle w:val="IndexLink"/>
              </w:rPr>
              <w:t>303</w:t>
            </w:r>
          </w:hyperlink>
        </w:p>
        <w:p>
          <w:pPr>
            <w:pStyle w:val="Contents3"/>
            <w:tabs>
              <w:tab w:val="clear" w:pos="8459"/>
              <w:tab w:val="right" w:pos="9026" w:leader="dot"/>
            </w:tabs>
            <w:rPr/>
          </w:pPr>
          <w:hyperlink w:anchor="__RefHeading___Toc1840963_2322387425">
            <w:r>
              <w:rPr>
                <w:webHidden/>
                <w:rStyle w:val="IndexLink"/>
                <w:rtl w:val="true"/>
              </w:rPr>
              <w:t>حکم الرکوع فی الصلاة</w:t>
            </w:r>
            <w:r>
              <w:rPr>
                <w:rStyle w:val="IndexLink"/>
                <w:rtl w:val="true"/>
              </w:rPr>
              <w:tab/>
            </w:r>
            <w:r>
              <w:rPr>
                <w:rStyle w:val="IndexLink"/>
              </w:rPr>
              <w:t>303</w:t>
            </w:r>
          </w:hyperlink>
        </w:p>
        <w:p>
          <w:pPr>
            <w:pStyle w:val="Contents3"/>
            <w:tabs>
              <w:tab w:val="clear" w:pos="8459"/>
              <w:tab w:val="right" w:pos="9026" w:leader="dot"/>
            </w:tabs>
            <w:rPr/>
          </w:pPr>
          <w:hyperlink w:anchor="__RefHeading___Toc1840965_2322387425">
            <w:r>
              <w:rPr>
                <w:webHidden/>
                <w:rStyle w:val="IndexLink"/>
                <w:rtl w:val="true"/>
              </w:rPr>
              <w:t>واجبات الرکوع</w:t>
            </w:r>
            <w:r>
              <w:rPr>
                <w:rStyle w:val="IndexLink"/>
                <w:rtl w:val="true"/>
              </w:rPr>
              <w:tab/>
            </w:r>
            <w:r>
              <w:rPr>
                <w:rStyle w:val="IndexLink"/>
              </w:rPr>
              <w:t>303</w:t>
            </w:r>
          </w:hyperlink>
        </w:p>
        <w:p>
          <w:pPr>
            <w:pStyle w:val="Contents3"/>
            <w:tabs>
              <w:tab w:val="clear" w:pos="8459"/>
              <w:tab w:val="right" w:pos="9026" w:leader="dot"/>
            </w:tabs>
            <w:rPr/>
          </w:pPr>
          <w:hyperlink w:anchor="__RefHeading___Toc1840967_2322387425">
            <w:r>
              <w:rPr>
                <w:webHidden/>
                <w:rStyle w:val="IndexLink"/>
                <w:rtl w:val="true"/>
              </w:rPr>
              <w:t>الأول</w:t>
            </w:r>
            <w:r>
              <w:rPr>
                <w:rStyle w:val="IndexLink"/>
                <w:rtl w:val="true"/>
              </w:rPr>
              <w:t xml:space="preserve">: </w:t>
            </w:r>
            <w:r>
              <w:rPr>
                <w:rStyle w:val="IndexLink"/>
                <w:rtl w:val="true"/>
              </w:rPr>
              <w:t>الانحناء</w:t>
            </w:r>
            <w:r>
              <w:rPr>
                <w:rStyle w:val="IndexLink"/>
                <w:rtl w:val="true"/>
              </w:rPr>
              <w:tab/>
            </w:r>
            <w:r>
              <w:rPr>
                <w:rStyle w:val="IndexLink"/>
              </w:rPr>
              <w:t>303</w:t>
            </w:r>
          </w:hyperlink>
        </w:p>
        <w:p>
          <w:pPr>
            <w:pStyle w:val="Contents3"/>
            <w:tabs>
              <w:tab w:val="clear" w:pos="8459"/>
              <w:tab w:val="right" w:pos="9026" w:leader="dot"/>
            </w:tabs>
            <w:rPr/>
          </w:pPr>
          <w:hyperlink w:anchor="__RefHeading___Toc1840969_2322387425">
            <w:r>
              <w:rPr>
                <w:webHidden/>
                <w:rStyle w:val="IndexLink"/>
                <w:rtl w:val="true"/>
              </w:rPr>
              <w:t>الثانی</w:t>
            </w:r>
            <w:r>
              <w:rPr>
                <w:rStyle w:val="IndexLink"/>
                <w:rtl w:val="true"/>
              </w:rPr>
              <w:t xml:space="preserve">: </w:t>
            </w:r>
            <w:r>
              <w:rPr>
                <w:rStyle w:val="IndexLink"/>
                <w:rtl w:val="true"/>
              </w:rPr>
              <w:t>الذکر</w:t>
            </w:r>
            <w:r>
              <w:rPr>
                <w:rStyle w:val="IndexLink"/>
                <w:rtl w:val="true"/>
              </w:rPr>
              <w:tab/>
            </w:r>
            <w:r>
              <w:rPr>
                <w:rStyle w:val="IndexLink"/>
              </w:rPr>
              <w:t>305</w:t>
            </w:r>
          </w:hyperlink>
        </w:p>
        <w:p>
          <w:pPr>
            <w:pStyle w:val="Contents3"/>
            <w:tabs>
              <w:tab w:val="clear" w:pos="8459"/>
              <w:tab w:val="right" w:pos="9026" w:leader="dot"/>
            </w:tabs>
            <w:rPr/>
          </w:pPr>
          <w:hyperlink w:anchor="__RefHeading___Toc1840971_2322387425">
            <w:r>
              <w:rPr>
                <w:webHidden/>
                <w:rStyle w:val="IndexLink"/>
                <w:rtl w:val="true"/>
              </w:rPr>
              <w:t>الثالث</w:t>
            </w:r>
            <w:r>
              <w:rPr>
                <w:rStyle w:val="IndexLink"/>
                <w:rtl w:val="true"/>
              </w:rPr>
              <w:t xml:space="preserve">: </w:t>
            </w:r>
            <w:r>
              <w:rPr>
                <w:rStyle w:val="IndexLink"/>
                <w:rtl w:val="true"/>
              </w:rPr>
              <w:t>الطمأمنینة</w:t>
            </w:r>
            <w:r>
              <w:rPr>
                <w:rStyle w:val="IndexLink"/>
                <w:rtl w:val="true"/>
              </w:rPr>
              <w:tab/>
            </w:r>
            <w:r>
              <w:rPr>
                <w:rStyle w:val="IndexLink"/>
              </w:rPr>
              <w:t>306</w:t>
            </w:r>
          </w:hyperlink>
        </w:p>
        <w:p>
          <w:pPr>
            <w:pStyle w:val="Contents3"/>
            <w:tabs>
              <w:tab w:val="clear" w:pos="8459"/>
              <w:tab w:val="right" w:pos="9026" w:leader="dot"/>
            </w:tabs>
            <w:rPr/>
          </w:pPr>
          <w:hyperlink w:anchor="__RefHeading___Toc1840973_2322387425">
            <w:r>
              <w:rPr>
                <w:webHidden/>
                <w:rStyle w:val="IndexLink"/>
                <w:rtl w:val="true"/>
              </w:rPr>
              <w:t>الرابع</w:t>
            </w:r>
            <w:r>
              <w:rPr>
                <w:rStyle w:val="IndexLink"/>
                <w:rtl w:val="true"/>
              </w:rPr>
              <w:t xml:space="preserve">: </w:t>
            </w:r>
            <w:r>
              <w:rPr>
                <w:rStyle w:val="IndexLink"/>
                <w:rtl w:val="true"/>
              </w:rPr>
              <w:t>الانتصاب بعد الرکوع</w:t>
            </w:r>
            <w:r>
              <w:rPr>
                <w:rStyle w:val="IndexLink"/>
                <w:rtl w:val="true"/>
              </w:rPr>
              <w:tab/>
            </w:r>
            <w:r>
              <w:rPr>
                <w:rStyle w:val="IndexLink"/>
              </w:rPr>
              <w:t>307</w:t>
            </w:r>
          </w:hyperlink>
        </w:p>
        <w:p>
          <w:pPr>
            <w:pStyle w:val="Contents3"/>
            <w:tabs>
              <w:tab w:val="clear" w:pos="8459"/>
              <w:tab w:val="right" w:pos="9026" w:leader="dot"/>
            </w:tabs>
            <w:rPr/>
          </w:pPr>
          <w:hyperlink w:anchor="__RefHeading___Toc1840975_2322387425">
            <w:r>
              <w:rPr>
                <w:webHidden/>
                <w:rStyle w:val="IndexLink"/>
                <w:rtl w:val="true"/>
              </w:rPr>
              <w:t>الخامس الطمأنینة حا القیام من الرکوع</w:t>
            </w:r>
            <w:r>
              <w:rPr>
                <w:rStyle w:val="IndexLink"/>
                <w:rtl w:val="true"/>
              </w:rPr>
              <w:tab/>
            </w:r>
            <w:r>
              <w:rPr>
                <w:rStyle w:val="IndexLink"/>
              </w:rPr>
              <w:t>308</w:t>
            </w:r>
          </w:hyperlink>
        </w:p>
        <w:p>
          <w:pPr>
            <w:pStyle w:val="Contents3"/>
            <w:tabs>
              <w:tab w:val="clear" w:pos="8459"/>
              <w:tab w:val="right" w:pos="9026" w:leader="dot"/>
            </w:tabs>
            <w:rPr/>
          </w:pPr>
          <w:hyperlink w:anchor="__RefHeading___Toc1840977_2322387425">
            <w:r>
              <w:rPr>
                <w:webHidden/>
                <w:rStyle w:val="IndexLink"/>
                <w:rtl w:val="true"/>
              </w:rPr>
              <w:t>عدم وجوب وضع الیدین علی الرکبتین</w:t>
            </w:r>
            <w:r>
              <w:rPr>
                <w:rStyle w:val="IndexLink"/>
                <w:rtl w:val="true"/>
              </w:rPr>
              <w:tab/>
            </w:r>
            <w:r>
              <w:rPr>
                <w:rStyle w:val="IndexLink"/>
              </w:rPr>
              <w:t>308</w:t>
            </w:r>
          </w:hyperlink>
        </w:p>
        <w:p>
          <w:pPr>
            <w:pStyle w:val="Contents3"/>
            <w:tabs>
              <w:tab w:val="clear" w:pos="8459"/>
              <w:tab w:val="right" w:pos="9026" w:leader="dot"/>
            </w:tabs>
            <w:rPr/>
          </w:pPr>
          <w:hyperlink w:anchor="__RefHeading___Toc1840979_2322387425">
            <w:r>
              <w:rPr>
                <w:webHidden/>
                <w:rStyle w:val="IndexLink"/>
                <w:rtl w:val="true"/>
              </w:rPr>
              <w:t>العجز عن الانحناء للرکوع</w:t>
            </w:r>
            <w:r>
              <w:rPr>
                <w:rStyle w:val="IndexLink"/>
                <w:rtl w:val="true"/>
              </w:rPr>
              <w:tab/>
            </w:r>
            <w:r>
              <w:rPr>
                <w:rStyle w:val="IndexLink"/>
              </w:rPr>
              <w:t>309</w:t>
            </w:r>
          </w:hyperlink>
        </w:p>
        <w:p>
          <w:pPr>
            <w:pStyle w:val="Contents3"/>
            <w:tabs>
              <w:tab w:val="clear" w:pos="8459"/>
              <w:tab w:val="right" w:pos="9026" w:leader="dot"/>
            </w:tabs>
            <w:rPr/>
          </w:pPr>
          <w:hyperlink w:anchor="__RefHeading___Toc1840981_2322387425">
            <w:r>
              <w:rPr>
                <w:webHidden/>
                <w:rStyle w:val="IndexLink"/>
                <w:rtl w:val="true"/>
              </w:rPr>
              <w:t>حکم الرکوع جالساً مع الانحناء و قائماً مومئاً</w:t>
            </w:r>
            <w:r>
              <w:rPr>
                <w:rStyle w:val="IndexLink"/>
                <w:rtl w:val="true"/>
              </w:rPr>
              <w:tab/>
            </w:r>
            <w:r>
              <w:rPr>
                <w:rStyle w:val="IndexLink"/>
              </w:rPr>
              <w:t>311</w:t>
            </w:r>
          </w:hyperlink>
        </w:p>
        <w:p>
          <w:pPr>
            <w:pStyle w:val="Contents3"/>
            <w:tabs>
              <w:tab w:val="clear" w:pos="8459"/>
              <w:tab w:val="right" w:pos="9026" w:leader="dot"/>
            </w:tabs>
            <w:rPr/>
          </w:pPr>
          <w:hyperlink w:anchor="__RefHeading___Toc1840983_2322387425">
            <w:r>
              <w:rPr>
                <w:webHidden/>
                <w:rStyle w:val="IndexLink"/>
                <w:rtl w:val="true"/>
              </w:rPr>
              <w:t>التمکن من الرکوع الاختیاری بعد العجز</w:t>
            </w:r>
            <w:r>
              <w:rPr>
                <w:rStyle w:val="IndexLink"/>
                <w:rtl w:val="true"/>
              </w:rPr>
              <w:tab/>
            </w:r>
            <w:r>
              <w:rPr>
                <w:rStyle w:val="IndexLink"/>
              </w:rPr>
              <w:t>312</w:t>
            </w:r>
          </w:hyperlink>
        </w:p>
        <w:p>
          <w:pPr>
            <w:pStyle w:val="Contents3"/>
            <w:tabs>
              <w:tab w:val="clear" w:pos="8459"/>
              <w:tab w:val="right" w:pos="9026" w:leader="dot"/>
            </w:tabs>
            <w:rPr/>
          </w:pPr>
          <w:hyperlink w:anchor="__RefHeading___Toc1840985_2322387425">
            <w:r>
              <w:rPr>
                <w:webHidden/>
                <w:rStyle w:val="IndexLink"/>
                <w:rtl w:val="true"/>
              </w:rPr>
              <w:t>زیادة الرکوع الجلوسی أو الإیمائی</w:t>
            </w:r>
            <w:r>
              <w:rPr>
                <w:rStyle w:val="IndexLink"/>
                <w:rtl w:val="true"/>
              </w:rPr>
              <w:tab/>
            </w:r>
            <w:r>
              <w:rPr>
                <w:rStyle w:val="IndexLink"/>
              </w:rPr>
              <w:t>316</w:t>
            </w:r>
          </w:hyperlink>
        </w:p>
        <w:p>
          <w:pPr>
            <w:pStyle w:val="Contents3"/>
            <w:tabs>
              <w:tab w:val="clear" w:pos="8459"/>
              <w:tab w:val="right" w:pos="9026" w:leader="dot"/>
            </w:tabs>
            <w:rPr/>
          </w:pPr>
          <w:hyperlink w:anchor="__RefHeading___Toc1840987_2322387425">
            <w:r>
              <w:rPr>
                <w:webHidden/>
                <w:rStyle w:val="IndexLink"/>
                <w:rtl w:val="true"/>
              </w:rPr>
              <w:t>حکم من کان کالراکع خلقة أو بالعارض</w:t>
            </w:r>
            <w:r>
              <w:rPr>
                <w:rStyle w:val="IndexLink"/>
                <w:rtl w:val="true"/>
              </w:rPr>
              <w:tab/>
            </w:r>
            <w:r>
              <w:rPr>
                <w:rStyle w:val="IndexLink"/>
              </w:rPr>
              <w:t>316</w:t>
            </w:r>
          </w:hyperlink>
        </w:p>
        <w:p>
          <w:pPr>
            <w:pStyle w:val="Contents3"/>
            <w:tabs>
              <w:tab w:val="clear" w:pos="8459"/>
              <w:tab w:val="right" w:pos="9026" w:leader="dot"/>
            </w:tabs>
            <w:rPr/>
          </w:pPr>
          <w:hyperlink w:anchor="__RefHeading___Toc1840989_2322387425">
            <w:r>
              <w:rPr>
                <w:webHidden/>
                <w:rStyle w:val="IndexLink"/>
                <w:rtl w:val="true"/>
              </w:rPr>
              <w:t>اعتبار قصد الرکوع فی الانحناء</w:t>
            </w:r>
            <w:r>
              <w:rPr>
                <w:rStyle w:val="IndexLink"/>
                <w:rtl w:val="true"/>
              </w:rPr>
              <w:tab/>
            </w:r>
            <w:r>
              <w:rPr>
                <w:rStyle w:val="IndexLink"/>
              </w:rPr>
              <w:t>319</w:t>
            </w:r>
          </w:hyperlink>
        </w:p>
        <w:p>
          <w:pPr>
            <w:pStyle w:val="Contents3"/>
            <w:tabs>
              <w:tab w:val="clear" w:pos="8459"/>
              <w:tab w:val="right" w:pos="9026" w:leader="dot"/>
            </w:tabs>
            <w:rPr/>
          </w:pPr>
          <w:hyperlink w:anchor="__RefHeading___Toc1840991_2322387425">
            <w:r>
              <w:rPr>
                <w:webHidden/>
                <w:rStyle w:val="IndexLink"/>
                <w:rtl w:val="true"/>
              </w:rPr>
              <w:t>حکم الناسی للرکوع قبل السجود</w:t>
            </w:r>
            <w:r>
              <w:rPr>
                <w:rStyle w:val="IndexLink"/>
                <w:rtl w:val="true"/>
              </w:rPr>
              <w:tab/>
            </w:r>
            <w:r>
              <w:rPr>
                <w:rStyle w:val="IndexLink"/>
              </w:rPr>
              <w:t>319</w:t>
            </w:r>
          </w:hyperlink>
        </w:p>
        <w:p>
          <w:pPr>
            <w:pStyle w:val="Contents3"/>
            <w:tabs>
              <w:tab w:val="clear" w:pos="8459"/>
              <w:tab w:val="right" w:pos="9026" w:leader="dot"/>
            </w:tabs>
            <w:rPr/>
          </w:pPr>
          <w:hyperlink w:anchor="__RefHeading___Toc1840993_2322387425">
            <w:r>
              <w:rPr>
                <w:webHidden/>
                <w:rStyle w:val="IndexLink"/>
                <w:rtl w:val="true"/>
              </w:rPr>
              <w:t>حد الانحناء فی رکوع المرأة</w:t>
            </w:r>
            <w:r>
              <w:rPr>
                <w:rStyle w:val="IndexLink"/>
                <w:rtl w:val="true"/>
              </w:rPr>
              <w:tab/>
            </w:r>
            <w:r>
              <w:rPr>
                <w:rStyle w:val="IndexLink"/>
              </w:rPr>
              <w:t>325</w:t>
            </w:r>
          </w:hyperlink>
        </w:p>
        <w:p>
          <w:pPr>
            <w:pStyle w:val="Contents3"/>
            <w:tabs>
              <w:tab w:val="clear" w:pos="8459"/>
              <w:tab w:val="right" w:pos="9026" w:leader="dot"/>
            </w:tabs>
            <w:rPr/>
          </w:pPr>
          <w:hyperlink w:anchor="__RefHeading___Toc1840995_2322387425">
            <w:r>
              <w:rPr>
                <w:webHidden/>
                <w:rStyle w:val="IndexLink"/>
                <w:rtl w:val="true"/>
              </w:rPr>
              <w:t>فی ما یکتفی به من الذکر فی الرکوع</w:t>
            </w:r>
            <w:r>
              <w:rPr>
                <w:rStyle w:val="IndexLink"/>
                <w:rtl w:val="true"/>
              </w:rPr>
              <w:tab/>
            </w:r>
            <w:r>
              <w:rPr>
                <w:rStyle w:val="IndexLink"/>
              </w:rPr>
              <w:t>326</w:t>
            </w:r>
          </w:hyperlink>
        </w:p>
        <w:p>
          <w:pPr>
            <w:pStyle w:val="Contents3"/>
            <w:tabs>
              <w:tab w:val="clear" w:pos="8459"/>
              <w:tab w:val="right" w:pos="9026" w:leader="dot"/>
            </w:tabs>
            <w:rPr/>
          </w:pPr>
          <w:hyperlink w:anchor="__RefHeading___Toc1840997_2322387425">
            <w:r>
              <w:rPr>
                <w:webHidden/>
                <w:rStyle w:val="IndexLink"/>
                <w:rtl w:val="true"/>
              </w:rPr>
              <w:t>زیادة الذکر علی المرة</w:t>
            </w:r>
            <w:r>
              <w:rPr>
                <w:rStyle w:val="IndexLink"/>
                <w:rtl w:val="true"/>
              </w:rPr>
              <w:tab/>
            </w:r>
            <w:r>
              <w:rPr>
                <w:rStyle w:val="IndexLink"/>
              </w:rPr>
              <w:t>327</w:t>
            </w:r>
          </w:hyperlink>
        </w:p>
        <w:p>
          <w:pPr>
            <w:pStyle w:val="Contents3"/>
            <w:tabs>
              <w:tab w:val="clear" w:pos="8459"/>
              <w:tab w:val="right" w:pos="9026" w:leader="dot"/>
            </w:tabs>
            <w:rPr/>
          </w:pPr>
          <w:hyperlink w:anchor="__RefHeading___Toc1840999_2322387425">
            <w:r>
              <w:rPr>
                <w:webHidden/>
                <w:rStyle w:val="IndexLink"/>
                <w:rtl w:val="true"/>
              </w:rPr>
              <w:t>کفایة التسبیحة الصغری</w:t>
            </w:r>
            <w:r>
              <w:rPr>
                <w:rStyle w:val="IndexLink"/>
                <w:rtl w:val="true"/>
              </w:rPr>
              <w:tab/>
            </w:r>
            <w:r>
              <w:rPr>
                <w:rStyle w:val="IndexLink"/>
              </w:rPr>
              <w:t>329</w:t>
            </w:r>
          </w:hyperlink>
        </w:p>
        <w:p>
          <w:pPr>
            <w:pStyle w:val="Contents3"/>
            <w:tabs>
              <w:tab w:val="clear" w:pos="8459"/>
              <w:tab w:val="right" w:pos="9026" w:leader="dot"/>
            </w:tabs>
            <w:rPr/>
          </w:pPr>
          <w:hyperlink w:anchor="__RefHeading___Toc1841001_2322387425">
            <w:r>
              <w:rPr>
                <w:webHidden/>
                <w:rStyle w:val="IndexLink"/>
                <w:rtl w:val="true"/>
              </w:rPr>
              <w:t>عدم جواز الشروع فی الذکر قبل الرکوع و الاطمئنان</w:t>
            </w:r>
            <w:r>
              <w:rPr>
                <w:rStyle w:val="IndexLink"/>
                <w:rtl w:val="true"/>
              </w:rPr>
              <w:tab/>
            </w:r>
            <w:r>
              <w:rPr>
                <w:rStyle w:val="IndexLink"/>
              </w:rPr>
              <w:t>329</w:t>
            </w:r>
          </w:hyperlink>
        </w:p>
        <w:p>
          <w:pPr>
            <w:pStyle w:val="Contents3"/>
            <w:tabs>
              <w:tab w:val="clear" w:pos="8459"/>
              <w:tab w:val="right" w:pos="9026" w:leader="dot"/>
            </w:tabs>
            <w:rPr/>
          </w:pPr>
          <w:hyperlink w:anchor="__RefHeading___Toc1841003_2322387425">
            <w:r>
              <w:rPr>
                <w:webHidden/>
                <w:rStyle w:val="IndexLink"/>
                <w:rtl w:val="true"/>
              </w:rPr>
              <w:t>سقوط الطمأنینة عن العاجز</w:t>
            </w:r>
            <w:r>
              <w:rPr>
                <w:rStyle w:val="IndexLink"/>
                <w:rtl w:val="true"/>
              </w:rPr>
              <w:tab/>
            </w:r>
            <w:r>
              <w:rPr>
                <w:rStyle w:val="IndexLink"/>
              </w:rPr>
              <w:t>331</w:t>
            </w:r>
          </w:hyperlink>
        </w:p>
        <w:p>
          <w:pPr>
            <w:pStyle w:val="Contents3"/>
            <w:tabs>
              <w:tab w:val="clear" w:pos="8459"/>
              <w:tab w:val="right" w:pos="9026" w:leader="dot"/>
            </w:tabs>
            <w:rPr/>
          </w:pPr>
          <w:hyperlink w:anchor="__RefHeading___Toc1841005_2322387425">
            <w:r>
              <w:rPr>
                <w:webHidden/>
                <w:rStyle w:val="IndexLink"/>
                <w:rtl w:val="true"/>
              </w:rPr>
              <w:t>حکم ترک الطمأنینة فی الرکوع</w:t>
            </w:r>
            <w:r>
              <w:rPr>
                <w:rStyle w:val="IndexLink"/>
                <w:rtl w:val="true"/>
              </w:rPr>
              <w:tab/>
            </w:r>
            <w:r>
              <w:rPr>
                <w:rStyle w:val="IndexLink"/>
              </w:rPr>
              <w:t>332</w:t>
            </w:r>
          </w:hyperlink>
        </w:p>
        <w:p>
          <w:pPr>
            <w:pStyle w:val="Contents3"/>
            <w:tabs>
              <w:tab w:val="clear" w:pos="8459"/>
              <w:tab w:val="right" w:pos="9026" w:leader="dot"/>
            </w:tabs>
            <w:rPr/>
          </w:pPr>
          <w:hyperlink w:anchor="__RefHeading___Toc1841007_2322387425">
            <w:r>
              <w:rPr>
                <w:webHidden/>
                <w:rStyle w:val="IndexLink"/>
                <w:rtl w:val="true"/>
              </w:rPr>
              <w:t>فی الجمع بین التسبیحة الصغری و الکبری</w:t>
            </w:r>
            <w:r>
              <w:rPr>
                <w:rStyle w:val="IndexLink"/>
                <w:rtl w:val="true"/>
              </w:rPr>
              <w:tab/>
            </w:r>
            <w:r>
              <w:rPr>
                <w:rStyle w:val="IndexLink"/>
              </w:rPr>
              <w:t>333</w:t>
            </w:r>
          </w:hyperlink>
        </w:p>
        <w:p>
          <w:pPr>
            <w:pStyle w:val="Contents3"/>
            <w:tabs>
              <w:tab w:val="clear" w:pos="8459"/>
              <w:tab w:val="right" w:pos="9026" w:leader="dot"/>
            </w:tabs>
            <w:rPr/>
          </w:pPr>
          <w:hyperlink w:anchor="__RefHeading___Toc1841009_2322387425">
            <w:r>
              <w:rPr>
                <w:webHidden/>
                <w:rStyle w:val="IndexLink"/>
                <w:rtl w:val="true"/>
              </w:rPr>
              <w:t>العدول من التسبیحة الصغری إلی الکبری، و بالعکس</w:t>
            </w:r>
            <w:r>
              <w:rPr>
                <w:rStyle w:val="IndexLink"/>
                <w:rtl w:val="true"/>
              </w:rPr>
              <w:tab/>
            </w:r>
            <w:r>
              <w:rPr>
                <w:rStyle w:val="IndexLink"/>
              </w:rPr>
              <w:t>333</w:t>
            </w:r>
          </w:hyperlink>
        </w:p>
        <w:p>
          <w:pPr>
            <w:pStyle w:val="Contents3"/>
            <w:tabs>
              <w:tab w:val="clear" w:pos="8459"/>
              <w:tab w:val="right" w:pos="9026" w:leader="dot"/>
            </w:tabs>
            <w:rPr/>
          </w:pPr>
          <w:hyperlink w:anchor="__RefHeading___Toc1841011_2322387425">
            <w:r>
              <w:rPr>
                <w:webHidden/>
                <w:rStyle w:val="IndexLink"/>
                <w:rtl w:val="true"/>
              </w:rPr>
              <w:t>شرائط ذکر الرکوع</w:t>
            </w:r>
            <w:r>
              <w:rPr>
                <w:rStyle w:val="IndexLink"/>
                <w:rtl w:val="true"/>
              </w:rPr>
              <w:tab/>
            </w:r>
            <w:r>
              <w:rPr>
                <w:rStyle w:val="IndexLink"/>
              </w:rPr>
              <w:t>333</w:t>
            </w:r>
          </w:hyperlink>
        </w:p>
        <w:p>
          <w:pPr>
            <w:pStyle w:val="Contents3"/>
            <w:tabs>
              <w:tab w:val="clear" w:pos="8459"/>
              <w:tab w:val="right" w:pos="9026" w:leader="dot"/>
            </w:tabs>
            <w:rPr/>
          </w:pPr>
          <w:hyperlink w:anchor="__RefHeading___Toc1841013_2322387425">
            <w:r>
              <w:rPr>
                <w:webHidden/>
                <w:rStyle w:val="IndexLink"/>
                <w:rtl w:val="true"/>
              </w:rPr>
              <w:t>التحرک قهراً فی حال الذکر</w:t>
            </w:r>
            <w:r>
              <w:rPr>
                <w:rStyle w:val="IndexLink"/>
                <w:rtl w:val="true"/>
              </w:rPr>
              <w:tab/>
            </w:r>
            <w:r>
              <w:rPr>
                <w:rStyle w:val="IndexLink"/>
              </w:rPr>
              <w:t>335</w:t>
            </w:r>
          </w:hyperlink>
        </w:p>
        <w:p>
          <w:pPr>
            <w:pStyle w:val="Contents3"/>
            <w:tabs>
              <w:tab w:val="clear" w:pos="8459"/>
              <w:tab w:val="right" w:pos="9026" w:leader="dot"/>
            </w:tabs>
            <w:rPr/>
          </w:pPr>
          <w:hyperlink w:anchor="__RefHeading___Toc1841015_2322387425">
            <w:r>
              <w:rPr>
                <w:webHidden/>
                <w:rStyle w:val="IndexLink"/>
                <w:rtl w:val="true"/>
              </w:rPr>
              <w:t>حکم التنقل بین مراتب الانحناء</w:t>
            </w:r>
            <w:r>
              <w:rPr>
                <w:rStyle w:val="IndexLink"/>
                <w:rtl w:val="true"/>
              </w:rPr>
              <w:tab/>
            </w:r>
            <w:r>
              <w:rPr>
                <w:rStyle w:val="IndexLink"/>
              </w:rPr>
              <w:t>335</w:t>
            </w:r>
          </w:hyperlink>
        </w:p>
        <w:p>
          <w:pPr>
            <w:pStyle w:val="Contents3"/>
            <w:tabs>
              <w:tab w:val="clear" w:pos="8459"/>
              <w:tab w:val="right" w:pos="9026" w:leader="dot"/>
            </w:tabs>
            <w:rPr/>
          </w:pPr>
          <w:hyperlink w:anchor="__RefHeading___Toc1841017_2322387425">
            <w:r>
              <w:rPr>
                <w:webHidden/>
                <w:rStyle w:val="IndexLink"/>
                <w:rtl w:val="true"/>
              </w:rPr>
              <w:t xml:space="preserve">الشک فی لفط </w:t>
            </w:r>
            <w:r>
              <w:rPr>
                <w:rStyle w:val="IndexLink"/>
                <w:rtl w:val="true"/>
              </w:rPr>
              <w:t>«</w:t>
            </w:r>
            <w:r>
              <w:rPr>
                <w:rStyle w:val="IndexLink"/>
                <w:rtl w:val="true"/>
              </w:rPr>
              <w:t>العظیم</w:t>
            </w:r>
            <w:r>
              <w:rPr>
                <w:rStyle w:val="IndexLink"/>
                <w:rtl w:val="true"/>
              </w:rPr>
              <w:t>»</w:t>
              <w:tab/>
            </w:r>
            <w:r>
              <w:rPr>
                <w:rStyle w:val="IndexLink"/>
              </w:rPr>
              <w:t>336</w:t>
            </w:r>
          </w:hyperlink>
        </w:p>
        <w:p>
          <w:pPr>
            <w:pStyle w:val="Contents3"/>
            <w:tabs>
              <w:tab w:val="clear" w:pos="8459"/>
              <w:tab w:val="right" w:pos="9026" w:leader="dot"/>
            </w:tabs>
            <w:rPr/>
          </w:pPr>
          <w:hyperlink w:anchor="__RefHeading___Toc1841019_2322387425">
            <w:r>
              <w:rPr>
                <w:webHidden/>
                <w:rStyle w:val="IndexLink"/>
                <w:rtl w:val="true"/>
              </w:rPr>
              <w:t>کیفیة الرکوع الجلوسی</w:t>
            </w:r>
            <w:r>
              <w:rPr>
                <w:rStyle w:val="IndexLink"/>
                <w:rtl w:val="true"/>
              </w:rPr>
              <w:tab/>
            </w:r>
            <w:r>
              <w:rPr>
                <w:rStyle w:val="IndexLink"/>
              </w:rPr>
              <w:t>338</w:t>
            </w:r>
          </w:hyperlink>
        </w:p>
        <w:p>
          <w:pPr>
            <w:pStyle w:val="Contents3"/>
            <w:tabs>
              <w:tab w:val="clear" w:pos="8459"/>
              <w:tab w:val="right" w:pos="9026" w:leader="dot"/>
            </w:tabs>
            <w:rPr/>
          </w:pPr>
          <w:hyperlink w:anchor="__RefHeading___Toc1841021_2322387425">
            <w:r>
              <w:rPr>
                <w:webHidden/>
                <w:rStyle w:val="IndexLink"/>
                <w:rtl w:val="true"/>
              </w:rPr>
              <w:t>مستحبات الرکوع</w:t>
            </w:r>
            <w:r>
              <w:rPr>
                <w:rStyle w:val="IndexLink"/>
                <w:rtl w:val="true"/>
              </w:rPr>
              <w:tab/>
            </w:r>
            <w:r>
              <w:rPr>
                <w:rStyle w:val="IndexLink"/>
              </w:rPr>
              <w:t>339</w:t>
            </w:r>
          </w:hyperlink>
        </w:p>
        <w:p>
          <w:pPr>
            <w:pStyle w:val="Contents3"/>
            <w:tabs>
              <w:tab w:val="clear" w:pos="8459"/>
              <w:tab w:val="right" w:pos="9026" w:leader="dot"/>
            </w:tabs>
            <w:rPr/>
          </w:pPr>
          <w:hyperlink w:anchor="__RefHeading___Toc1841023_2322387425">
            <w:r>
              <w:rPr>
                <w:webHidden/>
                <w:rStyle w:val="IndexLink"/>
                <w:rtl w:val="true"/>
              </w:rPr>
              <w:t>الأول</w:t>
            </w:r>
            <w:r>
              <w:rPr>
                <w:rStyle w:val="IndexLink"/>
                <w:rtl w:val="true"/>
              </w:rPr>
              <w:t xml:space="preserve">: </w:t>
            </w:r>
            <w:r>
              <w:rPr>
                <w:rStyle w:val="IndexLink"/>
                <w:rtl w:val="true"/>
              </w:rPr>
              <w:t>التکبیر للرکوع فی حال الانتصاب</w:t>
            </w:r>
            <w:r>
              <w:rPr>
                <w:rStyle w:val="IndexLink"/>
                <w:rtl w:val="true"/>
              </w:rPr>
              <w:tab/>
            </w:r>
            <w:r>
              <w:rPr>
                <w:rStyle w:val="IndexLink"/>
              </w:rPr>
              <w:t>339</w:t>
            </w:r>
          </w:hyperlink>
        </w:p>
        <w:p>
          <w:pPr>
            <w:pStyle w:val="Contents3"/>
            <w:tabs>
              <w:tab w:val="clear" w:pos="8459"/>
              <w:tab w:val="right" w:pos="9026" w:leader="dot"/>
            </w:tabs>
            <w:rPr/>
          </w:pPr>
          <w:hyperlink w:anchor="__RefHeading___Toc1841025_2322387425">
            <w:r>
              <w:rPr>
                <w:webHidden/>
                <w:rStyle w:val="IndexLink"/>
                <w:rtl w:val="true"/>
              </w:rPr>
              <w:t>الثانی</w:t>
            </w:r>
            <w:r>
              <w:rPr>
                <w:rStyle w:val="IndexLink"/>
                <w:rtl w:val="true"/>
              </w:rPr>
              <w:t xml:space="preserve">: </w:t>
            </w:r>
            <w:r>
              <w:rPr>
                <w:rStyle w:val="IndexLink"/>
                <w:rtl w:val="true"/>
              </w:rPr>
              <w:t>رفع الیدین حال التکبیرة</w:t>
            </w:r>
            <w:r>
              <w:rPr>
                <w:rStyle w:val="IndexLink"/>
                <w:rtl w:val="true"/>
              </w:rPr>
              <w:tab/>
            </w:r>
            <w:r>
              <w:rPr>
                <w:rStyle w:val="IndexLink"/>
              </w:rPr>
              <w:t>339</w:t>
            </w:r>
          </w:hyperlink>
        </w:p>
        <w:p>
          <w:pPr>
            <w:pStyle w:val="Contents3"/>
            <w:tabs>
              <w:tab w:val="clear" w:pos="8459"/>
              <w:tab w:val="right" w:pos="9026" w:leader="dot"/>
            </w:tabs>
            <w:rPr/>
          </w:pPr>
          <w:hyperlink w:anchor="__RefHeading___Toc1841027_2322387425">
            <w:r>
              <w:rPr>
                <w:webHidden/>
                <w:rStyle w:val="IndexLink"/>
                <w:rtl w:val="true"/>
              </w:rPr>
              <w:t>الثالث</w:t>
            </w:r>
            <w:r>
              <w:rPr>
                <w:rStyle w:val="IndexLink"/>
                <w:rtl w:val="true"/>
              </w:rPr>
              <w:t xml:space="preserve">: </w:t>
            </w:r>
            <w:r>
              <w:rPr>
                <w:rStyle w:val="IndexLink"/>
                <w:rtl w:val="true"/>
              </w:rPr>
              <w:t>وضع الکفین علی الرکبتین</w:t>
            </w:r>
            <w:r>
              <w:rPr>
                <w:rStyle w:val="IndexLink"/>
                <w:rtl w:val="true"/>
              </w:rPr>
              <w:tab/>
            </w:r>
            <w:r>
              <w:rPr>
                <w:rStyle w:val="IndexLink"/>
              </w:rPr>
              <w:t>340</w:t>
            </w:r>
          </w:hyperlink>
        </w:p>
        <w:p>
          <w:pPr>
            <w:pStyle w:val="Contents3"/>
            <w:tabs>
              <w:tab w:val="clear" w:pos="8459"/>
              <w:tab w:val="right" w:pos="9026" w:leader="dot"/>
            </w:tabs>
            <w:rPr/>
          </w:pPr>
          <w:hyperlink w:anchor="__RefHeading___Toc1841029_2322387425">
            <w:r>
              <w:rPr>
                <w:webHidden/>
                <w:rStyle w:val="IndexLink"/>
                <w:rtl w:val="true"/>
              </w:rPr>
              <w:t>الرابع</w:t>
            </w:r>
            <w:r>
              <w:rPr>
                <w:rStyle w:val="IndexLink"/>
                <w:rtl w:val="true"/>
              </w:rPr>
              <w:t xml:space="preserve">: </w:t>
            </w:r>
            <w:r>
              <w:rPr>
                <w:rStyle w:val="IndexLink"/>
                <w:rtl w:val="true"/>
              </w:rPr>
              <w:t>رد الرکبتین إلی الخلف</w:t>
            </w:r>
            <w:r>
              <w:rPr>
                <w:rStyle w:val="IndexLink"/>
                <w:rtl w:val="true"/>
              </w:rPr>
              <w:tab/>
            </w:r>
            <w:r>
              <w:rPr>
                <w:rStyle w:val="IndexLink"/>
              </w:rPr>
              <w:t>340</w:t>
            </w:r>
          </w:hyperlink>
        </w:p>
        <w:p>
          <w:pPr>
            <w:pStyle w:val="Contents3"/>
            <w:tabs>
              <w:tab w:val="clear" w:pos="8459"/>
              <w:tab w:val="right" w:pos="9026" w:leader="dot"/>
            </w:tabs>
            <w:rPr/>
          </w:pPr>
          <w:hyperlink w:anchor="__RefHeading___Toc1841031_2322387425">
            <w:r>
              <w:rPr>
                <w:webHidden/>
                <w:rStyle w:val="IndexLink"/>
                <w:rtl w:val="true"/>
              </w:rPr>
              <w:t>الخامس</w:t>
            </w:r>
            <w:r>
              <w:rPr>
                <w:rStyle w:val="IndexLink"/>
                <w:rtl w:val="true"/>
              </w:rPr>
              <w:t xml:space="preserve">: </w:t>
            </w:r>
            <w:r>
              <w:rPr>
                <w:rStyle w:val="IndexLink"/>
                <w:rtl w:val="true"/>
              </w:rPr>
              <w:t>تسویة الظهر</w:t>
            </w:r>
            <w:r>
              <w:rPr>
                <w:rStyle w:val="IndexLink"/>
                <w:rtl w:val="true"/>
              </w:rPr>
              <w:tab/>
            </w:r>
            <w:r>
              <w:rPr>
                <w:rStyle w:val="IndexLink"/>
              </w:rPr>
              <w:t>340</w:t>
            </w:r>
          </w:hyperlink>
        </w:p>
        <w:p>
          <w:pPr>
            <w:pStyle w:val="Contents3"/>
            <w:tabs>
              <w:tab w:val="clear" w:pos="8459"/>
              <w:tab w:val="right" w:pos="9026" w:leader="dot"/>
            </w:tabs>
            <w:rPr/>
          </w:pPr>
          <w:hyperlink w:anchor="__RefHeading___Toc1841033_2322387425">
            <w:r>
              <w:rPr>
                <w:webHidden/>
                <w:rStyle w:val="IndexLink"/>
                <w:rtl w:val="true"/>
              </w:rPr>
              <w:t>السادس</w:t>
            </w:r>
            <w:r>
              <w:rPr>
                <w:rStyle w:val="IndexLink"/>
                <w:rtl w:val="true"/>
              </w:rPr>
              <w:t xml:space="preserve">: </w:t>
            </w:r>
            <w:r>
              <w:rPr>
                <w:rStyle w:val="IndexLink"/>
                <w:rtl w:val="true"/>
              </w:rPr>
              <w:t>مد العنق</w:t>
            </w:r>
            <w:r>
              <w:rPr>
                <w:rStyle w:val="IndexLink"/>
                <w:rtl w:val="true"/>
              </w:rPr>
              <w:tab/>
            </w:r>
            <w:r>
              <w:rPr>
                <w:rStyle w:val="IndexLink"/>
              </w:rPr>
              <w:t>341</w:t>
            </w:r>
          </w:hyperlink>
        </w:p>
        <w:p>
          <w:pPr>
            <w:pStyle w:val="Contents3"/>
            <w:tabs>
              <w:tab w:val="clear" w:pos="8459"/>
              <w:tab w:val="right" w:pos="9026" w:leader="dot"/>
            </w:tabs>
            <w:rPr/>
          </w:pPr>
          <w:hyperlink w:anchor="__RefHeading___Toc1841035_2322387425">
            <w:r>
              <w:rPr>
                <w:webHidden/>
                <w:rStyle w:val="IndexLink"/>
                <w:rtl w:val="true"/>
              </w:rPr>
              <w:t>السابع</w:t>
            </w:r>
            <w:r>
              <w:rPr>
                <w:rStyle w:val="IndexLink"/>
                <w:rtl w:val="true"/>
              </w:rPr>
              <w:t xml:space="preserve">: </w:t>
            </w:r>
            <w:r>
              <w:rPr>
                <w:rStyle w:val="IndexLink"/>
                <w:rtl w:val="true"/>
              </w:rPr>
              <w:t>أن یکون نظره بین قدمیه</w:t>
            </w:r>
            <w:r>
              <w:rPr>
                <w:rStyle w:val="IndexLink"/>
                <w:rtl w:val="true"/>
              </w:rPr>
              <w:tab/>
            </w:r>
            <w:r>
              <w:rPr>
                <w:rStyle w:val="IndexLink"/>
              </w:rPr>
              <w:t>341</w:t>
            </w:r>
          </w:hyperlink>
        </w:p>
        <w:p>
          <w:pPr>
            <w:pStyle w:val="Contents3"/>
            <w:tabs>
              <w:tab w:val="clear" w:pos="8459"/>
              <w:tab w:val="right" w:pos="9026" w:leader="dot"/>
            </w:tabs>
            <w:rPr/>
          </w:pPr>
          <w:hyperlink w:anchor="__RefHeading___Toc1841037_2322387425">
            <w:r>
              <w:rPr>
                <w:webHidden/>
                <w:rStyle w:val="IndexLink"/>
                <w:rtl w:val="true"/>
              </w:rPr>
              <w:t>الثامن</w:t>
            </w:r>
            <w:r>
              <w:rPr>
                <w:rStyle w:val="IndexLink"/>
                <w:rtl w:val="true"/>
              </w:rPr>
              <w:t xml:space="preserve">: </w:t>
            </w:r>
            <w:r>
              <w:rPr>
                <w:rStyle w:val="IndexLink"/>
                <w:rtl w:val="true"/>
              </w:rPr>
              <w:t>التجنیح</w:t>
            </w:r>
            <w:r>
              <w:rPr>
                <w:rStyle w:val="IndexLink"/>
                <w:rtl w:val="true"/>
              </w:rPr>
              <w:tab/>
            </w:r>
            <w:r>
              <w:rPr>
                <w:rStyle w:val="IndexLink"/>
              </w:rPr>
              <w:t>341</w:t>
            </w:r>
          </w:hyperlink>
        </w:p>
        <w:p>
          <w:pPr>
            <w:pStyle w:val="Contents3"/>
            <w:tabs>
              <w:tab w:val="clear" w:pos="8459"/>
              <w:tab w:val="right" w:pos="9026" w:leader="dot"/>
            </w:tabs>
            <w:rPr/>
          </w:pPr>
          <w:hyperlink w:anchor="__RefHeading___Toc1841039_2322387425">
            <w:r>
              <w:rPr>
                <w:webHidden/>
                <w:rStyle w:val="IndexLink"/>
                <w:rtl w:val="true"/>
              </w:rPr>
              <w:t>التاسع</w:t>
            </w:r>
            <w:r>
              <w:rPr>
                <w:rStyle w:val="IndexLink"/>
                <w:rtl w:val="true"/>
              </w:rPr>
              <w:t xml:space="preserve">: </w:t>
            </w:r>
            <w:r>
              <w:rPr>
                <w:rStyle w:val="IndexLink"/>
                <w:rtl w:val="true"/>
              </w:rPr>
              <w:t>وضع الید الیمنی علی</w:t>
            </w:r>
            <w:r>
              <w:rPr>
                <w:rStyle w:val="IndexLink"/>
                <w:rtl w:val="true"/>
              </w:rPr>
              <w:tab/>
            </w:r>
            <w:r>
              <w:rPr>
                <w:rStyle w:val="IndexLink"/>
              </w:rPr>
              <w:t>341</w:t>
            </w:r>
          </w:hyperlink>
        </w:p>
        <w:p>
          <w:pPr>
            <w:pStyle w:val="Contents3"/>
            <w:tabs>
              <w:tab w:val="clear" w:pos="8459"/>
              <w:tab w:val="right" w:pos="9026" w:leader="dot"/>
            </w:tabs>
            <w:rPr/>
          </w:pPr>
          <w:hyperlink w:anchor="__RefHeading___Toc1841041_2322387425">
            <w:r>
              <w:rPr>
                <w:webHidden/>
                <w:rStyle w:val="IndexLink"/>
                <w:rtl w:val="true"/>
              </w:rPr>
              <w:t>العاشر</w:t>
            </w:r>
            <w:r>
              <w:rPr>
                <w:rStyle w:val="IndexLink"/>
                <w:rtl w:val="true"/>
              </w:rPr>
              <w:t xml:space="preserve">: </w:t>
            </w:r>
            <w:r>
              <w:rPr>
                <w:rStyle w:val="IndexLink"/>
                <w:rtl w:val="true"/>
              </w:rPr>
              <w:t>وضع المرأة یدیها علی فخذیها فوق الرکبتین</w:t>
            </w:r>
            <w:r>
              <w:rPr>
                <w:rStyle w:val="IndexLink"/>
                <w:rtl w:val="true"/>
              </w:rPr>
              <w:tab/>
            </w:r>
            <w:r>
              <w:rPr>
                <w:rStyle w:val="IndexLink"/>
              </w:rPr>
              <w:t>341</w:t>
            </w:r>
          </w:hyperlink>
        </w:p>
        <w:p>
          <w:pPr>
            <w:pStyle w:val="Contents3"/>
            <w:tabs>
              <w:tab w:val="clear" w:pos="8459"/>
              <w:tab w:val="right" w:pos="9026" w:leader="dot"/>
            </w:tabs>
            <w:rPr/>
          </w:pPr>
          <w:hyperlink w:anchor="__RefHeading___Toc1841043_2322387425">
            <w:r>
              <w:rPr>
                <w:webHidden/>
                <w:rStyle w:val="IndexLink"/>
                <w:rtl w:val="true"/>
              </w:rPr>
              <w:t>الحادی عشر</w:t>
            </w:r>
            <w:r>
              <w:rPr>
                <w:rStyle w:val="IndexLink"/>
                <w:rtl w:val="true"/>
              </w:rPr>
              <w:t xml:space="preserve">: </w:t>
            </w:r>
            <w:r>
              <w:rPr>
                <w:rStyle w:val="IndexLink"/>
                <w:rtl w:val="true"/>
              </w:rPr>
              <w:t>تکرار التسبیح ثلاثاً</w:t>
            </w:r>
            <w:r>
              <w:rPr>
                <w:rStyle w:val="IndexLink"/>
                <w:rtl w:val="true"/>
              </w:rPr>
              <w:tab/>
            </w:r>
            <w:r>
              <w:rPr>
                <w:rStyle w:val="IndexLink"/>
              </w:rPr>
              <w:t>341</w:t>
            </w:r>
          </w:hyperlink>
        </w:p>
        <w:p>
          <w:pPr>
            <w:pStyle w:val="Contents3"/>
            <w:tabs>
              <w:tab w:val="clear" w:pos="8459"/>
              <w:tab w:val="right" w:pos="9026" w:leader="dot"/>
            </w:tabs>
            <w:rPr/>
          </w:pPr>
          <w:hyperlink w:anchor="__RefHeading___Toc1841045_2322387425">
            <w:r>
              <w:rPr>
                <w:webHidden/>
                <w:rStyle w:val="IndexLink"/>
                <w:rtl w:val="true"/>
              </w:rPr>
              <w:t>الثانی عشر</w:t>
            </w:r>
            <w:r>
              <w:rPr>
                <w:rStyle w:val="IndexLink"/>
                <w:rtl w:val="true"/>
              </w:rPr>
              <w:t xml:space="preserve">: </w:t>
            </w:r>
            <w:r>
              <w:rPr>
                <w:rStyle w:val="IndexLink"/>
                <w:rtl w:val="true"/>
              </w:rPr>
              <w:t>الختم علی وتر</w:t>
            </w:r>
            <w:r>
              <w:rPr>
                <w:rStyle w:val="IndexLink"/>
                <w:rtl w:val="true"/>
              </w:rPr>
              <w:tab/>
            </w:r>
            <w:r>
              <w:rPr>
                <w:rStyle w:val="IndexLink"/>
              </w:rPr>
              <w:t>341</w:t>
            </w:r>
          </w:hyperlink>
        </w:p>
        <w:p>
          <w:pPr>
            <w:pStyle w:val="Contents3"/>
            <w:tabs>
              <w:tab w:val="clear" w:pos="8459"/>
              <w:tab w:val="right" w:pos="9026" w:leader="dot"/>
            </w:tabs>
            <w:rPr/>
          </w:pPr>
          <w:hyperlink w:anchor="__RefHeading___Toc1841047_2322387425">
            <w:r>
              <w:rPr>
                <w:webHidden/>
                <w:rStyle w:val="IndexLink"/>
                <w:rtl w:val="true"/>
              </w:rPr>
              <w:t>الثالث عشر</w:t>
            </w:r>
            <w:r>
              <w:rPr>
                <w:rStyle w:val="IndexLink"/>
                <w:rtl w:val="true"/>
              </w:rPr>
              <w:t xml:space="preserve">: </w:t>
            </w:r>
            <w:r>
              <w:rPr>
                <w:rStyle w:val="IndexLink"/>
                <w:rtl w:val="true"/>
              </w:rPr>
              <w:t>الدعاء قبل الذکر بالمأثور</w:t>
            </w:r>
            <w:r>
              <w:rPr>
                <w:rStyle w:val="IndexLink"/>
                <w:rtl w:val="true"/>
              </w:rPr>
              <w:tab/>
            </w:r>
            <w:r>
              <w:rPr>
                <w:rStyle w:val="IndexLink"/>
              </w:rPr>
              <w:t>341</w:t>
            </w:r>
          </w:hyperlink>
        </w:p>
        <w:p>
          <w:pPr>
            <w:pStyle w:val="Contents3"/>
            <w:tabs>
              <w:tab w:val="clear" w:pos="8459"/>
              <w:tab w:val="right" w:pos="9026" w:leader="dot"/>
            </w:tabs>
            <w:rPr/>
          </w:pPr>
          <w:hyperlink w:anchor="__RefHeading___Toc1841049_2322387425">
            <w:r>
              <w:rPr>
                <w:webHidden/>
                <w:rStyle w:val="IndexLink"/>
                <w:rtl w:val="true"/>
              </w:rPr>
              <w:t>الرابع عشر</w:t>
            </w:r>
            <w:r>
              <w:rPr>
                <w:rStyle w:val="IndexLink"/>
                <w:rtl w:val="true"/>
              </w:rPr>
              <w:t xml:space="preserve">: </w:t>
            </w:r>
            <w:r>
              <w:rPr>
                <w:rStyle w:val="IndexLink"/>
                <w:rtl w:val="true"/>
              </w:rPr>
              <w:t>الدعاء بعد الانتصاب منه بالمأثور</w:t>
            </w:r>
            <w:r>
              <w:rPr>
                <w:rStyle w:val="IndexLink"/>
                <w:rtl w:val="true"/>
              </w:rPr>
              <w:tab/>
            </w:r>
            <w:r>
              <w:rPr>
                <w:rStyle w:val="IndexLink"/>
              </w:rPr>
              <w:t>341</w:t>
            </w:r>
          </w:hyperlink>
        </w:p>
        <w:p>
          <w:pPr>
            <w:pStyle w:val="Contents3"/>
            <w:tabs>
              <w:tab w:val="clear" w:pos="8459"/>
              <w:tab w:val="right" w:pos="9026" w:leader="dot"/>
            </w:tabs>
            <w:rPr/>
          </w:pPr>
          <w:hyperlink w:anchor="__RefHeading___Toc1841051_2322387425">
            <w:r>
              <w:rPr>
                <w:webHidden/>
                <w:rStyle w:val="IndexLink"/>
                <w:rtl w:val="true"/>
              </w:rPr>
              <w:t>الخامس عشر</w:t>
            </w:r>
            <w:r>
              <w:rPr>
                <w:rStyle w:val="IndexLink"/>
                <w:rtl w:val="true"/>
              </w:rPr>
              <w:t xml:space="preserve">: </w:t>
            </w:r>
            <w:r>
              <w:rPr>
                <w:rStyle w:val="IndexLink"/>
                <w:rtl w:val="true"/>
              </w:rPr>
              <w:t>رفع الیدین للانتصاب منه</w:t>
            </w:r>
            <w:r>
              <w:rPr>
                <w:rStyle w:val="IndexLink"/>
                <w:rtl w:val="true"/>
              </w:rPr>
              <w:tab/>
            </w:r>
            <w:r>
              <w:rPr>
                <w:rStyle w:val="IndexLink"/>
              </w:rPr>
              <w:t>342</w:t>
            </w:r>
          </w:hyperlink>
        </w:p>
        <w:p>
          <w:pPr>
            <w:pStyle w:val="Contents3"/>
            <w:tabs>
              <w:tab w:val="clear" w:pos="8459"/>
              <w:tab w:val="right" w:pos="9026" w:leader="dot"/>
            </w:tabs>
            <w:rPr/>
          </w:pPr>
          <w:hyperlink w:anchor="__RefHeading___Toc1841053_2322387425">
            <w:r>
              <w:rPr>
                <w:webHidden/>
                <w:rStyle w:val="IndexLink"/>
                <w:rtl w:val="true"/>
              </w:rPr>
              <w:t>السادس عشر</w:t>
            </w:r>
            <w:r>
              <w:rPr>
                <w:rStyle w:val="IndexLink"/>
                <w:rtl w:val="true"/>
              </w:rPr>
              <w:t xml:space="preserve">: </w:t>
            </w:r>
            <w:r>
              <w:rPr>
                <w:rStyle w:val="IndexLink"/>
                <w:rtl w:val="true"/>
              </w:rPr>
              <w:t>الصلاة علی النبی صلی الله علیه و اله بعد الذکر أو قبله</w:t>
            </w:r>
            <w:r>
              <w:rPr>
                <w:rStyle w:val="IndexLink"/>
                <w:rtl w:val="true"/>
              </w:rPr>
              <w:tab/>
            </w:r>
            <w:r>
              <w:rPr>
                <w:rStyle w:val="IndexLink"/>
              </w:rPr>
              <w:t>342</w:t>
            </w:r>
          </w:hyperlink>
        </w:p>
        <w:p>
          <w:pPr>
            <w:pStyle w:val="Contents3"/>
            <w:tabs>
              <w:tab w:val="clear" w:pos="8459"/>
              <w:tab w:val="right" w:pos="9026" w:leader="dot"/>
            </w:tabs>
            <w:rPr/>
          </w:pPr>
          <w:hyperlink w:anchor="__RefHeading___Toc1841055_2322387425">
            <w:r>
              <w:rPr>
                <w:webHidden/>
                <w:rStyle w:val="IndexLink"/>
                <w:rtl w:val="true"/>
              </w:rPr>
              <w:t>مکروهات الرکوع</w:t>
            </w:r>
            <w:r>
              <w:rPr>
                <w:rStyle w:val="IndexLink"/>
                <w:rtl w:val="true"/>
              </w:rPr>
              <w:tab/>
            </w:r>
            <w:r>
              <w:rPr>
                <w:rStyle w:val="IndexLink"/>
              </w:rPr>
              <w:t>342</w:t>
            </w:r>
          </w:hyperlink>
        </w:p>
        <w:p>
          <w:pPr>
            <w:pStyle w:val="Contents3"/>
            <w:tabs>
              <w:tab w:val="clear" w:pos="8459"/>
              <w:tab w:val="right" w:pos="9026" w:leader="dot"/>
            </w:tabs>
            <w:rPr/>
          </w:pPr>
          <w:hyperlink w:anchor="__RefHeading___Toc1841057_2322387425">
            <w:r>
              <w:rPr>
                <w:webHidden/>
                <w:rStyle w:val="IndexLink"/>
                <w:rtl w:val="true"/>
              </w:rPr>
              <w:t>الأول</w:t>
            </w:r>
            <w:r>
              <w:rPr>
                <w:rStyle w:val="IndexLink"/>
                <w:rtl w:val="true"/>
              </w:rPr>
              <w:t xml:space="preserve">: </w:t>
            </w:r>
            <w:r>
              <w:rPr>
                <w:rStyle w:val="IndexLink"/>
                <w:rtl w:val="true"/>
              </w:rPr>
              <w:t>أن یطأطئ رأسه</w:t>
            </w:r>
            <w:r>
              <w:rPr>
                <w:rStyle w:val="IndexLink"/>
                <w:rtl w:val="true"/>
              </w:rPr>
              <w:tab/>
            </w:r>
            <w:r>
              <w:rPr>
                <w:rStyle w:val="IndexLink"/>
              </w:rPr>
              <w:t>342</w:t>
            </w:r>
          </w:hyperlink>
        </w:p>
        <w:p>
          <w:pPr>
            <w:pStyle w:val="Contents3"/>
            <w:tabs>
              <w:tab w:val="clear" w:pos="8459"/>
              <w:tab w:val="right" w:pos="9026" w:leader="dot"/>
            </w:tabs>
            <w:rPr/>
          </w:pPr>
          <w:hyperlink w:anchor="__RefHeading___Toc1841059_2322387425">
            <w:r>
              <w:rPr>
                <w:webHidden/>
                <w:rStyle w:val="IndexLink"/>
                <w:rtl w:val="true"/>
              </w:rPr>
              <w:t>الثانی</w:t>
            </w:r>
            <w:r>
              <w:rPr>
                <w:rStyle w:val="IndexLink"/>
                <w:rtl w:val="true"/>
              </w:rPr>
              <w:t xml:space="preserve">: </w:t>
            </w:r>
            <w:r>
              <w:rPr>
                <w:rStyle w:val="IndexLink"/>
                <w:rtl w:val="true"/>
              </w:rPr>
              <w:t>یضم یدیه إلی جنبیه</w:t>
            </w:r>
            <w:r>
              <w:rPr>
                <w:rStyle w:val="IndexLink"/>
                <w:rtl w:val="true"/>
              </w:rPr>
              <w:tab/>
            </w:r>
            <w:r>
              <w:rPr>
                <w:rStyle w:val="IndexLink"/>
              </w:rPr>
              <w:t>343</w:t>
            </w:r>
          </w:hyperlink>
        </w:p>
        <w:p>
          <w:pPr>
            <w:pStyle w:val="Contents3"/>
            <w:tabs>
              <w:tab w:val="clear" w:pos="8459"/>
              <w:tab w:val="right" w:pos="9026" w:leader="dot"/>
            </w:tabs>
            <w:rPr/>
          </w:pPr>
          <w:hyperlink w:anchor="__RefHeading___Toc1841061_2322387425">
            <w:r>
              <w:rPr>
                <w:webHidden/>
                <w:rStyle w:val="IndexLink"/>
                <w:rtl w:val="true"/>
              </w:rPr>
              <w:t>الثالث</w:t>
            </w:r>
            <w:r>
              <w:rPr>
                <w:rStyle w:val="IndexLink"/>
                <w:rtl w:val="true"/>
              </w:rPr>
              <w:t xml:space="preserve">: </w:t>
            </w:r>
            <w:r>
              <w:rPr>
                <w:rStyle w:val="IndexLink"/>
                <w:rtl w:val="true"/>
              </w:rPr>
              <w:t>أن یضع إحدی الکفین علی الخری و یدخلهما بین رکبتیه</w:t>
            </w:r>
            <w:r>
              <w:rPr>
                <w:rStyle w:val="IndexLink"/>
                <w:rtl w:val="true"/>
              </w:rPr>
              <w:tab/>
            </w:r>
            <w:r>
              <w:rPr>
                <w:rStyle w:val="IndexLink"/>
              </w:rPr>
              <w:t>343</w:t>
            </w:r>
          </w:hyperlink>
        </w:p>
        <w:p>
          <w:pPr>
            <w:pStyle w:val="Contents3"/>
            <w:tabs>
              <w:tab w:val="clear" w:pos="8459"/>
              <w:tab w:val="right" w:pos="9026" w:leader="dot"/>
            </w:tabs>
            <w:rPr/>
          </w:pPr>
          <w:hyperlink w:anchor="__RefHeading___Toc1841063_2322387425">
            <w:r>
              <w:rPr>
                <w:webHidden/>
                <w:rStyle w:val="IndexLink"/>
                <w:rtl w:val="true"/>
              </w:rPr>
              <w:t>الرابع</w:t>
            </w:r>
            <w:r>
              <w:rPr>
                <w:rStyle w:val="IndexLink"/>
                <w:rtl w:val="true"/>
              </w:rPr>
              <w:t xml:space="preserve">: </w:t>
            </w:r>
            <w:r>
              <w:rPr>
                <w:rStyle w:val="IndexLink"/>
                <w:rtl w:val="true"/>
              </w:rPr>
              <w:t>قراءة القرآن فیه</w:t>
            </w:r>
            <w:r>
              <w:rPr>
                <w:rStyle w:val="IndexLink"/>
                <w:rtl w:val="true"/>
              </w:rPr>
              <w:tab/>
            </w:r>
            <w:r>
              <w:rPr>
                <w:rStyle w:val="IndexLink"/>
              </w:rPr>
              <w:t>343</w:t>
            </w:r>
          </w:hyperlink>
        </w:p>
        <w:p>
          <w:pPr>
            <w:pStyle w:val="Contents3"/>
            <w:tabs>
              <w:tab w:val="clear" w:pos="8459"/>
              <w:tab w:val="right" w:pos="9026" w:leader="dot"/>
            </w:tabs>
            <w:rPr/>
          </w:pPr>
          <w:hyperlink w:anchor="__RefHeading___Toc1841065_2322387425">
            <w:r>
              <w:rPr>
                <w:webHidden/>
                <w:rStyle w:val="IndexLink"/>
                <w:rtl w:val="true"/>
              </w:rPr>
              <w:t>الخامس</w:t>
            </w:r>
            <w:r>
              <w:rPr>
                <w:rStyle w:val="IndexLink"/>
                <w:rtl w:val="true"/>
              </w:rPr>
              <w:t xml:space="preserve">: </w:t>
            </w:r>
            <w:r>
              <w:rPr>
                <w:rStyle w:val="IndexLink"/>
                <w:rtl w:val="true"/>
              </w:rPr>
              <w:t>أن یجعل یدیه تحت ثیابه ملاصقاً لجسده</w:t>
            </w:r>
            <w:r>
              <w:rPr>
                <w:rStyle w:val="IndexLink"/>
                <w:rtl w:val="true"/>
              </w:rPr>
              <w:tab/>
            </w:r>
            <w:r>
              <w:rPr>
                <w:rStyle w:val="IndexLink"/>
              </w:rPr>
              <w:t>343</w:t>
            </w:r>
          </w:hyperlink>
        </w:p>
        <w:p>
          <w:pPr>
            <w:pStyle w:val="Contents3"/>
            <w:tabs>
              <w:tab w:val="clear" w:pos="8459"/>
              <w:tab w:val="right" w:pos="9026" w:leader="dot"/>
            </w:tabs>
            <w:rPr/>
          </w:pPr>
          <w:hyperlink w:anchor="__RefHeading___Toc1841067_2322387425">
            <w:r>
              <w:rPr>
                <w:webHidden/>
                <w:rStyle w:val="IndexLink"/>
                <w:rtl w:val="true"/>
              </w:rPr>
              <w:t>اتحاد النافلة مع الفریضة فی أحکام الرکوع</w:t>
            </w:r>
            <w:r>
              <w:rPr>
                <w:rStyle w:val="IndexLink"/>
                <w:rtl w:val="true"/>
              </w:rPr>
              <w:tab/>
            </w:r>
            <w:r>
              <w:rPr>
                <w:rStyle w:val="IndexLink"/>
              </w:rPr>
              <w:t>344</w:t>
            </w:r>
          </w:hyperlink>
        </w:p>
        <w:p>
          <w:pPr>
            <w:pStyle w:val="Contents2"/>
            <w:tabs>
              <w:tab w:val="clear" w:pos="8743"/>
              <w:tab w:val="right" w:pos="9026" w:leader="dot"/>
            </w:tabs>
            <w:rPr/>
          </w:pPr>
          <w:hyperlink w:anchor="__RefHeading___Toc1841069_2322387425">
            <w:r>
              <w:rPr>
                <w:webHidden/>
                <w:rStyle w:val="IndexLink"/>
                <w:rtl w:val="true"/>
              </w:rPr>
              <w:t>فصل فی السجود</w:t>
            </w:r>
            <w:r>
              <w:rPr>
                <w:rStyle w:val="IndexLink"/>
                <w:rtl w:val="true"/>
              </w:rPr>
              <w:tab/>
            </w:r>
            <w:r>
              <w:rPr>
                <w:rStyle w:val="IndexLink"/>
              </w:rPr>
              <w:t>345</w:t>
            </w:r>
          </w:hyperlink>
        </w:p>
        <w:p>
          <w:pPr>
            <w:pStyle w:val="Contents3"/>
            <w:tabs>
              <w:tab w:val="clear" w:pos="8459"/>
              <w:tab w:val="right" w:pos="9026" w:leader="dot"/>
            </w:tabs>
            <w:rPr/>
          </w:pPr>
          <w:hyperlink w:anchor="__RefHeading___Toc1841071_2322387425">
            <w:r>
              <w:rPr>
                <w:webHidden/>
                <w:rStyle w:val="IndexLink"/>
                <w:rtl w:val="true"/>
              </w:rPr>
              <w:t>حقیقة السجود و أقسامه و رکنیته</w:t>
            </w:r>
            <w:r>
              <w:rPr>
                <w:rStyle w:val="IndexLink"/>
                <w:rtl w:val="true"/>
              </w:rPr>
              <w:tab/>
            </w:r>
            <w:r>
              <w:rPr>
                <w:rStyle w:val="IndexLink"/>
              </w:rPr>
              <w:t>345</w:t>
            </w:r>
          </w:hyperlink>
        </w:p>
        <w:p>
          <w:pPr>
            <w:pStyle w:val="Contents3"/>
            <w:tabs>
              <w:tab w:val="clear" w:pos="8459"/>
              <w:tab w:val="right" w:pos="9026" w:leader="dot"/>
            </w:tabs>
            <w:rPr/>
          </w:pPr>
          <w:hyperlink w:anchor="__RefHeading___Toc1841073_2322387425">
            <w:r>
              <w:rPr>
                <w:webHidden/>
                <w:rStyle w:val="IndexLink"/>
                <w:rtl w:val="true"/>
              </w:rPr>
              <w:t>واجبات السجود</w:t>
            </w:r>
            <w:r>
              <w:rPr>
                <w:rStyle w:val="IndexLink"/>
                <w:rtl w:val="true"/>
              </w:rPr>
              <w:tab/>
            </w:r>
            <w:r>
              <w:rPr>
                <w:rStyle w:val="IndexLink"/>
              </w:rPr>
              <w:t>346</w:t>
            </w:r>
          </w:hyperlink>
        </w:p>
        <w:p>
          <w:pPr>
            <w:pStyle w:val="Contents3"/>
            <w:tabs>
              <w:tab w:val="clear" w:pos="8459"/>
              <w:tab w:val="right" w:pos="9026" w:leader="dot"/>
            </w:tabs>
            <w:rPr/>
          </w:pPr>
          <w:hyperlink w:anchor="__RefHeading___Toc1841075_2322387425">
            <w:r>
              <w:rPr>
                <w:webHidden/>
                <w:rStyle w:val="IndexLink"/>
                <w:rtl w:val="true"/>
              </w:rPr>
              <w:t>الأول</w:t>
            </w:r>
            <w:r>
              <w:rPr>
                <w:rStyle w:val="IndexLink"/>
                <w:rtl w:val="true"/>
              </w:rPr>
              <w:t xml:space="preserve">: </w:t>
            </w:r>
            <w:r>
              <w:rPr>
                <w:rStyle w:val="IndexLink"/>
                <w:rtl w:val="true"/>
              </w:rPr>
              <w:t>وضع المساجد السبعة علی الأرض</w:t>
            </w:r>
            <w:r>
              <w:rPr>
                <w:rStyle w:val="IndexLink"/>
                <w:rtl w:val="true"/>
              </w:rPr>
              <w:tab/>
            </w:r>
            <w:r>
              <w:rPr>
                <w:rStyle w:val="IndexLink"/>
              </w:rPr>
              <w:t>346</w:t>
            </w:r>
          </w:hyperlink>
        </w:p>
        <w:p>
          <w:pPr>
            <w:pStyle w:val="Contents3"/>
            <w:tabs>
              <w:tab w:val="clear" w:pos="8459"/>
              <w:tab w:val="right" w:pos="9026" w:leader="dot"/>
            </w:tabs>
            <w:rPr/>
          </w:pPr>
          <w:hyperlink w:anchor="__RefHeading___Toc1841077_2322387425">
            <w:r>
              <w:rPr>
                <w:webHidden/>
                <w:rStyle w:val="IndexLink"/>
                <w:rtl w:val="true"/>
              </w:rPr>
              <w:t>الثانی</w:t>
            </w:r>
            <w:r>
              <w:rPr>
                <w:rStyle w:val="IndexLink"/>
                <w:rtl w:val="true"/>
              </w:rPr>
              <w:t xml:space="preserve">: </w:t>
            </w:r>
            <w:r>
              <w:rPr>
                <w:rStyle w:val="IndexLink"/>
                <w:rtl w:val="true"/>
              </w:rPr>
              <w:t>الذکر</w:t>
            </w:r>
            <w:r>
              <w:rPr>
                <w:rStyle w:val="IndexLink"/>
                <w:rtl w:val="true"/>
              </w:rPr>
              <w:tab/>
            </w:r>
            <w:r>
              <w:rPr>
                <w:rStyle w:val="IndexLink"/>
              </w:rPr>
              <w:t>346</w:t>
            </w:r>
          </w:hyperlink>
        </w:p>
        <w:p>
          <w:pPr>
            <w:pStyle w:val="Contents3"/>
            <w:tabs>
              <w:tab w:val="clear" w:pos="8459"/>
              <w:tab w:val="right" w:pos="9026" w:leader="dot"/>
            </w:tabs>
            <w:rPr/>
          </w:pPr>
          <w:hyperlink w:anchor="__RefHeading___Toc1841079_2322387425">
            <w:r>
              <w:rPr>
                <w:webHidden/>
                <w:rStyle w:val="IndexLink"/>
                <w:rtl w:val="true"/>
              </w:rPr>
              <w:t>الثالث</w:t>
            </w:r>
            <w:r>
              <w:rPr>
                <w:rStyle w:val="IndexLink"/>
                <w:rtl w:val="true"/>
              </w:rPr>
              <w:t xml:space="preserve">: </w:t>
            </w:r>
            <w:r>
              <w:rPr>
                <w:rStyle w:val="IndexLink"/>
                <w:rtl w:val="true"/>
              </w:rPr>
              <w:t>الطمأنینة</w:t>
            </w:r>
            <w:r>
              <w:rPr>
                <w:rStyle w:val="IndexLink"/>
                <w:rtl w:val="true"/>
              </w:rPr>
              <w:tab/>
            </w:r>
            <w:r>
              <w:rPr>
                <w:rStyle w:val="IndexLink"/>
              </w:rPr>
              <w:t>347</w:t>
            </w:r>
          </w:hyperlink>
        </w:p>
        <w:p>
          <w:pPr>
            <w:pStyle w:val="Contents3"/>
            <w:tabs>
              <w:tab w:val="clear" w:pos="8459"/>
              <w:tab w:val="right" w:pos="9026" w:leader="dot"/>
            </w:tabs>
            <w:rPr/>
          </w:pPr>
          <w:hyperlink w:anchor="__RefHeading___Toc1841081_2322387425">
            <w:r>
              <w:rPr>
                <w:webHidden/>
                <w:rStyle w:val="IndexLink"/>
                <w:rtl w:val="true"/>
              </w:rPr>
              <w:t>الرابع</w:t>
            </w:r>
            <w:r>
              <w:rPr>
                <w:rStyle w:val="IndexLink"/>
                <w:rtl w:val="true"/>
              </w:rPr>
              <w:t xml:space="preserve">: </w:t>
            </w:r>
            <w:r>
              <w:rPr>
                <w:rStyle w:val="IndexLink"/>
                <w:rtl w:val="true"/>
              </w:rPr>
              <w:t>رفع الرأس منه</w:t>
            </w:r>
            <w:r>
              <w:rPr>
                <w:rStyle w:val="IndexLink"/>
                <w:rtl w:val="true"/>
              </w:rPr>
              <w:tab/>
            </w:r>
            <w:r>
              <w:rPr>
                <w:rStyle w:val="IndexLink"/>
              </w:rPr>
              <w:t>349</w:t>
            </w:r>
          </w:hyperlink>
        </w:p>
        <w:p>
          <w:pPr>
            <w:pStyle w:val="Contents3"/>
            <w:tabs>
              <w:tab w:val="clear" w:pos="8459"/>
              <w:tab w:val="right" w:pos="9026" w:leader="dot"/>
            </w:tabs>
            <w:rPr/>
          </w:pPr>
          <w:hyperlink w:anchor="__RefHeading___Toc1841083_2322387425">
            <w:r>
              <w:rPr>
                <w:webHidden/>
                <w:rStyle w:val="IndexLink"/>
                <w:rtl w:val="true"/>
              </w:rPr>
              <w:t>الخامس</w:t>
            </w:r>
            <w:r>
              <w:rPr>
                <w:rStyle w:val="IndexLink"/>
                <w:rtl w:val="true"/>
              </w:rPr>
              <w:t xml:space="preserve">: </w:t>
            </w:r>
            <w:r>
              <w:rPr>
                <w:rStyle w:val="IndexLink"/>
                <w:rtl w:val="true"/>
              </w:rPr>
              <w:t>الجلوس بعد السجدة الأولی و بعده</w:t>
            </w:r>
            <w:r>
              <w:rPr>
                <w:rStyle w:val="IndexLink"/>
                <w:rtl w:val="true"/>
              </w:rPr>
              <w:tab/>
            </w:r>
            <w:r>
              <w:rPr>
                <w:rStyle w:val="IndexLink"/>
              </w:rPr>
              <w:t>349</w:t>
            </w:r>
          </w:hyperlink>
        </w:p>
        <w:p>
          <w:pPr>
            <w:pStyle w:val="Contents3"/>
            <w:tabs>
              <w:tab w:val="clear" w:pos="8459"/>
              <w:tab w:val="right" w:pos="9026" w:leader="dot"/>
            </w:tabs>
            <w:rPr/>
          </w:pPr>
          <w:hyperlink w:anchor="__RefHeading___Toc1841085_2322387425">
            <w:r>
              <w:rPr>
                <w:webHidden/>
                <w:rStyle w:val="IndexLink"/>
                <w:rtl w:val="true"/>
              </w:rPr>
              <w:t>السادس</w:t>
            </w:r>
            <w:r>
              <w:rPr>
                <w:rStyle w:val="IndexLink"/>
                <w:rtl w:val="true"/>
              </w:rPr>
              <w:t xml:space="preserve">: </w:t>
            </w:r>
            <w:r>
              <w:rPr>
                <w:rStyle w:val="IndexLink"/>
                <w:rtl w:val="true"/>
              </w:rPr>
              <w:t>کون المساجد السبعة فی محالها</w:t>
            </w:r>
            <w:r>
              <w:rPr>
                <w:rStyle w:val="IndexLink"/>
                <w:rtl w:val="true"/>
              </w:rPr>
              <w:tab/>
            </w:r>
            <w:r>
              <w:rPr>
                <w:rStyle w:val="IndexLink"/>
              </w:rPr>
              <w:t>349</w:t>
            </w:r>
          </w:hyperlink>
        </w:p>
        <w:p>
          <w:pPr>
            <w:pStyle w:val="Contents3"/>
            <w:tabs>
              <w:tab w:val="clear" w:pos="8459"/>
              <w:tab w:val="right" w:pos="9026" w:leader="dot"/>
            </w:tabs>
            <w:rPr/>
          </w:pPr>
          <w:hyperlink w:anchor="__RefHeading___Toc1841087_2322387425">
            <w:r>
              <w:rPr>
                <w:webHidden/>
                <w:rStyle w:val="IndexLink"/>
                <w:rtl w:val="true"/>
              </w:rPr>
              <w:t>السابع</w:t>
            </w:r>
            <w:r>
              <w:rPr>
                <w:rStyle w:val="IndexLink"/>
                <w:rtl w:val="true"/>
              </w:rPr>
              <w:t xml:space="preserve">: </w:t>
            </w:r>
            <w:r>
              <w:rPr>
                <w:rStyle w:val="IndexLink"/>
                <w:rtl w:val="true"/>
              </w:rPr>
              <w:t>مساواة موضع الجبهة للموقف</w:t>
            </w:r>
            <w:r>
              <w:rPr>
                <w:rStyle w:val="IndexLink"/>
                <w:rtl w:val="true"/>
              </w:rPr>
              <w:tab/>
            </w:r>
            <w:r>
              <w:rPr>
                <w:rStyle w:val="IndexLink"/>
              </w:rPr>
              <w:t>350</w:t>
            </w:r>
          </w:hyperlink>
        </w:p>
        <w:p>
          <w:pPr>
            <w:pStyle w:val="Contents3"/>
            <w:tabs>
              <w:tab w:val="clear" w:pos="8459"/>
              <w:tab w:val="right" w:pos="9026" w:leader="dot"/>
            </w:tabs>
            <w:rPr/>
          </w:pPr>
          <w:hyperlink w:anchor="__RefHeading___Toc1841089_2322387425">
            <w:r>
              <w:rPr>
                <w:webHidden/>
                <w:rStyle w:val="IndexLink"/>
                <w:rtl w:val="true"/>
              </w:rPr>
              <w:t>الثامن</w:t>
            </w:r>
            <w:r>
              <w:rPr>
                <w:rStyle w:val="IndexLink"/>
                <w:rtl w:val="true"/>
              </w:rPr>
              <w:t xml:space="preserve">: </w:t>
            </w:r>
            <w:r>
              <w:rPr>
                <w:rStyle w:val="IndexLink"/>
                <w:rtl w:val="true"/>
              </w:rPr>
              <w:t>وضع الجبهة علی ما یصح السجود علیه</w:t>
            </w:r>
            <w:r>
              <w:rPr>
                <w:rStyle w:val="IndexLink"/>
                <w:rtl w:val="true"/>
              </w:rPr>
              <w:tab/>
            </w:r>
            <w:r>
              <w:rPr>
                <w:rStyle w:val="IndexLink"/>
              </w:rPr>
              <w:t>352</w:t>
            </w:r>
          </w:hyperlink>
        </w:p>
        <w:p>
          <w:pPr>
            <w:pStyle w:val="Contents3"/>
            <w:tabs>
              <w:tab w:val="clear" w:pos="8459"/>
              <w:tab w:val="right" w:pos="9026" w:leader="dot"/>
            </w:tabs>
            <w:rPr/>
          </w:pPr>
          <w:hyperlink w:anchor="__RefHeading___Toc1841091_2322387425">
            <w:r>
              <w:rPr>
                <w:webHidden/>
                <w:rStyle w:val="IndexLink"/>
                <w:rtl w:val="true"/>
              </w:rPr>
              <w:t>التاسع</w:t>
            </w:r>
            <w:r>
              <w:rPr>
                <w:rStyle w:val="IndexLink"/>
                <w:rtl w:val="true"/>
              </w:rPr>
              <w:t xml:space="preserve">: </w:t>
            </w:r>
            <w:r>
              <w:rPr>
                <w:rStyle w:val="IndexLink"/>
                <w:rtl w:val="true"/>
              </w:rPr>
              <w:t>طهارة محل وضع الجبهة</w:t>
            </w:r>
            <w:r>
              <w:rPr>
                <w:rStyle w:val="IndexLink"/>
                <w:rtl w:val="true"/>
              </w:rPr>
              <w:tab/>
            </w:r>
            <w:r>
              <w:rPr>
                <w:rStyle w:val="IndexLink"/>
              </w:rPr>
              <w:t>352</w:t>
            </w:r>
          </w:hyperlink>
        </w:p>
        <w:p>
          <w:pPr>
            <w:pStyle w:val="Contents3"/>
            <w:tabs>
              <w:tab w:val="clear" w:pos="8459"/>
              <w:tab w:val="right" w:pos="9026" w:leader="dot"/>
            </w:tabs>
            <w:rPr/>
          </w:pPr>
          <w:hyperlink w:anchor="__RefHeading___Toc1841093_2322387425">
            <w:r>
              <w:rPr>
                <w:webHidden/>
                <w:rStyle w:val="IndexLink"/>
                <w:rtl w:val="true"/>
              </w:rPr>
              <w:t>العاشر</w:t>
            </w:r>
            <w:r>
              <w:rPr>
                <w:rStyle w:val="IndexLink"/>
                <w:rtl w:val="true"/>
              </w:rPr>
              <w:t xml:space="preserve">: </w:t>
            </w:r>
            <w:r>
              <w:rPr>
                <w:rStyle w:val="IndexLink"/>
                <w:rtl w:val="true"/>
              </w:rPr>
              <w:t>المحافظة علی العربیة و الموالاة و الترتیب فی الذکر</w:t>
            </w:r>
            <w:r>
              <w:rPr>
                <w:rStyle w:val="IndexLink"/>
                <w:rtl w:val="true"/>
              </w:rPr>
              <w:tab/>
            </w:r>
            <w:r>
              <w:rPr>
                <w:rStyle w:val="IndexLink"/>
              </w:rPr>
              <w:t>352</w:t>
            </w:r>
          </w:hyperlink>
        </w:p>
        <w:p>
          <w:pPr>
            <w:pStyle w:val="Contents3"/>
            <w:tabs>
              <w:tab w:val="clear" w:pos="8459"/>
              <w:tab w:val="right" w:pos="9026" w:leader="dot"/>
            </w:tabs>
            <w:rPr/>
          </w:pPr>
          <w:hyperlink w:anchor="__RefHeading___Toc1841095_2322387425">
            <w:r>
              <w:rPr>
                <w:webHidden/>
                <w:rStyle w:val="IndexLink"/>
                <w:rtl w:val="true"/>
              </w:rPr>
              <w:t>تحدید الجبهة و موضع السجود</w:t>
            </w:r>
            <w:r>
              <w:rPr>
                <w:rStyle w:val="IndexLink"/>
                <w:rtl w:val="true"/>
              </w:rPr>
              <w:tab/>
            </w:r>
            <w:r>
              <w:rPr>
                <w:rStyle w:val="IndexLink"/>
              </w:rPr>
              <w:t>352</w:t>
            </w:r>
          </w:hyperlink>
        </w:p>
        <w:p>
          <w:pPr>
            <w:pStyle w:val="Contents3"/>
            <w:tabs>
              <w:tab w:val="clear" w:pos="8459"/>
              <w:tab w:val="right" w:pos="9026" w:leader="dot"/>
            </w:tabs>
            <w:rPr/>
          </w:pPr>
          <w:hyperlink w:anchor="__RefHeading___Toc1841097_2322387425">
            <w:r>
              <w:rPr>
                <w:webHidden/>
                <w:rStyle w:val="IndexLink"/>
                <w:rtl w:val="true"/>
              </w:rPr>
              <w:t>اعتبار مباشرة الجبهة حال السجود</w:t>
            </w:r>
            <w:r>
              <w:rPr>
                <w:rStyle w:val="IndexLink"/>
                <w:rtl w:val="true"/>
              </w:rPr>
              <w:tab/>
            </w:r>
            <w:r>
              <w:rPr>
                <w:rStyle w:val="IndexLink"/>
              </w:rPr>
              <w:t>354</w:t>
            </w:r>
          </w:hyperlink>
        </w:p>
        <w:p>
          <w:pPr>
            <w:pStyle w:val="Contents3"/>
            <w:tabs>
              <w:tab w:val="clear" w:pos="8459"/>
              <w:tab w:val="right" w:pos="9026" w:leader="dot"/>
            </w:tabs>
            <w:rPr/>
          </w:pPr>
          <w:hyperlink w:anchor="__RefHeading___Toc1841099_2322387425">
            <w:r>
              <w:rPr>
                <w:webHidden/>
                <w:rStyle w:val="IndexLink"/>
                <w:rtl w:val="true"/>
              </w:rPr>
              <w:t>اشتراط وضع الکفین علی الأرض اختیاراً</w:t>
            </w:r>
            <w:r>
              <w:rPr>
                <w:rStyle w:val="IndexLink"/>
                <w:rtl w:val="true"/>
              </w:rPr>
              <w:tab/>
            </w:r>
            <w:r>
              <w:rPr>
                <w:rStyle w:val="IndexLink"/>
              </w:rPr>
              <w:t>357</w:t>
            </w:r>
          </w:hyperlink>
        </w:p>
        <w:p>
          <w:pPr>
            <w:pStyle w:val="Contents3"/>
            <w:tabs>
              <w:tab w:val="clear" w:pos="8459"/>
              <w:tab w:val="right" w:pos="9026" w:leader="dot"/>
            </w:tabs>
            <w:rPr/>
          </w:pPr>
          <w:hyperlink w:anchor="__RefHeading___Toc1841101_2322387425">
            <w:r>
              <w:rPr>
                <w:webHidden/>
                <w:rStyle w:val="IndexLink"/>
                <w:rtl w:val="true"/>
              </w:rPr>
              <w:t>إجزاء وضع مسمی الرکبتین، و تحدید الرکبة</w:t>
            </w:r>
            <w:r>
              <w:rPr>
                <w:rStyle w:val="IndexLink"/>
                <w:rtl w:val="true"/>
              </w:rPr>
              <w:tab/>
            </w:r>
            <w:r>
              <w:rPr>
                <w:rStyle w:val="IndexLink"/>
              </w:rPr>
              <w:t>361</w:t>
            </w:r>
          </w:hyperlink>
        </w:p>
        <w:p>
          <w:pPr>
            <w:pStyle w:val="Contents3"/>
            <w:tabs>
              <w:tab w:val="clear" w:pos="8459"/>
              <w:tab w:val="right" w:pos="9026" w:leader="dot"/>
            </w:tabs>
            <w:rPr/>
          </w:pPr>
          <w:hyperlink w:anchor="__RefHeading___Toc1841103_2322387425">
            <w:r>
              <w:rPr>
                <w:webHidden/>
                <w:rStyle w:val="IndexLink"/>
                <w:rtl w:val="true"/>
              </w:rPr>
              <w:t>وضع طرفی الإبهامین و ما بحکمها</w:t>
            </w:r>
            <w:r>
              <w:rPr>
                <w:rStyle w:val="IndexLink"/>
                <w:rtl w:val="true"/>
              </w:rPr>
              <w:tab/>
            </w:r>
            <w:r>
              <w:rPr>
                <w:rStyle w:val="IndexLink"/>
              </w:rPr>
              <w:t>362</w:t>
            </w:r>
          </w:hyperlink>
        </w:p>
        <w:p>
          <w:pPr>
            <w:pStyle w:val="Contents3"/>
            <w:tabs>
              <w:tab w:val="clear" w:pos="8459"/>
              <w:tab w:val="right" w:pos="9026" w:leader="dot"/>
            </w:tabs>
            <w:rPr/>
          </w:pPr>
          <w:hyperlink w:anchor="__RefHeading___Toc1841105_2322387425">
            <w:r>
              <w:rPr>
                <w:webHidden/>
                <w:rStyle w:val="IndexLink"/>
                <w:rtl w:val="true"/>
              </w:rPr>
              <w:t>الاعتماد علی الأعضاء السبعة حال السجود</w:t>
            </w:r>
            <w:r>
              <w:rPr>
                <w:rStyle w:val="IndexLink"/>
                <w:rtl w:val="true"/>
              </w:rPr>
              <w:tab/>
            </w:r>
            <w:r>
              <w:rPr>
                <w:rStyle w:val="IndexLink"/>
              </w:rPr>
              <w:t>363</w:t>
            </w:r>
          </w:hyperlink>
        </w:p>
        <w:p>
          <w:pPr>
            <w:pStyle w:val="Contents3"/>
            <w:tabs>
              <w:tab w:val="clear" w:pos="8459"/>
              <w:tab w:val="right" w:pos="9026" w:leader="dot"/>
            </w:tabs>
            <w:rPr/>
          </w:pPr>
          <w:hyperlink w:anchor="__RefHeading___Toc1841107_2322387425">
            <w:r>
              <w:rPr>
                <w:webHidden/>
                <w:rStyle w:val="IndexLink"/>
                <w:rtl w:val="true"/>
              </w:rPr>
              <w:t>کیفیة السجود و تفصیله</w:t>
            </w:r>
            <w:r>
              <w:rPr>
                <w:rStyle w:val="IndexLink"/>
                <w:rtl w:val="true"/>
              </w:rPr>
              <w:tab/>
            </w:r>
            <w:r>
              <w:rPr>
                <w:rStyle w:val="IndexLink"/>
              </w:rPr>
              <w:t>364</w:t>
            </w:r>
          </w:hyperlink>
        </w:p>
        <w:p>
          <w:pPr>
            <w:pStyle w:val="Contents3"/>
            <w:tabs>
              <w:tab w:val="clear" w:pos="8459"/>
              <w:tab w:val="right" w:pos="9026" w:leader="dot"/>
            </w:tabs>
            <w:rPr/>
          </w:pPr>
          <w:hyperlink w:anchor="__RefHeading___Toc1841109_2322387425">
            <w:r>
              <w:rPr>
                <w:webHidden/>
                <w:rStyle w:val="IndexLink"/>
                <w:rtl w:val="true"/>
              </w:rPr>
              <w:t>حکم وضع الجبهة علی موضع مرتفع</w:t>
            </w:r>
            <w:r>
              <w:rPr>
                <w:rStyle w:val="IndexLink"/>
                <w:rtl w:val="true"/>
              </w:rPr>
              <w:tab/>
            </w:r>
            <w:r>
              <w:rPr>
                <w:rStyle w:val="IndexLink"/>
              </w:rPr>
              <w:t>366</w:t>
            </w:r>
          </w:hyperlink>
        </w:p>
        <w:p>
          <w:pPr>
            <w:pStyle w:val="Contents3"/>
            <w:tabs>
              <w:tab w:val="clear" w:pos="8459"/>
              <w:tab w:val="right" w:pos="9026" w:leader="dot"/>
            </w:tabs>
            <w:rPr/>
          </w:pPr>
          <w:hyperlink w:anchor="__RefHeading___Toc1841111_2322387425">
            <w:r>
              <w:rPr>
                <w:webHidden/>
                <w:rStyle w:val="IndexLink"/>
                <w:rtl w:val="true"/>
              </w:rPr>
              <w:t>حکم ما لو وضعت الجبهة علی ما لا یصح السجود علیه</w:t>
            </w:r>
            <w:r>
              <w:rPr>
                <w:rStyle w:val="IndexLink"/>
                <w:rtl w:val="true"/>
              </w:rPr>
              <w:tab/>
            </w:r>
            <w:r>
              <w:rPr>
                <w:rStyle w:val="IndexLink"/>
              </w:rPr>
              <w:t>369</w:t>
            </w:r>
          </w:hyperlink>
        </w:p>
        <w:p>
          <w:pPr>
            <w:pStyle w:val="Contents3"/>
            <w:tabs>
              <w:tab w:val="clear" w:pos="8459"/>
              <w:tab w:val="right" w:pos="9026" w:leader="dot"/>
            </w:tabs>
            <w:rPr/>
          </w:pPr>
          <w:hyperlink w:anchor="__RefHeading___Toc1841113_2322387425">
            <w:r>
              <w:rPr>
                <w:webHidden/>
                <w:rStyle w:val="IndexLink"/>
                <w:rtl w:val="true"/>
              </w:rPr>
              <w:t>حکم تعذر السجود علی الجبهة</w:t>
            </w:r>
            <w:r>
              <w:rPr>
                <w:rStyle w:val="IndexLink"/>
                <w:rtl w:val="true"/>
              </w:rPr>
              <w:tab/>
            </w:r>
            <w:r>
              <w:rPr>
                <w:rStyle w:val="IndexLink"/>
              </w:rPr>
              <w:t>371</w:t>
            </w:r>
          </w:hyperlink>
        </w:p>
        <w:p>
          <w:pPr>
            <w:pStyle w:val="Contents3"/>
            <w:tabs>
              <w:tab w:val="clear" w:pos="8459"/>
              <w:tab w:val="right" w:pos="9026" w:leader="dot"/>
            </w:tabs>
            <w:rPr/>
          </w:pPr>
          <w:hyperlink w:anchor="__RefHeading___Toc1841115_2322387425">
            <w:r>
              <w:rPr>
                <w:webHidden/>
                <w:rStyle w:val="IndexLink"/>
                <w:rtl w:val="true"/>
              </w:rPr>
              <w:t>فی ما لو عجز عن الانحناء أو وضع بعض الأعضاء للسجود</w:t>
            </w:r>
            <w:r>
              <w:rPr>
                <w:rStyle w:val="IndexLink"/>
                <w:rtl w:val="true"/>
              </w:rPr>
              <w:tab/>
            </w:r>
            <w:r>
              <w:rPr>
                <w:rStyle w:val="IndexLink"/>
              </w:rPr>
              <w:t>376</w:t>
            </w:r>
          </w:hyperlink>
        </w:p>
        <w:p>
          <w:pPr>
            <w:pStyle w:val="Contents3"/>
            <w:tabs>
              <w:tab w:val="clear" w:pos="8459"/>
              <w:tab w:val="right" w:pos="9026" w:leader="dot"/>
            </w:tabs>
            <w:rPr/>
          </w:pPr>
          <w:hyperlink w:anchor="__RefHeading___Toc1841117_2322387425">
            <w:r>
              <w:rPr>
                <w:webHidden/>
                <w:rStyle w:val="IndexLink"/>
                <w:rtl w:val="true"/>
              </w:rPr>
              <w:t>حکم ما لو حرک إبهامه او باقی المساجد فی حال الذکر</w:t>
            </w:r>
            <w:r>
              <w:rPr>
                <w:rStyle w:val="IndexLink"/>
                <w:rtl w:val="true"/>
              </w:rPr>
              <w:tab/>
            </w:r>
            <w:r>
              <w:rPr>
                <w:rStyle w:val="IndexLink"/>
              </w:rPr>
              <w:t>379</w:t>
            </w:r>
          </w:hyperlink>
        </w:p>
        <w:p>
          <w:pPr>
            <w:pStyle w:val="Contents3"/>
            <w:tabs>
              <w:tab w:val="clear" w:pos="8459"/>
              <w:tab w:val="right" w:pos="9026" w:leader="dot"/>
            </w:tabs>
            <w:rPr/>
          </w:pPr>
          <w:hyperlink w:anchor="__RefHeading___Toc1841119_2322387425">
            <w:r>
              <w:rPr>
                <w:webHidden/>
                <w:rStyle w:val="IndexLink"/>
                <w:rtl w:val="true"/>
              </w:rPr>
              <w:t>حکم السجود علی غیر الأرض</w:t>
            </w:r>
            <w:r>
              <w:rPr>
                <w:rStyle w:val="IndexLink"/>
                <w:rtl w:val="true"/>
              </w:rPr>
              <w:tab/>
            </w:r>
            <w:r>
              <w:rPr>
                <w:rStyle w:val="IndexLink"/>
              </w:rPr>
              <w:t>385</w:t>
            </w:r>
          </w:hyperlink>
        </w:p>
        <w:p>
          <w:pPr>
            <w:pStyle w:val="Contents3"/>
            <w:tabs>
              <w:tab w:val="clear" w:pos="8459"/>
              <w:tab w:val="right" w:pos="9026" w:leader="dot"/>
            </w:tabs>
            <w:rPr/>
          </w:pPr>
          <w:hyperlink w:anchor="__RefHeading___Toc1841121_2322387425">
            <w:r>
              <w:rPr>
                <w:webHidden/>
                <w:rStyle w:val="IndexLink"/>
                <w:rtl w:val="true"/>
              </w:rPr>
              <w:t>حکم ما لو نسی السجدتین أو إحداهما</w:t>
            </w:r>
            <w:r>
              <w:rPr>
                <w:rStyle w:val="IndexLink"/>
                <w:rtl w:val="true"/>
              </w:rPr>
              <w:tab/>
            </w:r>
            <w:r>
              <w:rPr>
                <w:rStyle w:val="IndexLink"/>
              </w:rPr>
              <w:t>386</w:t>
            </w:r>
          </w:hyperlink>
        </w:p>
        <w:p>
          <w:pPr>
            <w:pStyle w:val="Contents3"/>
            <w:tabs>
              <w:tab w:val="clear" w:pos="8459"/>
              <w:tab w:val="right" w:pos="9026" w:leader="dot"/>
            </w:tabs>
            <w:rPr/>
          </w:pPr>
          <w:hyperlink w:anchor="__RefHeading___Toc1841123_2322387425">
            <w:r>
              <w:rPr>
                <w:webHidden/>
                <w:rStyle w:val="IndexLink"/>
                <w:rtl w:val="true"/>
              </w:rPr>
              <w:t>حکم ما لا تستقر علی المساجد</w:t>
            </w:r>
            <w:r>
              <w:rPr>
                <w:rStyle w:val="IndexLink"/>
                <w:rtl w:val="true"/>
              </w:rPr>
              <w:tab/>
            </w:r>
            <w:r>
              <w:rPr>
                <w:rStyle w:val="IndexLink"/>
              </w:rPr>
              <w:t>393</w:t>
            </w:r>
          </w:hyperlink>
        </w:p>
        <w:p>
          <w:pPr>
            <w:pStyle w:val="Contents3"/>
            <w:tabs>
              <w:tab w:val="clear" w:pos="8459"/>
              <w:tab w:val="right" w:pos="9026" w:leader="dot"/>
            </w:tabs>
            <w:rPr/>
          </w:pPr>
          <w:hyperlink w:anchor="__RefHeading___Toc1841125_2322387425">
            <w:r>
              <w:rPr>
                <w:webHidden/>
                <w:rStyle w:val="IndexLink"/>
                <w:rtl w:val="true"/>
              </w:rPr>
              <w:t>حکم العاجز عن الانحناء بین وضع الیدین علی الأرض و وضع المسجد علی الجبهة</w:t>
            </w:r>
            <w:r>
              <w:rPr>
                <w:rStyle w:val="IndexLink"/>
                <w:rtl w:val="true"/>
              </w:rPr>
              <w:tab/>
            </w:r>
            <w:r>
              <w:rPr>
                <w:rStyle w:val="IndexLink"/>
              </w:rPr>
              <w:t>393</w:t>
            </w:r>
          </w:hyperlink>
        </w:p>
        <w:p>
          <w:pPr>
            <w:pStyle w:val="Contents2"/>
            <w:tabs>
              <w:tab w:val="clear" w:pos="8743"/>
              <w:tab w:val="right" w:pos="9026" w:leader="dot"/>
            </w:tabs>
            <w:rPr/>
          </w:pPr>
          <w:hyperlink w:anchor="__RefHeading___Toc1841127_2322387425">
            <w:r>
              <w:rPr>
                <w:webHidden/>
                <w:rStyle w:val="IndexLink"/>
                <w:rtl w:val="true"/>
              </w:rPr>
              <w:t>فصل فی مستحبّات السجود</w:t>
            </w:r>
            <w:r>
              <w:rPr>
                <w:rStyle w:val="IndexLink"/>
                <w:rtl w:val="true"/>
              </w:rPr>
              <w:tab/>
            </w:r>
            <w:r>
              <w:rPr>
                <w:rStyle w:val="IndexLink"/>
              </w:rPr>
              <w:t>398</w:t>
            </w:r>
          </w:hyperlink>
        </w:p>
        <w:p>
          <w:pPr>
            <w:pStyle w:val="Contents3"/>
            <w:tabs>
              <w:tab w:val="clear" w:pos="8459"/>
              <w:tab w:val="right" w:pos="9026" w:leader="dot"/>
            </w:tabs>
            <w:rPr/>
          </w:pPr>
          <w:hyperlink w:anchor="__RefHeading___Toc1841129_2322387425">
            <w:r>
              <w:rPr>
                <w:webHidden/>
                <w:rStyle w:val="IndexLink"/>
                <w:rtl w:val="true"/>
              </w:rPr>
              <w:t>الأمور المستحبة حال السجود</w:t>
            </w:r>
            <w:r>
              <w:rPr>
                <w:rStyle w:val="IndexLink"/>
                <w:rtl w:val="true"/>
              </w:rPr>
              <w:tab/>
            </w:r>
            <w:r>
              <w:rPr>
                <w:rStyle w:val="IndexLink"/>
              </w:rPr>
              <w:t>398</w:t>
            </w:r>
          </w:hyperlink>
        </w:p>
        <w:p>
          <w:pPr>
            <w:pStyle w:val="Contents3"/>
            <w:tabs>
              <w:tab w:val="clear" w:pos="8459"/>
              <w:tab w:val="right" w:pos="9026" w:leader="dot"/>
            </w:tabs>
            <w:rPr/>
          </w:pPr>
          <w:hyperlink w:anchor="__RefHeading___Toc1841131_2322387425">
            <w:r>
              <w:rPr>
                <w:webHidden/>
                <w:rStyle w:val="IndexLink"/>
                <w:rtl w:val="true"/>
              </w:rPr>
              <w:t>الأول</w:t>
            </w:r>
            <w:r>
              <w:rPr>
                <w:rStyle w:val="IndexLink"/>
                <w:rtl w:val="true"/>
              </w:rPr>
              <w:t xml:space="preserve">: </w:t>
            </w:r>
            <w:r>
              <w:rPr>
                <w:rStyle w:val="IndexLink"/>
                <w:rtl w:val="true"/>
              </w:rPr>
              <w:t>التکبیر حال الانتصاب من الرکوع قائماً أو قاعداً</w:t>
            </w:r>
            <w:r>
              <w:rPr>
                <w:rStyle w:val="IndexLink"/>
                <w:rtl w:val="true"/>
              </w:rPr>
              <w:tab/>
            </w:r>
            <w:r>
              <w:rPr>
                <w:rStyle w:val="IndexLink"/>
              </w:rPr>
              <w:t>398</w:t>
            </w:r>
          </w:hyperlink>
        </w:p>
        <w:p>
          <w:pPr>
            <w:pStyle w:val="Contents3"/>
            <w:tabs>
              <w:tab w:val="clear" w:pos="8459"/>
              <w:tab w:val="right" w:pos="9026" w:leader="dot"/>
            </w:tabs>
            <w:rPr/>
          </w:pPr>
          <w:hyperlink w:anchor="__RefHeading___Toc1841133_2322387425">
            <w:r>
              <w:rPr>
                <w:webHidden/>
                <w:rStyle w:val="IndexLink"/>
                <w:rtl w:val="true"/>
              </w:rPr>
              <w:t>الثانی</w:t>
            </w:r>
            <w:r>
              <w:rPr>
                <w:rStyle w:val="IndexLink"/>
                <w:rtl w:val="true"/>
              </w:rPr>
              <w:t xml:space="preserve">: </w:t>
            </w:r>
            <w:r>
              <w:rPr>
                <w:rStyle w:val="IndexLink"/>
                <w:rtl w:val="true"/>
              </w:rPr>
              <w:t>رفع الیدین حال التکبیر</w:t>
            </w:r>
            <w:r>
              <w:rPr>
                <w:rStyle w:val="IndexLink"/>
                <w:rtl w:val="true"/>
              </w:rPr>
              <w:tab/>
            </w:r>
            <w:r>
              <w:rPr>
                <w:rStyle w:val="IndexLink"/>
              </w:rPr>
              <w:t>398</w:t>
            </w:r>
          </w:hyperlink>
        </w:p>
        <w:p>
          <w:pPr>
            <w:pStyle w:val="Contents3"/>
            <w:tabs>
              <w:tab w:val="clear" w:pos="8459"/>
              <w:tab w:val="right" w:pos="9026" w:leader="dot"/>
            </w:tabs>
            <w:rPr/>
          </w:pPr>
          <w:hyperlink w:anchor="__RefHeading___Toc1841135_2322387425">
            <w:r>
              <w:rPr>
                <w:webHidden/>
                <w:rStyle w:val="IndexLink"/>
                <w:rtl w:val="true"/>
              </w:rPr>
              <w:t>الثالث</w:t>
            </w:r>
            <w:r>
              <w:rPr>
                <w:rStyle w:val="IndexLink"/>
                <w:rtl w:val="true"/>
              </w:rPr>
              <w:t xml:space="preserve">: </w:t>
            </w:r>
            <w:r>
              <w:rPr>
                <w:rStyle w:val="IndexLink"/>
                <w:rtl w:val="true"/>
              </w:rPr>
              <w:t>السبق بالیدین إلی الأرض عند الهوی</w:t>
            </w:r>
            <w:r>
              <w:rPr>
                <w:rStyle w:val="IndexLink"/>
                <w:rtl w:val="true"/>
              </w:rPr>
              <w:tab/>
            </w:r>
            <w:r>
              <w:rPr>
                <w:rStyle w:val="IndexLink"/>
              </w:rPr>
              <w:t>398</w:t>
            </w:r>
          </w:hyperlink>
        </w:p>
        <w:p>
          <w:pPr>
            <w:pStyle w:val="Contents3"/>
            <w:tabs>
              <w:tab w:val="clear" w:pos="8459"/>
              <w:tab w:val="right" w:pos="9026" w:leader="dot"/>
            </w:tabs>
            <w:rPr/>
          </w:pPr>
          <w:hyperlink w:anchor="__RefHeading___Toc1841137_2322387425">
            <w:r>
              <w:rPr>
                <w:webHidden/>
                <w:rStyle w:val="IndexLink"/>
                <w:rtl w:val="true"/>
              </w:rPr>
              <w:t>الرابع</w:t>
            </w:r>
            <w:r>
              <w:rPr>
                <w:rStyle w:val="IndexLink"/>
                <w:rtl w:val="true"/>
              </w:rPr>
              <w:t xml:space="preserve">: </w:t>
            </w:r>
            <w:r>
              <w:rPr>
                <w:rStyle w:val="IndexLink"/>
                <w:rtl w:val="true"/>
              </w:rPr>
              <w:t>استیعاب الجبهة للمسجد</w:t>
            </w:r>
            <w:r>
              <w:rPr>
                <w:rStyle w:val="IndexLink"/>
                <w:rtl w:val="true"/>
              </w:rPr>
              <w:tab/>
            </w:r>
            <w:r>
              <w:rPr>
                <w:rStyle w:val="IndexLink"/>
              </w:rPr>
              <w:t>398</w:t>
            </w:r>
          </w:hyperlink>
        </w:p>
        <w:p>
          <w:pPr>
            <w:pStyle w:val="Contents3"/>
            <w:tabs>
              <w:tab w:val="clear" w:pos="8459"/>
              <w:tab w:val="right" w:pos="9026" w:leader="dot"/>
            </w:tabs>
            <w:rPr/>
          </w:pPr>
          <w:hyperlink w:anchor="__RefHeading___Toc1841139_2322387425">
            <w:r>
              <w:rPr>
                <w:webHidden/>
                <w:rStyle w:val="IndexLink"/>
                <w:rtl w:val="true"/>
              </w:rPr>
              <w:t>الخامس</w:t>
            </w:r>
            <w:r>
              <w:rPr>
                <w:rStyle w:val="IndexLink"/>
                <w:rtl w:val="true"/>
              </w:rPr>
              <w:t xml:space="preserve">: </w:t>
            </w:r>
            <w:r>
              <w:rPr>
                <w:rStyle w:val="IndexLink"/>
                <w:rtl w:val="true"/>
              </w:rPr>
              <w:t>الإرغام بالأنف</w:t>
            </w:r>
            <w:r>
              <w:rPr>
                <w:rStyle w:val="IndexLink"/>
                <w:rtl w:val="true"/>
              </w:rPr>
              <w:tab/>
            </w:r>
            <w:r>
              <w:rPr>
                <w:rStyle w:val="IndexLink"/>
              </w:rPr>
              <w:t>399</w:t>
            </w:r>
          </w:hyperlink>
        </w:p>
        <w:p>
          <w:pPr>
            <w:pStyle w:val="Contents3"/>
            <w:tabs>
              <w:tab w:val="clear" w:pos="8459"/>
              <w:tab w:val="right" w:pos="9026" w:leader="dot"/>
            </w:tabs>
            <w:rPr/>
          </w:pPr>
          <w:hyperlink w:anchor="__RefHeading___Toc1841141_2322387425">
            <w:r>
              <w:rPr>
                <w:webHidden/>
                <w:rStyle w:val="IndexLink"/>
                <w:rtl w:val="true"/>
              </w:rPr>
              <w:t>السادس</w:t>
            </w:r>
            <w:r>
              <w:rPr>
                <w:rStyle w:val="IndexLink"/>
                <w:rtl w:val="true"/>
              </w:rPr>
              <w:t xml:space="preserve">: </w:t>
            </w:r>
            <w:r>
              <w:rPr>
                <w:rStyle w:val="IndexLink"/>
                <w:rtl w:val="true"/>
              </w:rPr>
              <w:t>بسط الیدین مضمومتی الأصابع</w:t>
            </w:r>
            <w:r>
              <w:rPr>
                <w:rStyle w:val="IndexLink"/>
                <w:rtl w:val="true"/>
              </w:rPr>
              <w:tab/>
            </w:r>
            <w:r>
              <w:rPr>
                <w:rStyle w:val="IndexLink"/>
              </w:rPr>
              <w:t>399</w:t>
            </w:r>
          </w:hyperlink>
        </w:p>
        <w:p>
          <w:pPr>
            <w:pStyle w:val="Contents3"/>
            <w:tabs>
              <w:tab w:val="clear" w:pos="8459"/>
              <w:tab w:val="right" w:pos="9026" w:leader="dot"/>
            </w:tabs>
            <w:rPr/>
          </w:pPr>
          <w:hyperlink w:anchor="__RefHeading___Toc1841143_2322387425">
            <w:r>
              <w:rPr>
                <w:webHidden/>
                <w:rStyle w:val="IndexLink"/>
                <w:rtl w:val="true"/>
              </w:rPr>
              <w:t>السابع</w:t>
            </w:r>
            <w:r>
              <w:rPr>
                <w:rStyle w:val="IndexLink"/>
                <w:rtl w:val="true"/>
              </w:rPr>
              <w:t xml:space="preserve">: </w:t>
            </w:r>
            <w:r>
              <w:rPr>
                <w:rStyle w:val="IndexLink"/>
                <w:rtl w:val="true"/>
              </w:rPr>
              <w:t>شغل النظر إلی طرف الأنف حال السجود</w:t>
            </w:r>
            <w:r>
              <w:rPr>
                <w:rStyle w:val="IndexLink"/>
                <w:rtl w:val="true"/>
              </w:rPr>
              <w:tab/>
            </w:r>
            <w:r>
              <w:rPr>
                <w:rStyle w:val="IndexLink"/>
              </w:rPr>
              <w:t>400</w:t>
            </w:r>
          </w:hyperlink>
        </w:p>
        <w:p>
          <w:pPr>
            <w:pStyle w:val="Contents3"/>
            <w:tabs>
              <w:tab w:val="clear" w:pos="8459"/>
              <w:tab w:val="right" w:pos="9026" w:leader="dot"/>
            </w:tabs>
            <w:rPr/>
          </w:pPr>
          <w:hyperlink w:anchor="__RefHeading___Toc1841145_2322387425">
            <w:r>
              <w:rPr>
                <w:webHidden/>
                <w:rStyle w:val="IndexLink"/>
                <w:rtl w:val="true"/>
              </w:rPr>
              <w:t>الثامن</w:t>
            </w:r>
            <w:r>
              <w:rPr>
                <w:rStyle w:val="IndexLink"/>
                <w:rtl w:val="true"/>
              </w:rPr>
              <w:t xml:space="preserve">: </w:t>
            </w:r>
            <w:r>
              <w:rPr>
                <w:rStyle w:val="IndexLink"/>
                <w:rtl w:val="true"/>
              </w:rPr>
              <w:t>الدعاء قبل الشروع فی الذکر</w:t>
            </w:r>
            <w:r>
              <w:rPr>
                <w:rStyle w:val="IndexLink"/>
                <w:rtl w:val="true"/>
              </w:rPr>
              <w:tab/>
            </w:r>
            <w:r>
              <w:rPr>
                <w:rStyle w:val="IndexLink"/>
              </w:rPr>
              <w:t>400</w:t>
            </w:r>
          </w:hyperlink>
        </w:p>
        <w:p>
          <w:pPr>
            <w:pStyle w:val="Contents3"/>
            <w:tabs>
              <w:tab w:val="clear" w:pos="8459"/>
              <w:tab w:val="right" w:pos="9026" w:leader="dot"/>
            </w:tabs>
            <w:rPr/>
          </w:pPr>
          <w:hyperlink w:anchor="__RefHeading___Toc1841147_2322387425">
            <w:r>
              <w:rPr>
                <w:webHidden/>
                <w:rStyle w:val="IndexLink"/>
                <w:rtl w:val="true"/>
              </w:rPr>
              <w:t>التاسع</w:t>
            </w:r>
            <w:r>
              <w:rPr>
                <w:rStyle w:val="IndexLink"/>
                <w:rtl w:val="true"/>
              </w:rPr>
              <w:t xml:space="preserve">: </w:t>
            </w:r>
            <w:r>
              <w:rPr>
                <w:rStyle w:val="IndexLink"/>
                <w:rtl w:val="true"/>
              </w:rPr>
              <w:t>تکرار الذکر</w:t>
            </w:r>
            <w:r>
              <w:rPr>
                <w:rStyle w:val="IndexLink"/>
                <w:rtl w:val="true"/>
              </w:rPr>
              <w:tab/>
            </w:r>
            <w:r>
              <w:rPr>
                <w:rStyle w:val="IndexLink"/>
              </w:rPr>
              <w:t>400</w:t>
            </w:r>
          </w:hyperlink>
        </w:p>
        <w:p>
          <w:pPr>
            <w:pStyle w:val="Contents3"/>
            <w:tabs>
              <w:tab w:val="clear" w:pos="8459"/>
              <w:tab w:val="right" w:pos="9026" w:leader="dot"/>
            </w:tabs>
            <w:rPr/>
          </w:pPr>
          <w:hyperlink w:anchor="__RefHeading___Toc1841149_2322387425">
            <w:r>
              <w:rPr>
                <w:webHidden/>
                <w:rStyle w:val="IndexLink"/>
                <w:rtl w:val="true"/>
              </w:rPr>
              <w:t>العاشر</w:t>
            </w:r>
            <w:r>
              <w:rPr>
                <w:rStyle w:val="IndexLink"/>
                <w:rtl w:val="true"/>
              </w:rPr>
              <w:t xml:space="preserve">: </w:t>
            </w:r>
            <w:r>
              <w:rPr>
                <w:rStyle w:val="IndexLink"/>
                <w:rtl w:val="true"/>
              </w:rPr>
              <w:t>الختم علی الوتر</w:t>
            </w:r>
            <w:r>
              <w:rPr>
                <w:rStyle w:val="IndexLink"/>
                <w:rtl w:val="true"/>
              </w:rPr>
              <w:tab/>
            </w:r>
            <w:r>
              <w:rPr>
                <w:rStyle w:val="IndexLink"/>
              </w:rPr>
              <w:t>400</w:t>
            </w:r>
          </w:hyperlink>
        </w:p>
        <w:p>
          <w:pPr>
            <w:pStyle w:val="Contents3"/>
            <w:tabs>
              <w:tab w:val="clear" w:pos="8459"/>
              <w:tab w:val="right" w:pos="9026" w:leader="dot"/>
            </w:tabs>
            <w:rPr/>
          </w:pPr>
          <w:hyperlink w:anchor="__RefHeading___Toc1841151_2322387425">
            <w:r>
              <w:rPr>
                <w:webHidden/>
                <w:rStyle w:val="IndexLink"/>
                <w:rtl w:val="true"/>
              </w:rPr>
              <w:t>الحادی عشر</w:t>
            </w:r>
            <w:r>
              <w:rPr>
                <w:rStyle w:val="IndexLink"/>
                <w:rtl w:val="true"/>
              </w:rPr>
              <w:t xml:space="preserve">: </w:t>
            </w:r>
            <w:r>
              <w:rPr>
                <w:rStyle w:val="IndexLink"/>
                <w:rtl w:val="true"/>
              </w:rPr>
              <w:t>اختیار التسبیح من الذکر</w:t>
            </w:r>
            <w:r>
              <w:rPr>
                <w:rStyle w:val="IndexLink"/>
                <w:rtl w:val="true"/>
              </w:rPr>
              <w:tab/>
            </w:r>
            <w:r>
              <w:rPr>
                <w:rStyle w:val="IndexLink"/>
              </w:rPr>
              <w:t>400</w:t>
            </w:r>
          </w:hyperlink>
        </w:p>
        <w:p>
          <w:pPr>
            <w:pStyle w:val="Contents3"/>
            <w:tabs>
              <w:tab w:val="clear" w:pos="8459"/>
              <w:tab w:val="right" w:pos="9026" w:leader="dot"/>
            </w:tabs>
            <w:rPr/>
          </w:pPr>
          <w:hyperlink w:anchor="__RefHeading___Toc1841153_2322387425">
            <w:r>
              <w:rPr>
                <w:webHidden/>
                <w:rStyle w:val="IndexLink"/>
                <w:rtl w:val="true"/>
              </w:rPr>
              <w:t>الثانی عشر</w:t>
            </w:r>
            <w:r>
              <w:rPr>
                <w:rStyle w:val="IndexLink"/>
                <w:rtl w:val="true"/>
              </w:rPr>
              <w:t xml:space="preserve">: </w:t>
            </w:r>
            <w:r>
              <w:rPr>
                <w:rStyle w:val="IndexLink"/>
                <w:rtl w:val="true"/>
              </w:rPr>
              <w:t>السجود علی الأرض</w:t>
            </w:r>
            <w:r>
              <w:rPr>
                <w:rStyle w:val="IndexLink"/>
                <w:rtl w:val="true"/>
              </w:rPr>
              <w:tab/>
            </w:r>
            <w:r>
              <w:rPr>
                <w:rStyle w:val="IndexLink"/>
              </w:rPr>
              <w:t>401</w:t>
            </w:r>
          </w:hyperlink>
        </w:p>
        <w:p>
          <w:pPr>
            <w:pStyle w:val="Contents3"/>
            <w:tabs>
              <w:tab w:val="clear" w:pos="8459"/>
              <w:tab w:val="right" w:pos="9026" w:leader="dot"/>
            </w:tabs>
            <w:rPr/>
          </w:pPr>
          <w:hyperlink w:anchor="__RefHeading___Toc1841155_2322387425">
            <w:r>
              <w:rPr>
                <w:webHidden/>
                <w:rStyle w:val="IndexLink"/>
                <w:rtl w:val="true"/>
              </w:rPr>
              <w:t>الثالث عشر</w:t>
            </w:r>
            <w:r>
              <w:rPr>
                <w:rStyle w:val="IndexLink"/>
                <w:rtl w:val="true"/>
              </w:rPr>
              <w:t xml:space="preserve">: </w:t>
            </w:r>
            <w:r>
              <w:rPr>
                <w:rStyle w:val="IndexLink"/>
                <w:rtl w:val="true"/>
              </w:rPr>
              <w:t>المساواة بین موضع الجبهة و الموقف</w:t>
            </w:r>
            <w:r>
              <w:rPr>
                <w:rStyle w:val="IndexLink"/>
                <w:rtl w:val="true"/>
              </w:rPr>
              <w:tab/>
            </w:r>
            <w:r>
              <w:rPr>
                <w:rStyle w:val="IndexLink"/>
              </w:rPr>
              <w:t>401</w:t>
            </w:r>
          </w:hyperlink>
        </w:p>
        <w:p>
          <w:pPr>
            <w:pStyle w:val="Contents3"/>
            <w:tabs>
              <w:tab w:val="clear" w:pos="8459"/>
              <w:tab w:val="right" w:pos="9026" w:leader="dot"/>
            </w:tabs>
            <w:rPr/>
          </w:pPr>
          <w:hyperlink w:anchor="__RefHeading___Toc1841157_2322387425">
            <w:r>
              <w:rPr>
                <w:webHidden/>
                <w:rStyle w:val="IndexLink"/>
                <w:rtl w:val="true"/>
              </w:rPr>
              <w:t>الرابع عشر</w:t>
            </w:r>
            <w:r>
              <w:rPr>
                <w:rStyle w:val="IndexLink"/>
                <w:rtl w:val="true"/>
              </w:rPr>
              <w:t xml:space="preserve">: </w:t>
            </w:r>
            <w:r>
              <w:rPr>
                <w:rStyle w:val="IndexLink"/>
                <w:rtl w:val="true"/>
              </w:rPr>
              <w:t>الدعاء فی السجود</w:t>
            </w:r>
            <w:r>
              <w:rPr>
                <w:rStyle w:val="IndexLink"/>
                <w:rtl w:val="true"/>
              </w:rPr>
              <w:tab/>
            </w:r>
            <w:r>
              <w:rPr>
                <w:rStyle w:val="IndexLink"/>
              </w:rPr>
              <w:t>401</w:t>
            </w:r>
          </w:hyperlink>
        </w:p>
        <w:p>
          <w:pPr>
            <w:pStyle w:val="Contents3"/>
            <w:tabs>
              <w:tab w:val="clear" w:pos="8459"/>
              <w:tab w:val="right" w:pos="9026" w:leader="dot"/>
            </w:tabs>
            <w:rPr/>
          </w:pPr>
          <w:hyperlink w:anchor="__RefHeading___Toc1841159_2322387425">
            <w:r>
              <w:rPr>
                <w:webHidden/>
                <w:rStyle w:val="IndexLink"/>
                <w:rtl w:val="true"/>
              </w:rPr>
              <w:t>الخامس عشر</w:t>
            </w:r>
            <w:r>
              <w:rPr>
                <w:rStyle w:val="IndexLink"/>
                <w:rtl w:val="true"/>
              </w:rPr>
              <w:t xml:space="preserve">: </w:t>
            </w:r>
            <w:r>
              <w:rPr>
                <w:rStyle w:val="IndexLink"/>
                <w:rtl w:val="true"/>
              </w:rPr>
              <w:t>التورک فی الجلوس</w:t>
            </w:r>
            <w:r>
              <w:rPr>
                <w:rStyle w:val="IndexLink"/>
                <w:rtl w:val="true"/>
              </w:rPr>
              <w:tab/>
            </w:r>
            <w:r>
              <w:rPr>
                <w:rStyle w:val="IndexLink"/>
              </w:rPr>
              <w:t>401</w:t>
            </w:r>
          </w:hyperlink>
        </w:p>
        <w:p>
          <w:pPr>
            <w:pStyle w:val="Contents3"/>
            <w:tabs>
              <w:tab w:val="clear" w:pos="8459"/>
              <w:tab w:val="right" w:pos="9026" w:leader="dot"/>
            </w:tabs>
            <w:rPr/>
          </w:pPr>
          <w:hyperlink w:anchor="__RefHeading___Toc1841161_2322387425">
            <w:r>
              <w:rPr>
                <w:webHidden/>
                <w:rStyle w:val="IndexLink"/>
                <w:rtl w:val="true"/>
              </w:rPr>
              <w:t>السادس عشر</w:t>
            </w:r>
            <w:r>
              <w:rPr>
                <w:rStyle w:val="IndexLink"/>
                <w:rtl w:val="true"/>
              </w:rPr>
              <w:t xml:space="preserve">: </w:t>
            </w:r>
            <w:r>
              <w:rPr>
                <w:rStyle w:val="IndexLink"/>
                <w:rtl w:val="true"/>
              </w:rPr>
              <w:t>القول بین السجدتین</w:t>
            </w:r>
            <w:r>
              <w:rPr>
                <w:rStyle w:val="IndexLink"/>
                <w:rtl w:val="true"/>
              </w:rPr>
              <w:t>: «</w:t>
            </w:r>
            <w:r>
              <w:rPr>
                <w:rStyle w:val="IndexLink"/>
                <w:rtl w:val="true"/>
              </w:rPr>
              <w:t>أستغفرالله ربی و أتوب إلیه</w:t>
            </w:r>
            <w:r>
              <w:rPr>
                <w:rStyle w:val="IndexLink"/>
                <w:rtl w:val="true"/>
              </w:rPr>
              <w:t>».</w:t>
              <w:tab/>
            </w:r>
            <w:r>
              <w:rPr>
                <w:rStyle w:val="IndexLink"/>
              </w:rPr>
              <w:t>402</w:t>
            </w:r>
          </w:hyperlink>
        </w:p>
        <w:p>
          <w:pPr>
            <w:pStyle w:val="Contents3"/>
            <w:tabs>
              <w:tab w:val="clear" w:pos="8459"/>
              <w:tab w:val="right" w:pos="9026" w:leader="dot"/>
            </w:tabs>
            <w:rPr/>
          </w:pPr>
          <w:hyperlink w:anchor="__RefHeading___Toc1841163_2322387425">
            <w:r>
              <w:rPr>
                <w:webHidden/>
                <w:rStyle w:val="IndexLink"/>
                <w:rtl w:val="true"/>
              </w:rPr>
              <w:t>السابع عشر</w:t>
            </w:r>
            <w:r>
              <w:rPr>
                <w:rStyle w:val="IndexLink"/>
                <w:rtl w:val="true"/>
              </w:rPr>
              <w:t xml:space="preserve">: </w:t>
            </w:r>
            <w:r>
              <w:rPr>
                <w:rStyle w:val="IndexLink"/>
                <w:rtl w:val="true"/>
              </w:rPr>
              <w:t>التکبیر بعد السجدة الولی و قبل الثانیة</w:t>
            </w:r>
            <w:r>
              <w:rPr>
                <w:rStyle w:val="IndexLink"/>
                <w:rtl w:val="true"/>
              </w:rPr>
              <w:tab/>
            </w:r>
            <w:r>
              <w:rPr>
                <w:rStyle w:val="IndexLink"/>
              </w:rPr>
              <w:t>402</w:t>
            </w:r>
          </w:hyperlink>
        </w:p>
        <w:p>
          <w:pPr>
            <w:pStyle w:val="Contents3"/>
            <w:tabs>
              <w:tab w:val="clear" w:pos="8459"/>
              <w:tab w:val="right" w:pos="9026" w:leader="dot"/>
            </w:tabs>
            <w:rPr/>
          </w:pPr>
          <w:hyperlink w:anchor="__RefHeading___Toc1841165_2322387425">
            <w:r>
              <w:rPr>
                <w:webHidden/>
                <w:rStyle w:val="IndexLink"/>
                <w:rtl w:val="true"/>
              </w:rPr>
              <w:t>الثامن عشر</w:t>
            </w:r>
            <w:r>
              <w:rPr>
                <w:rStyle w:val="IndexLink"/>
                <w:rtl w:val="true"/>
              </w:rPr>
              <w:t xml:space="preserve">: </w:t>
            </w:r>
            <w:r>
              <w:rPr>
                <w:rStyle w:val="IndexLink"/>
                <w:rtl w:val="true"/>
              </w:rPr>
              <w:t>التکبیر بعد الرفع من الثانیة کذلک</w:t>
            </w:r>
            <w:r>
              <w:rPr>
                <w:rStyle w:val="IndexLink"/>
                <w:rtl w:val="true"/>
              </w:rPr>
              <w:tab/>
            </w:r>
            <w:r>
              <w:rPr>
                <w:rStyle w:val="IndexLink"/>
              </w:rPr>
              <w:t>402</w:t>
            </w:r>
          </w:hyperlink>
        </w:p>
        <w:p>
          <w:pPr>
            <w:pStyle w:val="Contents3"/>
            <w:tabs>
              <w:tab w:val="clear" w:pos="8459"/>
              <w:tab w:val="right" w:pos="9026" w:leader="dot"/>
            </w:tabs>
            <w:rPr/>
          </w:pPr>
          <w:hyperlink w:anchor="__RefHeading___Toc1841167_2322387425">
            <w:r>
              <w:rPr>
                <w:webHidden/>
                <w:rStyle w:val="IndexLink"/>
                <w:rtl w:val="true"/>
              </w:rPr>
              <w:t>التاسع عشر</w:t>
            </w:r>
            <w:r>
              <w:rPr>
                <w:rStyle w:val="IndexLink"/>
                <w:rtl w:val="true"/>
              </w:rPr>
              <w:t xml:space="preserve">: </w:t>
            </w:r>
            <w:r>
              <w:rPr>
                <w:rStyle w:val="IndexLink"/>
                <w:rtl w:val="true"/>
              </w:rPr>
              <w:t>رفع الیدین حال التکبیرات</w:t>
            </w:r>
            <w:r>
              <w:rPr>
                <w:rStyle w:val="IndexLink"/>
                <w:rtl w:val="true"/>
              </w:rPr>
              <w:tab/>
            </w:r>
            <w:r>
              <w:rPr>
                <w:rStyle w:val="IndexLink"/>
              </w:rPr>
              <w:t>402</w:t>
            </w:r>
          </w:hyperlink>
        </w:p>
        <w:p>
          <w:pPr>
            <w:pStyle w:val="Contents3"/>
            <w:tabs>
              <w:tab w:val="clear" w:pos="8459"/>
              <w:tab w:val="right" w:pos="9026" w:leader="dot"/>
            </w:tabs>
            <w:rPr/>
          </w:pPr>
          <w:hyperlink w:anchor="__RefHeading___Toc1841169_2322387425">
            <w:r>
              <w:rPr>
                <w:webHidden/>
                <w:rStyle w:val="IndexLink"/>
                <w:rtl w:val="true"/>
              </w:rPr>
              <w:t>العشرون</w:t>
            </w:r>
            <w:r>
              <w:rPr>
                <w:rStyle w:val="IndexLink"/>
                <w:rtl w:val="true"/>
              </w:rPr>
              <w:t xml:space="preserve">: </w:t>
            </w:r>
            <w:r>
              <w:rPr>
                <w:rStyle w:val="IndexLink"/>
                <w:rtl w:val="true"/>
              </w:rPr>
              <w:t>وضع الیدین علی الفخذین حال الجلوس</w:t>
            </w:r>
            <w:r>
              <w:rPr>
                <w:rStyle w:val="IndexLink"/>
                <w:rtl w:val="true"/>
              </w:rPr>
              <w:tab/>
            </w:r>
            <w:r>
              <w:rPr>
                <w:rStyle w:val="IndexLink"/>
              </w:rPr>
              <w:t>402</w:t>
            </w:r>
          </w:hyperlink>
        </w:p>
        <w:p>
          <w:pPr>
            <w:pStyle w:val="Contents3"/>
            <w:tabs>
              <w:tab w:val="clear" w:pos="8459"/>
              <w:tab w:val="right" w:pos="9026" w:leader="dot"/>
            </w:tabs>
            <w:rPr/>
          </w:pPr>
          <w:hyperlink w:anchor="__RefHeading___Toc1841171_2322387425">
            <w:r>
              <w:rPr>
                <w:webHidden/>
                <w:rStyle w:val="IndexLink"/>
                <w:rtl w:val="true"/>
              </w:rPr>
              <w:t>الحادی العشرون</w:t>
            </w:r>
            <w:r>
              <w:rPr>
                <w:rStyle w:val="IndexLink"/>
                <w:rtl w:val="true"/>
              </w:rPr>
              <w:t xml:space="preserve">: </w:t>
            </w:r>
            <w:r>
              <w:rPr>
                <w:rStyle w:val="IndexLink"/>
                <w:rtl w:val="true"/>
              </w:rPr>
              <w:t>التجافی حال الجلوس</w:t>
            </w:r>
            <w:r>
              <w:rPr>
                <w:rStyle w:val="IndexLink"/>
                <w:rtl w:val="true"/>
              </w:rPr>
              <w:tab/>
            </w:r>
            <w:r>
              <w:rPr>
                <w:rStyle w:val="IndexLink"/>
              </w:rPr>
              <w:t>402</w:t>
            </w:r>
          </w:hyperlink>
        </w:p>
        <w:p>
          <w:pPr>
            <w:pStyle w:val="Contents3"/>
            <w:tabs>
              <w:tab w:val="clear" w:pos="8459"/>
              <w:tab w:val="right" w:pos="9026" w:leader="dot"/>
            </w:tabs>
            <w:rPr/>
          </w:pPr>
          <w:hyperlink w:anchor="__RefHeading___Toc1841173_2322387425">
            <w:r>
              <w:rPr>
                <w:webHidden/>
                <w:rStyle w:val="IndexLink"/>
                <w:rtl w:val="true"/>
              </w:rPr>
              <w:t>الثانی والعشرون</w:t>
            </w:r>
            <w:r>
              <w:rPr>
                <w:rStyle w:val="IndexLink"/>
                <w:rtl w:val="true"/>
              </w:rPr>
              <w:t xml:space="preserve">: </w:t>
            </w:r>
            <w:r>
              <w:rPr>
                <w:rStyle w:val="IndexLink"/>
                <w:rtl w:val="true"/>
              </w:rPr>
              <w:t>التجنح</w:t>
            </w:r>
            <w:r>
              <w:rPr>
                <w:rStyle w:val="IndexLink"/>
                <w:rtl w:val="true"/>
              </w:rPr>
              <w:tab/>
            </w:r>
            <w:r>
              <w:rPr>
                <w:rStyle w:val="IndexLink"/>
              </w:rPr>
              <w:t>402</w:t>
            </w:r>
          </w:hyperlink>
        </w:p>
        <w:p>
          <w:pPr>
            <w:pStyle w:val="Contents3"/>
            <w:tabs>
              <w:tab w:val="clear" w:pos="8459"/>
              <w:tab w:val="right" w:pos="9026" w:leader="dot"/>
            </w:tabs>
            <w:rPr/>
          </w:pPr>
          <w:hyperlink w:anchor="__RefHeading___Toc1841175_2322387425">
            <w:r>
              <w:rPr>
                <w:webHidden/>
                <w:rStyle w:val="IndexLink"/>
                <w:rtl w:val="true"/>
              </w:rPr>
              <w:t>الثالث والعشرون</w:t>
            </w:r>
            <w:r>
              <w:rPr>
                <w:rStyle w:val="IndexLink"/>
                <w:rtl w:val="true"/>
              </w:rPr>
              <w:t xml:space="preserve">: </w:t>
            </w:r>
            <w:r>
              <w:rPr>
                <w:rStyle w:val="IndexLink"/>
                <w:rtl w:val="true"/>
              </w:rPr>
              <w:t>الصلاة علی النبی و آله فی السجدتین</w:t>
            </w:r>
            <w:r>
              <w:rPr>
                <w:rStyle w:val="IndexLink"/>
                <w:rtl w:val="true"/>
              </w:rPr>
              <w:tab/>
            </w:r>
            <w:r>
              <w:rPr>
                <w:rStyle w:val="IndexLink"/>
              </w:rPr>
              <w:t>403</w:t>
            </w:r>
          </w:hyperlink>
        </w:p>
        <w:p>
          <w:pPr>
            <w:pStyle w:val="Contents3"/>
            <w:tabs>
              <w:tab w:val="clear" w:pos="8459"/>
              <w:tab w:val="right" w:pos="9026" w:leader="dot"/>
            </w:tabs>
            <w:rPr/>
          </w:pPr>
          <w:hyperlink w:anchor="__RefHeading___Toc1841177_2322387425">
            <w:r>
              <w:rPr>
                <w:webHidden/>
                <w:rStyle w:val="IndexLink"/>
                <w:rtl w:val="true"/>
              </w:rPr>
              <w:t>الرابع والعشرون</w:t>
            </w:r>
            <w:r>
              <w:rPr>
                <w:rStyle w:val="IndexLink"/>
                <w:rtl w:val="true"/>
              </w:rPr>
              <w:t xml:space="preserve">: </w:t>
            </w:r>
            <w:r>
              <w:rPr>
                <w:rStyle w:val="IndexLink"/>
                <w:rtl w:val="true"/>
              </w:rPr>
              <w:t>أن یقوم سابقاً برفع رکبتیه قبل یدیه</w:t>
            </w:r>
            <w:r>
              <w:rPr>
                <w:rStyle w:val="IndexLink"/>
                <w:rtl w:val="true"/>
              </w:rPr>
              <w:tab/>
            </w:r>
            <w:r>
              <w:rPr>
                <w:rStyle w:val="IndexLink"/>
              </w:rPr>
              <w:t>403</w:t>
            </w:r>
          </w:hyperlink>
        </w:p>
        <w:p>
          <w:pPr>
            <w:pStyle w:val="Contents3"/>
            <w:tabs>
              <w:tab w:val="clear" w:pos="8459"/>
              <w:tab w:val="right" w:pos="9026" w:leader="dot"/>
            </w:tabs>
            <w:rPr/>
          </w:pPr>
          <w:hyperlink w:anchor="__RefHeading___Toc1841179_2322387425">
            <w:r>
              <w:rPr>
                <w:webHidden/>
                <w:rStyle w:val="IndexLink"/>
                <w:rtl w:val="true"/>
              </w:rPr>
              <w:t>الخامس والعشرون</w:t>
            </w:r>
            <w:r>
              <w:rPr>
                <w:rStyle w:val="IndexLink"/>
                <w:rtl w:val="true"/>
              </w:rPr>
              <w:t xml:space="preserve">: </w:t>
            </w:r>
            <w:r>
              <w:rPr>
                <w:rStyle w:val="IndexLink"/>
                <w:rtl w:val="true"/>
              </w:rPr>
              <w:t>القول بین السجدتین</w:t>
            </w:r>
            <w:r>
              <w:rPr>
                <w:rStyle w:val="IndexLink"/>
                <w:rtl w:val="true"/>
              </w:rPr>
              <w:t>: «</w:t>
            </w:r>
            <w:r>
              <w:rPr>
                <w:rStyle w:val="IndexLink"/>
                <w:rtl w:val="true"/>
              </w:rPr>
              <w:t>اللهم اغفرلی و الرحمنی</w:t>
            </w:r>
            <w:r>
              <w:rPr>
                <w:rStyle w:val="IndexLink"/>
                <w:rtl w:val="true"/>
              </w:rPr>
              <w:t>»</w:t>
              <w:tab/>
            </w:r>
            <w:r>
              <w:rPr>
                <w:rStyle w:val="IndexLink"/>
              </w:rPr>
              <w:t>403</w:t>
            </w:r>
          </w:hyperlink>
        </w:p>
        <w:p>
          <w:pPr>
            <w:pStyle w:val="Contents3"/>
            <w:tabs>
              <w:tab w:val="clear" w:pos="8459"/>
              <w:tab w:val="right" w:pos="9026" w:leader="dot"/>
            </w:tabs>
            <w:rPr/>
          </w:pPr>
          <w:hyperlink w:anchor="__RefHeading___Toc1841181_2322387425">
            <w:r>
              <w:rPr>
                <w:webHidden/>
                <w:rStyle w:val="IndexLink"/>
                <w:rtl w:val="true"/>
              </w:rPr>
              <w:t>السادس والعشرون</w:t>
            </w:r>
            <w:r>
              <w:rPr>
                <w:rStyle w:val="IndexLink"/>
                <w:rtl w:val="true"/>
              </w:rPr>
              <w:t xml:space="preserve">: </w:t>
            </w:r>
            <w:r>
              <w:rPr>
                <w:rStyle w:val="IndexLink"/>
                <w:rtl w:val="true"/>
              </w:rPr>
              <w:t>القول عند النوض للقیام</w:t>
            </w:r>
            <w:r>
              <w:rPr>
                <w:rStyle w:val="IndexLink"/>
                <w:rtl w:val="true"/>
              </w:rPr>
              <w:t>: «</w:t>
            </w:r>
            <w:r>
              <w:rPr>
                <w:rStyle w:val="IndexLink"/>
                <w:rtl w:val="true"/>
              </w:rPr>
              <w:t>بحول الله و قوته</w:t>
            </w:r>
            <w:r>
              <w:rPr>
                <w:rStyle w:val="IndexLink"/>
                <w:rtl w:val="true"/>
              </w:rPr>
              <w:t>...»</w:t>
              <w:tab/>
            </w:r>
            <w:r>
              <w:rPr>
                <w:rStyle w:val="IndexLink"/>
              </w:rPr>
              <w:t>403</w:t>
            </w:r>
          </w:hyperlink>
        </w:p>
        <w:p>
          <w:pPr>
            <w:pStyle w:val="Contents3"/>
            <w:tabs>
              <w:tab w:val="clear" w:pos="8459"/>
              <w:tab w:val="right" w:pos="9026" w:leader="dot"/>
            </w:tabs>
            <w:rPr/>
          </w:pPr>
          <w:hyperlink w:anchor="__RefHeading___Toc1841183_2322387425">
            <w:r>
              <w:rPr>
                <w:webHidden/>
                <w:rStyle w:val="IndexLink"/>
                <w:rtl w:val="true"/>
              </w:rPr>
              <w:t>السابع والعشرون</w:t>
            </w:r>
            <w:r>
              <w:rPr>
                <w:rStyle w:val="IndexLink"/>
                <w:rtl w:val="true"/>
              </w:rPr>
              <w:t xml:space="preserve">: </w:t>
            </w:r>
            <w:r>
              <w:rPr>
                <w:rStyle w:val="IndexLink"/>
                <w:rtl w:val="true"/>
              </w:rPr>
              <w:t>عدم العجن بیدیه عند إرادة النهوض</w:t>
            </w:r>
            <w:r>
              <w:rPr>
                <w:rStyle w:val="IndexLink"/>
                <w:rtl w:val="true"/>
              </w:rPr>
              <w:tab/>
            </w:r>
            <w:r>
              <w:rPr>
                <w:rStyle w:val="IndexLink"/>
              </w:rPr>
              <w:t>403</w:t>
            </w:r>
          </w:hyperlink>
        </w:p>
        <w:p>
          <w:pPr>
            <w:pStyle w:val="Contents3"/>
            <w:tabs>
              <w:tab w:val="clear" w:pos="8459"/>
              <w:tab w:val="right" w:pos="9026" w:leader="dot"/>
            </w:tabs>
            <w:rPr/>
          </w:pPr>
          <w:hyperlink w:anchor="__RefHeading___Toc1841185_2322387425">
            <w:r>
              <w:rPr>
                <w:webHidden/>
                <w:rStyle w:val="IndexLink"/>
                <w:rtl w:val="true"/>
              </w:rPr>
              <w:t>الثامن والعشرون</w:t>
            </w:r>
            <w:r>
              <w:rPr>
                <w:rStyle w:val="IndexLink"/>
                <w:rtl w:val="true"/>
              </w:rPr>
              <w:t xml:space="preserve">: </w:t>
            </w:r>
            <w:r>
              <w:rPr>
                <w:rStyle w:val="IndexLink"/>
                <w:rtl w:val="true"/>
              </w:rPr>
              <w:t>وضع الرکبتین قبل الیدین للمرأة عند الهوی للسجود</w:t>
            </w:r>
            <w:r>
              <w:rPr>
                <w:rStyle w:val="IndexLink"/>
                <w:rtl w:val="true"/>
              </w:rPr>
              <w:tab/>
            </w:r>
            <w:r>
              <w:rPr>
                <w:rStyle w:val="IndexLink"/>
              </w:rPr>
              <w:t>403</w:t>
            </w:r>
          </w:hyperlink>
        </w:p>
        <w:p>
          <w:pPr>
            <w:pStyle w:val="Contents3"/>
            <w:tabs>
              <w:tab w:val="clear" w:pos="8459"/>
              <w:tab w:val="right" w:pos="9026" w:leader="dot"/>
            </w:tabs>
            <w:rPr/>
          </w:pPr>
          <w:hyperlink w:anchor="__RefHeading___Toc1841187_2322387425">
            <w:r>
              <w:rPr>
                <w:webHidden/>
                <w:rStyle w:val="IndexLink"/>
                <w:rtl w:val="true"/>
              </w:rPr>
              <w:t>التاسع والعشرون</w:t>
            </w:r>
            <w:r>
              <w:rPr>
                <w:rStyle w:val="IndexLink"/>
                <w:rtl w:val="true"/>
              </w:rPr>
              <w:t xml:space="preserve">: </w:t>
            </w:r>
            <w:r>
              <w:rPr>
                <w:rStyle w:val="IndexLink"/>
                <w:rtl w:val="true"/>
              </w:rPr>
              <w:t>إطالة السجود والإکثار فیه من التسبیح و الذکر</w:t>
            </w:r>
            <w:r>
              <w:rPr>
                <w:rStyle w:val="IndexLink"/>
                <w:rtl w:val="true"/>
              </w:rPr>
              <w:tab/>
            </w:r>
            <w:r>
              <w:rPr>
                <w:rStyle w:val="IndexLink"/>
              </w:rPr>
              <w:t>404</w:t>
            </w:r>
          </w:hyperlink>
        </w:p>
        <w:p>
          <w:pPr>
            <w:pStyle w:val="Contents3"/>
            <w:tabs>
              <w:tab w:val="clear" w:pos="8459"/>
              <w:tab w:val="right" w:pos="9026" w:leader="dot"/>
            </w:tabs>
            <w:rPr/>
          </w:pPr>
          <w:hyperlink w:anchor="__RefHeading___Toc1841189_2322387425">
            <w:r>
              <w:rPr>
                <w:webHidden/>
                <w:rStyle w:val="IndexLink"/>
                <w:rtl w:val="true"/>
              </w:rPr>
              <w:t>الثلاثون</w:t>
            </w:r>
            <w:r>
              <w:rPr>
                <w:rStyle w:val="IndexLink"/>
                <w:rtl w:val="true"/>
              </w:rPr>
              <w:t xml:space="preserve">: </w:t>
            </w:r>
            <w:r>
              <w:rPr>
                <w:rStyle w:val="IndexLink"/>
                <w:rtl w:val="true"/>
              </w:rPr>
              <w:t>مباشرة الأرض بالکفین</w:t>
            </w:r>
            <w:r>
              <w:rPr>
                <w:rStyle w:val="IndexLink"/>
                <w:rtl w:val="true"/>
              </w:rPr>
              <w:tab/>
            </w:r>
            <w:r>
              <w:rPr>
                <w:rStyle w:val="IndexLink"/>
              </w:rPr>
              <w:t>404</w:t>
            </w:r>
          </w:hyperlink>
        </w:p>
        <w:p>
          <w:pPr>
            <w:pStyle w:val="Contents3"/>
            <w:tabs>
              <w:tab w:val="clear" w:pos="8459"/>
              <w:tab w:val="right" w:pos="9026" w:leader="dot"/>
            </w:tabs>
            <w:rPr/>
          </w:pPr>
          <w:hyperlink w:anchor="__RefHeading___Toc1841191_2322387425">
            <w:r>
              <w:rPr>
                <w:webHidden/>
                <w:rStyle w:val="IndexLink"/>
                <w:rtl w:val="true"/>
              </w:rPr>
              <w:t>الواحد والثلاثون</w:t>
            </w:r>
            <w:r>
              <w:rPr>
                <w:rStyle w:val="IndexLink"/>
                <w:rtl w:val="true"/>
              </w:rPr>
              <w:t xml:space="preserve">: </w:t>
            </w:r>
            <w:r>
              <w:rPr>
                <w:rStyle w:val="IndexLink"/>
                <w:rtl w:val="true"/>
              </w:rPr>
              <w:t>زیادة تمکین الجبهة و سائر المساجد فی السجود</w:t>
            </w:r>
            <w:r>
              <w:rPr>
                <w:rStyle w:val="IndexLink"/>
                <w:rtl w:val="true"/>
              </w:rPr>
              <w:tab/>
            </w:r>
            <w:r>
              <w:rPr>
                <w:rStyle w:val="IndexLink"/>
              </w:rPr>
              <w:t>404</w:t>
            </w:r>
          </w:hyperlink>
        </w:p>
        <w:p>
          <w:pPr>
            <w:pStyle w:val="Contents3"/>
            <w:tabs>
              <w:tab w:val="clear" w:pos="8459"/>
              <w:tab w:val="right" w:pos="9026" w:leader="dot"/>
            </w:tabs>
            <w:rPr/>
          </w:pPr>
          <w:hyperlink w:anchor="__RefHeading___Toc1841193_2322387425">
            <w:r>
              <w:rPr>
                <w:webHidden/>
                <w:rStyle w:val="IndexLink"/>
                <w:rtl w:val="true"/>
              </w:rPr>
              <w:t>کراهة الإقعاء فی الجلوس</w:t>
            </w:r>
            <w:r>
              <w:rPr>
                <w:rStyle w:val="IndexLink"/>
                <w:rtl w:val="true"/>
              </w:rPr>
              <w:tab/>
            </w:r>
            <w:r>
              <w:rPr>
                <w:rStyle w:val="IndexLink"/>
              </w:rPr>
              <w:t>404</w:t>
            </w:r>
          </w:hyperlink>
        </w:p>
        <w:p>
          <w:pPr>
            <w:pStyle w:val="Contents3"/>
            <w:tabs>
              <w:tab w:val="clear" w:pos="8459"/>
              <w:tab w:val="right" w:pos="9026" w:leader="dot"/>
            </w:tabs>
            <w:rPr/>
          </w:pPr>
          <w:hyperlink w:anchor="__RefHeading___Toc1841195_2322387425">
            <w:r>
              <w:rPr>
                <w:webHidden/>
                <w:rStyle w:val="IndexLink"/>
                <w:rtl w:val="true"/>
              </w:rPr>
              <w:t>کراهة نفخ موضع السجود</w:t>
            </w:r>
            <w:r>
              <w:rPr>
                <w:rStyle w:val="IndexLink"/>
                <w:rtl w:val="true"/>
              </w:rPr>
              <w:tab/>
            </w:r>
            <w:r>
              <w:rPr>
                <w:rStyle w:val="IndexLink"/>
              </w:rPr>
              <w:t>405</w:t>
            </w:r>
          </w:hyperlink>
        </w:p>
        <w:p>
          <w:pPr>
            <w:pStyle w:val="Contents3"/>
            <w:tabs>
              <w:tab w:val="clear" w:pos="8459"/>
              <w:tab w:val="right" w:pos="9026" w:leader="dot"/>
            </w:tabs>
            <w:rPr/>
          </w:pPr>
          <w:hyperlink w:anchor="__RefHeading___Toc1841197_2322387425">
            <w:r>
              <w:rPr>
                <w:webHidden/>
                <w:rStyle w:val="IndexLink"/>
                <w:rtl w:val="true"/>
              </w:rPr>
              <w:t>کراهة قراءة القرآن فی السجود</w:t>
            </w:r>
            <w:r>
              <w:rPr>
                <w:rStyle w:val="IndexLink"/>
                <w:rtl w:val="true"/>
              </w:rPr>
              <w:tab/>
            </w:r>
            <w:r>
              <w:rPr>
                <w:rStyle w:val="IndexLink"/>
              </w:rPr>
              <w:t>405</w:t>
            </w:r>
          </w:hyperlink>
        </w:p>
        <w:p>
          <w:pPr>
            <w:pStyle w:val="Contents3"/>
            <w:tabs>
              <w:tab w:val="clear" w:pos="8459"/>
              <w:tab w:val="right" w:pos="9026" w:leader="dot"/>
            </w:tabs>
            <w:rPr/>
          </w:pPr>
          <w:hyperlink w:anchor="__RefHeading___Toc1841199_2322387425">
            <w:r>
              <w:rPr>
                <w:webHidden/>
                <w:rStyle w:val="IndexLink"/>
                <w:rtl w:val="true"/>
              </w:rPr>
              <w:t>حکم ترک جلسة الاستراحة</w:t>
            </w:r>
            <w:r>
              <w:rPr>
                <w:rStyle w:val="IndexLink"/>
                <w:rtl w:val="true"/>
              </w:rPr>
              <w:tab/>
            </w:r>
            <w:r>
              <w:rPr>
                <w:rStyle w:val="IndexLink"/>
              </w:rPr>
              <w:t>405</w:t>
            </w:r>
          </w:hyperlink>
        </w:p>
        <w:p>
          <w:pPr>
            <w:pStyle w:val="Contents3"/>
            <w:tabs>
              <w:tab w:val="clear" w:pos="8459"/>
              <w:tab w:val="right" w:pos="9026" w:leader="dot"/>
            </w:tabs>
            <w:rPr/>
          </w:pPr>
          <w:hyperlink w:anchor="__RefHeading___Toc1841201_2322387425">
            <w:r>
              <w:rPr>
                <w:webHidden/>
                <w:rStyle w:val="IndexLink"/>
                <w:rtl w:val="true"/>
              </w:rPr>
              <w:t>حکم ما لو نسی جلسة الاستراحة</w:t>
            </w:r>
            <w:r>
              <w:rPr>
                <w:rStyle w:val="IndexLink"/>
                <w:rtl w:val="true"/>
              </w:rPr>
              <w:tab/>
            </w:r>
            <w:r>
              <w:rPr>
                <w:rStyle w:val="IndexLink"/>
              </w:rPr>
              <w:t>408</w:t>
            </w:r>
          </w:hyperlink>
        </w:p>
        <w:p>
          <w:pPr>
            <w:pStyle w:val="Contents2"/>
            <w:tabs>
              <w:tab w:val="clear" w:pos="8743"/>
              <w:tab w:val="right" w:pos="9026" w:leader="dot"/>
            </w:tabs>
            <w:rPr/>
          </w:pPr>
          <w:hyperlink w:anchor="__RefHeading___Toc1841203_2322387425">
            <w:r>
              <w:rPr>
                <w:webHidden/>
                <w:rStyle w:val="IndexLink"/>
                <w:rtl w:val="true"/>
              </w:rPr>
              <w:t>فصل فی سائر أقسام السجود</w:t>
            </w:r>
            <w:r>
              <w:rPr>
                <w:rStyle w:val="IndexLink"/>
                <w:rtl w:val="true"/>
              </w:rPr>
              <w:tab/>
            </w:r>
            <w:r>
              <w:rPr>
                <w:rStyle w:val="IndexLink"/>
              </w:rPr>
              <w:t>409</w:t>
            </w:r>
          </w:hyperlink>
        </w:p>
        <w:p>
          <w:pPr>
            <w:pStyle w:val="Contents3"/>
            <w:tabs>
              <w:tab w:val="clear" w:pos="8459"/>
              <w:tab w:val="right" w:pos="9026" w:leader="dot"/>
            </w:tabs>
            <w:rPr/>
          </w:pPr>
          <w:hyperlink w:anchor="__RefHeading___Toc1841205_2322387425">
            <w:r>
              <w:rPr>
                <w:webHidden/>
                <w:rStyle w:val="IndexLink"/>
                <w:rtl w:val="true"/>
              </w:rPr>
              <w:t>السجود للسهو</w:t>
            </w:r>
            <w:r>
              <w:rPr>
                <w:rStyle w:val="IndexLink"/>
                <w:rtl w:val="true"/>
              </w:rPr>
              <w:tab/>
            </w:r>
            <w:r>
              <w:rPr>
                <w:rStyle w:val="IndexLink"/>
              </w:rPr>
              <w:t>409</w:t>
            </w:r>
          </w:hyperlink>
        </w:p>
        <w:p>
          <w:pPr>
            <w:pStyle w:val="Contents3"/>
            <w:tabs>
              <w:tab w:val="clear" w:pos="8459"/>
              <w:tab w:val="right" w:pos="9026" w:leader="dot"/>
            </w:tabs>
            <w:rPr/>
          </w:pPr>
          <w:hyperlink w:anchor="__RefHeading___Toc1841207_2322387425">
            <w:r>
              <w:rPr>
                <w:webHidden/>
                <w:rStyle w:val="IndexLink"/>
                <w:rtl w:val="true"/>
              </w:rPr>
              <w:t>أحکام السجود لآیات العزائم</w:t>
            </w:r>
            <w:r>
              <w:rPr>
                <w:rStyle w:val="IndexLink"/>
                <w:rtl w:val="true"/>
              </w:rPr>
              <w:tab/>
            </w:r>
            <w:r>
              <w:rPr>
                <w:rStyle w:val="IndexLink"/>
              </w:rPr>
              <w:t>409</w:t>
            </w:r>
          </w:hyperlink>
        </w:p>
        <w:p>
          <w:pPr>
            <w:pStyle w:val="Contents3"/>
            <w:tabs>
              <w:tab w:val="clear" w:pos="8459"/>
              <w:tab w:val="right" w:pos="9026" w:leader="dot"/>
            </w:tabs>
            <w:rPr/>
          </w:pPr>
          <w:hyperlink w:anchor="__RefHeading___Toc1841209_2322387425">
            <w:r>
              <w:rPr>
                <w:webHidden/>
                <w:rStyle w:val="IndexLink"/>
                <w:rtl w:val="true"/>
              </w:rPr>
              <w:t>فی ما یعتبر فی هذا السجود</w:t>
            </w:r>
            <w:r>
              <w:rPr>
                <w:rStyle w:val="IndexLink"/>
                <w:rtl w:val="true"/>
              </w:rPr>
              <w:tab/>
            </w:r>
            <w:r>
              <w:rPr>
                <w:rStyle w:val="IndexLink"/>
              </w:rPr>
              <w:t>421</w:t>
            </w:r>
          </w:hyperlink>
        </w:p>
        <w:p>
          <w:pPr>
            <w:pStyle w:val="Contents3"/>
            <w:tabs>
              <w:tab w:val="clear" w:pos="8459"/>
              <w:tab w:val="right" w:pos="9026" w:leader="dot"/>
            </w:tabs>
            <w:rPr/>
          </w:pPr>
          <w:hyperlink w:anchor="__RefHeading___Toc1841211_2322387425">
            <w:r>
              <w:rPr>
                <w:webHidden/>
                <w:rStyle w:val="IndexLink"/>
                <w:rtl w:val="true"/>
              </w:rPr>
              <w:t>فی ما لا یعتبر فی هذا السجود</w:t>
            </w:r>
            <w:r>
              <w:rPr>
                <w:rStyle w:val="IndexLink"/>
                <w:rtl w:val="true"/>
              </w:rPr>
              <w:tab/>
            </w:r>
            <w:r>
              <w:rPr>
                <w:rStyle w:val="IndexLink"/>
              </w:rPr>
              <w:t>424</w:t>
            </w:r>
          </w:hyperlink>
        </w:p>
        <w:p>
          <w:pPr>
            <w:pStyle w:val="Contents3"/>
            <w:tabs>
              <w:tab w:val="clear" w:pos="8459"/>
              <w:tab w:val="right" w:pos="9026" w:leader="dot"/>
            </w:tabs>
            <w:rPr/>
          </w:pPr>
          <w:hyperlink w:anchor="__RefHeading___Toc1841213_2322387425">
            <w:r>
              <w:rPr>
                <w:webHidden/>
                <w:rStyle w:val="IndexLink"/>
                <w:rtl w:val="true"/>
              </w:rPr>
              <w:t>فی ما یکتفی به فی هذا السجود</w:t>
            </w:r>
            <w:r>
              <w:rPr>
                <w:rStyle w:val="IndexLink"/>
                <w:rtl w:val="true"/>
              </w:rPr>
              <w:tab/>
            </w:r>
            <w:r>
              <w:rPr>
                <w:rStyle w:val="IndexLink"/>
              </w:rPr>
              <w:t>424</w:t>
            </w:r>
          </w:hyperlink>
        </w:p>
        <w:p>
          <w:pPr>
            <w:pStyle w:val="Contents3"/>
            <w:tabs>
              <w:tab w:val="clear" w:pos="8459"/>
              <w:tab w:val="right" w:pos="9026" w:leader="dot"/>
            </w:tabs>
            <w:rPr/>
          </w:pPr>
          <w:hyperlink w:anchor="__RefHeading___Toc1841215_2322387425">
            <w:r>
              <w:rPr>
                <w:webHidden/>
                <w:rStyle w:val="IndexLink"/>
                <w:rtl w:val="true"/>
              </w:rPr>
              <w:t>حکم ما لو سمع القراءة مکرراً و شک بین الأقل و الأکثر</w:t>
            </w:r>
            <w:r>
              <w:rPr>
                <w:rStyle w:val="IndexLink"/>
                <w:rtl w:val="true"/>
              </w:rPr>
              <w:tab/>
            </w:r>
            <w:r>
              <w:rPr>
                <w:rStyle w:val="IndexLink"/>
              </w:rPr>
              <w:t>425</w:t>
            </w:r>
          </w:hyperlink>
        </w:p>
        <w:p>
          <w:pPr>
            <w:pStyle w:val="Contents3"/>
            <w:tabs>
              <w:tab w:val="clear" w:pos="8459"/>
              <w:tab w:val="right" w:pos="9026" w:leader="dot"/>
            </w:tabs>
            <w:rPr/>
          </w:pPr>
          <w:hyperlink w:anchor="__RefHeading___Toc1841217_2322387425">
            <w:r>
              <w:rPr>
                <w:webHidden/>
                <w:rStyle w:val="IndexLink"/>
                <w:rtl w:val="true"/>
              </w:rPr>
              <w:t>کفایة رفع الرأس من السجدة فی صورة وجوب التکرار</w:t>
            </w:r>
            <w:r>
              <w:rPr>
                <w:rStyle w:val="IndexLink"/>
                <w:rtl w:val="true"/>
              </w:rPr>
              <w:tab/>
            </w:r>
            <w:r>
              <w:rPr>
                <w:rStyle w:val="IndexLink"/>
              </w:rPr>
              <w:t>425</w:t>
            </w:r>
          </w:hyperlink>
        </w:p>
        <w:p>
          <w:pPr>
            <w:pStyle w:val="Contents3"/>
            <w:tabs>
              <w:tab w:val="clear" w:pos="8459"/>
              <w:tab w:val="right" w:pos="9026" w:leader="dot"/>
            </w:tabs>
            <w:rPr/>
          </w:pPr>
          <w:hyperlink w:anchor="__RefHeading___Toc1841219_2322387425">
            <w:r>
              <w:rPr>
                <w:webHidden/>
                <w:rStyle w:val="IndexLink"/>
                <w:rtl w:val="true"/>
              </w:rPr>
              <w:t>سجود الشکر، و بعض موارده</w:t>
            </w:r>
            <w:r>
              <w:rPr>
                <w:rStyle w:val="IndexLink"/>
                <w:rtl w:val="true"/>
              </w:rPr>
              <w:tab/>
            </w:r>
            <w:r>
              <w:rPr>
                <w:rStyle w:val="IndexLink"/>
              </w:rPr>
              <w:t>426</w:t>
            </w:r>
          </w:hyperlink>
        </w:p>
        <w:p>
          <w:pPr>
            <w:pStyle w:val="Contents3"/>
            <w:tabs>
              <w:tab w:val="clear" w:pos="8459"/>
              <w:tab w:val="right" w:pos="9026" w:leader="dot"/>
            </w:tabs>
            <w:rPr/>
          </w:pPr>
          <w:hyperlink w:anchor="__RefHeading___Toc1841221_2322387425">
            <w:r>
              <w:rPr>
                <w:webHidden/>
                <w:rStyle w:val="IndexLink"/>
                <w:rtl w:val="true"/>
              </w:rPr>
              <w:t>ما یکتفی به و ما یشترط و ما لا یشتر فی هذا السجود</w:t>
            </w:r>
            <w:r>
              <w:rPr>
                <w:rStyle w:val="IndexLink"/>
                <w:rtl w:val="true"/>
              </w:rPr>
              <w:tab/>
            </w:r>
            <w:r>
              <w:rPr>
                <w:rStyle w:val="IndexLink"/>
              </w:rPr>
              <w:t>426</w:t>
            </w:r>
          </w:hyperlink>
        </w:p>
        <w:p>
          <w:pPr>
            <w:pStyle w:val="Contents3"/>
            <w:tabs>
              <w:tab w:val="clear" w:pos="8459"/>
              <w:tab w:val="right" w:pos="9026" w:leader="dot"/>
            </w:tabs>
            <w:rPr/>
          </w:pPr>
          <w:hyperlink w:anchor="__RefHeading___Toc1841223_2322387425">
            <w:r>
              <w:rPr>
                <w:webHidden/>
                <w:rStyle w:val="IndexLink"/>
                <w:rtl w:val="true"/>
              </w:rPr>
              <w:t>فی ما لو وجد سبب سجود الشکر و کان له مانع من ذلک</w:t>
            </w:r>
            <w:r>
              <w:rPr>
                <w:rStyle w:val="IndexLink"/>
                <w:rtl w:val="true"/>
              </w:rPr>
              <w:tab/>
            </w:r>
            <w:r>
              <w:rPr>
                <w:rStyle w:val="IndexLink"/>
              </w:rPr>
              <w:t>428</w:t>
            </w:r>
          </w:hyperlink>
        </w:p>
        <w:p>
          <w:pPr>
            <w:pStyle w:val="Contents3"/>
            <w:tabs>
              <w:tab w:val="clear" w:pos="8459"/>
              <w:tab w:val="right" w:pos="9026" w:leader="dot"/>
            </w:tabs>
            <w:rPr/>
          </w:pPr>
          <w:hyperlink w:anchor="__RefHeading___Toc1841225_2322387425">
            <w:r>
              <w:rPr>
                <w:webHidden/>
                <w:rStyle w:val="IndexLink"/>
                <w:rtl w:val="true"/>
              </w:rPr>
              <w:t>السجود بقصد التذلل و التعظیم لله تعالی، و ما یتعلق به</w:t>
            </w:r>
            <w:r>
              <w:rPr>
                <w:rStyle w:val="IndexLink"/>
                <w:rtl w:val="true"/>
              </w:rPr>
              <w:tab/>
            </w:r>
            <w:r>
              <w:rPr>
                <w:rStyle w:val="IndexLink"/>
              </w:rPr>
              <w:t>429</w:t>
            </w:r>
          </w:hyperlink>
        </w:p>
        <w:p>
          <w:pPr>
            <w:pStyle w:val="Contents3"/>
            <w:tabs>
              <w:tab w:val="clear" w:pos="8459"/>
              <w:tab w:val="right" w:pos="9026" w:leader="dot"/>
            </w:tabs>
            <w:rPr/>
          </w:pPr>
          <w:hyperlink w:anchor="__RefHeading___Toc1841227_2322387425">
            <w:r>
              <w:rPr>
                <w:webHidden/>
                <w:rStyle w:val="IndexLink"/>
                <w:rtl w:val="true"/>
              </w:rPr>
              <w:t>حکم السجود لغیر الله تعالی</w:t>
            </w:r>
            <w:r>
              <w:rPr>
                <w:rStyle w:val="IndexLink"/>
                <w:rtl w:val="true"/>
              </w:rPr>
              <w:tab/>
            </w:r>
            <w:r>
              <w:rPr>
                <w:rStyle w:val="IndexLink"/>
              </w:rPr>
              <w:t>430</w:t>
            </w:r>
          </w:hyperlink>
        </w:p>
        <w:p>
          <w:pPr>
            <w:pStyle w:val="Contents2"/>
            <w:tabs>
              <w:tab w:val="clear" w:pos="8743"/>
              <w:tab w:val="right" w:pos="9026" w:leader="dot"/>
            </w:tabs>
            <w:rPr/>
          </w:pPr>
          <w:hyperlink w:anchor="__RefHeading___Toc1841229_2322387425">
            <w:r>
              <w:rPr>
                <w:webHidden/>
                <w:rStyle w:val="IndexLink"/>
                <w:rtl w:val="true"/>
              </w:rPr>
              <w:t>فصل فی التشهّد</w:t>
            </w:r>
            <w:r>
              <w:rPr>
                <w:rStyle w:val="IndexLink"/>
                <w:rtl w:val="true"/>
              </w:rPr>
              <w:tab/>
            </w:r>
            <w:r>
              <w:rPr>
                <w:rStyle w:val="IndexLink"/>
              </w:rPr>
              <w:t>432</w:t>
            </w:r>
          </w:hyperlink>
        </w:p>
        <w:p>
          <w:pPr>
            <w:pStyle w:val="Contents3"/>
            <w:tabs>
              <w:tab w:val="clear" w:pos="8459"/>
              <w:tab w:val="right" w:pos="9026" w:leader="dot"/>
            </w:tabs>
            <w:rPr/>
          </w:pPr>
          <w:hyperlink w:anchor="__RefHeading___Toc1841231_2322387425">
            <w:r>
              <w:rPr>
                <w:webHidden/>
                <w:rStyle w:val="IndexLink"/>
                <w:rtl w:val="true"/>
              </w:rPr>
              <w:t>حکم التشهد فی کل صلاة</w:t>
            </w:r>
            <w:r>
              <w:rPr>
                <w:rStyle w:val="IndexLink"/>
                <w:rtl w:val="true"/>
              </w:rPr>
              <w:tab/>
            </w:r>
            <w:r>
              <w:rPr>
                <w:rStyle w:val="IndexLink"/>
              </w:rPr>
              <w:t>432</w:t>
            </w:r>
          </w:hyperlink>
        </w:p>
        <w:p>
          <w:pPr>
            <w:pStyle w:val="Contents3"/>
            <w:tabs>
              <w:tab w:val="clear" w:pos="8459"/>
              <w:tab w:val="right" w:pos="9026" w:leader="dot"/>
            </w:tabs>
            <w:rPr/>
          </w:pPr>
          <w:hyperlink w:anchor="__RefHeading___Toc1841233_2322387425">
            <w:r>
              <w:rPr>
                <w:webHidden/>
                <w:rStyle w:val="IndexLink"/>
                <w:rtl w:val="true"/>
              </w:rPr>
              <w:t>حکم ترکه</w:t>
            </w:r>
            <w:r>
              <w:rPr>
                <w:rStyle w:val="IndexLink"/>
                <w:rtl w:val="true"/>
              </w:rPr>
              <w:tab/>
            </w:r>
            <w:r>
              <w:rPr>
                <w:rStyle w:val="IndexLink"/>
              </w:rPr>
              <w:t>432</w:t>
            </w:r>
          </w:hyperlink>
        </w:p>
        <w:p>
          <w:pPr>
            <w:pStyle w:val="Contents3"/>
            <w:tabs>
              <w:tab w:val="clear" w:pos="8459"/>
              <w:tab w:val="right" w:pos="9026" w:leader="dot"/>
            </w:tabs>
            <w:rPr/>
          </w:pPr>
          <w:hyperlink w:anchor="__RefHeading___Toc1841235_2322387425">
            <w:r>
              <w:rPr>
                <w:webHidden/>
                <w:rStyle w:val="IndexLink"/>
                <w:rtl w:val="true"/>
              </w:rPr>
              <w:t>واجبات التشهد، سبعة</w:t>
            </w:r>
            <w:r>
              <w:rPr>
                <w:rStyle w:val="IndexLink"/>
                <w:rtl w:val="true"/>
              </w:rPr>
              <w:tab/>
            </w:r>
            <w:r>
              <w:rPr>
                <w:rStyle w:val="IndexLink"/>
              </w:rPr>
              <w:t>432</w:t>
            </w:r>
          </w:hyperlink>
        </w:p>
        <w:p>
          <w:pPr>
            <w:pStyle w:val="Contents3"/>
            <w:tabs>
              <w:tab w:val="clear" w:pos="8459"/>
              <w:tab w:val="right" w:pos="9026" w:leader="dot"/>
            </w:tabs>
            <w:rPr/>
          </w:pPr>
          <w:hyperlink w:anchor="__RefHeading___Toc1841237_2322387425">
            <w:r>
              <w:rPr>
                <w:webHidden/>
                <w:rStyle w:val="IndexLink"/>
                <w:rtl w:val="true"/>
              </w:rPr>
              <w:t>الأول</w:t>
            </w:r>
            <w:r>
              <w:rPr>
                <w:rStyle w:val="IndexLink"/>
                <w:rtl w:val="true"/>
              </w:rPr>
              <w:t xml:space="preserve">: </w:t>
            </w:r>
            <w:r>
              <w:rPr>
                <w:rStyle w:val="IndexLink"/>
                <w:rtl w:val="true"/>
              </w:rPr>
              <w:t>الشهادتان</w:t>
            </w:r>
            <w:r>
              <w:rPr>
                <w:rStyle w:val="IndexLink"/>
                <w:rtl w:val="true"/>
              </w:rPr>
              <w:tab/>
            </w:r>
            <w:r>
              <w:rPr>
                <w:rStyle w:val="IndexLink"/>
              </w:rPr>
              <w:t>432</w:t>
            </w:r>
          </w:hyperlink>
        </w:p>
        <w:p>
          <w:pPr>
            <w:pStyle w:val="Contents3"/>
            <w:tabs>
              <w:tab w:val="clear" w:pos="8459"/>
              <w:tab w:val="right" w:pos="9026" w:leader="dot"/>
            </w:tabs>
            <w:rPr/>
          </w:pPr>
          <w:hyperlink w:anchor="__RefHeading___Toc1841239_2322387425">
            <w:r>
              <w:rPr>
                <w:webHidden/>
                <w:rStyle w:val="IndexLink"/>
                <w:rtl w:val="true"/>
              </w:rPr>
              <w:t>الثانی</w:t>
            </w:r>
            <w:r>
              <w:rPr>
                <w:rStyle w:val="IndexLink"/>
                <w:rtl w:val="true"/>
              </w:rPr>
              <w:t xml:space="preserve">: </w:t>
            </w:r>
            <w:r>
              <w:rPr>
                <w:rStyle w:val="IndexLink"/>
                <w:rtl w:val="true"/>
              </w:rPr>
              <w:t>اصلاة علی النبی و آله</w:t>
            </w:r>
            <w:r>
              <w:rPr>
                <w:rStyle w:val="IndexLink"/>
                <w:rtl w:val="true"/>
              </w:rPr>
              <w:tab/>
            </w:r>
            <w:r>
              <w:rPr>
                <w:rStyle w:val="IndexLink"/>
              </w:rPr>
              <w:t>432</w:t>
            </w:r>
          </w:hyperlink>
        </w:p>
        <w:p>
          <w:pPr>
            <w:pStyle w:val="Contents3"/>
            <w:tabs>
              <w:tab w:val="clear" w:pos="8459"/>
              <w:tab w:val="right" w:pos="9026" w:leader="dot"/>
            </w:tabs>
            <w:rPr/>
          </w:pPr>
          <w:hyperlink w:anchor="__RefHeading___Toc1841241_2322387425">
            <w:r>
              <w:rPr>
                <w:webHidden/>
                <w:rStyle w:val="IndexLink"/>
                <w:rtl w:val="true"/>
              </w:rPr>
              <w:t>الثالث</w:t>
            </w:r>
            <w:r>
              <w:rPr>
                <w:rStyle w:val="IndexLink"/>
                <w:rtl w:val="true"/>
              </w:rPr>
              <w:t xml:space="preserve">: </w:t>
            </w:r>
            <w:r>
              <w:rPr>
                <w:rStyle w:val="IndexLink"/>
                <w:rtl w:val="true"/>
              </w:rPr>
              <w:t>الجلوس بمقدار الذکر الوارد</w:t>
            </w:r>
            <w:r>
              <w:rPr>
                <w:rStyle w:val="IndexLink"/>
                <w:rtl w:val="true"/>
              </w:rPr>
              <w:tab/>
            </w:r>
            <w:r>
              <w:rPr>
                <w:rStyle w:val="IndexLink"/>
              </w:rPr>
              <w:t>435</w:t>
            </w:r>
          </w:hyperlink>
        </w:p>
        <w:p>
          <w:pPr>
            <w:pStyle w:val="Contents3"/>
            <w:tabs>
              <w:tab w:val="clear" w:pos="8459"/>
              <w:tab w:val="right" w:pos="9026" w:leader="dot"/>
            </w:tabs>
            <w:rPr/>
          </w:pPr>
          <w:hyperlink w:anchor="__RefHeading___Toc1841243_2322387425">
            <w:r>
              <w:rPr>
                <w:webHidden/>
                <w:rStyle w:val="IndexLink"/>
                <w:rtl w:val="true"/>
              </w:rPr>
              <w:t>الرابع</w:t>
            </w:r>
            <w:r>
              <w:rPr>
                <w:rStyle w:val="IndexLink"/>
                <w:rtl w:val="true"/>
              </w:rPr>
              <w:t xml:space="preserve">: </w:t>
            </w:r>
            <w:r>
              <w:rPr>
                <w:rStyle w:val="IndexLink"/>
                <w:rtl w:val="true"/>
              </w:rPr>
              <w:t>الطمأنینة فیه</w:t>
            </w:r>
            <w:r>
              <w:rPr>
                <w:rStyle w:val="IndexLink"/>
                <w:rtl w:val="true"/>
              </w:rPr>
              <w:tab/>
            </w:r>
            <w:r>
              <w:rPr>
                <w:rStyle w:val="IndexLink"/>
              </w:rPr>
              <w:t>435</w:t>
            </w:r>
          </w:hyperlink>
        </w:p>
        <w:p>
          <w:pPr>
            <w:pStyle w:val="Contents3"/>
            <w:tabs>
              <w:tab w:val="clear" w:pos="8459"/>
              <w:tab w:val="right" w:pos="9026" w:leader="dot"/>
            </w:tabs>
            <w:rPr/>
          </w:pPr>
          <w:hyperlink w:anchor="__RefHeading___Toc1841245_2322387425">
            <w:r>
              <w:rPr>
                <w:webHidden/>
                <w:rStyle w:val="IndexLink"/>
                <w:rtl w:val="true"/>
              </w:rPr>
              <w:t>الخامس</w:t>
            </w:r>
            <w:r>
              <w:rPr>
                <w:rStyle w:val="IndexLink"/>
                <w:rtl w:val="true"/>
              </w:rPr>
              <w:t xml:space="preserve">: </w:t>
            </w:r>
            <w:r>
              <w:rPr>
                <w:rStyle w:val="IndexLink"/>
                <w:rtl w:val="true"/>
              </w:rPr>
              <w:t>الترتیب فیه</w:t>
            </w:r>
            <w:r>
              <w:rPr>
                <w:rStyle w:val="IndexLink"/>
                <w:rtl w:val="true"/>
              </w:rPr>
              <w:tab/>
            </w:r>
            <w:r>
              <w:rPr>
                <w:rStyle w:val="IndexLink"/>
              </w:rPr>
              <w:t>436</w:t>
            </w:r>
          </w:hyperlink>
        </w:p>
        <w:p>
          <w:pPr>
            <w:pStyle w:val="Contents3"/>
            <w:tabs>
              <w:tab w:val="clear" w:pos="8459"/>
              <w:tab w:val="right" w:pos="9026" w:leader="dot"/>
            </w:tabs>
            <w:rPr/>
          </w:pPr>
          <w:hyperlink w:anchor="__RefHeading___Toc1841247_2322387425">
            <w:r>
              <w:rPr>
                <w:webHidden/>
                <w:rStyle w:val="IndexLink"/>
                <w:rtl w:val="true"/>
              </w:rPr>
              <w:t>السادس</w:t>
            </w:r>
            <w:r>
              <w:rPr>
                <w:rStyle w:val="IndexLink"/>
                <w:rtl w:val="true"/>
              </w:rPr>
              <w:t xml:space="preserve">: </w:t>
            </w:r>
            <w:r>
              <w:rPr>
                <w:rStyle w:val="IndexLink"/>
                <w:rtl w:val="true"/>
              </w:rPr>
              <w:t>الموالاة</w:t>
            </w:r>
            <w:r>
              <w:rPr>
                <w:rStyle w:val="IndexLink"/>
                <w:rtl w:val="true"/>
              </w:rPr>
              <w:tab/>
            </w:r>
            <w:r>
              <w:rPr>
                <w:rStyle w:val="IndexLink"/>
              </w:rPr>
              <w:t>436</w:t>
            </w:r>
          </w:hyperlink>
        </w:p>
        <w:p>
          <w:pPr>
            <w:pStyle w:val="Contents3"/>
            <w:tabs>
              <w:tab w:val="clear" w:pos="8459"/>
              <w:tab w:val="right" w:pos="9026" w:leader="dot"/>
            </w:tabs>
            <w:rPr/>
          </w:pPr>
          <w:hyperlink w:anchor="__RefHeading___Toc1841249_2322387425">
            <w:r>
              <w:rPr>
                <w:webHidden/>
                <w:rStyle w:val="IndexLink"/>
                <w:rtl w:val="true"/>
              </w:rPr>
              <w:t>السابع</w:t>
            </w:r>
            <w:r>
              <w:rPr>
                <w:rStyle w:val="IndexLink"/>
                <w:rtl w:val="true"/>
              </w:rPr>
              <w:t xml:space="preserve">: </w:t>
            </w:r>
            <w:r>
              <w:rPr>
                <w:rStyle w:val="IndexLink"/>
                <w:rtl w:val="true"/>
              </w:rPr>
              <w:t>تأدیته بالوجه الصحیح</w:t>
            </w:r>
            <w:r>
              <w:rPr>
                <w:rStyle w:val="IndexLink"/>
                <w:rtl w:val="true"/>
              </w:rPr>
              <w:tab/>
            </w:r>
            <w:r>
              <w:rPr>
                <w:rStyle w:val="IndexLink"/>
              </w:rPr>
              <w:t>436</w:t>
            </w:r>
          </w:hyperlink>
        </w:p>
        <w:p>
          <w:pPr>
            <w:pStyle w:val="Contents3"/>
            <w:tabs>
              <w:tab w:val="clear" w:pos="8459"/>
              <w:tab w:val="right" w:pos="9026" w:leader="dot"/>
            </w:tabs>
            <w:rPr/>
          </w:pPr>
          <w:hyperlink w:anchor="__RefHeading___Toc1841251_2322387425">
            <w:r>
              <w:rPr>
                <w:webHidden/>
                <w:rStyle w:val="IndexLink"/>
                <w:rtl w:val="true"/>
              </w:rPr>
              <w:t>ذکر الشهادتین و الصلاة بألفاظها المتعارفة</w:t>
            </w:r>
            <w:r>
              <w:rPr>
                <w:rStyle w:val="IndexLink"/>
                <w:rtl w:val="true"/>
              </w:rPr>
              <w:tab/>
            </w:r>
            <w:r>
              <w:rPr>
                <w:rStyle w:val="IndexLink"/>
              </w:rPr>
              <w:t>436</w:t>
            </w:r>
          </w:hyperlink>
        </w:p>
        <w:p>
          <w:pPr>
            <w:pStyle w:val="Contents3"/>
            <w:tabs>
              <w:tab w:val="clear" w:pos="8459"/>
              <w:tab w:val="right" w:pos="9026" w:leader="dot"/>
            </w:tabs>
            <w:rPr/>
          </w:pPr>
          <w:hyperlink w:anchor="__RefHeading___Toc1841253_2322387425">
            <w:r>
              <w:rPr>
                <w:webHidden/>
                <w:rStyle w:val="IndexLink"/>
                <w:rtl w:val="true"/>
              </w:rPr>
              <w:t>کیفیة الجلوس فی التشهد</w:t>
            </w:r>
            <w:r>
              <w:rPr>
                <w:rStyle w:val="IndexLink"/>
                <w:rtl w:val="true"/>
              </w:rPr>
              <w:tab/>
            </w:r>
            <w:r>
              <w:rPr>
                <w:rStyle w:val="IndexLink"/>
              </w:rPr>
              <w:t>436</w:t>
            </w:r>
          </w:hyperlink>
        </w:p>
        <w:p>
          <w:pPr>
            <w:pStyle w:val="Contents3"/>
            <w:tabs>
              <w:tab w:val="clear" w:pos="8459"/>
              <w:tab w:val="right" w:pos="9026" w:leader="dot"/>
            </w:tabs>
            <w:rPr/>
          </w:pPr>
          <w:hyperlink w:anchor="__RefHeading___Toc1841255_2322387425">
            <w:r>
              <w:rPr>
                <w:webHidden/>
                <w:rStyle w:val="IndexLink"/>
                <w:rtl w:val="true"/>
              </w:rPr>
              <w:t>حکم تعلم الذکر</w:t>
            </w:r>
            <w:r>
              <w:rPr>
                <w:rStyle w:val="IndexLink"/>
                <w:rtl w:val="true"/>
              </w:rPr>
              <w:tab/>
            </w:r>
            <w:r>
              <w:rPr>
                <w:rStyle w:val="IndexLink"/>
              </w:rPr>
              <w:t>437</w:t>
            </w:r>
          </w:hyperlink>
        </w:p>
        <w:p>
          <w:pPr>
            <w:pStyle w:val="Contents3"/>
            <w:tabs>
              <w:tab w:val="clear" w:pos="8459"/>
              <w:tab w:val="right" w:pos="9026" w:leader="dot"/>
            </w:tabs>
            <w:rPr/>
          </w:pPr>
          <w:hyperlink w:anchor="__RefHeading___Toc1841257_2322387425">
            <w:r>
              <w:rPr>
                <w:webHidden/>
                <w:rStyle w:val="IndexLink"/>
                <w:rtl w:val="true"/>
              </w:rPr>
              <w:t>یستحب فی التشهد امور عشرة</w:t>
            </w:r>
            <w:r>
              <w:rPr>
                <w:rStyle w:val="IndexLink"/>
                <w:rtl w:val="true"/>
              </w:rPr>
              <w:tab/>
            </w:r>
            <w:r>
              <w:rPr>
                <w:rStyle w:val="IndexLink"/>
              </w:rPr>
              <w:t>439</w:t>
            </w:r>
          </w:hyperlink>
        </w:p>
        <w:p>
          <w:pPr>
            <w:pStyle w:val="Contents3"/>
            <w:tabs>
              <w:tab w:val="clear" w:pos="8459"/>
              <w:tab w:val="right" w:pos="9026" w:leader="dot"/>
            </w:tabs>
            <w:rPr/>
          </w:pPr>
          <w:hyperlink w:anchor="__RefHeading___Toc1841259_2322387425">
            <w:r>
              <w:rPr>
                <w:webHidden/>
                <w:rStyle w:val="IndexLink"/>
                <w:rtl w:val="true"/>
              </w:rPr>
              <w:t>الأول</w:t>
            </w:r>
            <w:r>
              <w:rPr>
                <w:rStyle w:val="IndexLink"/>
                <w:rtl w:val="true"/>
              </w:rPr>
              <w:t xml:space="preserve">: </w:t>
            </w:r>
            <w:r>
              <w:rPr>
                <w:rStyle w:val="IndexLink"/>
                <w:rtl w:val="true"/>
              </w:rPr>
              <w:t>الجلوس متورکاً</w:t>
            </w:r>
            <w:r>
              <w:rPr>
                <w:rStyle w:val="IndexLink"/>
                <w:rtl w:val="true"/>
              </w:rPr>
              <w:tab/>
            </w:r>
            <w:r>
              <w:rPr>
                <w:rStyle w:val="IndexLink"/>
              </w:rPr>
              <w:t>439</w:t>
            </w:r>
          </w:hyperlink>
        </w:p>
        <w:p>
          <w:pPr>
            <w:pStyle w:val="Contents3"/>
            <w:tabs>
              <w:tab w:val="clear" w:pos="8459"/>
              <w:tab w:val="right" w:pos="9026" w:leader="dot"/>
            </w:tabs>
            <w:rPr/>
          </w:pPr>
          <w:hyperlink w:anchor="__RefHeading___Toc1841261_2322387425">
            <w:r>
              <w:rPr>
                <w:webHidden/>
                <w:rStyle w:val="IndexLink"/>
                <w:rtl w:val="true"/>
              </w:rPr>
              <w:t>الثانی</w:t>
            </w:r>
            <w:r>
              <w:rPr>
                <w:rStyle w:val="IndexLink"/>
                <w:rtl w:val="true"/>
              </w:rPr>
              <w:t xml:space="preserve">: </w:t>
            </w:r>
            <w:r>
              <w:rPr>
                <w:rStyle w:val="IndexLink"/>
                <w:rtl w:val="true"/>
              </w:rPr>
              <w:t>القول قبل الشروع بالذکر</w:t>
            </w:r>
            <w:r>
              <w:rPr>
                <w:rStyle w:val="IndexLink"/>
                <w:rtl w:val="true"/>
              </w:rPr>
              <w:t>: «</w:t>
            </w:r>
            <w:r>
              <w:rPr>
                <w:rStyle w:val="IndexLink"/>
                <w:rtl w:val="true"/>
              </w:rPr>
              <w:t>الحمدالله</w:t>
            </w:r>
            <w:r>
              <w:rPr>
                <w:rStyle w:val="IndexLink"/>
                <w:rtl w:val="true"/>
              </w:rPr>
              <w:t>»</w:t>
            </w:r>
            <w:r>
              <w:rPr>
                <w:rStyle w:val="IndexLink"/>
                <w:rtl w:val="true"/>
              </w:rPr>
              <w:t>، أو غیر ذلک</w:t>
            </w:r>
            <w:r>
              <w:rPr>
                <w:rStyle w:val="IndexLink"/>
                <w:rtl w:val="true"/>
              </w:rPr>
              <w:tab/>
            </w:r>
            <w:r>
              <w:rPr>
                <w:rStyle w:val="IndexLink"/>
              </w:rPr>
              <w:t>439</w:t>
            </w:r>
          </w:hyperlink>
        </w:p>
        <w:p>
          <w:pPr>
            <w:pStyle w:val="Contents3"/>
            <w:tabs>
              <w:tab w:val="clear" w:pos="8459"/>
              <w:tab w:val="right" w:pos="9026" w:leader="dot"/>
            </w:tabs>
            <w:rPr/>
          </w:pPr>
          <w:hyperlink w:anchor="__RefHeading___Toc1841263_2322387425">
            <w:r>
              <w:rPr>
                <w:webHidden/>
                <w:rStyle w:val="IndexLink"/>
                <w:rtl w:val="true"/>
              </w:rPr>
              <w:t>الثالث</w:t>
            </w:r>
            <w:r>
              <w:rPr>
                <w:rStyle w:val="IndexLink"/>
                <w:rtl w:val="true"/>
              </w:rPr>
              <w:t xml:space="preserve">: </w:t>
            </w:r>
            <w:r>
              <w:rPr>
                <w:rStyle w:val="IndexLink"/>
                <w:rtl w:val="true"/>
              </w:rPr>
              <w:t>جعل الیدین علی الفخذین</w:t>
            </w:r>
            <w:r>
              <w:rPr>
                <w:rStyle w:val="IndexLink"/>
                <w:rtl w:val="true"/>
              </w:rPr>
              <w:tab/>
            </w:r>
            <w:r>
              <w:rPr>
                <w:rStyle w:val="IndexLink"/>
              </w:rPr>
              <w:t>439</w:t>
            </w:r>
          </w:hyperlink>
        </w:p>
        <w:p>
          <w:pPr>
            <w:pStyle w:val="Contents3"/>
            <w:tabs>
              <w:tab w:val="clear" w:pos="8459"/>
              <w:tab w:val="right" w:pos="9026" w:leader="dot"/>
            </w:tabs>
            <w:rPr/>
          </w:pPr>
          <w:hyperlink w:anchor="__RefHeading___Toc1841265_2322387425">
            <w:r>
              <w:rPr>
                <w:webHidden/>
                <w:rStyle w:val="IndexLink"/>
                <w:rtl w:val="true"/>
              </w:rPr>
              <w:t>الرابع</w:t>
            </w:r>
            <w:r>
              <w:rPr>
                <w:rStyle w:val="IndexLink"/>
                <w:rtl w:val="true"/>
              </w:rPr>
              <w:t xml:space="preserve">: </w:t>
            </w:r>
            <w:r>
              <w:rPr>
                <w:rStyle w:val="IndexLink"/>
                <w:rtl w:val="true"/>
              </w:rPr>
              <w:t>أن یکون نظره إلی حجره</w:t>
            </w:r>
            <w:r>
              <w:rPr>
                <w:rStyle w:val="IndexLink"/>
                <w:rtl w:val="true"/>
              </w:rPr>
              <w:tab/>
            </w:r>
            <w:r>
              <w:rPr>
                <w:rStyle w:val="IndexLink"/>
              </w:rPr>
              <w:t>439</w:t>
            </w:r>
          </w:hyperlink>
        </w:p>
        <w:p>
          <w:pPr>
            <w:pStyle w:val="Contents3"/>
            <w:tabs>
              <w:tab w:val="clear" w:pos="8459"/>
              <w:tab w:val="right" w:pos="9026" w:leader="dot"/>
            </w:tabs>
            <w:rPr/>
          </w:pPr>
          <w:hyperlink w:anchor="__RefHeading___Toc1841267_2322387425">
            <w:r>
              <w:rPr>
                <w:webHidden/>
                <w:rStyle w:val="IndexLink"/>
                <w:rtl w:val="true"/>
              </w:rPr>
              <w:t>الخامس</w:t>
            </w:r>
            <w:r>
              <w:rPr>
                <w:rStyle w:val="IndexLink"/>
                <w:rtl w:val="true"/>
              </w:rPr>
              <w:t xml:space="preserve">: </w:t>
            </w:r>
            <w:r>
              <w:rPr>
                <w:rStyle w:val="IndexLink"/>
                <w:rtl w:val="true"/>
              </w:rPr>
              <w:t>القول بعد الشهادة الثانیة</w:t>
            </w:r>
            <w:r>
              <w:rPr>
                <w:rStyle w:val="IndexLink"/>
                <w:rtl w:val="true"/>
              </w:rPr>
              <w:t>: «</w:t>
            </w:r>
            <w:r>
              <w:rPr>
                <w:rStyle w:val="IndexLink"/>
                <w:rtl w:val="true"/>
              </w:rPr>
              <w:t xml:space="preserve">أرسله بالحق بشیراً و </w:t>
            </w:r>
            <w:r>
              <w:rPr>
                <w:rStyle w:val="IndexLink"/>
                <w:rtl w:val="true"/>
              </w:rPr>
              <w:t>...»</w:t>
              <w:tab/>
            </w:r>
            <w:r>
              <w:rPr>
                <w:rStyle w:val="IndexLink"/>
              </w:rPr>
              <w:t>439</w:t>
            </w:r>
          </w:hyperlink>
        </w:p>
        <w:p>
          <w:pPr>
            <w:pStyle w:val="Contents3"/>
            <w:tabs>
              <w:tab w:val="clear" w:pos="8459"/>
              <w:tab w:val="right" w:pos="9026" w:leader="dot"/>
            </w:tabs>
            <w:rPr/>
          </w:pPr>
          <w:hyperlink w:anchor="__RefHeading___Toc1841269_2322387425">
            <w:r>
              <w:rPr>
                <w:webHidden/>
                <w:rStyle w:val="IndexLink"/>
                <w:rtl w:val="true"/>
              </w:rPr>
              <w:t>السادس</w:t>
            </w:r>
            <w:r>
              <w:rPr>
                <w:rStyle w:val="IndexLink"/>
                <w:rtl w:val="true"/>
              </w:rPr>
              <w:t xml:space="preserve">: </w:t>
            </w:r>
            <w:r>
              <w:rPr>
                <w:rStyle w:val="IndexLink"/>
                <w:rtl w:val="true"/>
              </w:rPr>
              <w:t>القول بعد الصلاة علی النبی</w:t>
            </w:r>
            <w:r>
              <w:rPr>
                <w:rStyle w:val="IndexLink"/>
                <w:rtl w:val="true"/>
              </w:rPr>
              <w:t>: «</w:t>
            </w:r>
            <w:r>
              <w:rPr>
                <w:rStyle w:val="IndexLink"/>
                <w:rtl w:val="true"/>
              </w:rPr>
              <w:t>و تقبل شفاعته، وارفع درجته</w:t>
            </w:r>
            <w:r>
              <w:rPr>
                <w:rStyle w:val="IndexLink"/>
                <w:rtl w:val="true"/>
              </w:rPr>
              <w:t>»</w:t>
              <w:tab/>
            </w:r>
            <w:r>
              <w:rPr>
                <w:rStyle w:val="IndexLink"/>
              </w:rPr>
              <w:t>439</w:t>
            </w:r>
          </w:hyperlink>
        </w:p>
        <w:p>
          <w:pPr>
            <w:pStyle w:val="Contents3"/>
            <w:tabs>
              <w:tab w:val="clear" w:pos="8459"/>
              <w:tab w:val="right" w:pos="9026" w:leader="dot"/>
            </w:tabs>
            <w:rPr/>
          </w:pPr>
          <w:hyperlink w:anchor="__RefHeading___Toc1841271_2322387425">
            <w:r>
              <w:rPr>
                <w:webHidden/>
                <w:rStyle w:val="IndexLink"/>
                <w:rtl w:val="true"/>
              </w:rPr>
              <w:t>السابع</w:t>
            </w:r>
            <w:r>
              <w:rPr>
                <w:rStyle w:val="IndexLink"/>
                <w:rtl w:val="true"/>
              </w:rPr>
              <w:t xml:space="preserve">: </w:t>
            </w:r>
            <w:r>
              <w:rPr>
                <w:rStyle w:val="IndexLink"/>
                <w:rtl w:val="true"/>
              </w:rPr>
              <w:t>القول فی التشهد الأول و الثانی بما جاء فی موثقة أبی بصیر</w:t>
            </w:r>
            <w:r>
              <w:rPr>
                <w:rStyle w:val="IndexLink"/>
                <w:rtl w:val="true"/>
              </w:rPr>
              <w:tab/>
            </w:r>
            <w:r>
              <w:rPr>
                <w:rStyle w:val="IndexLink"/>
              </w:rPr>
              <w:t>440</w:t>
            </w:r>
          </w:hyperlink>
        </w:p>
        <w:p>
          <w:pPr>
            <w:pStyle w:val="Contents3"/>
            <w:tabs>
              <w:tab w:val="clear" w:pos="8459"/>
              <w:tab w:val="right" w:pos="9026" w:leader="dot"/>
            </w:tabs>
            <w:rPr/>
          </w:pPr>
          <w:hyperlink w:anchor="__RefHeading___Toc1841273_2322387425">
            <w:r>
              <w:rPr>
                <w:webHidden/>
                <w:rStyle w:val="IndexLink"/>
                <w:rtl w:val="true"/>
              </w:rPr>
              <w:t>الثامن</w:t>
            </w:r>
            <w:r>
              <w:rPr>
                <w:rStyle w:val="IndexLink"/>
                <w:rtl w:val="true"/>
              </w:rPr>
              <w:t xml:space="preserve">: </w:t>
            </w:r>
            <w:r>
              <w:rPr>
                <w:rStyle w:val="IndexLink"/>
                <w:rtl w:val="true"/>
              </w:rPr>
              <w:t>التسبیح سبعاً بعد التشهد الأول</w:t>
            </w:r>
            <w:r>
              <w:rPr>
                <w:rStyle w:val="IndexLink"/>
                <w:rtl w:val="true"/>
              </w:rPr>
              <w:tab/>
            </w:r>
            <w:r>
              <w:rPr>
                <w:rStyle w:val="IndexLink"/>
              </w:rPr>
              <w:t>441</w:t>
            </w:r>
          </w:hyperlink>
        </w:p>
        <w:p>
          <w:pPr>
            <w:pStyle w:val="Contents3"/>
            <w:tabs>
              <w:tab w:val="clear" w:pos="8459"/>
              <w:tab w:val="right" w:pos="9026" w:leader="dot"/>
            </w:tabs>
            <w:rPr/>
          </w:pPr>
          <w:hyperlink w:anchor="__RefHeading___Toc1841275_2322387425">
            <w:r>
              <w:rPr>
                <w:webHidden/>
                <w:rStyle w:val="IndexLink"/>
                <w:rtl w:val="true"/>
              </w:rPr>
              <w:t>التاسع</w:t>
            </w:r>
            <w:r>
              <w:rPr>
                <w:rStyle w:val="IndexLink"/>
                <w:rtl w:val="true"/>
              </w:rPr>
              <w:t xml:space="preserve">: </w:t>
            </w:r>
            <w:r>
              <w:rPr>
                <w:rStyle w:val="IndexLink"/>
                <w:rtl w:val="true"/>
              </w:rPr>
              <w:t xml:space="preserve">قول </w:t>
            </w:r>
            <w:r>
              <w:rPr>
                <w:rStyle w:val="IndexLink"/>
                <w:rtl w:val="true"/>
              </w:rPr>
              <w:t>«</w:t>
            </w:r>
            <w:r>
              <w:rPr>
                <w:rStyle w:val="IndexLink"/>
                <w:rtl w:val="true"/>
              </w:rPr>
              <w:t>بحول الله و قوته</w:t>
            </w:r>
            <w:r>
              <w:rPr>
                <w:rStyle w:val="IndexLink"/>
                <w:rtl w:val="true"/>
              </w:rPr>
              <w:t xml:space="preserve">...» </w:t>
            </w:r>
            <w:r>
              <w:rPr>
                <w:rStyle w:val="IndexLink"/>
                <w:rtl w:val="true"/>
              </w:rPr>
              <w:t>حین القیام عن التشهد الأول</w:t>
            </w:r>
            <w:r>
              <w:rPr>
                <w:rStyle w:val="IndexLink"/>
                <w:rtl w:val="true"/>
              </w:rPr>
              <w:tab/>
            </w:r>
            <w:r>
              <w:rPr>
                <w:rStyle w:val="IndexLink"/>
              </w:rPr>
              <w:t>442</w:t>
            </w:r>
          </w:hyperlink>
        </w:p>
        <w:p>
          <w:pPr>
            <w:pStyle w:val="Contents3"/>
            <w:tabs>
              <w:tab w:val="clear" w:pos="8459"/>
              <w:tab w:val="right" w:pos="9026" w:leader="dot"/>
            </w:tabs>
            <w:rPr/>
          </w:pPr>
          <w:hyperlink w:anchor="__RefHeading___Toc1841277_2322387425">
            <w:r>
              <w:rPr>
                <w:webHidden/>
                <w:rStyle w:val="IndexLink"/>
                <w:rtl w:val="true"/>
              </w:rPr>
              <w:t>کراهة الإقعاء حال التشهد</w:t>
            </w:r>
            <w:r>
              <w:rPr>
                <w:rStyle w:val="IndexLink"/>
                <w:rtl w:val="true"/>
              </w:rPr>
              <w:tab/>
            </w:r>
            <w:r>
              <w:rPr>
                <w:rStyle w:val="IndexLink"/>
              </w:rPr>
              <w:t>442</w:t>
            </w:r>
          </w:hyperlink>
        </w:p>
        <w:p>
          <w:pPr>
            <w:pStyle w:val="Contents2"/>
            <w:tabs>
              <w:tab w:val="clear" w:pos="8743"/>
              <w:tab w:val="right" w:pos="9026" w:leader="dot"/>
            </w:tabs>
            <w:rPr/>
          </w:pPr>
          <w:hyperlink w:anchor="__RefHeading___Toc1841279_2322387425">
            <w:r>
              <w:rPr>
                <w:webHidden/>
                <w:rStyle w:val="IndexLink"/>
                <w:rtl w:val="true"/>
              </w:rPr>
              <w:t>فصل فی التسلیم</w:t>
            </w:r>
            <w:r>
              <w:rPr>
                <w:rStyle w:val="IndexLink"/>
                <w:rtl w:val="true"/>
              </w:rPr>
              <w:tab/>
            </w:r>
            <w:r>
              <w:rPr>
                <w:rStyle w:val="IndexLink"/>
              </w:rPr>
              <w:t>443</w:t>
            </w:r>
          </w:hyperlink>
        </w:p>
        <w:p>
          <w:pPr>
            <w:pStyle w:val="Contents3"/>
            <w:tabs>
              <w:tab w:val="clear" w:pos="8459"/>
              <w:tab w:val="right" w:pos="9026" w:leader="dot"/>
            </w:tabs>
            <w:rPr/>
          </w:pPr>
          <w:hyperlink w:anchor="__RefHeading___Toc1841281_2322387425">
            <w:r>
              <w:rPr>
                <w:webHidden/>
                <w:rStyle w:val="IndexLink"/>
                <w:rtl w:val="true"/>
              </w:rPr>
              <w:t>حکم التسلیم و حزئیته للصلاة و جمیع ما یعتبر فیها</w:t>
            </w:r>
            <w:r>
              <w:rPr>
                <w:rStyle w:val="IndexLink"/>
                <w:rtl w:val="true"/>
              </w:rPr>
              <w:tab/>
            </w:r>
            <w:r>
              <w:rPr>
                <w:rStyle w:val="IndexLink"/>
              </w:rPr>
              <w:t>443</w:t>
            </w:r>
          </w:hyperlink>
        </w:p>
        <w:p>
          <w:pPr>
            <w:pStyle w:val="Contents3"/>
            <w:tabs>
              <w:tab w:val="clear" w:pos="8459"/>
              <w:tab w:val="right" w:pos="9026" w:leader="dot"/>
            </w:tabs>
            <w:rPr/>
          </w:pPr>
          <w:hyperlink w:anchor="__RefHeading___Toc1841283_2322387425">
            <w:r>
              <w:rPr>
                <w:webHidden/>
                <w:rStyle w:val="IndexLink"/>
                <w:rtl w:val="true"/>
              </w:rPr>
              <w:t>حکم ترکه</w:t>
            </w:r>
            <w:r>
              <w:rPr>
                <w:rStyle w:val="IndexLink"/>
                <w:rtl w:val="true"/>
              </w:rPr>
              <w:tab/>
            </w:r>
            <w:r>
              <w:rPr>
                <w:rStyle w:val="IndexLink"/>
              </w:rPr>
              <w:t>443</w:t>
            </w:r>
          </w:hyperlink>
        </w:p>
        <w:p>
          <w:pPr>
            <w:pStyle w:val="Contents3"/>
            <w:tabs>
              <w:tab w:val="clear" w:pos="8459"/>
              <w:tab w:val="right" w:pos="9026" w:leader="dot"/>
            </w:tabs>
            <w:rPr/>
          </w:pPr>
          <w:hyperlink w:anchor="__RefHeading___Toc1841285_2322387425">
            <w:r>
              <w:rPr>
                <w:webHidden/>
                <w:rStyle w:val="IndexLink"/>
                <w:rtl w:val="true"/>
              </w:rPr>
              <w:t>حکم الجلوس فی التسلیم و الاطمئنان</w:t>
            </w:r>
            <w:r>
              <w:rPr>
                <w:rStyle w:val="IndexLink"/>
                <w:rtl w:val="true"/>
              </w:rPr>
              <w:tab/>
            </w:r>
            <w:r>
              <w:rPr>
                <w:rStyle w:val="IndexLink"/>
              </w:rPr>
              <w:t>448</w:t>
            </w:r>
          </w:hyperlink>
        </w:p>
        <w:p>
          <w:pPr>
            <w:pStyle w:val="Contents3"/>
            <w:tabs>
              <w:tab w:val="clear" w:pos="8459"/>
              <w:tab w:val="right" w:pos="9026" w:leader="dot"/>
            </w:tabs>
            <w:rPr/>
          </w:pPr>
          <w:hyperlink w:anchor="__RefHeading___Toc1841287_2322387425">
            <w:r>
              <w:rPr>
                <w:webHidden/>
                <w:rStyle w:val="IndexLink"/>
                <w:rtl w:val="true"/>
              </w:rPr>
              <w:t>کیفیة التسلیم و صیغته</w:t>
            </w:r>
            <w:r>
              <w:rPr>
                <w:rStyle w:val="IndexLink"/>
                <w:rtl w:val="true"/>
              </w:rPr>
              <w:tab/>
            </w:r>
            <w:r>
              <w:rPr>
                <w:rStyle w:val="IndexLink"/>
              </w:rPr>
              <w:t>448</w:t>
            </w:r>
          </w:hyperlink>
        </w:p>
        <w:p>
          <w:pPr>
            <w:pStyle w:val="Contents3"/>
            <w:tabs>
              <w:tab w:val="clear" w:pos="8459"/>
              <w:tab w:val="right" w:pos="9026" w:leader="dot"/>
            </w:tabs>
            <w:rPr/>
          </w:pPr>
          <w:hyperlink w:anchor="__RefHeading___Toc1841289_2322387425">
            <w:r>
              <w:rPr>
                <w:webHidden/>
                <w:rStyle w:val="IndexLink"/>
                <w:rtl w:val="true"/>
              </w:rPr>
              <w:t>حکم تأدیته</w:t>
            </w:r>
            <w:r>
              <w:rPr>
                <w:rStyle w:val="IndexLink"/>
                <w:rtl w:val="true"/>
              </w:rPr>
              <w:tab/>
            </w:r>
            <w:r>
              <w:rPr>
                <w:rStyle w:val="IndexLink"/>
              </w:rPr>
              <w:t>451</w:t>
            </w:r>
          </w:hyperlink>
        </w:p>
        <w:p>
          <w:pPr>
            <w:pStyle w:val="Contents3"/>
            <w:tabs>
              <w:tab w:val="clear" w:pos="8459"/>
              <w:tab w:val="right" w:pos="9026" w:leader="dot"/>
            </w:tabs>
            <w:rPr/>
          </w:pPr>
          <w:hyperlink w:anchor="__RefHeading___Toc1841291_2322387425">
            <w:r>
              <w:rPr>
                <w:webHidden/>
                <w:rStyle w:val="IndexLink"/>
                <w:rtl w:val="true"/>
              </w:rPr>
              <w:t>حکم الصلاة فی الحدث أو الإتیان ببعض المنافیات قبل السلام</w:t>
            </w:r>
            <w:r>
              <w:rPr>
                <w:rStyle w:val="IndexLink"/>
                <w:rtl w:val="true"/>
              </w:rPr>
              <w:tab/>
            </w:r>
            <w:r>
              <w:rPr>
                <w:rStyle w:val="IndexLink"/>
              </w:rPr>
              <w:t>451</w:t>
            </w:r>
          </w:hyperlink>
        </w:p>
        <w:p>
          <w:pPr>
            <w:pStyle w:val="Contents3"/>
            <w:tabs>
              <w:tab w:val="clear" w:pos="8459"/>
              <w:tab w:val="right" w:pos="9026" w:leader="dot"/>
            </w:tabs>
            <w:rPr/>
          </w:pPr>
          <w:hyperlink w:anchor="__RefHeading___Toc1841293_2322387425">
            <w:r>
              <w:rPr>
                <w:webHidden/>
                <w:rStyle w:val="IndexLink"/>
                <w:rtl w:val="true"/>
              </w:rPr>
              <w:t>ما لا یشترط فی التسلیم</w:t>
            </w:r>
            <w:r>
              <w:rPr>
                <w:rStyle w:val="IndexLink"/>
                <w:rtl w:val="true"/>
              </w:rPr>
              <w:tab/>
            </w:r>
            <w:r>
              <w:rPr>
                <w:rStyle w:val="IndexLink"/>
              </w:rPr>
              <w:t>455</w:t>
            </w:r>
          </w:hyperlink>
        </w:p>
        <w:p>
          <w:pPr>
            <w:pStyle w:val="Contents3"/>
            <w:tabs>
              <w:tab w:val="clear" w:pos="8459"/>
              <w:tab w:val="right" w:pos="9026" w:leader="dot"/>
            </w:tabs>
            <w:rPr/>
          </w:pPr>
          <w:hyperlink w:anchor="__RefHeading___Toc1841295_2322387425">
            <w:r>
              <w:rPr>
                <w:webHidden/>
                <w:rStyle w:val="IndexLink"/>
                <w:rtl w:val="true"/>
              </w:rPr>
              <w:t>حکم تعلم صیغة التسلیم</w:t>
            </w:r>
            <w:r>
              <w:rPr>
                <w:rStyle w:val="IndexLink"/>
                <w:rtl w:val="true"/>
              </w:rPr>
              <w:tab/>
            </w:r>
            <w:r>
              <w:rPr>
                <w:rStyle w:val="IndexLink"/>
              </w:rPr>
              <w:t>456</w:t>
            </w:r>
          </w:hyperlink>
        </w:p>
        <w:p>
          <w:pPr>
            <w:pStyle w:val="Contents3"/>
            <w:tabs>
              <w:tab w:val="clear" w:pos="8459"/>
              <w:tab w:val="right" w:pos="9026" w:leader="dot"/>
            </w:tabs>
            <w:rPr/>
          </w:pPr>
          <w:hyperlink w:anchor="__RefHeading___Toc1841297_2322387425">
            <w:r>
              <w:rPr>
                <w:webHidden/>
                <w:rStyle w:val="IndexLink"/>
                <w:rtl w:val="true"/>
              </w:rPr>
              <w:t>حکم العاجز عن التسلیم و الأخرس</w:t>
            </w:r>
            <w:r>
              <w:rPr>
                <w:rStyle w:val="IndexLink"/>
                <w:rtl w:val="true"/>
              </w:rPr>
              <w:tab/>
            </w:r>
            <w:r>
              <w:rPr>
                <w:rStyle w:val="IndexLink"/>
              </w:rPr>
              <w:t>456</w:t>
            </w:r>
          </w:hyperlink>
        </w:p>
        <w:p>
          <w:pPr>
            <w:pStyle w:val="Contents3"/>
            <w:tabs>
              <w:tab w:val="clear" w:pos="8459"/>
              <w:tab w:val="right" w:pos="9026" w:leader="dot"/>
            </w:tabs>
            <w:rPr/>
          </w:pPr>
          <w:hyperlink w:anchor="__RefHeading___Toc1841299_2322387425">
            <w:r>
              <w:rPr>
                <w:webHidden/>
                <w:rStyle w:val="IndexLink"/>
                <w:rtl w:val="true"/>
              </w:rPr>
              <w:t>مستحبات الجلوس فیه</w:t>
            </w:r>
            <w:r>
              <w:rPr>
                <w:rStyle w:val="IndexLink"/>
                <w:rtl w:val="true"/>
              </w:rPr>
              <w:tab/>
            </w:r>
            <w:r>
              <w:rPr>
                <w:rStyle w:val="IndexLink"/>
              </w:rPr>
              <w:t>457</w:t>
            </w:r>
          </w:hyperlink>
        </w:p>
        <w:p>
          <w:pPr>
            <w:pStyle w:val="Contents3"/>
            <w:tabs>
              <w:tab w:val="clear" w:pos="8459"/>
              <w:tab w:val="right" w:pos="9026" w:leader="dot"/>
            </w:tabs>
            <w:rPr/>
          </w:pPr>
          <w:hyperlink w:anchor="__RefHeading___Toc1841301_2322387425">
            <w:r>
              <w:rPr>
                <w:webHidden/>
                <w:rStyle w:val="IndexLink"/>
                <w:rtl w:val="true"/>
              </w:rPr>
              <w:t>کفایة الإخطار الإجمالی بالبال فی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1841303_2322387425">
            <w:r>
              <w:rPr>
                <w:webHidden/>
                <w:rStyle w:val="IndexLink"/>
                <w:rtl w:val="true"/>
              </w:rPr>
              <w:t>استحباب الإیماء بالتسلیم</w:t>
            </w:r>
            <w:r>
              <w:rPr>
                <w:rStyle w:val="IndexLink"/>
                <w:rtl w:val="true"/>
              </w:rPr>
              <w:tab/>
            </w:r>
            <w:r>
              <w:rPr>
                <w:rStyle w:val="IndexLink"/>
              </w:rPr>
              <w:t>458</w:t>
            </w:r>
          </w:hyperlink>
        </w:p>
        <w:p>
          <w:pPr>
            <w:pStyle w:val="Contents3"/>
            <w:tabs>
              <w:tab w:val="clear" w:pos="8459"/>
              <w:tab w:val="right" w:pos="9026" w:leader="dot"/>
            </w:tabs>
            <w:rPr/>
          </w:pPr>
          <w:hyperlink w:anchor="__RefHeading___Toc1841305_2322387425">
            <w:r>
              <w:rPr>
                <w:webHidden/>
                <w:rStyle w:val="IndexLink"/>
                <w:rtl w:val="true"/>
              </w:rPr>
              <w:t>فی ما لو دخل وقت الصلاة أثناء التسلیم</w:t>
            </w:r>
            <w:r>
              <w:rPr>
                <w:rStyle w:val="IndexLink"/>
                <w:rtl w:val="true"/>
              </w:rPr>
              <w:tab/>
            </w:r>
            <w:r>
              <w:rPr>
                <w:rStyle w:val="IndexLink"/>
              </w:rPr>
              <w:t>459</w:t>
            </w:r>
          </w:hyperlink>
        </w:p>
        <w:p>
          <w:pPr>
            <w:pStyle w:val="Contents2"/>
            <w:tabs>
              <w:tab w:val="clear" w:pos="8743"/>
              <w:tab w:val="right" w:pos="9026" w:leader="dot"/>
            </w:tabs>
            <w:rPr/>
          </w:pPr>
          <w:hyperlink w:anchor="__RefHeading___Toc1841307_2322387425">
            <w:r>
              <w:rPr>
                <w:webHidden/>
                <w:rStyle w:val="IndexLink"/>
                <w:rtl w:val="true"/>
              </w:rPr>
              <w:t>فصل فی الترتیب</w:t>
            </w:r>
            <w:r>
              <w:rPr>
                <w:rStyle w:val="IndexLink"/>
                <w:rtl w:val="true"/>
              </w:rPr>
              <w:tab/>
            </w:r>
            <w:r>
              <w:rPr>
                <w:rStyle w:val="IndexLink"/>
              </w:rPr>
              <w:t>461</w:t>
            </w:r>
          </w:hyperlink>
        </w:p>
        <w:p>
          <w:pPr>
            <w:pStyle w:val="Contents3"/>
            <w:tabs>
              <w:tab w:val="clear" w:pos="8459"/>
              <w:tab w:val="right" w:pos="9026" w:leader="dot"/>
            </w:tabs>
            <w:rPr/>
          </w:pPr>
          <w:hyperlink w:anchor="__RefHeading___Toc1841309_2322387425">
            <w:r>
              <w:rPr>
                <w:webHidden/>
                <w:rStyle w:val="IndexLink"/>
                <w:rtl w:val="true"/>
              </w:rPr>
              <w:t>حکم الترتیب بین الأفغال اصلاة</w:t>
            </w:r>
            <w:r>
              <w:rPr>
                <w:rStyle w:val="IndexLink"/>
                <w:rtl w:val="true"/>
              </w:rPr>
              <w:tab/>
            </w:r>
            <w:r>
              <w:rPr>
                <w:rStyle w:val="IndexLink"/>
              </w:rPr>
              <w:t>461</w:t>
            </w:r>
          </w:hyperlink>
        </w:p>
        <w:p>
          <w:pPr>
            <w:pStyle w:val="Contents3"/>
            <w:tabs>
              <w:tab w:val="clear" w:pos="8459"/>
              <w:tab w:val="right" w:pos="9026" w:leader="dot"/>
            </w:tabs>
            <w:rPr/>
          </w:pPr>
          <w:hyperlink w:anchor="__RefHeading___Toc1841311_2322387425">
            <w:r>
              <w:rPr>
                <w:webHidden/>
                <w:rStyle w:val="IndexLink"/>
                <w:rtl w:val="true"/>
              </w:rPr>
              <w:t>حکم ما لو خالف الترتیب</w:t>
            </w:r>
            <w:r>
              <w:rPr>
                <w:rStyle w:val="IndexLink"/>
                <w:rtl w:val="true"/>
              </w:rPr>
              <w:tab/>
            </w:r>
            <w:r>
              <w:rPr>
                <w:rStyle w:val="IndexLink"/>
              </w:rPr>
              <w:t>463</w:t>
            </w:r>
          </w:hyperlink>
        </w:p>
        <w:p>
          <w:pPr>
            <w:pStyle w:val="Contents2"/>
            <w:tabs>
              <w:tab w:val="clear" w:pos="8743"/>
              <w:tab w:val="right" w:pos="9026" w:leader="dot"/>
            </w:tabs>
            <w:rPr/>
          </w:pPr>
          <w:hyperlink w:anchor="__RefHeading___Toc1841313_2322387425">
            <w:r>
              <w:rPr>
                <w:webHidden/>
                <w:rStyle w:val="IndexLink"/>
                <w:rtl w:val="true"/>
              </w:rPr>
              <w:t>فصل فی الموالاة</w:t>
            </w:r>
            <w:r>
              <w:rPr>
                <w:rStyle w:val="IndexLink"/>
                <w:rtl w:val="true"/>
              </w:rPr>
              <w:tab/>
            </w:r>
            <w:r>
              <w:rPr>
                <w:rStyle w:val="IndexLink"/>
              </w:rPr>
              <w:t>464</w:t>
            </w:r>
          </w:hyperlink>
        </w:p>
        <w:p>
          <w:pPr>
            <w:pStyle w:val="Contents3"/>
            <w:tabs>
              <w:tab w:val="clear" w:pos="8459"/>
              <w:tab w:val="right" w:pos="9026" w:leader="dot"/>
            </w:tabs>
            <w:rPr/>
          </w:pPr>
          <w:hyperlink w:anchor="__RefHeading___Toc1841315_2322387425">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1841317_2322387425">
            <w:r>
              <w:rPr>
                <w:webHidden/>
                <w:rStyle w:val="IndexLink"/>
                <w:rtl w:val="true"/>
              </w:rPr>
              <w:t>حکم الموالاة بین أفعال الصلاة و أجزاءها</w:t>
            </w:r>
            <w:r>
              <w:rPr>
                <w:rStyle w:val="IndexLink"/>
                <w:rtl w:val="true"/>
              </w:rPr>
              <w:tab/>
            </w:r>
            <w:r>
              <w:rPr>
                <w:rStyle w:val="IndexLink"/>
              </w:rPr>
              <w:t>466</w:t>
            </w:r>
          </w:hyperlink>
        </w:p>
        <w:p>
          <w:pPr>
            <w:pStyle w:val="Contents3"/>
            <w:tabs>
              <w:tab w:val="clear" w:pos="8459"/>
              <w:tab w:val="right" w:pos="9026" w:leader="dot"/>
            </w:tabs>
            <w:rPr/>
          </w:pPr>
          <w:hyperlink w:anchor="__RefHeading___Toc1841319_2322387425">
            <w:r>
              <w:rPr>
                <w:webHidden/>
                <w:rStyle w:val="IndexLink"/>
                <w:rtl w:val="true"/>
              </w:rPr>
              <w:t>ترک الموالاة</w:t>
            </w:r>
            <w:r>
              <w:rPr>
                <w:rStyle w:val="IndexLink"/>
                <w:rtl w:val="true"/>
              </w:rPr>
              <w:tab/>
            </w:r>
            <w:r>
              <w:rPr>
                <w:rStyle w:val="IndexLink"/>
              </w:rPr>
              <w:t>466</w:t>
            </w:r>
          </w:hyperlink>
        </w:p>
        <w:p>
          <w:pPr>
            <w:pStyle w:val="Contents3"/>
            <w:tabs>
              <w:tab w:val="clear" w:pos="8459"/>
              <w:tab w:val="right" w:pos="9026" w:leader="dot"/>
            </w:tabs>
            <w:rPr/>
          </w:pPr>
          <w:hyperlink w:anchor="__RefHeading___Toc1841321_2322387425">
            <w:r>
              <w:rPr>
                <w:webHidden/>
                <w:rStyle w:val="IndexLink"/>
                <w:rtl w:val="true"/>
              </w:rPr>
              <w:t>التطویل لا یوجب فوات الموالاة</w:t>
            </w:r>
            <w:r>
              <w:rPr>
                <w:rStyle w:val="IndexLink"/>
                <w:rtl w:val="true"/>
              </w:rPr>
              <w:tab/>
            </w:r>
            <w:r>
              <w:rPr>
                <w:rStyle w:val="IndexLink"/>
              </w:rPr>
              <w:t>469</w:t>
            </w:r>
          </w:hyperlink>
        </w:p>
        <w:p>
          <w:pPr>
            <w:pStyle w:val="Contents3"/>
            <w:tabs>
              <w:tab w:val="clear" w:pos="8459"/>
              <w:tab w:val="right" w:pos="9026" w:leader="dot"/>
            </w:tabs>
            <w:rPr/>
          </w:pPr>
          <w:hyperlink w:anchor="__RefHeading___Toc1841323_2322387425">
            <w:r>
              <w:rPr>
                <w:webHidden/>
                <w:rStyle w:val="IndexLink"/>
                <w:rtl w:val="true"/>
              </w:rPr>
              <w:t>مراعاة التتابع العرفی بالأفعال و القراءة و الأذکار</w:t>
            </w:r>
            <w:r>
              <w:rPr>
                <w:rStyle w:val="IndexLink"/>
                <w:rtl w:val="true"/>
              </w:rPr>
              <w:tab/>
            </w:r>
            <w:r>
              <w:rPr>
                <w:rStyle w:val="IndexLink"/>
              </w:rPr>
              <w:t>469</w:t>
            </w:r>
          </w:hyperlink>
        </w:p>
        <w:p>
          <w:pPr>
            <w:pStyle w:val="Contents3"/>
            <w:tabs>
              <w:tab w:val="clear" w:pos="8459"/>
              <w:tab w:val="right" w:pos="9026" w:leader="dot"/>
            </w:tabs>
            <w:rPr/>
          </w:pPr>
          <w:hyperlink w:anchor="__RefHeading___Toc1841325_2322387425">
            <w:r>
              <w:rPr>
                <w:webHidden/>
                <w:rStyle w:val="IndexLink"/>
                <w:rtl w:val="true"/>
              </w:rPr>
              <w:t>فی ما لو نذر الموالاة</w:t>
            </w:r>
            <w:r>
              <w:rPr>
                <w:rStyle w:val="IndexLink"/>
                <w:rtl w:val="true"/>
              </w:rPr>
              <w:tab/>
            </w:r>
            <w:r>
              <w:rPr>
                <w:rStyle w:val="IndexLink"/>
              </w:rPr>
              <w:t>470</w:t>
            </w:r>
          </w:hyperlink>
        </w:p>
        <w:p>
          <w:pPr>
            <w:pStyle w:val="Contents2"/>
            <w:tabs>
              <w:tab w:val="clear" w:pos="8743"/>
              <w:tab w:val="right" w:pos="9026" w:leader="dot"/>
            </w:tabs>
            <w:rPr/>
          </w:pPr>
          <w:hyperlink w:anchor="__RefHeading___Toc1841327_2322387425">
            <w:r>
              <w:rPr>
                <w:webHidden/>
                <w:rStyle w:val="IndexLink"/>
                <w:rtl w:val="true"/>
              </w:rPr>
              <w:t>فصل فی القنوت</w:t>
            </w:r>
            <w:r>
              <w:rPr>
                <w:rStyle w:val="IndexLink"/>
                <w:rtl w:val="true"/>
              </w:rPr>
              <w:tab/>
            </w:r>
            <w:r>
              <w:rPr>
                <w:rStyle w:val="IndexLink"/>
              </w:rPr>
              <w:t>472</w:t>
            </w:r>
          </w:hyperlink>
        </w:p>
        <w:p>
          <w:pPr>
            <w:pStyle w:val="Contents3"/>
            <w:tabs>
              <w:tab w:val="clear" w:pos="8459"/>
              <w:tab w:val="right" w:pos="9026" w:leader="dot"/>
            </w:tabs>
            <w:rPr/>
          </w:pPr>
          <w:hyperlink w:anchor="__RefHeading___Toc1841329_2322387425">
            <w:r>
              <w:rPr>
                <w:webHidden/>
                <w:rStyle w:val="IndexLink"/>
                <w:rtl w:val="true"/>
              </w:rPr>
              <w:t>حکم القنوت فی جمیع الفرائض و النوافل</w:t>
            </w:r>
            <w:r>
              <w:rPr>
                <w:rStyle w:val="IndexLink"/>
                <w:rtl w:val="true"/>
              </w:rPr>
              <w:tab/>
            </w:r>
            <w:r>
              <w:rPr>
                <w:rStyle w:val="IndexLink"/>
              </w:rPr>
              <w:t>472</w:t>
            </w:r>
          </w:hyperlink>
        </w:p>
        <w:p>
          <w:pPr>
            <w:pStyle w:val="Contents3"/>
            <w:tabs>
              <w:tab w:val="clear" w:pos="8459"/>
              <w:tab w:val="right" w:pos="9026" w:leader="dot"/>
            </w:tabs>
            <w:rPr/>
          </w:pPr>
          <w:hyperlink w:anchor="__RefHeading___Toc1841331_2322387425">
            <w:r>
              <w:rPr>
                <w:webHidden/>
                <w:rStyle w:val="IndexLink"/>
                <w:rtl w:val="true"/>
              </w:rPr>
              <w:t>تأکد القنوت فی الصلوات</w:t>
            </w:r>
            <w:r>
              <w:rPr>
                <w:rStyle w:val="IndexLink"/>
                <w:rtl w:val="true"/>
              </w:rPr>
              <w:tab/>
            </w:r>
            <w:r>
              <w:rPr>
                <w:rStyle w:val="IndexLink"/>
              </w:rPr>
              <w:t>472</w:t>
            </w:r>
          </w:hyperlink>
        </w:p>
        <w:p>
          <w:pPr>
            <w:pStyle w:val="Contents3"/>
            <w:tabs>
              <w:tab w:val="clear" w:pos="8459"/>
              <w:tab w:val="right" w:pos="9026" w:leader="dot"/>
            </w:tabs>
            <w:rPr/>
          </w:pPr>
          <w:hyperlink w:anchor="__RefHeading___Toc1841333_2322387425">
            <w:r>
              <w:rPr>
                <w:webHidden/>
                <w:rStyle w:val="IndexLink"/>
                <w:rtl w:val="true"/>
              </w:rPr>
              <w:t>محل القنوت فی الصلوات</w:t>
            </w:r>
            <w:r>
              <w:rPr>
                <w:rStyle w:val="IndexLink"/>
                <w:rtl w:val="true"/>
              </w:rPr>
              <w:tab/>
            </w:r>
            <w:r>
              <w:rPr>
                <w:rStyle w:val="IndexLink"/>
              </w:rPr>
              <w:t>473</w:t>
            </w:r>
          </w:hyperlink>
        </w:p>
        <w:p>
          <w:pPr>
            <w:pStyle w:val="Contents3"/>
            <w:tabs>
              <w:tab w:val="clear" w:pos="8459"/>
              <w:tab w:val="right" w:pos="9026" w:leader="dot"/>
            </w:tabs>
            <w:rPr/>
          </w:pPr>
          <w:hyperlink w:anchor="__RefHeading___Toc1841335_2322387425">
            <w:r>
              <w:rPr>
                <w:webHidden/>
                <w:rStyle w:val="IndexLink"/>
                <w:rtl w:val="true"/>
              </w:rPr>
              <w:t>عدم اشتراط رفع الیدین و لا الذکر الخاص فیه</w:t>
            </w:r>
            <w:r>
              <w:rPr>
                <w:rStyle w:val="IndexLink"/>
                <w:rtl w:val="true"/>
              </w:rPr>
              <w:tab/>
            </w:r>
            <w:r>
              <w:rPr>
                <w:rStyle w:val="IndexLink"/>
              </w:rPr>
              <w:t>475</w:t>
            </w:r>
          </w:hyperlink>
        </w:p>
        <w:p>
          <w:pPr>
            <w:pStyle w:val="Contents3"/>
            <w:tabs>
              <w:tab w:val="clear" w:pos="8459"/>
              <w:tab w:val="right" w:pos="9026" w:leader="dot"/>
            </w:tabs>
            <w:rPr/>
          </w:pPr>
          <w:hyperlink w:anchor="__RefHeading___Toc1841337_2322387425">
            <w:r>
              <w:rPr>
                <w:webHidden/>
                <w:rStyle w:val="IndexLink"/>
                <w:rtl w:val="true"/>
              </w:rPr>
              <w:t>أقل ما یجزی فی القنوت</w:t>
            </w:r>
            <w:r>
              <w:rPr>
                <w:rStyle w:val="IndexLink"/>
                <w:rtl w:val="true"/>
              </w:rPr>
              <w:tab/>
            </w:r>
            <w:r>
              <w:rPr>
                <w:rStyle w:val="IndexLink"/>
              </w:rPr>
              <w:t>477</w:t>
            </w:r>
          </w:hyperlink>
        </w:p>
        <w:p>
          <w:pPr>
            <w:pStyle w:val="Contents3"/>
            <w:tabs>
              <w:tab w:val="clear" w:pos="8459"/>
              <w:tab w:val="right" w:pos="9026" w:leader="dot"/>
            </w:tabs>
            <w:rPr/>
          </w:pPr>
          <w:hyperlink w:anchor="__RefHeading___Toc1841339_2322387425">
            <w:r>
              <w:rPr>
                <w:webHidden/>
                <w:rStyle w:val="IndexLink"/>
                <w:rtl w:val="true"/>
              </w:rPr>
              <w:t>جواز قراءة القرآن فی القنوت</w:t>
            </w:r>
            <w:r>
              <w:rPr>
                <w:rStyle w:val="IndexLink"/>
                <w:rtl w:val="true"/>
              </w:rPr>
              <w:tab/>
            </w:r>
            <w:r>
              <w:rPr>
                <w:rStyle w:val="IndexLink"/>
              </w:rPr>
              <w:t>477</w:t>
            </w:r>
          </w:hyperlink>
        </w:p>
        <w:p>
          <w:pPr>
            <w:pStyle w:val="Contents3"/>
            <w:tabs>
              <w:tab w:val="clear" w:pos="8459"/>
              <w:tab w:val="right" w:pos="9026" w:leader="dot"/>
            </w:tabs>
            <w:rPr/>
          </w:pPr>
          <w:hyperlink w:anchor="__RefHeading___Toc1841341_2322387425">
            <w:r>
              <w:rPr>
                <w:webHidden/>
                <w:rStyle w:val="IndexLink"/>
                <w:rtl w:val="true"/>
              </w:rPr>
              <w:t>جواز قراءة الأشعار فی القنوت</w:t>
            </w:r>
            <w:r>
              <w:rPr>
                <w:rStyle w:val="IndexLink"/>
                <w:rtl w:val="true"/>
              </w:rPr>
              <w:tab/>
            </w:r>
            <w:r>
              <w:rPr>
                <w:rStyle w:val="IndexLink"/>
              </w:rPr>
              <w:t>477</w:t>
            </w:r>
          </w:hyperlink>
        </w:p>
        <w:p>
          <w:pPr>
            <w:pStyle w:val="Contents3"/>
            <w:tabs>
              <w:tab w:val="clear" w:pos="8459"/>
              <w:tab w:val="right" w:pos="9026" w:leader="dot"/>
            </w:tabs>
            <w:rPr/>
          </w:pPr>
          <w:hyperlink w:anchor="__RefHeading___Toc1841343_2322387425">
            <w:r>
              <w:rPr>
                <w:webHidden/>
                <w:rStyle w:val="IndexLink"/>
                <w:rtl w:val="true"/>
              </w:rPr>
              <w:t>جواز الدعاء فیه بسائر اللغات إلا الأذکار المخصوصة</w:t>
            </w:r>
            <w:r>
              <w:rPr>
                <w:rStyle w:val="IndexLink"/>
                <w:rtl w:val="true"/>
              </w:rPr>
              <w:tab/>
            </w:r>
            <w:r>
              <w:rPr>
                <w:rStyle w:val="IndexLink"/>
              </w:rPr>
              <w:t>478</w:t>
            </w:r>
          </w:hyperlink>
        </w:p>
        <w:p>
          <w:pPr>
            <w:pStyle w:val="Contents3"/>
            <w:tabs>
              <w:tab w:val="clear" w:pos="8459"/>
              <w:tab w:val="right" w:pos="9026" w:leader="dot"/>
            </w:tabs>
            <w:rPr/>
          </w:pPr>
          <w:hyperlink w:anchor="__RefHeading___Toc1841345_2322387425">
            <w:r>
              <w:rPr>
                <w:webHidden/>
                <w:rStyle w:val="IndexLink"/>
                <w:rtl w:val="true"/>
              </w:rPr>
              <w:t>قراءة الأدعیة الواردة عن الأئمة</w:t>
            </w:r>
            <w:r>
              <w:rPr>
                <w:rStyle w:val="IndexLink"/>
                <w:rtl w:val="true"/>
              </w:rPr>
              <w:t xml:space="preserve">: </w:t>
            </w:r>
            <w:r>
              <w:rPr>
                <w:rStyle w:val="IndexLink"/>
                <w:rtl w:val="true"/>
              </w:rPr>
              <w:t>فی القنوت</w:t>
            </w:r>
            <w:r>
              <w:rPr>
                <w:rStyle w:val="IndexLink"/>
                <w:rtl w:val="true"/>
              </w:rPr>
              <w:tab/>
            </w:r>
            <w:r>
              <w:rPr>
                <w:rStyle w:val="IndexLink"/>
              </w:rPr>
              <w:t>479</w:t>
            </w:r>
          </w:hyperlink>
        </w:p>
        <w:p>
          <w:pPr>
            <w:pStyle w:val="Contents3"/>
            <w:tabs>
              <w:tab w:val="clear" w:pos="8459"/>
              <w:tab w:val="right" w:pos="9026" w:leader="dot"/>
            </w:tabs>
            <w:rPr/>
          </w:pPr>
          <w:hyperlink w:anchor="__RefHeading___Toc1841347_2322387425">
            <w:r>
              <w:rPr>
                <w:webHidden/>
                <w:rStyle w:val="IndexLink"/>
                <w:rtl w:val="true"/>
              </w:rPr>
              <w:t>ما یبدء به فی القنوت</w:t>
            </w:r>
            <w:r>
              <w:rPr>
                <w:rStyle w:val="IndexLink"/>
                <w:rtl w:val="true"/>
              </w:rPr>
              <w:tab/>
            </w:r>
            <w:r>
              <w:rPr>
                <w:rStyle w:val="IndexLink"/>
              </w:rPr>
              <w:t>482</w:t>
            </w:r>
          </w:hyperlink>
        </w:p>
        <w:p>
          <w:pPr>
            <w:pStyle w:val="Contents3"/>
            <w:tabs>
              <w:tab w:val="clear" w:pos="8459"/>
              <w:tab w:val="right" w:pos="9026" w:leader="dot"/>
            </w:tabs>
            <w:rPr/>
          </w:pPr>
          <w:hyperlink w:anchor="__RefHeading___Toc1841349_2322387425">
            <w:r>
              <w:rPr>
                <w:webHidden/>
                <w:rStyle w:val="IndexLink"/>
                <w:rtl w:val="true"/>
              </w:rPr>
              <w:t>بعض ما ورد من القنوت الجامع</w:t>
            </w:r>
            <w:r>
              <w:rPr>
                <w:rStyle w:val="IndexLink"/>
                <w:rtl w:val="true"/>
              </w:rPr>
              <w:tab/>
            </w:r>
            <w:r>
              <w:rPr>
                <w:rStyle w:val="IndexLink"/>
              </w:rPr>
              <w:t>483</w:t>
            </w:r>
          </w:hyperlink>
        </w:p>
        <w:p>
          <w:pPr>
            <w:pStyle w:val="Contents3"/>
            <w:tabs>
              <w:tab w:val="clear" w:pos="8459"/>
              <w:tab w:val="right" w:pos="9026" w:leader="dot"/>
            </w:tabs>
            <w:rPr/>
          </w:pPr>
          <w:hyperlink w:anchor="__RefHeading___Toc1841351_2322387425">
            <w:r>
              <w:rPr>
                <w:webHidden/>
                <w:rStyle w:val="IndexLink"/>
                <w:rtl w:val="true"/>
              </w:rPr>
              <w:t>حکم القنوت بالدعاء الملحون</w:t>
            </w:r>
            <w:r>
              <w:rPr>
                <w:rStyle w:val="IndexLink"/>
                <w:rtl w:val="true"/>
              </w:rPr>
              <w:tab/>
            </w:r>
            <w:r>
              <w:rPr>
                <w:rStyle w:val="IndexLink"/>
              </w:rPr>
              <w:t>484</w:t>
            </w:r>
          </w:hyperlink>
        </w:p>
        <w:p>
          <w:pPr>
            <w:pStyle w:val="Contents3"/>
            <w:tabs>
              <w:tab w:val="clear" w:pos="8459"/>
              <w:tab w:val="right" w:pos="9026" w:leader="dot"/>
            </w:tabs>
            <w:rPr/>
          </w:pPr>
          <w:hyperlink w:anchor="__RefHeading___Toc1841353_2322387425">
            <w:r>
              <w:rPr>
                <w:webHidden/>
                <w:rStyle w:val="IndexLink"/>
                <w:rtl w:val="true"/>
              </w:rPr>
              <w:t>جواز الدعاء لشخص أو علیه</w:t>
            </w:r>
            <w:r>
              <w:rPr>
                <w:rStyle w:val="IndexLink"/>
                <w:rtl w:val="true"/>
              </w:rPr>
              <w:tab/>
            </w:r>
            <w:r>
              <w:rPr>
                <w:rStyle w:val="IndexLink"/>
              </w:rPr>
              <w:t>485</w:t>
            </w:r>
          </w:hyperlink>
        </w:p>
        <w:p>
          <w:pPr>
            <w:pStyle w:val="Contents3"/>
            <w:tabs>
              <w:tab w:val="clear" w:pos="8459"/>
              <w:tab w:val="right" w:pos="9026" w:leader="dot"/>
            </w:tabs>
            <w:rPr/>
          </w:pPr>
          <w:hyperlink w:anchor="__RefHeading___Toc1841355_2322387425">
            <w:r>
              <w:rPr>
                <w:webHidden/>
                <w:rStyle w:val="IndexLink"/>
                <w:rtl w:val="true"/>
              </w:rPr>
              <w:t>حکم الدعاء لطلب الحرام</w:t>
            </w:r>
            <w:r>
              <w:rPr>
                <w:rStyle w:val="IndexLink"/>
                <w:rtl w:val="true"/>
              </w:rPr>
              <w:tab/>
            </w:r>
            <w:r>
              <w:rPr>
                <w:rStyle w:val="IndexLink"/>
              </w:rPr>
              <w:t>485</w:t>
            </w:r>
          </w:hyperlink>
        </w:p>
        <w:p>
          <w:pPr>
            <w:pStyle w:val="Contents3"/>
            <w:tabs>
              <w:tab w:val="clear" w:pos="8459"/>
              <w:tab w:val="right" w:pos="9026" w:leader="dot"/>
            </w:tabs>
            <w:rPr/>
          </w:pPr>
          <w:hyperlink w:anchor="__RefHeading___Toc1841357_2322387425">
            <w:r>
              <w:rPr>
                <w:webHidden/>
                <w:rStyle w:val="IndexLink"/>
                <w:rtl w:val="true"/>
              </w:rPr>
              <w:t>استحباب إطالة القنوت</w:t>
            </w:r>
            <w:r>
              <w:rPr>
                <w:rStyle w:val="IndexLink"/>
                <w:rtl w:val="true"/>
              </w:rPr>
              <w:tab/>
            </w:r>
            <w:r>
              <w:rPr>
                <w:rStyle w:val="IndexLink"/>
              </w:rPr>
              <w:t>485</w:t>
            </w:r>
          </w:hyperlink>
        </w:p>
        <w:p>
          <w:pPr>
            <w:pStyle w:val="Contents3"/>
            <w:tabs>
              <w:tab w:val="clear" w:pos="8459"/>
              <w:tab w:val="right" w:pos="9026" w:leader="dot"/>
            </w:tabs>
            <w:rPr/>
          </w:pPr>
          <w:hyperlink w:anchor="__RefHeading___Toc1841359_2322387425">
            <w:r>
              <w:rPr>
                <w:webHidden/>
                <w:rStyle w:val="IndexLink"/>
                <w:rtl w:val="true"/>
              </w:rPr>
              <w:t>استحبابیة و کرهیة جملة من الأمور حین القنوت</w:t>
            </w:r>
            <w:r>
              <w:rPr>
                <w:rStyle w:val="IndexLink"/>
                <w:rtl w:val="true"/>
              </w:rPr>
              <w:tab/>
            </w:r>
            <w:r>
              <w:rPr>
                <w:rStyle w:val="IndexLink"/>
              </w:rPr>
              <w:t>486</w:t>
            </w:r>
          </w:hyperlink>
        </w:p>
        <w:p>
          <w:pPr>
            <w:pStyle w:val="Contents3"/>
            <w:tabs>
              <w:tab w:val="clear" w:pos="8459"/>
              <w:tab w:val="right" w:pos="9026" w:leader="dot"/>
            </w:tabs>
            <w:rPr/>
          </w:pPr>
          <w:hyperlink w:anchor="__RefHeading___Toc1841361_2322387425">
            <w:r>
              <w:rPr>
                <w:webHidden/>
                <w:rStyle w:val="IndexLink"/>
                <w:rtl w:val="true"/>
              </w:rPr>
              <w:t>استحباب الجهر بالقنوت</w:t>
            </w:r>
            <w:r>
              <w:rPr>
                <w:rStyle w:val="IndexLink"/>
                <w:rtl w:val="true"/>
              </w:rPr>
              <w:tab/>
            </w:r>
            <w:r>
              <w:rPr>
                <w:rStyle w:val="IndexLink"/>
              </w:rPr>
              <w:t>487</w:t>
            </w:r>
          </w:hyperlink>
        </w:p>
        <w:p>
          <w:pPr>
            <w:pStyle w:val="Contents3"/>
            <w:tabs>
              <w:tab w:val="clear" w:pos="8459"/>
              <w:tab w:val="right" w:pos="9026" w:leader="dot"/>
            </w:tabs>
            <w:rPr/>
          </w:pPr>
          <w:hyperlink w:anchor="__RefHeading___Toc1841363_2322387425">
            <w:r>
              <w:rPr>
                <w:webHidden/>
                <w:rStyle w:val="IndexLink"/>
                <w:rtl w:val="true"/>
              </w:rPr>
              <w:t>فی ما إذا نذر القنوت</w:t>
            </w:r>
            <w:r>
              <w:rPr>
                <w:rStyle w:val="IndexLink"/>
                <w:rtl w:val="true"/>
              </w:rPr>
              <w:tab/>
            </w:r>
            <w:r>
              <w:rPr>
                <w:rStyle w:val="IndexLink"/>
              </w:rPr>
              <w:t>487</w:t>
            </w:r>
          </w:hyperlink>
        </w:p>
        <w:p>
          <w:pPr>
            <w:pStyle w:val="Contents3"/>
            <w:tabs>
              <w:tab w:val="clear" w:pos="8459"/>
              <w:tab w:val="right" w:pos="9026" w:leader="dot"/>
            </w:tabs>
            <w:rPr/>
          </w:pPr>
          <w:hyperlink w:anchor="__RefHeading___Toc1841365_2322387425">
            <w:r>
              <w:rPr>
                <w:webHidden/>
                <w:rStyle w:val="IndexLink"/>
                <w:rtl w:val="true"/>
              </w:rPr>
              <w:t>حکم نسیان القنوت و ما یتعلق به</w:t>
            </w:r>
            <w:r>
              <w:rPr>
                <w:rStyle w:val="IndexLink"/>
                <w:rtl w:val="true"/>
              </w:rPr>
              <w:tab/>
            </w:r>
            <w:r>
              <w:rPr>
                <w:rStyle w:val="IndexLink"/>
              </w:rPr>
              <w:t>487</w:t>
            </w:r>
          </w:hyperlink>
        </w:p>
        <w:p>
          <w:pPr>
            <w:pStyle w:val="Contents3"/>
            <w:tabs>
              <w:tab w:val="clear" w:pos="8459"/>
              <w:tab w:val="right" w:pos="9026" w:leader="dot"/>
            </w:tabs>
            <w:rPr/>
          </w:pPr>
          <w:hyperlink w:anchor="__RefHeading___Toc1841367_2322387425">
            <w:r>
              <w:rPr>
                <w:webHidden/>
                <w:rStyle w:val="IndexLink"/>
                <w:rtl w:val="true"/>
              </w:rPr>
              <w:t>فی شرطیة القیام فی القنوت</w:t>
            </w:r>
            <w:r>
              <w:rPr>
                <w:rStyle w:val="IndexLink"/>
                <w:rtl w:val="true"/>
              </w:rPr>
              <w:tab/>
            </w:r>
            <w:r>
              <w:rPr>
                <w:rStyle w:val="IndexLink"/>
              </w:rPr>
              <w:t>488</w:t>
            </w:r>
          </w:hyperlink>
        </w:p>
        <w:p>
          <w:pPr>
            <w:pStyle w:val="Contents3"/>
            <w:tabs>
              <w:tab w:val="clear" w:pos="8459"/>
              <w:tab w:val="right" w:pos="9026" w:leader="dot"/>
            </w:tabs>
            <w:rPr/>
          </w:pPr>
          <w:hyperlink w:anchor="__RefHeading___Toc1841369_2322387425">
            <w:r>
              <w:rPr>
                <w:webHidden/>
                <w:rStyle w:val="IndexLink"/>
                <w:rtl w:val="true"/>
              </w:rPr>
              <w:t>صلاة المرأة کالرجل فی الواجبات و المستحبات، و بعض ما یستحب فی صلاتها</w:t>
            </w:r>
            <w:r>
              <w:rPr>
                <w:rStyle w:val="IndexLink"/>
                <w:rtl w:val="true"/>
              </w:rPr>
              <w:tab/>
            </w:r>
            <w:r>
              <w:rPr>
                <w:rStyle w:val="IndexLink"/>
              </w:rPr>
              <w:t>489</w:t>
            </w:r>
          </w:hyperlink>
        </w:p>
        <w:p>
          <w:pPr>
            <w:pStyle w:val="Contents3"/>
            <w:tabs>
              <w:tab w:val="clear" w:pos="8459"/>
              <w:tab w:val="right" w:pos="9026" w:leader="dot"/>
            </w:tabs>
            <w:rPr/>
          </w:pPr>
          <w:hyperlink w:anchor="__RefHeading___Toc1841371_2322387425">
            <w:r>
              <w:rPr>
                <w:webHidden/>
                <w:rStyle w:val="IndexLink"/>
                <w:rtl w:val="true"/>
              </w:rPr>
              <w:t>صلاة الصبی کالرجل، و الصبیة کالمرأة</w:t>
            </w:r>
            <w:r>
              <w:rPr>
                <w:rStyle w:val="IndexLink"/>
                <w:rtl w:val="true"/>
              </w:rPr>
              <w:tab/>
            </w:r>
            <w:r>
              <w:rPr>
                <w:rStyle w:val="IndexLink"/>
              </w:rPr>
              <w:t>489</w:t>
            </w:r>
          </w:hyperlink>
        </w:p>
        <w:p>
          <w:pPr>
            <w:pStyle w:val="Contents3"/>
            <w:tabs>
              <w:tab w:val="clear" w:pos="8459"/>
              <w:tab w:val="right" w:pos="9026" w:leader="dot"/>
            </w:tabs>
            <w:rPr/>
          </w:pPr>
          <w:hyperlink w:anchor="__RefHeading___Toc1841373_2322387425">
            <w:r>
              <w:rPr>
                <w:webHidden/>
                <w:rStyle w:val="IndexLink"/>
                <w:rtl w:val="true"/>
              </w:rPr>
              <w:t>بعض ما یستحب فی حال الصلاة</w:t>
            </w:r>
            <w:r>
              <w:rPr>
                <w:rStyle w:val="IndexLink"/>
                <w:rtl w:val="true"/>
              </w:rPr>
              <w:tab/>
            </w:r>
            <w:r>
              <w:rPr>
                <w:rStyle w:val="IndexLink"/>
              </w:rPr>
              <w:t>489</w:t>
            </w:r>
          </w:hyperlink>
        </w:p>
        <w:p>
          <w:pPr>
            <w:pStyle w:val="Contents2"/>
            <w:tabs>
              <w:tab w:val="clear" w:pos="8743"/>
              <w:tab w:val="right" w:pos="9026" w:leader="dot"/>
            </w:tabs>
            <w:rPr/>
          </w:pPr>
          <w:hyperlink w:anchor="__RefHeading___Toc1841375_2322387425">
            <w:r>
              <w:rPr>
                <w:webHidden/>
                <w:rStyle w:val="IndexLink"/>
                <w:rtl w:val="true"/>
              </w:rPr>
              <w:t>فصل فی التعقیب</w:t>
            </w:r>
            <w:r>
              <w:rPr>
                <w:rStyle w:val="IndexLink"/>
                <w:rtl w:val="true"/>
              </w:rPr>
              <w:tab/>
            </w:r>
            <w:r>
              <w:rPr>
                <w:rStyle w:val="IndexLink"/>
              </w:rPr>
              <w:t>491</w:t>
            </w:r>
          </w:hyperlink>
        </w:p>
        <w:p>
          <w:pPr>
            <w:pStyle w:val="Contents3"/>
            <w:tabs>
              <w:tab w:val="clear" w:pos="8459"/>
              <w:tab w:val="right" w:pos="9026" w:leader="dot"/>
            </w:tabs>
            <w:rPr/>
          </w:pPr>
          <w:hyperlink w:anchor="__RefHeading___Toc1841377_2322387425">
            <w:r>
              <w:rPr>
                <w:webHidden/>
                <w:rStyle w:val="IndexLink"/>
                <w:rtl w:val="true"/>
              </w:rPr>
              <w:t>مالمراد من التعقیب</w:t>
            </w:r>
            <w:r>
              <w:rPr>
                <w:rStyle w:val="IndexLink"/>
                <w:rtl w:val="true"/>
              </w:rPr>
              <w:tab/>
            </w:r>
            <w:r>
              <w:rPr>
                <w:rStyle w:val="IndexLink"/>
              </w:rPr>
              <w:t>491</w:t>
            </w:r>
          </w:hyperlink>
        </w:p>
        <w:p>
          <w:pPr>
            <w:pStyle w:val="Contents3"/>
            <w:tabs>
              <w:tab w:val="clear" w:pos="8459"/>
              <w:tab w:val="right" w:pos="9026" w:leader="dot"/>
            </w:tabs>
            <w:rPr/>
          </w:pPr>
          <w:hyperlink w:anchor="__RefHeading___Toc1841379_2322387425">
            <w:r>
              <w:rPr>
                <w:webHidden/>
                <w:rStyle w:val="IndexLink"/>
                <w:rtl w:val="true"/>
              </w:rPr>
              <w:t>حکم التعقیب و ما یقصد فیه</w:t>
            </w:r>
            <w:r>
              <w:rPr>
                <w:rStyle w:val="IndexLink"/>
                <w:rtl w:val="true"/>
              </w:rPr>
              <w:tab/>
            </w:r>
            <w:r>
              <w:rPr>
                <w:rStyle w:val="IndexLink"/>
              </w:rPr>
              <w:t>491</w:t>
            </w:r>
          </w:hyperlink>
        </w:p>
        <w:p>
          <w:pPr>
            <w:pStyle w:val="Contents3"/>
            <w:tabs>
              <w:tab w:val="clear" w:pos="8459"/>
              <w:tab w:val="right" w:pos="9026" w:leader="dot"/>
            </w:tabs>
            <w:rPr/>
          </w:pPr>
          <w:hyperlink w:anchor="__RefHeading___Toc1841381_2322387425">
            <w:r>
              <w:rPr>
                <w:webHidden/>
                <w:rStyle w:val="IndexLink"/>
                <w:rtl w:val="true"/>
              </w:rPr>
              <w:t>ذکر امور فی التعقیب</w:t>
            </w:r>
            <w:r>
              <w:rPr>
                <w:rStyle w:val="IndexLink"/>
                <w:rtl w:val="true"/>
              </w:rPr>
              <w:t>:</w:t>
              <w:tab/>
            </w:r>
            <w:r>
              <w:rPr>
                <w:rStyle w:val="IndexLink"/>
              </w:rPr>
              <w:t>492</w:t>
            </w:r>
          </w:hyperlink>
        </w:p>
        <w:p>
          <w:pPr>
            <w:pStyle w:val="Contents3"/>
            <w:tabs>
              <w:tab w:val="clear" w:pos="8459"/>
              <w:tab w:val="right" w:pos="9026" w:leader="dot"/>
            </w:tabs>
            <w:rPr/>
          </w:pPr>
          <w:hyperlink w:anchor="__RefHeading___Toc1841383_2322387425">
            <w:r>
              <w:rPr>
                <w:webHidden/>
                <w:rStyle w:val="IndexLink"/>
                <w:rtl w:val="true"/>
              </w:rPr>
              <w:t>أحدها</w:t>
            </w:r>
            <w:r>
              <w:rPr>
                <w:rStyle w:val="IndexLink"/>
                <w:rtl w:val="true"/>
              </w:rPr>
              <w:t xml:space="preserve">: </w:t>
            </w:r>
            <w:r>
              <w:rPr>
                <w:rStyle w:val="IndexLink"/>
                <w:rtl w:val="true"/>
              </w:rPr>
              <w:t>أن یکبر ثلاثاً بعد التسلیم</w:t>
            </w:r>
            <w:r>
              <w:rPr>
                <w:rStyle w:val="IndexLink"/>
                <w:rtl w:val="true"/>
              </w:rPr>
              <w:tab/>
            </w:r>
            <w:r>
              <w:rPr>
                <w:rStyle w:val="IndexLink"/>
              </w:rPr>
              <w:t>492</w:t>
            </w:r>
          </w:hyperlink>
        </w:p>
        <w:p>
          <w:pPr>
            <w:pStyle w:val="Contents3"/>
            <w:tabs>
              <w:tab w:val="clear" w:pos="8459"/>
              <w:tab w:val="right" w:pos="9026" w:leader="dot"/>
            </w:tabs>
            <w:rPr/>
          </w:pPr>
          <w:hyperlink w:anchor="__RefHeading___Toc1841385_2322387425">
            <w:r>
              <w:rPr>
                <w:webHidden/>
                <w:rStyle w:val="IndexLink"/>
                <w:rtl w:val="true"/>
              </w:rPr>
              <w:t>الثانی</w:t>
            </w:r>
            <w:r>
              <w:rPr>
                <w:rStyle w:val="IndexLink"/>
                <w:rtl w:val="true"/>
              </w:rPr>
              <w:t xml:space="preserve">: </w:t>
            </w:r>
            <w:r>
              <w:rPr>
                <w:rStyle w:val="IndexLink"/>
                <w:rtl w:val="true"/>
              </w:rPr>
              <w:t>تسبیح الزهراء علیهاالسلام، و ذکر فضله و کیفیته</w:t>
            </w:r>
            <w:r>
              <w:rPr>
                <w:rStyle w:val="IndexLink"/>
                <w:rtl w:val="true"/>
              </w:rPr>
              <w:tab/>
            </w:r>
            <w:r>
              <w:rPr>
                <w:rStyle w:val="IndexLink"/>
              </w:rPr>
              <w:t>492</w:t>
            </w:r>
          </w:hyperlink>
        </w:p>
        <w:p>
          <w:pPr>
            <w:pStyle w:val="Contents3"/>
            <w:tabs>
              <w:tab w:val="clear" w:pos="8459"/>
              <w:tab w:val="right" w:pos="9026" w:leader="dot"/>
            </w:tabs>
            <w:rPr/>
          </w:pPr>
          <w:hyperlink w:anchor="__RefHeading___Toc1841387_2322387425">
            <w:r>
              <w:rPr>
                <w:webHidden/>
                <w:rStyle w:val="IndexLink"/>
                <w:rtl w:val="true"/>
              </w:rPr>
              <w:t>استحباب کون السبحة من طین قبر الحسین علیه 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1841389_2322387425">
            <w:r>
              <w:rPr>
                <w:webHidden/>
                <w:rStyle w:val="IndexLink"/>
                <w:rtl w:val="true"/>
              </w:rPr>
              <w:t>فی ما لو شک فی تسبیح الزهراء علیهاالسلام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1841391_2322387425">
            <w:r>
              <w:rPr>
                <w:webHidden/>
                <w:rStyle w:val="IndexLink"/>
                <w:rtl w:val="true"/>
              </w:rPr>
              <w:t>الثالث</w:t>
            </w:r>
            <w:r>
              <w:rPr>
                <w:rStyle w:val="IndexLink"/>
                <w:rtl w:val="true"/>
              </w:rPr>
              <w:t xml:space="preserve">: </w:t>
            </w:r>
            <w:r>
              <w:rPr>
                <w:rStyle w:val="IndexLink"/>
                <w:rtl w:val="true"/>
              </w:rPr>
              <w:t xml:space="preserve">دعاء </w:t>
            </w:r>
            <w:r>
              <w:rPr>
                <w:rStyle w:val="IndexLink"/>
                <w:rtl w:val="true"/>
              </w:rPr>
              <w:t>«</w:t>
            </w:r>
            <w:r>
              <w:rPr>
                <w:rStyle w:val="IndexLink"/>
                <w:rtl w:val="true"/>
              </w:rPr>
              <w:t xml:space="preserve">لا إله إلا الله وحده وحده </w:t>
            </w:r>
            <w:r>
              <w:rPr>
                <w:rStyle w:val="IndexLink"/>
                <w:rtl w:val="true"/>
              </w:rPr>
              <w:t xml:space="preserve">... </w:t>
            </w:r>
            <w:r>
              <w:rPr>
                <w:rStyle w:val="IndexLink"/>
                <w:rtl w:val="true"/>
              </w:rPr>
              <w:t>إنک علی کل شیءٍ قدیر</w:t>
            </w:r>
            <w:r>
              <w:rPr>
                <w:rStyle w:val="IndexLink"/>
                <w:rtl w:val="true"/>
              </w:rPr>
              <w:t>»</w:t>
              <w:tab/>
            </w:r>
            <w:r>
              <w:rPr>
                <w:rStyle w:val="IndexLink"/>
              </w:rPr>
              <w:t>496</w:t>
            </w:r>
          </w:hyperlink>
        </w:p>
        <w:p>
          <w:pPr>
            <w:pStyle w:val="Contents3"/>
            <w:tabs>
              <w:tab w:val="clear" w:pos="8459"/>
              <w:tab w:val="right" w:pos="9026" w:leader="dot"/>
            </w:tabs>
            <w:rPr/>
          </w:pPr>
          <w:hyperlink w:anchor="__RefHeading___Toc1841393_2322387425">
            <w:r>
              <w:rPr>
                <w:webHidden/>
                <w:rStyle w:val="IndexLink"/>
                <w:rtl w:val="true"/>
              </w:rPr>
              <w:t>الرابع</w:t>
            </w:r>
            <w:r>
              <w:rPr>
                <w:rStyle w:val="IndexLink"/>
                <w:rtl w:val="true"/>
              </w:rPr>
              <w:t>:«</w:t>
            </w:r>
            <w:r>
              <w:rPr>
                <w:rStyle w:val="IndexLink"/>
                <w:rtl w:val="true"/>
              </w:rPr>
              <w:t xml:space="preserve">اللهم اهدنی من عندک، و أفض علی </w:t>
            </w:r>
            <w:r>
              <w:rPr>
                <w:rStyle w:val="IndexLink"/>
                <w:rtl w:val="true"/>
              </w:rPr>
              <w:t xml:space="preserve">... </w:t>
            </w:r>
            <w:r>
              <w:rPr>
                <w:rStyle w:val="IndexLink"/>
                <w:rtl w:val="true"/>
              </w:rPr>
              <w:t>من برکاتک</w:t>
            </w:r>
            <w:r>
              <w:rPr>
                <w:rStyle w:val="IndexLink"/>
                <w:rtl w:val="true"/>
              </w:rPr>
              <w:t>»</w:t>
              <w:tab/>
            </w:r>
            <w:r>
              <w:rPr>
                <w:rStyle w:val="IndexLink"/>
              </w:rPr>
              <w:t>496</w:t>
            </w:r>
          </w:hyperlink>
        </w:p>
        <w:p>
          <w:pPr>
            <w:pStyle w:val="Contents3"/>
            <w:tabs>
              <w:tab w:val="clear" w:pos="8459"/>
              <w:tab w:val="right" w:pos="9026" w:leader="dot"/>
            </w:tabs>
            <w:rPr/>
          </w:pPr>
          <w:hyperlink w:anchor="__RefHeading___Toc1841395_2322387425">
            <w:r>
              <w:rPr>
                <w:webHidden/>
                <w:rStyle w:val="IndexLink"/>
                <w:rtl w:val="true"/>
              </w:rPr>
              <w:t>الخامس</w:t>
            </w:r>
            <w:r>
              <w:rPr>
                <w:rStyle w:val="IndexLink"/>
                <w:rtl w:val="true"/>
              </w:rPr>
              <w:t>:«</w:t>
            </w:r>
            <w:r>
              <w:rPr>
                <w:rStyle w:val="IndexLink"/>
                <w:rtl w:val="true"/>
              </w:rPr>
              <w:t>سبحان الله، والحمد لله، و لا إله إلا الله و الله أکبر</w:t>
            </w:r>
            <w:r>
              <w:rPr>
                <w:rStyle w:val="IndexLink"/>
                <w:rtl w:val="true"/>
              </w:rPr>
              <w:t xml:space="preserve">» </w:t>
            </w:r>
            <w:r>
              <w:rPr>
                <w:rStyle w:val="IndexLink"/>
                <w:rtl w:val="true"/>
              </w:rPr>
              <w:t>مائة مرة أو أربعین أو ثلاثین</w:t>
            </w:r>
            <w:r>
              <w:rPr>
                <w:rStyle w:val="IndexLink"/>
                <w:rtl w:val="true"/>
              </w:rPr>
              <w:tab/>
            </w:r>
            <w:r>
              <w:rPr>
                <w:rStyle w:val="IndexLink"/>
              </w:rPr>
              <w:t>496</w:t>
            </w:r>
          </w:hyperlink>
        </w:p>
        <w:p>
          <w:pPr>
            <w:pStyle w:val="Contents3"/>
            <w:tabs>
              <w:tab w:val="clear" w:pos="8459"/>
              <w:tab w:val="right" w:pos="9026" w:leader="dot"/>
            </w:tabs>
            <w:rPr/>
          </w:pPr>
          <w:hyperlink w:anchor="__RefHeading___Toc1841397_2322387425">
            <w:r>
              <w:rPr>
                <w:webHidden/>
                <w:rStyle w:val="IndexLink"/>
                <w:rtl w:val="true"/>
              </w:rPr>
              <w:t>السادس</w:t>
            </w:r>
            <w:r>
              <w:rPr>
                <w:rStyle w:val="IndexLink"/>
                <w:rtl w:val="true"/>
              </w:rPr>
              <w:t xml:space="preserve">:« </w:t>
            </w:r>
            <w:r>
              <w:rPr>
                <w:rStyle w:val="IndexLink"/>
                <w:rtl w:val="true"/>
              </w:rPr>
              <w:t>اللهم صل علی محمد و آل محمد، و أجرنی من النار</w:t>
            </w:r>
            <w:r>
              <w:rPr>
                <w:rStyle w:val="IndexLink"/>
                <w:rtl w:val="true"/>
              </w:rPr>
              <w:t xml:space="preserve">... </w:t>
            </w:r>
            <w:r>
              <w:rPr>
                <w:rStyle w:val="IndexLink"/>
                <w:rtl w:val="true"/>
              </w:rPr>
              <w:t>الحور العین</w:t>
            </w:r>
            <w:r>
              <w:rPr>
                <w:rStyle w:val="IndexLink"/>
                <w:rtl w:val="true"/>
              </w:rPr>
              <w:t>»</w:t>
              <w:tab/>
            </w:r>
            <w:r>
              <w:rPr>
                <w:rStyle w:val="IndexLink"/>
              </w:rPr>
              <w:t>496</w:t>
            </w:r>
          </w:hyperlink>
        </w:p>
        <w:p>
          <w:pPr>
            <w:pStyle w:val="Contents3"/>
            <w:tabs>
              <w:tab w:val="clear" w:pos="8459"/>
              <w:tab w:val="right" w:pos="9026" w:leader="dot"/>
            </w:tabs>
            <w:rPr/>
          </w:pPr>
          <w:hyperlink w:anchor="__RefHeading___Toc1841399_2322387425">
            <w:r>
              <w:rPr>
                <w:webHidden/>
                <w:rStyle w:val="IndexLink"/>
                <w:rtl w:val="true"/>
              </w:rPr>
              <w:t>السابع</w:t>
            </w:r>
            <w:r>
              <w:rPr>
                <w:rStyle w:val="IndexLink"/>
                <w:rtl w:val="true"/>
              </w:rPr>
              <w:t>:«</w:t>
            </w:r>
            <w:r>
              <w:rPr>
                <w:rStyle w:val="IndexLink"/>
                <w:rtl w:val="true"/>
              </w:rPr>
              <w:t>أعوذ بوجهک الکریم</w:t>
            </w:r>
            <w:r>
              <w:rPr>
                <w:rStyle w:val="IndexLink"/>
                <w:rtl w:val="true"/>
              </w:rPr>
              <w:t xml:space="preserve">... </w:t>
            </w:r>
            <w:r>
              <w:rPr>
                <w:rStyle w:val="IndexLink"/>
                <w:rtl w:val="true"/>
              </w:rPr>
              <w:t>و لا قوة إلا بالله العلی العظیم</w:t>
            </w:r>
            <w:r>
              <w:rPr>
                <w:rStyle w:val="IndexLink"/>
                <w:rtl w:val="true"/>
              </w:rPr>
              <w:t>»</w:t>
              <w:tab/>
            </w:r>
            <w:r>
              <w:rPr>
                <w:rStyle w:val="IndexLink"/>
              </w:rPr>
              <w:t>496</w:t>
            </w:r>
          </w:hyperlink>
        </w:p>
        <w:p>
          <w:pPr>
            <w:pStyle w:val="Contents3"/>
            <w:tabs>
              <w:tab w:val="clear" w:pos="8459"/>
              <w:tab w:val="right" w:pos="9026" w:leader="dot"/>
            </w:tabs>
            <w:rPr/>
          </w:pPr>
          <w:hyperlink w:anchor="__RefHeading___Toc1841401_2322387425">
            <w:r>
              <w:rPr>
                <w:webHidden/>
                <w:rStyle w:val="IndexLink"/>
                <w:rtl w:val="true"/>
              </w:rPr>
              <w:t>الثامن</w:t>
            </w:r>
            <w:r>
              <w:rPr>
                <w:rStyle w:val="IndexLink"/>
                <w:rtl w:val="true"/>
              </w:rPr>
              <w:t xml:space="preserve">: </w:t>
            </w:r>
            <w:r>
              <w:rPr>
                <w:rStyle w:val="IndexLink"/>
                <w:rtl w:val="true"/>
              </w:rPr>
              <w:t xml:space="preserve">قراءة الحمد و آیة الکرسی و آیة </w:t>
            </w:r>
            <w:r>
              <w:rPr>
                <w:rStyle w:val="IndexLink"/>
                <w:rtl w:val="true"/>
              </w:rPr>
              <w:t>«</w:t>
            </w:r>
            <w:r>
              <w:rPr>
                <w:rStyle w:val="IndexLink"/>
                <w:rtl w:val="true"/>
              </w:rPr>
              <w:t>شهد الله أنه</w:t>
            </w:r>
            <w:r>
              <w:rPr>
                <w:rStyle w:val="IndexLink"/>
                <w:rtl w:val="true"/>
              </w:rPr>
              <w:t xml:space="preserve">...» </w:t>
            </w:r>
            <w:r>
              <w:rPr>
                <w:rStyle w:val="IndexLink"/>
                <w:rtl w:val="true"/>
              </w:rPr>
              <w:t>و آیة الملک</w:t>
            </w:r>
            <w:r>
              <w:rPr>
                <w:rStyle w:val="IndexLink"/>
                <w:rtl w:val="true"/>
              </w:rPr>
              <w:tab/>
            </w:r>
            <w:r>
              <w:rPr>
                <w:rStyle w:val="IndexLink"/>
              </w:rPr>
              <w:t>497</w:t>
            </w:r>
          </w:hyperlink>
        </w:p>
        <w:p>
          <w:pPr>
            <w:pStyle w:val="Contents3"/>
            <w:tabs>
              <w:tab w:val="clear" w:pos="8459"/>
              <w:tab w:val="right" w:pos="9026" w:leader="dot"/>
            </w:tabs>
            <w:rPr/>
          </w:pPr>
          <w:hyperlink w:anchor="__RefHeading___Toc1841403_2322387425">
            <w:r>
              <w:rPr>
                <w:webHidden/>
                <w:rStyle w:val="IndexLink"/>
                <w:rtl w:val="true"/>
              </w:rPr>
              <w:t>التاسع</w:t>
            </w:r>
            <w:r>
              <w:rPr>
                <w:rStyle w:val="IndexLink"/>
                <w:rtl w:val="true"/>
              </w:rPr>
              <w:t>: «</w:t>
            </w:r>
            <w:r>
              <w:rPr>
                <w:rStyle w:val="IndexLink"/>
                <w:rtl w:val="true"/>
              </w:rPr>
              <w:t xml:space="preserve">اللهم إنی أسألک من کل خیر أحاط به علمک </w:t>
            </w:r>
            <w:r>
              <w:rPr>
                <w:rStyle w:val="IndexLink"/>
                <w:rtl w:val="true"/>
              </w:rPr>
              <w:t xml:space="preserve">... </w:t>
            </w:r>
            <w:r>
              <w:rPr>
                <w:rStyle w:val="IndexLink"/>
                <w:rtl w:val="true"/>
              </w:rPr>
              <w:t>و عذاب الآخرة</w:t>
            </w:r>
            <w:r>
              <w:rPr>
                <w:rStyle w:val="IndexLink"/>
                <w:rtl w:val="true"/>
              </w:rPr>
              <w:t>»</w:t>
              <w:tab/>
            </w:r>
            <w:r>
              <w:rPr>
                <w:rStyle w:val="IndexLink"/>
              </w:rPr>
              <w:t>497</w:t>
            </w:r>
          </w:hyperlink>
        </w:p>
        <w:p>
          <w:pPr>
            <w:pStyle w:val="Contents3"/>
            <w:tabs>
              <w:tab w:val="clear" w:pos="8459"/>
              <w:tab w:val="right" w:pos="9026" w:leader="dot"/>
            </w:tabs>
            <w:rPr/>
          </w:pPr>
          <w:hyperlink w:anchor="__RefHeading___Toc1841405_2322387425">
            <w:r>
              <w:rPr>
                <w:webHidden/>
                <w:rStyle w:val="IndexLink"/>
                <w:rtl w:val="true"/>
              </w:rPr>
              <w:t>العاشر</w:t>
            </w:r>
            <w:r>
              <w:rPr>
                <w:rStyle w:val="IndexLink"/>
                <w:rtl w:val="true"/>
              </w:rPr>
              <w:t>: «</w:t>
            </w:r>
            <w:r>
              <w:rPr>
                <w:rStyle w:val="IndexLink"/>
                <w:rtl w:val="true"/>
              </w:rPr>
              <w:t>اعیذ نفسی و ما رزقنی ربی</w:t>
            </w:r>
            <w:r>
              <w:rPr>
                <w:rStyle w:val="IndexLink"/>
                <w:rtl w:val="true"/>
              </w:rPr>
              <w:t>...»</w:t>
            </w:r>
            <w:r>
              <w:rPr>
                <w:rStyle w:val="IndexLink"/>
                <w:rtl w:val="true"/>
              </w:rPr>
              <w:t xml:space="preserve">، و </w:t>
            </w:r>
            <w:r>
              <w:rPr>
                <w:rStyle w:val="IndexLink"/>
                <w:rtl w:val="true"/>
              </w:rPr>
              <w:t>«</w:t>
            </w:r>
            <w:r>
              <w:rPr>
                <w:rStyle w:val="IndexLink"/>
                <w:rtl w:val="true"/>
              </w:rPr>
              <w:t>اعیذ نفسی</w:t>
            </w:r>
            <w:r>
              <w:rPr>
                <w:rStyle w:val="IndexLink"/>
                <w:rtl w:val="true"/>
              </w:rPr>
              <w:t>...»</w:t>
              <w:tab/>
            </w:r>
            <w:r>
              <w:rPr>
                <w:rStyle w:val="IndexLink"/>
              </w:rPr>
              <w:t>497</w:t>
            </w:r>
          </w:hyperlink>
        </w:p>
        <w:p>
          <w:pPr>
            <w:pStyle w:val="Contents3"/>
            <w:tabs>
              <w:tab w:val="clear" w:pos="8459"/>
              <w:tab w:val="right" w:pos="9026" w:leader="dot"/>
            </w:tabs>
            <w:rPr/>
          </w:pPr>
          <w:hyperlink w:anchor="__RefHeading___Toc1841407_2322387425">
            <w:r>
              <w:rPr>
                <w:webHidden/>
                <w:rStyle w:val="IndexLink"/>
                <w:rtl w:val="true"/>
              </w:rPr>
              <w:t>الحادی عشر</w:t>
            </w:r>
            <w:r>
              <w:rPr>
                <w:rStyle w:val="IndexLink"/>
                <w:rtl w:val="true"/>
              </w:rPr>
              <w:t xml:space="preserve">: </w:t>
            </w:r>
            <w:r>
              <w:rPr>
                <w:rStyle w:val="IndexLink"/>
                <w:rtl w:val="true"/>
              </w:rPr>
              <w:t>أن یقرأ سورة التوحید اثنتی عشرة مرة، ثم یقرأ الدعاء الوارد بعدها</w:t>
            </w:r>
            <w:r>
              <w:rPr>
                <w:rStyle w:val="IndexLink"/>
                <w:rtl w:val="true"/>
              </w:rPr>
              <w:tab/>
            </w:r>
            <w:r>
              <w:rPr>
                <w:rStyle w:val="IndexLink"/>
              </w:rPr>
              <w:t>497</w:t>
            </w:r>
          </w:hyperlink>
        </w:p>
        <w:p>
          <w:pPr>
            <w:pStyle w:val="Contents3"/>
            <w:tabs>
              <w:tab w:val="clear" w:pos="8459"/>
              <w:tab w:val="right" w:pos="9026" w:leader="dot"/>
            </w:tabs>
            <w:rPr/>
          </w:pPr>
          <w:hyperlink w:anchor="__RefHeading___Toc1841409_2322387425">
            <w:r>
              <w:rPr>
                <w:webHidden/>
                <w:rStyle w:val="IndexLink"/>
                <w:rtl w:val="true"/>
              </w:rPr>
              <w:t>الثانی عشر</w:t>
            </w:r>
            <w:r>
              <w:rPr>
                <w:rStyle w:val="IndexLink"/>
                <w:rtl w:val="true"/>
              </w:rPr>
              <w:t xml:space="preserve">: </w:t>
            </w:r>
            <w:r>
              <w:rPr>
                <w:rStyle w:val="IndexLink"/>
                <w:rtl w:val="true"/>
              </w:rPr>
              <w:t>الشهادتان والإقرار بالأئمة علیهم السلام</w:t>
            </w:r>
            <w:r>
              <w:rPr>
                <w:rStyle w:val="IndexLink"/>
                <w:rtl w:val="true"/>
              </w:rPr>
              <w:tab/>
            </w:r>
            <w:r>
              <w:rPr>
                <w:rStyle w:val="IndexLink"/>
              </w:rPr>
              <w:t>498</w:t>
            </w:r>
          </w:hyperlink>
        </w:p>
        <w:p>
          <w:pPr>
            <w:pStyle w:val="Contents3"/>
            <w:tabs>
              <w:tab w:val="clear" w:pos="8459"/>
              <w:tab w:val="right" w:pos="9026" w:leader="dot"/>
            </w:tabs>
            <w:rPr/>
          </w:pPr>
          <w:hyperlink w:anchor="__RefHeading___Toc1841411_2322387425">
            <w:r>
              <w:rPr>
                <w:webHidden/>
                <w:rStyle w:val="IndexLink"/>
                <w:rtl w:val="true"/>
              </w:rPr>
              <w:t>الثالث عشر</w:t>
            </w:r>
            <w:r>
              <w:rPr>
                <w:rStyle w:val="IndexLink"/>
                <w:rtl w:val="true"/>
              </w:rPr>
              <w:t xml:space="preserve">: </w:t>
            </w:r>
            <w:r>
              <w:rPr>
                <w:rStyle w:val="IndexLink"/>
                <w:rtl w:val="true"/>
              </w:rPr>
              <w:t>قبل أن یثنی رجلیه یقول ثلاث مرات</w:t>
            </w:r>
            <w:r>
              <w:rPr>
                <w:rStyle w:val="IndexLink"/>
                <w:rtl w:val="true"/>
              </w:rPr>
              <w:t xml:space="preserve">»« </w:t>
            </w:r>
            <w:r>
              <w:rPr>
                <w:rStyle w:val="IndexLink"/>
                <w:rtl w:val="true"/>
              </w:rPr>
              <w:t>أستغفر الله الذی</w:t>
            </w:r>
            <w:r>
              <w:rPr>
                <w:rStyle w:val="IndexLink"/>
                <w:rtl w:val="true"/>
              </w:rPr>
              <w:t xml:space="preserve">... </w:t>
            </w:r>
            <w:r>
              <w:rPr>
                <w:rStyle w:val="IndexLink"/>
                <w:rtl w:val="true"/>
              </w:rPr>
              <w:t>و أتوب إلیه</w:t>
            </w:r>
            <w:r>
              <w:rPr>
                <w:rStyle w:val="IndexLink"/>
                <w:rtl w:val="true"/>
              </w:rPr>
              <w:t>»</w:t>
              <w:tab/>
            </w:r>
            <w:r>
              <w:rPr>
                <w:rStyle w:val="IndexLink"/>
              </w:rPr>
              <w:t>498</w:t>
            </w:r>
          </w:hyperlink>
        </w:p>
        <w:p>
          <w:pPr>
            <w:pStyle w:val="Contents3"/>
            <w:tabs>
              <w:tab w:val="clear" w:pos="8459"/>
              <w:tab w:val="right" w:pos="9026" w:leader="dot"/>
            </w:tabs>
            <w:rPr/>
          </w:pPr>
          <w:hyperlink w:anchor="__RefHeading___Toc1841413_2322387425">
            <w:r>
              <w:rPr>
                <w:webHidden/>
                <w:rStyle w:val="IndexLink"/>
                <w:rtl w:val="true"/>
              </w:rPr>
              <w:t>الرابع عشر</w:t>
            </w:r>
            <w:r>
              <w:rPr>
                <w:rStyle w:val="IndexLink"/>
                <w:rtl w:val="true"/>
              </w:rPr>
              <w:t xml:space="preserve">: </w:t>
            </w:r>
            <w:r>
              <w:rPr>
                <w:rStyle w:val="IndexLink"/>
                <w:rtl w:val="true"/>
              </w:rPr>
              <w:t xml:space="preserve">دعاء الحفظ من النسیان، و هو </w:t>
            </w:r>
            <w:r>
              <w:rPr>
                <w:rStyle w:val="IndexLink"/>
                <w:rtl w:val="true"/>
              </w:rPr>
              <w:t>:«</w:t>
            </w:r>
            <w:r>
              <w:rPr>
                <w:rStyle w:val="IndexLink"/>
                <w:rtl w:val="true"/>
              </w:rPr>
              <w:t>سبحان من لا یعتدی علی أهل مملکته قدیر</w:t>
            </w:r>
            <w:r>
              <w:rPr>
                <w:rStyle w:val="IndexLink"/>
                <w:rtl w:val="true"/>
              </w:rPr>
              <w:t>»</w:t>
              <w:tab/>
            </w:r>
            <w:r>
              <w:rPr>
                <w:rStyle w:val="IndexLink"/>
              </w:rPr>
              <w:t>498</w:t>
            </w:r>
          </w:hyperlink>
        </w:p>
        <w:p>
          <w:pPr>
            <w:pStyle w:val="Contents3"/>
            <w:tabs>
              <w:tab w:val="clear" w:pos="8459"/>
              <w:tab w:val="right" w:pos="9026" w:leader="dot"/>
            </w:tabs>
            <w:rPr/>
          </w:pPr>
          <w:hyperlink w:anchor="__RefHeading___Toc1841415_2322387425">
            <w:r>
              <w:rPr>
                <w:webHidden/>
                <w:rStyle w:val="IndexLink"/>
                <w:rtl w:val="true"/>
              </w:rPr>
              <w:t>استحباب الجلوس فی المصلی بعد صلاة الصبح إلی طلوع الشمس مشتغلاً بذکر الله</w:t>
            </w:r>
            <w:r>
              <w:rPr>
                <w:rStyle w:val="IndexLink"/>
                <w:rtl w:val="true"/>
              </w:rPr>
              <w:tab/>
            </w:r>
            <w:r>
              <w:rPr>
                <w:rStyle w:val="IndexLink"/>
              </w:rPr>
              <w:t>498</w:t>
            </w:r>
          </w:hyperlink>
        </w:p>
        <w:p>
          <w:pPr>
            <w:pStyle w:val="Contents3"/>
            <w:tabs>
              <w:tab w:val="clear" w:pos="8459"/>
              <w:tab w:val="right" w:pos="9026" w:leader="dot"/>
            </w:tabs>
            <w:rPr/>
          </w:pPr>
          <w:hyperlink w:anchor="__RefHeading___Toc1841417_2322387425">
            <w:r>
              <w:rPr>
                <w:webHidden/>
                <w:rStyle w:val="IndexLink"/>
                <w:rtl w:val="true"/>
              </w:rPr>
              <w:t>الدعاء بعد الفریضة أفضل من الصلاة بعدها، و هو أفضل من الدعاء بعد النافلة</w:t>
            </w:r>
            <w:r>
              <w:rPr>
                <w:rStyle w:val="IndexLink"/>
                <w:rtl w:val="true"/>
              </w:rPr>
              <w:tab/>
            </w:r>
            <w:r>
              <w:rPr>
                <w:rStyle w:val="IndexLink"/>
              </w:rPr>
              <w:t>498</w:t>
            </w:r>
          </w:hyperlink>
        </w:p>
        <w:p>
          <w:pPr>
            <w:pStyle w:val="Contents3"/>
            <w:tabs>
              <w:tab w:val="clear" w:pos="8459"/>
              <w:tab w:val="right" w:pos="9026" w:leader="dot"/>
            </w:tabs>
            <w:rPr/>
          </w:pPr>
          <w:hyperlink w:anchor="__RefHeading___Toc1841419_2322387425">
            <w:r>
              <w:rPr>
                <w:webHidden/>
                <w:rStyle w:val="IndexLink"/>
                <w:rtl w:val="true"/>
              </w:rPr>
              <w:t>استحباب سجود الشکر بعد کل صلاة</w:t>
            </w:r>
            <w:r>
              <w:rPr>
                <w:rStyle w:val="IndexLink"/>
                <w:rtl w:val="true"/>
              </w:rPr>
              <w:tab/>
            </w:r>
            <w:r>
              <w:rPr>
                <w:rStyle w:val="IndexLink"/>
              </w:rPr>
              <w:t>498</w:t>
            </w:r>
          </w:hyperlink>
        </w:p>
        <w:p>
          <w:pPr>
            <w:pStyle w:val="Contents2"/>
            <w:tabs>
              <w:tab w:val="clear" w:pos="8743"/>
              <w:tab w:val="right" w:pos="9026" w:leader="dot"/>
            </w:tabs>
            <w:rPr/>
          </w:pPr>
          <w:hyperlink w:anchor="__RefHeading___Toc1841421_2322387425">
            <w:r>
              <w:rPr>
                <w:webHidden/>
                <w:rStyle w:val="IndexLink"/>
                <w:rtl w:val="true"/>
              </w:rPr>
              <w:t>فصل استحباب الصلاة علی النبیّ صلی‌الله‌علیه‌و‌آله</w:t>
            </w:r>
            <w:r>
              <w:rPr>
                <w:rStyle w:val="IndexLink"/>
                <w:rtl w:val="true"/>
              </w:rPr>
              <w:tab/>
            </w:r>
            <w:r>
              <w:rPr>
                <w:rStyle w:val="IndexLink"/>
              </w:rPr>
              <w:t>499</w:t>
            </w:r>
          </w:hyperlink>
        </w:p>
        <w:p>
          <w:pPr>
            <w:pStyle w:val="Contents3"/>
            <w:tabs>
              <w:tab w:val="clear" w:pos="8459"/>
              <w:tab w:val="right" w:pos="9026" w:leader="dot"/>
            </w:tabs>
            <w:rPr/>
          </w:pPr>
          <w:hyperlink w:anchor="__RefHeading___Toc1841423_2322387425">
            <w:r>
              <w:rPr>
                <w:webHidden/>
                <w:rStyle w:val="IndexLink"/>
                <w:rtl w:val="true"/>
              </w:rPr>
              <w:t>استحباب الصلاة علی النبی حیثما ذکر أو ذکر عنده</w:t>
            </w:r>
            <w:r>
              <w:rPr>
                <w:rStyle w:val="IndexLink"/>
                <w:rtl w:val="true"/>
              </w:rPr>
              <w:tab/>
            </w:r>
            <w:r>
              <w:rPr>
                <w:rStyle w:val="IndexLink"/>
              </w:rPr>
              <w:t>499</w:t>
            </w:r>
          </w:hyperlink>
        </w:p>
        <w:p>
          <w:pPr>
            <w:pStyle w:val="Contents3"/>
            <w:tabs>
              <w:tab w:val="clear" w:pos="8459"/>
              <w:tab w:val="right" w:pos="9026" w:leader="dot"/>
            </w:tabs>
            <w:rPr/>
          </w:pPr>
          <w:hyperlink w:anchor="__RefHeading___Toc1841425_2322387425">
            <w:r>
              <w:rPr>
                <w:webHidden/>
                <w:rStyle w:val="IndexLink"/>
                <w:rtl w:val="true"/>
              </w:rPr>
              <w:t>یستحب تکرار الصلاة علیه إذا ذکر اسمه صلی الله علیه و آله مکرراً</w:t>
            </w:r>
            <w:r>
              <w:rPr>
                <w:rStyle w:val="IndexLink"/>
                <w:rtl w:val="true"/>
              </w:rPr>
              <w:tab/>
            </w:r>
            <w:r>
              <w:rPr>
                <w:rStyle w:val="IndexLink"/>
              </w:rPr>
              <w:t>499</w:t>
            </w:r>
          </w:hyperlink>
        </w:p>
        <w:p>
          <w:pPr>
            <w:pStyle w:val="Contents3"/>
            <w:tabs>
              <w:tab w:val="clear" w:pos="8459"/>
              <w:tab w:val="right" w:pos="9026" w:leader="dot"/>
            </w:tabs>
            <w:rPr/>
          </w:pPr>
          <w:hyperlink w:anchor="__RefHeading___Toc1841427_2322387425">
            <w:r>
              <w:rPr>
                <w:webHidden/>
                <w:rStyle w:val="IndexLink"/>
                <w:rtl w:val="true"/>
              </w:rPr>
              <w:t>إذا کان فی أثناء التشهد فسمع اسمه لا یکتفی بالصلاة التی تجب للتشهد</w:t>
            </w:r>
            <w:r>
              <w:rPr>
                <w:rStyle w:val="IndexLink"/>
                <w:rtl w:val="true"/>
              </w:rPr>
              <w:tab/>
            </w:r>
            <w:r>
              <w:rPr>
                <w:rStyle w:val="IndexLink"/>
              </w:rPr>
              <w:t>500</w:t>
            </w:r>
          </w:hyperlink>
        </w:p>
        <w:p>
          <w:pPr>
            <w:pStyle w:val="Contents3"/>
            <w:tabs>
              <w:tab w:val="clear" w:pos="8459"/>
              <w:tab w:val="right" w:pos="9026" w:leader="dot"/>
            </w:tabs>
            <w:rPr/>
          </w:pPr>
          <w:hyperlink w:anchor="__RefHeading___Toc1841429_2322387425">
            <w:r>
              <w:rPr>
                <w:webHidden/>
                <w:rStyle w:val="IndexLink"/>
                <w:rtl w:val="true"/>
              </w:rPr>
              <w:t>عدم الفصل الطویل بین ذکره و الصلاة علیه صلی الله علیه و آله</w:t>
            </w:r>
            <w:r>
              <w:rPr>
                <w:rStyle w:val="IndexLink"/>
                <w:rtl w:val="true"/>
              </w:rPr>
              <w:tab/>
            </w:r>
            <w:r>
              <w:rPr>
                <w:rStyle w:val="IndexLink"/>
              </w:rPr>
              <w:t>500</w:t>
            </w:r>
          </w:hyperlink>
        </w:p>
        <w:p>
          <w:pPr>
            <w:pStyle w:val="Contents3"/>
            <w:tabs>
              <w:tab w:val="clear" w:pos="8459"/>
              <w:tab w:val="right" w:pos="9026" w:leader="dot"/>
            </w:tabs>
            <w:rPr/>
          </w:pPr>
          <w:hyperlink w:anchor="__RefHeading___Toc1841431_2322387425">
            <w:r>
              <w:rPr>
                <w:webHidden/>
                <w:rStyle w:val="IndexLink"/>
                <w:rtl w:val="true"/>
              </w:rPr>
              <w:t>لا تعتبر کیفیة خاصة فی الصلاة علیه صلی الله علیه و آله، بل یکفی کل ما یدل علیها</w:t>
            </w:r>
            <w:r>
              <w:rPr>
                <w:rStyle w:val="IndexLink"/>
                <w:rtl w:val="true"/>
              </w:rPr>
              <w:tab/>
            </w:r>
            <w:r>
              <w:rPr>
                <w:rStyle w:val="IndexLink"/>
              </w:rPr>
              <w:t>500</w:t>
            </w:r>
          </w:hyperlink>
        </w:p>
        <w:p>
          <w:pPr>
            <w:pStyle w:val="Contents3"/>
            <w:tabs>
              <w:tab w:val="clear" w:pos="8459"/>
              <w:tab w:val="right" w:pos="9026" w:leader="dot"/>
            </w:tabs>
            <w:rPr/>
          </w:pPr>
          <w:hyperlink w:anchor="__RefHeading___Toc1841433_2322387425">
            <w:r>
              <w:rPr>
                <w:webHidden/>
                <w:rStyle w:val="IndexLink"/>
                <w:rtl w:val="true"/>
              </w:rPr>
              <w:t>إذا کتب اسمه صلی الله علیه و آله یستحب أن یکتب الصلاة علیه</w:t>
            </w:r>
            <w:r>
              <w:rPr>
                <w:rStyle w:val="IndexLink"/>
                <w:rtl w:val="true"/>
              </w:rPr>
              <w:tab/>
            </w:r>
            <w:r>
              <w:rPr>
                <w:rStyle w:val="IndexLink"/>
              </w:rPr>
              <w:t>501</w:t>
            </w:r>
          </w:hyperlink>
        </w:p>
        <w:p>
          <w:pPr>
            <w:pStyle w:val="Contents3"/>
            <w:tabs>
              <w:tab w:val="clear" w:pos="8459"/>
              <w:tab w:val="right" w:pos="9026" w:leader="dot"/>
            </w:tabs>
            <w:rPr/>
          </w:pPr>
          <w:hyperlink w:anchor="__RefHeading___Toc1841435_2322387425">
            <w:r>
              <w:rPr>
                <w:webHidden/>
                <w:rStyle w:val="IndexLink"/>
                <w:rtl w:val="true"/>
              </w:rPr>
              <w:t>فی ما لو تذکر اسمه صلی الله علیه و آله فی قلبه</w:t>
            </w:r>
            <w:r>
              <w:rPr>
                <w:rStyle w:val="IndexLink"/>
                <w:rtl w:val="true"/>
              </w:rPr>
              <w:tab/>
            </w:r>
            <w:r>
              <w:rPr>
                <w:rStyle w:val="IndexLink"/>
              </w:rPr>
              <w:t>501</w:t>
            </w:r>
          </w:hyperlink>
        </w:p>
        <w:p>
          <w:pPr>
            <w:pStyle w:val="Contents3"/>
            <w:tabs>
              <w:tab w:val="clear" w:pos="8459"/>
              <w:tab w:val="right" w:pos="9026" w:leader="dot"/>
            </w:tabs>
            <w:rPr/>
          </w:pPr>
          <w:hyperlink w:anchor="__RefHeading___Toc1841437_2322387425">
            <w:r>
              <w:rPr>
                <w:webHidden/>
                <w:rStyle w:val="IndexLink"/>
                <w:rtl w:val="true"/>
              </w:rPr>
              <w:t>استحباب الصلاة علیه صلی الله علیه و آله عند ذکر سائر الأنبیاء و الأئمة علیهم السلام و کیفیتها</w:t>
            </w:r>
            <w:r>
              <w:rPr>
                <w:rStyle w:val="IndexLink"/>
                <w:rtl w:val="true"/>
              </w:rPr>
              <w:tab/>
            </w:r>
            <w:r>
              <w:rPr>
                <w:rStyle w:val="IndexLink"/>
              </w:rPr>
              <w:t>502</w:t>
            </w:r>
          </w:hyperlink>
        </w:p>
        <w:p>
          <w:pPr>
            <w:pStyle w:val="Contents2"/>
            <w:tabs>
              <w:tab w:val="clear" w:pos="8743"/>
              <w:tab w:val="right" w:pos="9026" w:leader="dot"/>
            </w:tabs>
            <w:rPr/>
          </w:pPr>
          <w:hyperlink w:anchor="__RefHeading___Toc1841439_2322387425">
            <w:r>
              <w:rPr>
                <w:webHidden/>
                <w:rStyle w:val="IndexLink"/>
                <w:rtl w:val="true"/>
              </w:rPr>
              <w:t>فصل فی مبطلات الصلاة</w:t>
            </w:r>
            <w:r>
              <w:rPr>
                <w:rStyle w:val="IndexLink"/>
                <w:rtl w:val="true"/>
              </w:rPr>
              <w:tab/>
            </w:r>
            <w:r>
              <w:rPr>
                <w:rStyle w:val="IndexLink"/>
              </w:rPr>
              <w:t>503</w:t>
            </w:r>
          </w:hyperlink>
        </w:p>
        <w:p>
          <w:pPr>
            <w:pStyle w:val="Contents3"/>
            <w:tabs>
              <w:tab w:val="clear" w:pos="8459"/>
              <w:tab w:val="right" w:pos="9026" w:leader="dot"/>
            </w:tabs>
            <w:rPr/>
          </w:pPr>
          <w:hyperlink w:anchor="__RefHeading___Toc1841441_2322387425">
            <w:r>
              <w:rPr>
                <w:webHidden/>
                <w:rStyle w:val="IndexLink"/>
                <w:rtl w:val="true"/>
              </w:rPr>
              <w:t>الامور المبطلة للصلاة</w:t>
            </w:r>
            <w:r>
              <w:rPr>
                <w:rStyle w:val="IndexLink"/>
                <w:rtl w:val="true"/>
              </w:rPr>
              <w:tab/>
            </w:r>
            <w:r>
              <w:rPr>
                <w:rStyle w:val="IndexLink"/>
              </w:rPr>
              <w:t>503</w:t>
            </w:r>
          </w:hyperlink>
        </w:p>
        <w:p>
          <w:pPr>
            <w:pStyle w:val="Contents3"/>
            <w:tabs>
              <w:tab w:val="clear" w:pos="8459"/>
              <w:tab w:val="right" w:pos="9026" w:leader="dot"/>
            </w:tabs>
            <w:rPr/>
          </w:pPr>
          <w:hyperlink w:anchor="__RefHeading___Toc1841443_2322387425">
            <w:r>
              <w:rPr>
                <w:webHidden/>
                <w:rStyle w:val="IndexLink"/>
                <w:rtl w:val="true"/>
              </w:rPr>
              <w:t>أحدها</w:t>
            </w:r>
            <w:r>
              <w:rPr>
                <w:rStyle w:val="IndexLink"/>
                <w:rtl w:val="true"/>
              </w:rPr>
              <w:t xml:space="preserve">: </w:t>
            </w:r>
            <w:r>
              <w:rPr>
                <w:rStyle w:val="IndexLink"/>
                <w:rtl w:val="true"/>
              </w:rPr>
              <w:t>فقدان بعض الشرائط فی الصلاة، کالستر و إباحة المکان و غیرهما</w:t>
            </w:r>
            <w:r>
              <w:rPr>
                <w:rStyle w:val="IndexLink"/>
                <w:rtl w:val="true"/>
              </w:rPr>
              <w:tab/>
            </w:r>
            <w:r>
              <w:rPr>
                <w:rStyle w:val="IndexLink"/>
              </w:rPr>
              <w:t>503</w:t>
            </w:r>
          </w:hyperlink>
        </w:p>
        <w:p>
          <w:pPr>
            <w:pStyle w:val="Contents3"/>
            <w:tabs>
              <w:tab w:val="clear" w:pos="8459"/>
              <w:tab w:val="right" w:pos="9026" w:leader="dot"/>
            </w:tabs>
            <w:rPr/>
          </w:pPr>
          <w:hyperlink w:anchor="__RefHeading___Toc1841445_2322387425">
            <w:r>
              <w:rPr>
                <w:webHidden/>
                <w:rStyle w:val="IndexLink"/>
                <w:rtl w:val="true"/>
              </w:rPr>
              <w:t>الثانی</w:t>
            </w:r>
            <w:r>
              <w:rPr>
                <w:rStyle w:val="IndexLink"/>
                <w:rtl w:val="true"/>
              </w:rPr>
              <w:t xml:space="preserve">: </w:t>
            </w:r>
            <w:r>
              <w:rPr>
                <w:rStyle w:val="IndexLink"/>
                <w:rtl w:val="true"/>
              </w:rPr>
              <w:t>إتیان الحدث الأکبر أو الأصغر</w:t>
            </w:r>
            <w:r>
              <w:rPr>
                <w:rStyle w:val="IndexLink"/>
                <w:rtl w:val="true"/>
              </w:rPr>
              <w:tab/>
            </w:r>
            <w:r>
              <w:rPr>
                <w:rStyle w:val="IndexLink"/>
              </w:rPr>
              <w:t>503</w:t>
            </w:r>
          </w:hyperlink>
        </w:p>
        <w:p>
          <w:pPr>
            <w:pStyle w:val="Contents3"/>
            <w:tabs>
              <w:tab w:val="clear" w:pos="8459"/>
              <w:tab w:val="right" w:pos="9026" w:leader="dot"/>
            </w:tabs>
            <w:rPr/>
          </w:pPr>
          <w:hyperlink w:anchor="__RefHeading___Toc1841447_2322387425">
            <w:r>
              <w:rPr>
                <w:webHidden/>
                <w:rStyle w:val="IndexLink"/>
                <w:rtl w:val="true"/>
              </w:rPr>
              <w:t>الثالث</w:t>
            </w:r>
            <w:r>
              <w:rPr>
                <w:rStyle w:val="IndexLink"/>
                <w:rtl w:val="true"/>
              </w:rPr>
              <w:t xml:space="preserve">: </w:t>
            </w:r>
            <w:r>
              <w:rPr>
                <w:rStyle w:val="IndexLink"/>
                <w:rtl w:val="true"/>
              </w:rPr>
              <w:t>التکفیر</w:t>
            </w:r>
            <w:r>
              <w:rPr>
                <w:rStyle w:val="IndexLink"/>
                <w:rtl w:val="true"/>
              </w:rPr>
              <w:tab/>
            </w:r>
            <w:r>
              <w:rPr>
                <w:rStyle w:val="IndexLink"/>
              </w:rPr>
              <w:t>506</w:t>
            </w:r>
          </w:hyperlink>
        </w:p>
        <w:p>
          <w:pPr>
            <w:pStyle w:val="Contents3"/>
            <w:tabs>
              <w:tab w:val="clear" w:pos="8459"/>
              <w:tab w:val="right" w:pos="9026" w:leader="dot"/>
            </w:tabs>
            <w:rPr/>
          </w:pPr>
          <w:hyperlink w:anchor="__RefHeading___Toc1841449_2322387425">
            <w:r>
              <w:rPr>
                <w:webHidden/>
                <w:rStyle w:val="IndexLink"/>
                <w:rtl w:val="true"/>
              </w:rPr>
              <w:t>الرابع</w:t>
            </w:r>
            <w:r>
              <w:rPr>
                <w:rStyle w:val="IndexLink"/>
                <w:rtl w:val="true"/>
              </w:rPr>
              <w:t xml:space="preserve">: </w:t>
            </w:r>
            <w:r>
              <w:rPr>
                <w:rStyle w:val="IndexLink"/>
                <w:rtl w:val="true"/>
              </w:rPr>
              <w:t>تعمد الالتفات بتمام البدن دون الرأس</w:t>
            </w:r>
            <w:r>
              <w:rPr>
                <w:rStyle w:val="IndexLink"/>
                <w:rtl w:val="true"/>
              </w:rPr>
              <w:tab/>
            </w:r>
            <w:r>
              <w:rPr>
                <w:rStyle w:val="IndexLink"/>
              </w:rPr>
              <w:t>508</w:t>
            </w:r>
          </w:hyperlink>
        </w:p>
        <w:p>
          <w:pPr>
            <w:pStyle w:val="Contents3"/>
            <w:tabs>
              <w:tab w:val="clear" w:pos="8459"/>
              <w:tab w:val="right" w:pos="9026" w:leader="dot"/>
            </w:tabs>
            <w:rPr/>
          </w:pPr>
          <w:hyperlink w:anchor="__RefHeading___Toc1841451_2322387425">
            <w:r>
              <w:rPr>
                <w:webHidden/>
                <w:rStyle w:val="IndexLink"/>
                <w:rtl w:val="true"/>
              </w:rPr>
              <w:t>الخامس</w:t>
            </w:r>
            <w:r>
              <w:rPr>
                <w:rStyle w:val="IndexLink"/>
                <w:rtl w:val="true"/>
              </w:rPr>
              <w:t xml:space="preserve">: </w:t>
            </w:r>
            <w:r>
              <w:rPr>
                <w:rStyle w:val="IndexLink"/>
                <w:rtl w:val="true"/>
              </w:rPr>
              <w:t>تعمد الکلام بحرفین ولو مهملین، أو بحرف واحد مفهم للمعنی</w:t>
            </w:r>
            <w:r>
              <w:rPr>
                <w:rStyle w:val="IndexLink"/>
                <w:rtl w:val="true"/>
              </w:rPr>
              <w:tab/>
            </w:r>
            <w:r>
              <w:rPr>
                <w:rStyle w:val="IndexLink"/>
              </w:rPr>
              <w:t>513</w:t>
            </w:r>
          </w:hyperlink>
        </w:p>
        <w:p>
          <w:pPr>
            <w:pStyle w:val="Contents3"/>
            <w:tabs>
              <w:tab w:val="clear" w:pos="8459"/>
              <w:tab w:val="right" w:pos="9026" w:leader="dot"/>
            </w:tabs>
            <w:rPr/>
          </w:pPr>
          <w:hyperlink w:anchor="__RefHeading___Toc1841453_2322387425">
            <w:r>
              <w:rPr>
                <w:webHidden/>
                <w:rStyle w:val="IndexLink"/>
                <w:rtl w:val="true"/>
              </w:rPr>
              <w:t>حکم تکلم بحرفین فحصل ثانیهما من إشباع حرکة الأول</w:t>
            </w:r>
            <w:r>
              <w:rPr>
                <w:rStyle w:val="IndexLink"/>
                <w:rtl w:val="true"/>
              </w:rPr>
              <w:tab/>
            </w:r>
            <w:r>
              <w:rPr>
                <w:rStyle w:val="IndexLink"/>
              </w:rPr>
              <w:t>515</w:t>
            </w:r>
          </w:hyperlink>
        </w:p>
        <w:p>
          <w:pPr>
            <w:pStyle w:val="Contents3"/>
            <w:tabs>
              <w:tab w:val="clear" w:pos="8459"/>
              <w:tab w:val="right" w:pos="9026" w:leader="dot"/>
            </w:tabs>
            <w:rPr/>
          </w:pPr>
          <w:hyperlink w:anchor="__RefHeading___Toc1841455_2322387425">
            <w:r>
              <w:rPr>
                <w:webHidden/>
                <w:rStyle w:val="IndexLink"/>
                <w:rtl w:val="true"/>
              </w:rPr>
              <w:t>حکم التکلم بحرفین من غیر ترکیب</w:t>
            </w:r>
            <w:r>
              <w:rPr>
                <w:rStyle w:val="IndexLink"/>
                <w:rtl w:val="true"/>
              </w:rPr>
              <w:tab/>
            </w:r>
            <w:r>
              <w:rPr>
                <w:rStyle w:val="IndexLink"/>
              </w:rPr>
              <w:t>515</w:t>
            </w:r>
          </w:hyperlink>
        </w:p>
        <w:p>
          <w:pPr>
            <w:pStyle w:val="Contents3"/>
            <w:tabs>
              <w:tab w:val="clear" w:pos="8459"/>
              <w:tab w:val="right" w:pos="9026" w:leader="dot"/>
            </w:tabs>
            <w:rPr/>
          </w:pPr>
          <w:hyperlink w:anchor="__RefHeading___Toc1841457_2322387425">
            <w:r>
              <w:rPr>
                <w:webHidden/>
                <w:rStyle w:val="IndexLink"/>
                <w:rtl w:val="true"/>
              </w:rPr>
              <w:t>فی ما لو تکلم بحرف واحد غیر مفهم للمعنی و وصله بإحدی کلمات الذکر أو القراءة</w:t>
            </w:r>
            <w:r>
              <w:rPr>
                <w:rStyle w:val="IndexLink"/>
                <w:rtl w:val="true"/>
              </w:rPr>
              <w:tab/>
            </w:r>
            <w:r>
              <w:rPr>
                <w:rStyle w:val="IndexLink"/>
              </w:rPr>
              <w:t>517</w:t>
            </w:r>
          </w:hyperlink>
        </w:p>
        <w:p>
          <w:pPr>
            <w:pStyle w:val="Contents3"/>
            <w:tabs>
              <w:tab w:val="clear" w:pos="8459"/>
              <w:tab w:val="right" w:pos="9026" w:leader="dot"/>
            </w:tabs>
            <w:rPr/>
          </w:pPr>
          <w:hyperlink w:anchor="__RefHeading___Toc1841459_2322387425">
            <w:r>
              <w:rPr>
                <w:webHidden/>
                <w:rStyle w:val="IndexLink"/>
                <w:rtl w:val="true"/>
              </w:rPr>
              <w:t>عدم بطلان الصلاة بمد حرف المد و اللین و إن زاد حرف آخر</w:t>
            </w:r>
            <w:r>
              <w:rPr>
                <w:rStyle w:val="IndexLink"/>
                <w:rtl w:val="true"/>
              </w:rPr>
              <w:tab/>
            </w:r>
            <w:r>
              <w:rPr>
                <w:rStyle w:val="IndexLink"/>
              </w:rPr>
              <w:t>518</w:t>
            </w:r>
          </w:hyperlink>
        </w:p>
        <w:p>
          <w:pPr>
            <w:pStyle w:val="Contents3"/>
            <w:tabs>
              <w:tab w:val="clear" w:pos="8459"/>
              <w:tab w:val="right" w:pos="9026" w:leader="dot"/>
            </w:tabs>
            <w:rPr/>
          </w:pPr>
          <w:hyperlink w:anchor="__RefHeading___Toc1841461_2322387425">
            <w:r>
              <w:rPr>
                <w:webHidden/>
                <w:rStyle w:val="IndexLink"/>
                <w:rtl w:val="true"/>
              </w:rPr>
              <w:t>حکم ما لو تکلم بأحد حروف المعانی، کحرف الجر و التعلیل والعطف مع عدم قصدها</w:t>
            </w:r>
            <w:r>
              <w:rPr>
                <w:rStyle w:val="IndexLink"/>
                <w:rtl w:val="true"/>
              </w:rPr>
              <w:tab/>
            </w:r>
            <w:r>
              <w:rPr>
                <w:rStyle w:val="IndexLink"/>
              </w:rPr>
              <w:t>518</w:t>
            </w:r>
          </w:hyperlink>
        </w:p>
        <w:p>
          <w:pPr>
            <w:pStyle w:val="Contents3"/>
            <w:tabs>
              <w:tab w:val="clear" w:pos="8459"/>
              <w:tab w:val="right" w:pos="9026" w:leader="dot"/>
            </w:tabs>
            <w:rPr/>
          </w:pPr>
          <w:hyperlink w:anchor="__RefHeading___Toc1841463_2322387425">
            <w:r>
              <w:rPr>
                <w:webHidden/>
                <w:rStyle w:val="IndexLink"/>
                <w:rtl w:val="true"/>
              </w:rPr>
              <w:t>عدم بطلان الصلاة بصوت التنحنح أو النفخ والأنین و التأوه من دون حکایتها</w:t>
            </w:r>
            <w:r>
              <w:rPr>
                <w:rStyle w:val="IndexLink"/>
                <w:rtl w:val="true"/>
              </w:rPr>
              <w:tab/>
            </w:r>
            <w:r>
              <w:rPr>
                <w:rStyle w:val="IndexLink"/>
              </w:rPr>
              <w:t>520</w:t>
            </w:r>
          </w:hyperlink>
        </w:p>
        <w:p>
          <w:pPr>
            <w:pStyle w:val="Contents3"/>
            <w:tabs>
              <w:tab w:val="clear" w:pos="8459"/>
              <w:tab w:val="right" w:pos="9026" w:leader="dot"/>
            </w:tabs>
            <w:rPr/>
          </w:pPr>
          <w:hyperlink w:anchor="__RefHeading___Toc1841465_2322387425">
            <w:r>
              <w:rPr>
                <w:webHidden/>
                <w:rStyle w:val="IndexLink"/>
                <w:rtl w:val="true"/>
              </w:rPr>
              <w:t>ذکر التأوه من الذنب أو من نار جهنم ضمن الدعاء لا یبطل الصلاة بدون ذکر المتعلق</w:t>
            </w:r>
            <w:r>
              <w:rPr>
                <w:rStyle w:val="IndexLink"/>
                <w:rtl w:val="true"/>
              </w:rPr>
              <w:tab/>
            </w:r>
            <w:r>
              <w:rPr>
                <w:rStyle w:val="IndexLink"/>
              </w:rPr>
              <w:t>521</w:t>
            </w:r>
          </w:hyperlink>
        </w:p>
        <w:p>
          <w:pPr>
            <w:pStyle w:val="Contents3"/>
            <w:tabs>
              <w:tab w:val="clear" w:pos="8459"/>
              <w:tab w:val="right" w:pos="9026" w:leader="dot"/>
            </w:tabs>
            <w:rPr/>
          </w:pPr>
          <w:hyperlink w:anchor="__RefHeading___Toc1841467_2322387425">
            <w:r>
              <w:rPr>
                <w:webHidden/>
                <w:rStyle w:val="IndexLink"/>
                <w:rtl w:val="true"/>
              </w:rPr>
              <w:t>عدم الفرق فی بطلان الصلاة بین وجود مخاطب أم لا، و کذا مع الاضطرار أو الاختیار</w:t>
            </w:r>
            <w:r>
              <w:rPr>
                <w:rStyle w:val="IndexLink"/>
                <w:rtl w:val="true"/>
              </w:rPr>
              <w:tab/>
            </w:r>
            <w:r>
              <w:rPr>
                <w:rStyle w:val="IndexLink"/>
              </w:rPr>
              <w:t>522</w:t>
            </w:r>
          </w:hyperlink>
        </w:p>
        <w:p>
          <w:pPr>
            <w:pStyle w:val="Contents3"/>
            <w:tabs>
              <w:tab w:val="clear" w:pos="8459"/>
              <w:tab w:val="right" w:pos="9026" w:leader="dot"/>
            </w:tabs>
            <w:rPr/>
          </w:pPr>
          <w:hyperlink w:anchor="__RefHeading___Toc1841469_2322387425">
            <w:r>
              <w:rPr>
                <w:webHidden/>
                <w:rStyle w:val="IndexLink"/>
                <w:rtl w:val="true"/>
              </w:rPr>
              <w:t>لا بأس بالذکر والدعاء فی جمیع أحوال الصلاة بغیر المحرم، و معه لا یجوز و مبطل</w:t>
            </w:r>
            <w:r>
              <w:rPr>
                <w:rStyle w:val="IndexLink"/>
                <w:rtl w:val="true"/>
              </w:rPr>
              <w:tab/>
            </w:r>
            <w:r>
              <w:rPr>
                <w:rStyle w:val="IndexLink"/>
              </w:rPr>
              <w:t>522</w:t>
            </w:r>
          </w:hyperlink>
        </w:p>
        <w:p>
          <w:pPr>
            <w:pStyle w:val="Contents3"/>
            <w:tabs>
              <w:tab w:val="clear" w:pos="8459"/>
              <w:tab w:val="right" w:pos="9026" w:leader="dot"/>
            </w:tabs>
            <w:rPr/>
          </w:pPr>
          <w:hyperlink w:anchor="__RefHeading___Toc1841471_2322387425">
            <w:r>
              <w:rPr>
                <w:webHidden/>
                <w:rStyle w:val="IndexLink"/>
                <w:rtl w:val="true"/>
              </w:rPr>
              <w:t>جواز الذکر و الدعاء بغیر العربیة، و إن کانت أفضل</w:t>
            </w:r>
            <w:r>
              <w:rPr>
                <w:rStyle w:val="IndexLink"/>
                <w:rtl w:val="true"/>
              </w:rPr>
              <w:tab/>
            </w:r>
            <w:r>
              <w:rPr>
                <w:rStyle w:val="IndexLink"/>
              </w:rPr>
              <w:t>524</w:t>
            </w:r>
          </w:hyperlink>
        </w:p>
        <w:p>
          <w:pPr>
            <w:pStyle w:val="Contents3"/>
            <w:tabs>
              <w:tab w:val="clear" w:pos="8459"/>
              <w:tab w:val="right" w:pos="9026" w:leader="dot"/>
            </w:tabs>
            <w:rPr/>
          </w:pPr>
          <w:hyperlink w:anchor="__RefHeading___Toc1841473_2322387425">
            <w:r>
              <w:rPr>
                <w:webHidden/>
                <w:rStyle w:val="IndexLink"/>
                <w:rtl w:val="true"/>
              </w:rPr>
              <w:t>اعتبار قصد القرآنیة فی القراءة، و إن لم یکن بها و لم یکن دعاء أبطل</w:t>
            </w:r>
            <w:r>
              <w:rPr>
                <w:rStyle w:val="IndexLink"/>
                <w:rtl w:val="true"/>
              </w:rPr>
              <w:tab/>
            </w:r>
            <w:r>
              <w:rPr>
                <w:rStyle w:val="IndexLink"/>
              </w:rPr>
              <w:t>524</w:t>
            </w:r>
          </w:hyperlink>
        </w:p>
        <w:p>
          <w:pPr>
            <w:pStyle w:val="Contents3"/>
            <w:tabs>
              <w:tab w:val="clear" w:pos="8459"/>
              <w:tab w:val="right" w:pos="9026" w:leader="dot"/>
            </w:tabs>
            <w:rPr/>
          </w:pPr>
          <w:hyperlink w:anchor="__RefHeading___Toc1841475_2322387425">
            <w:r>
              <w:rPr>
                <w:webHidden/>
                <w:rStyle w:val="IndexLink"/>
                <w:rtl w:val="true"/>
              </w:rPr>
              <w:t>حکم ما لو أتی بالذکر بقصد تنبیه الغیر والدلالة، أو قصد به التنبیه من دون قصد الذکر</w:t>
            </w:r>
            <w:r>
              <w:rPr>
                <w:rStyle w:val="IndexLink"/>
                <w:rtl w:val="true"/>
              </w:rPr>
              <w:tab/>
            </w:r>
            <w:r>
              <w:rPr>
                <w:rStyle w:val="IndexLink"/>
              </w:rPr>
              <w:t>525</w:t>
            </w:r>
          </w:hyperlink>
        </w:p>
        <w:p>
          <w:pPr>
            <w:pStyle w:val="Contents3"/>
            <w:tabs>
              <w:tab w:val="clear" w:pos="8459"/>
              <w:tab w:val="right" w:pos="9026" w:leader="dot"/>
            </w:tabs>
            <w:rPr/>
          </w:pPr>
          <w:hyperlink w:anchor="__RefHeading___Toc1841477_2322387425">
            <w:r>
              <w:rPr>
                <w:webHidden/>
                <w:rStyle w:val="IndexLink"/>
                <w:rtl w:val="true"/>
              </w:rPr>
              <w:t>جواز الدعاء مع مخاطبة الغیر بقول</w:t>
            </w:r>
            <w:r>
              <w:rPr>
                <w:rStyle w:val="IndexLink"/>
                <w:rtl w:val="true"/>
              </w:rPr>
              <w:t>: «</w:t>
            </w:r>
            <w:r>
              <w:rPr>
                <w:rStyle w:val="IndexLink"/>
                <w:rtl w:val="true"/>
              </w:rPr>
              <w:t>غفر الله لک</w:t>
            </w:r>
            <w:r>
              <w:rPr>
                <w:rStyle w:val="IndexLink"/>
                <w:rtl w:val="true"/>
              </w:rPr>
              <w:t>»</w:t>
              <w:tab/>
            </w:r>
            <w:r>
              <w:rPr>
                <w:rStyle w:val="IndexLink"/>
              </w:rPr>
              <w:t>526</w:t>
            </w:r>
          </w:hyperlink>
        </w:p>
        <w:p>
          <w:pPr>
            <w:pStyle w:val="Contents3"/>
            <w:tabs>
              <w:tab w:val="clear" w:pos="8459"/>
              <w:tab w:val="right" w:pos="9026" w:leader="dot"/>
            </w:tabs>
            <w:rPr/>
          </w:pPr>
          <w:hyperlink w:anchor="__RefHeading___Toc1841479_2322387425">
            <w:r>
              <w:rPr>
                <w:webHidden/>
                <w:rStyle w:val="IndexLink"/>
                <w:rtl w:val="true"/>
              </w:rPr>
              <w:t>جواز تکرار الذکر أو القراءة عمداً أو من باب الاحتیاط، و عدمه مع الوسوسة</w:t>
            </w:r>
            <w:r>
              <w:rPr>
                <w:rStyle w:val="IndexLink"/>
                <w:rtl w:val="true"/>
              </w:rPr>
              <w:tab/>
            </w:r>
            <w:r>
              <w:rPr>
                <w:rStyle w:val="IndexLink"/>
              </w:rPr>
              <w:t>529</w:t>
            </w:r>
          </w:hyperlink>
        </w:p>
        <w:p>
          <w:pPr>
            <w:pStyle w:val="Contents3"/>
            <w:tabs>
              <w:tab w:val="clear" w:pos="8459"/>
              <w:tab w:val="right" w:pos="9026" w:leader="dot"/>
            </w:tabs>
            <w:rPr/>
          </w:pPr>
          <w:hyperlink w:anchor="__RefHeading___Toc1841481_2322387425">
            <w:r>
              <w:rPr>
                <w:webHidden/>
                <w:rStyle w:val="IndexLink"/>
                <w:rtl w:val="true"/>
              </w:rPr>
              <w:t>لا یجوز ابتداء السلام للمصلی و کذا سائر التحیات مع قصد التحیة، و إن قصد الدعاء بأس</w:t>
            </w:r>
            <w:r>
              <w:rPr>
                <w:rStyle w:val="IndexLink"/>
                <w:rtl w:val="true"/>
              </w:rPr>
              <w:tab/>
            </w:r>
            <w:r>
              <w:rPr>
                <w:rStyle w:val="IndexLink"/>
              </w:rPr>
              <w:t>530</w:t>
            </w:r>
          </w:hyperlink>
        </w:p>
        <w:p>
          <w:pPr>
            <w:pStyle w:val="Contents3"/>
            <w:tabs>
              <w:tab w:val="clear" w:pos="8459"/>
              <w:tab w:val="right" w:pos="9026" w:leader="dot"/>
            </w:tabs>
            <w:rPr/>
          </w:pPr>
          <w:hyperlink w:anchor="__RefHeading___Toc1841483_2322387425">
            <w:r>
              <w:rPr>
                <w:webHidden/>
                <w:rStyle w:val="IndexLink"/>
                <w:rtl w:val="true"/>
              </w:rPr>
              <w:t>جواز رد سلام التحیة أثناء الصلاة، بل یجب، و إن عصی لم تبطل</w:t>
            </w:r>
            <w:r>
              <w:rPr>
                <w:rStyle w:val="IndexLink"/>
                <w:rtl w:val="true"/>
              </w:rPr>
              <w:tab/>
            </w:r>
            <w:r>
              <w:rPr>
                <w:rStyle w:val="IndexLink"/>
              </w:rPr>
              <w:t>532</w:t>
            </w:r>
          </w:hyperlink>
        </w:p>
        <w:p>
          <w:pPr>
            <w:pStyle w:val="Contents3"/>
            <w:tabs>
              <w:tab w:val="clear" w:pos="8459"/>
              <w:tab w:val="right" w:pos="9026" w:leader="dot"/>
            </w:tabs>
            <w:rPr/>
          </w:pPr>
          <w:hyperlink w:anchor="__RefHeading___Toc1841485_2322387425">
            <w:r>
              <w:rPr>
                <w:webHidden/>
                <w:rStyle w:val="IndexLink"/>
                <w:rtl w:val="true"/>
              </w:rPr>
              <w:t>وجوب رد السلام أثناء الصلاة بمثل ما سلم بنفس اللفظ والمماثلة</w:t>
            </w:r>
            <w:r>
              <w:rPr>
                <w:rStyle w:val="IndexLink"/>
                <w:rtl w:val="true"/>
              </w:rPr>
              <w:tab/>
            </w:r>
            <w:r>
              <w:rPr>
                <w:rStyle w:val="IndexLink"/>
              </w:rPr>
              <w:t>533</w:t>
            </w:r>
          </w:hyperlink>
        </w:p>
        <w:p>
          <w:pPr>
            <w:pStyle w:val="Contents3"/>
            <w:tabs>
              <w:tab w:val="clear" w:pos="8459"/>
              <w:tab w:val="right" w:pos="9026" w:leader="dot"/>
            </w:tabs>
            <w:rPr/>
          </w:pPr>
          <w:hyperlink w:anchor="__RefHeading___Toc1841487_2322387425">
            <w:r>
              <w:rPr>
                <w:webHidden/>
                <w:rStyle w:val="IndexLink"/>
                <w:rtl w:val="true"/>
              </w:rPr>
              <w:t>لو قال المسلم</w:t>
            </w:r>
            <w:r>
              <w:rPr>
                <w:rStyle w:val="IndexLink"/>
                <w:rtl w:val="true"/>
              </w:rPr>
              <w:t>: «</w:t>
            </w:r>
            <w:r>
              <w:rPr>
                <w:rStyle w:val="IndexLink"/>
                <w:rtl w:val="true"/>
              </w:rPr>
              <w:t>علیکم السلام</w:t>
            </w:r>
            <w:r>
              <w:rPr>
                <w:rStyle w:val="IndexLink"/>
                <w:rtl w:val="true"/>
              </w:rPr>
              <w:t xml:space="preserve">» </w:t>
            </w:r>
            <w:r>
              <w:rPr>
                <w:rStyle w:val="IndexLink"/>
                <w:rtl w:val="true"/>
              </w:rPr>
              <w:t>فالأحوط أن یقول</w:t>
            </w:r>
            <w:r>
              <w:rPr>
                <w:rStyle w:val="IndexLink"/>
                <w:rtl w:val="true"/>
              </w:rPr>
              <w:t>: «</w:t>
            </w:r>
            <w:r>
              <w:rPr>
                <w:rStyle w:val="IndexLink"/>
                <w:rtl w:val="true"/>
              </w:rPr>
              <w:t>سلام علیکم</w:t>
            </w:r>
            <w:r>
              <w:rPr>
                <w:rStyle w:val="IndexLink"/>
                <w:rtl w:val="true"/>
              </w:rPr>
              <w:t xml:space="preserve">» </w:t>
            </w:r>
            <w:r>
              <w:rPr>
                <w:rStyle w:val="IndexLink"/>
                <w:rtl w:val="true"/>
              </w:rPr>
              <w:t>بقصد القرآنیة أو الدعاء</w:t>
            </w:r>
            <w:r>
              <w:rPr>
                <w:rStyle w:val="IndexLink"/>
                <w:rtl w:val="true"/>
              </w:rPr>
              <w:tab/>
            </w:r>
            <w:r>
              <w:rPr>
                <w:rStyle w:val="IndexLink"/>
              </w:rPr>
              <w:t>535</w:t>
            </w:r>
          </w:hyperlink>
        </w:p>
        <w:p>
          <w:pPr>
            <w:pStyle w:val="Contents3"/>
            <w:tabs>
              <w:tab w:val="clear" w:pos="8459"/>
              <w:tab w:val="right" w:pos="9026" w:leader="dot"/>
            </w:tabs>
            <w:rPr/>
          </w:pPr>
          <w:hyperlink w:anchor="__RefHeading___Toc1841489_2322387425">
            <w:r>
              <w:rPr>
                <w:webHidden/>
                <w:rStyle w:val="IndexLink"/>
                <w:rtl w:val="true"/>
              </w:rPr>
              <w:t>وجوب رد جواب السلام صحیحاً ولو سلم بالملحون، والأفضل قصد القرآن و الدعاء</w:t>
            </w:r>
            <w:r>
              <w:rPr>
                <w:rStyle w:val="IndexLink"/>
                <w:rtl w:val="true"/>
              </w:rPr>
              <w:tab/>
            </w:r>
            <w:r>
              <w:rPr>
                <w:rStyle w:val="IndexLink"/>
              </w:rPr>
              <w:t>538</w:t>
            </w:r>
          </w:hyperlink>
        </w:p>
        <w:p>
          <w:pPr>
            <w:pStyle w:val="Contents3"/>
            <w:tabs>
              <w:tab w:val="clear" w:pos="8459"/>
              <w:tab w:val="right" w:pos="9026" w:leader="dot"/>
            </w:tabs>
            <w:rPr/>
          </w:pPr>
          <w:hyperlink w:anchor="__RefHeading___Toc1841491_2322387425">
            <w:r>
              <w:rPr>
                <w:webHidden/>
                <w:rStyle w:val="IndexLink"/>
                <w:rtl w:val="true"/>
              </w:rPr>
              <w:t>حکم ما لو کان المسلم صبیاً ممیزاً، أو امرأة أجنبیة، أو أجنبیاً علی امرأة تصلی</w:t>
            </w:r>
            <w:r>
              <w:rPr>
                <w:rStyle w:val="IndexLink"/>
                <w:rtl w:val="true"/>
              </w:rPr>
              <w:tab/>
            </w:r>
            <w:r>
              <w:rPr>
                <w:rStyle w:val="IndexLink"/>
              </w:rPr>
              <w:t>539</w:t>
            </w:r>
          </w:hyperlink>
        </w:p>
        <w:p>
          <w:pPr>
            <w:pStyle w:val="Contents3"/>
            <w:tabs>
              <w:tab w:val="clear" w:pos="8459"/>
              <w:tab w:val="right" w:pos="9026" w:leader="dot"/>
            </w:tabs>
            <w:rPr/>
          </w:pPr>
          <w:hyperlink w:anchor="__RefHeading___Toc1841493_2322387425">
            <w:r>
              <w:rPr>
                <w:webHidden/>
                <w:rStyle w:val="IndexLink"/>
                <w:rtl w:val="true"/>
              </w:rPr>
              <w:t>فی ما لو سلم علی جماعة منهم المصلی فرد الجواب غیره، أو رده صبی ممیز</w:t>
            </w:r>
            <w:r>
              <w:rPr>
                <w:rStyle w:val="IndexLink"/>
                <w:rtl w:val="true"/>
              </w:rPr>
              <w:tab/>
            </w:r>
            <w:r>
              <w:rPr>
                <w:rStyle w:val="IndexLink"/>
              </w:rPr>
              <w:t>541</w:t>
            </w:r>
          </w:hyperlink>
        </w:p>
        <w:p>
          <w:pPr>
            <w:pStyle w:val="Contents3"/>
            <w:tabs>
              <w:tab w:val="clear" w:pos="8459"/>
              <w:tab w:val="right" w:pos="9026" w:leader="dot"/>
            </w:tabs>
            <w:rPr/>
          </w:pPr>
          <w:hyperlink w:anchor="__RefHeading___Toc1841495_2322387425">
            <w:r>
              <w:rPr>
                <w:webHidden/>
                <w:rStyle w:val="IndexLink"/>
                <w:rtl w:val="true"/>
              </w:rPr>
              <w:t>حکم ما لو سلم علیه بقول</w:t>
            </w:r>
            <w:r>
              <w:rPr>
                <w:rStyle w:val="IndexLink"/>
                <w:rtl w:val="true"/>
              </w:rPr>
              <w:t>: «</w:t>
            </w:r>
            <w:r>
              <w:rPr>
                <w:rStyle w:val="IndexLink"/>
                <w:rtl w:val="true"/>
              </w:rPr>
              <w:t>سلام</w:t>
            </w:r>
            <w:r>
              <w:rPr>
                <w:rStyle w:val="IndexLink"/>
                <w:rtl w:val="true"/>
              </w:rPr>
              <w:t xml:space="preserve">» </w:t>
            </w:r>
            <w:r>
              <w:rPr>
                <w:rStyle w:val="IndexLink"/>
                <w:rtl w:val="true"/>
              </w:rPr>
              <w:t xml:space="preserve">بدون </w:t>
            </w:r>
            <w:r>
              <w:rPr>
                <w:rStyle w:val="IndexLink"/>
                <w:rtl w:val="true"/>
              </w:rPr>
              <w:t>«</w:t>
            </w:r>
            <w:r>
              <w:rPr>
                <w:rStyle w:val="IndexLink"/>
                <w:rtl w:val="true"/>
              </w:rPr>
              <w:t>علیکم</w:t>
            </w:r>
            <w:r>
              <w:rPr>
                <w:rStyle w:val="IndexLink"/>
                <w:rtl w:val="true"/>
              </w:rPr>
              <w:t>»</w:t>
              <w:tab/>
            </w:r>
            <w:r>
              <w:rPr>
                <w:rStyle w:val="IndexLink"/>
              </w:rPr>
              <w:t>544</w:t>
            </w:r>
          </w:hyperlink>
        </w:p>
        <w:p>
          <w:pPr>
            <w:pStyle w:val="Contents3"/>
            <w:tabs>
              <w:tab w:val="clear" w:pos="8459"/>
              <w:tab w:val="right" w:pos="9026" w:leader="dot"/>
            </w:tabs>
            <w:rPr/>
          </w:pPr>
          <w:hyperlink w:anchor="__RefHeading___Toc1841497_2322387425">
            <w:r>
              <w:rPr>
                <w:webHidden/>
                <w:rStyle w:val="IndexLink"/>
                <w:rtl w:val="true"/>
              </w:rPr>
              <w:t>لو سلم مرات عدیدة یکفی فی الجواب مرة، ولو أجاب و سلم یجب جواب الثانی</w:t>
            </w:r>
            <w:r>
              <w:rPr>
                <w:rStyle w:val="IndexLink"/>
                <w:rtl w:val="true"/>
              </w:rPr>
              <w:tab/>
            </w:r>
            <w:r>
              <w:rPr>
                <w:rStyle w:val="IndexLink"/>
              </w:rPr>
              <w:t>544</w:t>
            </w:r>
          </w:hyperlink>
        </w:p>
        <w:p>
          <w:pPr>
            <w:pStyle w:val="Contents3"/>
            <w:tabs>
              <w:tab w:val="clear" w:pos="8459"/>
              <w:tab w:val="right" w:pos="9026" w:leader="dot"/>
            </w:tabs>
            <w:rPr/>
          </w:pPr>
          <w:hyperlink w:anchor="__RefHeading___Toc1841499_2322387425">
            <w:r>
              <w:rPr>
                <w:webHidden/>
                <w:rStyle w:val="IndexLink"/>
                <w:rtl w:val="true"/>
              </w:rPr>
              <w:t>حکم ما لو شک المصلی أن المسلم قصده مع الجماعة، أو لا</w:t>
            </w:r>
            <w:r>
              <w:rPr>
                <w:rStyle w:val="IndexLink"/>
                <w:rtl w:val="true"/>
              </w:rPr>
              <w:tab/>
            </w:r>
            <w:r>
              <w:rPr>
                <w:rStyle w:val="IndexLink"/>
              </w:rPr>
              <w:t>547</w:t>
            </w:r>
          </w:hyperlink>
        </w:p>
        <w:p>
          <w:pPr>
            <w:pStyle w:val="Contents3"/>
            <w:tabs>
              <w:tab w:val="clear" w:pos="8459"/>
              <w:tab w:val="right" w:pos="9026" w:leader="dot"/>
            </w:tabs>
            <w:rPr/>
          </w:pPr>
          <w:hyperlink w:anchor="__RefHeading___Toc1841501_2322387425">
            <w:r>
              <w:rPr>
                <w:webHidden/>
                <w:rStyle w:val="IndexLink"/>
                <w:rtl w:val="true"/>
              </w:rPr>
              <w:t>وجوب رد السلام فوراً، و عدمه لو أخر عصیاناً أو نسیاناً مع خروجه عن صدق الجواب، و إن کان فی الصلاة لم یجز</w:t>
            </w:r>
            <w:r>
              <w:rPr>
                <w:rStyle w:val="IndexLink"/>
                <w:rtl w:val="true"/>
              </w:rPr>
              <w:tab/>
            </w:r>
            <w:r>
              <w:rPr>
                <w:rStyle w:val="IndexLink"/>
              </w:rPr>
              <w:t>548</w:t>
            </w:r>
          </w:hyperlink>
        </w:p>
        <w:p>
          <w:pPr>
            <w:pStyle w:val="Contents3"/>
            <w:tabs>
              <w:tab w:val="clear" w:pos="8459"/>
              <w:tab w:val="right" w:pos="9026" w:leader="dot"/>
            </w:tabs>
            <w:rPr/>
          </w:pPr>
          <w:hyperlink w:anchor="__RefHeading___Toc1841503_2322387425">
            <w:r>
              <w:rPr>
                <w:webHidden/>
                <w:rStyle w:val="IndexLink"/>
                <w:rtl w:val="true"/>
              </w:rPr>
              <w:t>وجوب إسماع رد السلام، سواء کان فی الصلاة أم لا، إلا إذا سلم و مشی سریعاً</w:t>
            </w:r>
            <w:r>
              <w:rPr>
                <w:rStyle w:val="IndexLink"/>
                <w:rtl w:val="true"/>
              </w:rPr>
              <w:tab/>
            </w:r>
            <w:r>
              <w:rPr>
                <w:rStyle w:val="IndexLink"/>
              </w:rPr>
              <w:t>550</w:t>
            </w:r>
          </w:hyperlink>
        </w:p>
        <w:p>
          <w:pPr>
            <w:pStyle w:val="Contents3"/>
            <w:tabs>
              <w:tab w:val="clear" w:pos="8459"/>
              <w:tab w:val="right" w:pos="9026" w:leader="dot"/>
            </w:tabs>
            <w:rPr/>
          </w:pPr>
          <w:hyperlink w:anchor="__RefHeading___Toc1841505_2322387425">
            <w:r>
              <w:rPr>
                <w:webHidden/>
                <w:rStyle w:val="IndexLink"/>
                <w:rtl w:val="true"/>
              </w:rPr>
              <w:t>فی ما لو کانت التحیة بغیر لفظ السلام، و لو کان فی أثناء الصلاة</w:t>
            </w:r>
            <w:r>
              <w:rPr>
                <w:rStyle w:val="IndexLink"/>
                <w:rtl w:val="true"/>
              </w:rPr>
              <w:tab/>
            </w:r>
            <w:r>
              <w:rPr>
                <w:rStyle w:val="IndexLink"/>
              </w:rPr>
              <w:t>552</w:t>
            </w:r>
          </w:hyperlink>
        </w:p>
        <w:p>
          <w:pPr>
            <w:pStyle w:val="Contents3"/>
            <w:tabs>
              <w:tab w:val="clear" w:pos="8459"/>
              <w:tab w:val="right" w:pos="9026" w:leader="dot"/>
            </w:tabs>
            <w:rPr/>
          </w:pPr>
          <w:hyperlink w:anchor="__RefHeading___Toc1841507_2322387425">
            <w:r>
              <w:rPr>
                <w:webHidden/>
                <w:rStyle w:val="IndexLink"/>
                <w:rtl w:val="true"/>
              </w:rPr>
              <w:t>حکم ما لو شک المصلی بأن المسلم سلم بأی صیغة؟</w:t>
            </w:r>
            <w:r>
              <w:rPr>
                <w:rStyle w:val="IndexLink"/>
                <w:rtl w:val="true"/>
              </w:rPr>
              <w:tab/>
            </w:r>
            <w:r>
              <w:rPr>
                <w:rStyle w:val="IndexLink"/>
              </w:rPr>
              <w:t>555</w:t>
            </w:r>
          </w:hyperlink>
        </w:p>
        <w:p>
          <w:pPr>
            <w:pStyle w:val="Contents3"/>
            <w:tabs>
              <w:tab w:val="clear" w:pos="8459"/>
              <w:tab w:val="right" w:pos="9026" w:leader="dot"/>
            </w:tabs>
            <w:rPr/>
          </w:pPr>
          <w:hyperlink w:anchor="__RefHeading___Toc1841509_2322387425">
            <w:r>
              <w:rPr>
                <w:webHidden/>
                <w:rStyle w:val="IndexLink"/>
                <w:rtl w:val="true"/>
              </w:rPr>
              <w:t>کراهة السلام علی المصلی</w:t>
            </w:r>
            <w:r>
              <w:rPr>
                <w:rStyle w:val="IndexLink"/>
                <w:rtl w:val="true"/>
              </w:rPr>
              <w:tab/>
            </w:r>
            <w:r>
              <w:rPr>
                <w:rStyle w:val="IndexLink"/>
              </w:rPr>
              <w:t>556</w:t>
            </w:r>
          </w:hyperlink>
        </w:p>
        <w:p>
          <w:pPr>
            <w:pStyle w:val="Contents3"/>
            <w:tabs>
              <w:tab w:val="clear" w:pos="8459"/>
              <w:tab w:val="right" w:pos="9026" w:leader="dot"/>
            </w:tabs>
            <w:rPr/>
          </w:pPr>
          <w:hyperlink w:anchor="__RefHeading___Toc1841511_2322387425">
            <w:r>
              <w:rPr>
                <w:webHidden/>
                <w:rStyle w:val="IndexLink"/>
                <w:rtl w:val="true"/>
              </w:rPr>
              <w:t>کفائیة وجوب رد السلام، و عدم سقوط الاستحباب بالنسبة إلی الباقین</w:t>
            </w:r>
            <w:r>
              <w:rPr>
                <w:rStyle w:val="IndexLink"/>
                <w:rtl w:val="true"/>
              </w:rPr>
              <w:tab/>
            </w:r>
            <w:r>
              <w:rPr>
                <w:rStyle w:val="IndexLink"/>
              </w:rPr>
              <w:t>556</w:t>
            </w:r>
          </w:hyperlink>
        </w:p>
        <w:p>
          <w:pPr>
            <w:pStyle w:val="Contents3"/>
            <w:tabs>
              <w:tab w:val="clear" w:pos="8459"/>
              <w:tab w:val="right" w:pos="9026" w:leader="dot"/>
            </w:tabs>
            <w:rPr/>
          </w:pPr>
          <w:hyperlink w:anchor="__RefHeading___Toc1841513_2322387425">
            <w:r>
              <w:rPr>
                <w:webHidden/>
                <w:rStyle w:val="IndexLink"/>
                <w:rtl w:val="true"/>
              </w:rPr>
              <w:t>جواز سلام الأجنبی علی الأجنبیة، و بالعکس مع عدم الریبة أو خوف الفتنة</w:t>
            </w:r>
            <w:r>
              <w:rPr>
                <w:rStyle w:val="IndexLink"/>
                <w:rtl w:val="true"/>
              </w:rPr>
              <w:tab/>
            </w:r>
            <w:r>
              <w:rPr>
                <w:rStyle w:val="IndexLink"/>
              </w:rPr>
              <w:t>560</w:t>
            </w:r>
          </w:hyperlink>
        </w:p>
        <w:p>
          <w:pPr>
            <w:pStyle w:val="Contents3"/>
            <w:tabs>
              <w:tab w:val="clear" w:pos="8459"/>
              <w:tab w:val="right" w:pos="9026" w:leader="dot"/>
            </w:tabs>
            <w:rPr/>
          </w:pPr>
          <w:hyperlink w:anchor="__RefHeading___Toc1841515_2322387425">
            <w:r>
              <w:rPr>
                <w:webHidden/>
                <w:rStyle w:val="IndexLink"/>
                <w:rtl w:val="true"/>
              </w:rPr>
              <w:t>حکم الابتداء بالسلام علی الکافر، و سلام الذمی علی المسلم و کیفیته</w:t>
            </w:r>
            <w:r>
              <w:rPr>
                <w:rStyle w:val="IndexLink"/>
                <w:rtl w:val="true"/>
              </w:rPr>
              <w:tab/>
            </w:r>
            <w:r>
              <w:rPr>
                <w:rStyle w:val="IndexLink"/>
              </w:rPr>
              <w:t>561</w:t>
            </w:r>
          </w:hyperlink>
        </w:p>
        <w:p>
          <w:pPr>
            <w:pStyle w:val="Contents3"/>
            <w:tabs>
              <w:tab w:val="clear" w:pos="8459"/>
              <w:tab w:val="right" w:pos="9026" w:leader="dot"/>
            </w:tabs>
            <w:rPr/>
          </w:pPr>
          <w:hyperlink w:anchor="__RefHeading___Toc1841517_2322387425">
            <w:r>
              <w:rPr>
                <w:webHidden/>
                <w:rStyle w:val="IndexLink"/>
                <w:rtl w:val="true"/>
              </w:rPr>
              <w:t>استحباب سلام الراکب علی الماشی، و القائم علی الجالس، و القلة علی الکثرة، و غیرها</w:t>
            </w:r>
            <w:r>
              <w:rPr>
                <w:rStyle w:val="IndexLink"/>
                <w:rtl w:val="true"/>
              </w:rPr>
              <w:tab/>
            </w:r>
            <w:r>
              <w:rPr>
                <w:rStyle w:val="IndexLink"/>
              </w:rPr>
              <w:t>562</w:t>
            </w:r>
          </w:hyperlink>
        </w:p>
        <w:p>
          <w:pPr>
            <w:pStyle w:val="Contents3"/>
            <w:tabs>
              <w:tab w:val="clear" w:pos="8459"/>
              <w:tab w:val="right" w:pos="9026" w:leader="dot"/>
            </w:tabs>
            <w:rPr/>
          </w:pPr>
          <w:hyperlink w:anchor="__RefHeading___Toc1841519_2322387425">
            <w:r>
              <w:rPr>
                <w:webHidden/>
                <w:rStyle w:val="IndexLink"/>
                <w:rtl w:val="true"/>
              </w:rPr>
              <w:t>عدم وجوب ردالسلام إن کان سخریة أو مزاح</w:t>
            </w:r>
            <w:r>
              <w:rPr>
                <w:rStyle w:val="IndexLink"/>
                <w:rtl w:val="true"/>
              </w:rPr>
              <w:tab/>
            </w:r>
            <w:r>
              <w:rPr>
                <w:rStyle w:val="IndexLink"/>
              </w:rPr>
              <w:t>563</w:t>
            </w:r>
          </w:hyperlink>
        </w:p>
        <w:p>
          <w:pPr>
            <w:pStyle w:val="Contents3"/>
            <w:tabs>
              <w:tab w:val="clear" w:pos="8459"/>
              <w:tab w:val="right" w:pos="9026" w:leader="dot"/>
            </w:tabs>
            <w:rPr/>
          </w:pPr>
          <w:hyperlink w:anchor="__RefHeading___Toc1841521_2322387425">
            <w:r>
              <w:rPr>
                <w:webHidden/>
                <w:rStyle w:val="IndexLink"/>
                <w:rtl w:val="true"/>
              </w:rPr>
              <w:t>عدم وجوب الرد إذا سلم علی أحد شخصین و لم یعلم أیهما أراد؟ و إن کان الأفضل الرد لکلیهما فی غیر حال الصلاة</w:t>
            </w:r>
            <w:r>
              <w:rPr>
                <w:rStyle w:val="IndexLink"/>
                <w:rtl w:val="true"/>
              </w:rPr>
              <w:tab/>
            </w:r>
            <w:r>
              <w:rPr>
                <w:rStyle w:val="IndexLink"/>
              </w:rPr>
              <w:t>563</w:t>
            </w:r>
          </w:hyperlink>
        </w:p>
        <w:p>
          <w:pPr>
            <w:pStyle w:val="Contents3"/>
            <w:tabs>
              <w:tab w:val="clear" w:pos="8459"/>
              <w:tab w:val="right" w:pos="9026" w:leader="dot"/>
            </w:tabs>
            <w:rPr/>
          </w:pPr>
          <w:hyperlink w:anchor="__RefHeading___Toc1841523_2322387425">
            <w:r>
              <w:rPr>
                <w:webHidden/>
                <w:rStyle w:val="IndexLink"/>
                <w:rtl w:val="true"/>
              </w:rPr>
              <w:t>لو تقارن سلام شخصین کل الآخر وجب علی کل فهما الرد للآخر</w:t>
            </w:r>
            <w:r>
              <w:rPr>
                <w:rStyle w:val="IndexLink"/>
                <w:rtl w:val="true"/>
              </w:rPr>
              <w:tab/>
            </w:r>
            <w:r>
              <w:rPr>
                <w:rStyle w:val="IndexLink"/>
              </w:rPr>
              <w:t>563</w:t>
            </w:r>
          </w:hyperlink>
        </w:p>
        <w:p>
          <w:pPr>
            <w:pStyle w:val="Contents3"/>
            <w:tabs>
              <w:tab w:val="clear" w:pos="8459"/>
              <w:tab w:val="right" w:pos="9026" w:leader="dot"/>
            </w:tabs>
            <w:rPr/>
          </w:pPr>
          <w:hyperlink w:anchor="__RefHeading___Toc1841525_2322387425">
            <w:r>
              <w:rPr>
                <w:webHidden/>
                <w:rStyle w:val="IndexLink"/>
                <w:rtl w:val="true"/>
              </w:rPr>
              <w:t>وجوب رد سلام قارئ التعزیة والواعظ و نحوهما، و یکفی رد أحد المستمعین</w:t>
            </w:r>
            <w:r>
              <w:rPr>
                <w:rStyle w:val="IndexLink"/>
                <w:rtl w:val="true"/>
              </w:rPr>
              <w:tab/>
            </w:r>
            <w:r>
              <w:rPr>
                <w:rStyle w:val="IndexLink"/>
              </w:rPr>
              <w:t>564</w:t>
            </w:r>
          </w:hyperlink>
        </w:p>
        <w:p>
          <w:pPr>
            <w:pStyle w:val="Contents3"/>
            <w:tabs>
              <w:tab w:val="clear" w:pos="8459"/>
              <w:tab w:val="right" w:pos="9026" w:leader="dot"/>
            </w:tabs>
            <w:rPr/>
          </w:pPr>
          <w:hyperlink w:anchor="__RefHeading___Toc1841527_2322387425">
            <w:r>
              <w:rPr>
                <w:webHidden/>
                <w:rStyle w:val="IndexLink"/>
                <w:rtl w:val="true"/>
              </w:rPr>
              <w:t>استحباب الرد بالأحسن فی غیر حاصل الصلاة</w:t>
            </w:r>
            <w:r>
              <w:rPr>
                <w:rStyle w:val="IndexLink"/>
                <w:rtl w:val="true"/>
              </w:rPr>
              <w:tab/>
            </w:r>
            <w:r>
              <w:rPr>
                <w:rStyle w:val="IndexLink"/>
              </w:rPr>
              <w:t>564</w:t>
            </w:r>
          </w:hyperlink>
        </w:p>
        <w:p>
          <w:pPr>
            <w:pStyle w:val="Contents3"/>
            <w:tabs>
              <w:tab w:val="clear" w:pos="8459"/>
              <w:tab w:val="right" w:pos="9026" w:leader="dot"/>
            </w:tabs>
            <w:rPr/>
          </w:pPr>
          <w:hyperlink w:anchor="__RefHeading___Toc1841529_2322387425">
            <w:r>
              <w:rPr>
                <w:webHidden/>
                <w:rStyle w:val="IndexLink"/>
                <w:rtl w:val="true"/>
              </w:rPr>
              <w:t>استحباب قول العاطس و من سمع عطسة الغیر</w:t>
            </w:r>
            <w:r>
              <w:rPr>
                <w:rStyle w:val="IndexLink"/>
                <w:rtl w:val="true"/>
              </w:rPr>
              <w:t>: «</w:t>
            </w:r>
            <w:r>
              <w:rPr>
                <w:rStyle w:val="IndexLink"/>
                <w:rtl w:val="true"/>
              </w:rPr>
              <w:t>الحمد لله</w:t>
            </w:r>
            <w:r>
              <w:rPr>
                <w:rStyle w:val="IndexLink"/>
                <w:rtl w:val="true"/>
              </w:rPr>
              <w:t>»</w:t>
            </w:r>
            <w:r>
              <w:rPr>
                <w:rStyle w:val="IndexLink"/>
                <w:rtl w:val="true"/>
              </w:rPr>
              <w:t>، أو التحمید و الصلاة</w:t>
            </w:r>
            <w:r>
              <w:rPr>
                <w:rStyle w:val="IndexLink"/>
                <w:rtl w:val="true"/>
              </w:rPr>
              <w:tab/>
            </w:r>
            <w:r>
              <w:rPr>
                <w:rStyle w:val="IndexLink"/>
              </w:rPr>
              <w:t>565</w:t>
            </w:r>
          </w:hyperlink>
        </w:p>
        <w:p>
          <w:pPr>
            <w:pStyle w:val="Contents3"/>
            <w:tabs>
              <w:tab w:val="clear" w:pos="8459"/>
              <w:tab w:val="right" w:pos="9026" w:leader="dot"/>
            </w:tabs>
            <w:rPr/>
          </w:pPr>
          <w:hyperlink w:anchor="__RefHeading___Toc1841531_2322387425">
            <w:r>
              <w:rPr>
                <w:webHidden/>
                <w:rStyle w:val="IndexLink"/>
                <w:rtl w:val="true"/>
              </w:rPr>
              <w:t>یستحب تسمیت العاطس یقول</w:t>
            </w:r>
            <w:r>
              <w:rPr>
                <w:rStyle w:val="IndexLink"/>
                <w:rtl w:val="true"/>
              </w:rPr>
              <w:t>: «</w:t>
            </w:r>
            <w:r>
              <w:rPr>
                <w:rStyle w:val="IndexLink"/>
                <w:rtl w:val="true"/>
              </w:rPr>
              <w:t>و یرحمک الله</w:t>
            </w:r>
            <w:r>
              <w:rPr>
                <w:rStyle w:val="IndexLink"/>
                <w:rtl w:val="true"/>
              </w:rPr>
              <w:t xml:space="preserve">» </w:t>
            </w:r>
            <w:r>
              <w:rPr>
                <w:rStyle w:val="IndexLink"/>
                <w:rtl w:val="true"/>
              </w:rPr>
              <w:t>أو الجمع، و إن کان فی الصلاة</w:t>
            </w:r>
            <w:r>
              <w:rPr>
                <w:rStyle w:val="IndexLink"/>
                <w:rtl w:val="true"/>
              </w:rPr>
              <w:tab/>
            </w:r>
            <w:r>
              <w:rPr>
                <w:rStyle w:val="IndexLink"/>
              </w:rPr>
              <w:t>565</w:t>
            </w:r>
          </w:hyperlink>
        </w:p>
        <w:p>
          <w:pPr>
            <w:pStyle w:val="Contents3"/>
            <w:tabs>
              <w:tab w:val="clear" w:pos="8459"/>
              <w:tab w:val="right" w:pos="9026" w:leader="dot"/>
            </w:tabs>
            <w:rPr/>
          </w:pPr>
          <w:hyperlink w:anchor="__RefHeading___Toc1841533_2322387425">
            <w:r>
              <w:rPr>
                <w:webHidden/>
                <w:rStyle w:val="IndexLink"/>
                <w:rtl w:val="true"/>
              </w:rPr>
              <w:t>یستحب للعاطس أن یرد التسمیت بقوله</w:t>
            </w:r>
            <w:r>
              <w:rPr>
                <w:rStyle w:val="IndexLink"/>
                <w:rtl w:val="true"/>
              </w:rPr>
              <w:t>: «</w:t>
            </w:r>
            <w:r>
              <w:rPr>
                <w:rStyle w:val="IndexLink"/>
                <w:rtl w:val="true"/>
              </w:rPr>
              <w:t>یغفر الله لکم</w:t>
            </w:r>
            <w:r>
              <w:rPr>
                <w:rStyle w:val="IndexLink"/>
                <w:rtl w:val="true"/>
              </w:rPr>
              <w:t>»</w:t>
              <w:tab/>
            </w:r>
            <w:r>
              <w:rPr>
                <w:rStyle w:val="IndexLink"/>
              </w:rPr>
              <w:t>567</w:t>
            </w:r>
          </w:hyperlink>
        </w:p>
        <w:p>
          <w:pPr>
            <w:pStyle w:val="Contents3"/>
            <w:tabs>
              <w:tab w:val="clear" w:pos="8459"/>
              <w:tab w:val="right" w:pos="9026" w:leader="dot"/>
            </w:tabs>
            <w:rPr/>
          </w:pPr>
          <w:hyperlink w:anchor="__RefHeading___Toc1841535_2322387425">
            <w:r>
              <w:rPr>
                <w:webHidden/>
                <w:rStyle w:val="IndexLink"/>
                <w:rtl w:val="true"/>
              </w:rPr>
              <w:t>السادس</w:t>
            </w:r>
            <w:r>
              <w:rPr>
                <w:rStyle w:val="IndexLink"/>
                <w:rtl w:val="true"/>
              </w:rPr>
              <w:t xml:space="preserve">: </w:t>
            </w:r>
            <w:r>
              <w:rPr>
                <w:rStyle w:val="IndexLink"/>
                <w:rtl w:val="true"/>
              </w:rPr>
              <w:t>تعمد القهقهة ولو اضطراراً</w:t>
            </w:r>
            <w:r>
              <w:rPr>
                <w:rStyle w:val="IndexLink"/>
                <w:rtl w:val="true"/>
              </w:rPr>
              <w:tab/>
            </w:r>
            <w:r>
              <w:rPr>
                <w:rStyle w:val="IndexLink"/>
              </w:rPr>
              <w:t>567</w:t>
            </w:r>
          </w:hyperlink>
        </w:p>
        <w:p>
          <w:pPr>
            <w:pStyle w:val="Contents3"/>
            <w:tabs>
              <w:tab w:val="clear" w:pos="8459"/>
              <w:tab w:val="right" w:pos="9026" w:leader="dot"/>
            </w:tabs>
            <w:rPr/>
          </w:pPr>
          <w:hyperlink w:anchor="__RefHeading___Toc1841537_2322387425">
            <w:r>
              <w:rPr>
                <w:webHidden/>
                <w:rStyle w:val="IndexLink"/>
                <w:rtl w:val="true"/>
              </w:rPr>
              <w:t>السابع</w:t>
            </w:r>
            <w:r>
              <w:rPr>
                <w:rStyle w:val="IndexLink"/>
                <w:rtl w:val="true"/>
              </w:rPr>
              <w:t xml:space="preserve">: </w:t>
            </w:r>
            <w:r>
              <w:rPr>
                <w:rStyle w:val="IndexLink"/>
                <w:rtl w:val="true"/>
              </w:rPr>
              <w:t>تعمد البکاء المشتمل علی الصوت و غیره لامور الدنیا</w:t>
            </w:r>
            <w:r>
              <w:rPr>
                <w:rStyle w:val="IndexLink"/>
                <w:rtl w:val="true"/>
              </w:rPr>
              <w:tab/>
            </w:r>
            <w:r>
              <w:rPr>
                <w:rStyle w:val="IndexLink"/>
              </w:rPr>
              <w:t>571</w:t>
            </w:r>
          </w:hyperlink>
        </w:p>
        <w:p>
          <w:pPr>
            <w:pStyle w:val="Contents3"/>
            <w:tabs>
              <w:tab w:val="clear" w:pos="8459"/>
              <w:tab w:val="right" w:pos="9026" w:leader="dot"/>
            </w:tabs>
            <w:rPr/>
          </w:pPr>
          <w:hyperlink w:anchor="__RefHeading___Toc1841539_2322387425">
            <w:r>
              <w:rPr>
                <w:webHidden/>
                <w:rStyle w:val="IndexLink"/>
                <w:rtl w:val="true"/>
              </w:rPr>
              <w:t>الثامن</w:t>
            </w:r>
            <w:r>
              <w:rPr>
                <w:rStyle w:val="IndexLink"/>
                <w:rtl w:val="true"/>
              </w:rPr>
              <w:t xml:space="preserve">: </w:t>
            </w:r>
            <w:r>
              <w:rPr>
                <w:rStyle w:val="IndexLink"/>
                <w:rtl w:val="true"/>
              </w:rPr>
              <w:t>کل فعل ماح لصورة الصلاة، قلیلاً کان أو کثیراً</w:t>
            </w:r>
            <w:r>
              <w:rPr>
                <w:rStyle w:val="IndexLink"/>
                <w:rtl w:val="true"/>
              </w:rPr>
              <w:tab/>
            </w:r>
            <w:r>
              <w:rPr>
                <w:rStyle w:val="IndexLink"/>
              </w:rPr>
              <w:t>573</w:t>
            </w:r>
          </w:hyperlink>
        </w:p>
        <w:p>
          <w:pPr>
            <w:pStyle w:val="Contents3"/>
            <w:tabs>
              <w:tab w:val="clear" w:pos="8459"/>
              <w:tab w:val="right" w:pos="9026" w:leader="dot"/>
            </w:tabs>
            <w:rPr/>
          </w:pPr>
          <w:hyperlink w:anchor="__RefHeading___Toc1841541_2322387425">
            <w:r>
              <w:rPr>
                <w:webHidden/>
                <w:rStyle w:val="IndexLink"/>
                <w:rtl w:val="true"/>
              </w:rPr>
              <w:t>التاسع</w:t>
            </w:r>
            <w:r>
              <w:rPr>
                <w:rStyle w:val="IndexLink"/>
                <w:rtl w:val="true"/>
              </w:rPr>
              <w:t xml:space="preserve">: </w:t>
            </w:r>
            <w:r>
              <w:rPr>
                <w:rStyle w:val="IndexLink"/>
                <w:rtl w:val="true"/>
              </w:rPr>
              <w:t>الأکل والشرب الماحیان للصورة، عمداً کانا أو سهواً</w:t>
            </w:r>
            <w:r>
              <w:rPr>
                <w:rStyle w:val="IndexLink"/>
                <w:rtl w:val="true"/>
              </w:rPr>
              <w:tab/>
            </w:r>
            <w:r>
              <w:rPr>
                <w:rStyle w:val="IndexLink"/>
              </w:rPr>
              <w:t>575</w:t>
            </w:r>
          </w:hyperlink>
        </w:p>
        <w:p>
          <w:pPr>
            <w:pStyle w:val="Contents3"/>
            <w:tabs>
              <w:tab w:val="clear" w:pos="8459"/>
              <w:tab w:val="right" w:pos="9026" w:leader="dot"/>
            </w:tabs>
            <w:rPr/>
          </w:pPr>
          <w:hyperlink w:anchor="__RefHeading___Toc1841543_2322387425">
            <w:r>
              <w:rPr>
                <w:webHidden/>
                <w:rStyle w:val="IndexLink"/>
                <w:rtl w:val="true"/>
              </w:rPr>
              <w:t>العاشر</w:t>
            </w:r>
            <w:r>
              <w:rPr>
                <w:rStyle w:val="IndexLink"/>
                <w:rtl w:val="true"/>
              </w:rPr>
              <w:t xml:space="preserve">: </w:t>
            </w:r>
            <w:r>
              <w:rPr>
                <w:rStyle w:val="IndexLink"/>
                <w:rtl w:val="true"/>
              </w:rPr>
              <w:t>تعمد قول</w:t>
            </w:r>
            <w:r>
              <w:rPr>
                <w:rStyle w:val="IndexLink"/>
                <w:rtl w:val="true"/>
              </w:rPr>
              <w:t>:«</w:t>
            </w:r>
            <w:r>
              <w:rPr>
                <w:rStyle w:val="IndexLink"/>
                <w:rtl w:val="true"/>
              </w:rPr>
              <w:t>آمین</w:t>
            </w:r>
            <w:r>
              <w:rPr>
                <w:rStyle w:val="IndexLink"/>
                <w:rtl w:val="true"/>
              </w:rPr>
              <w:t xml:space="preserve">» </w:t>
            </w:r>
            <w:r>
              <w:rPr>
                <w:rStyle w:val="IndexLink"/>
                <w:rtl w:val="true"/>
              </w:rPr>
              <w:t>بعد تمام الفاتحة لغیر ضرورة</w:t>
            </w:r>
            <w:r>
              <w:rPr>
                <w:rStyle w:val="IndexLink"/>
                <w:rtl w:val="true"/>
              </w:rPr>
              <w:tab/>
            </w:r>
            <w:r>
              <w:rPr>
                <w:rStyle w:val="IndexLink"/>
              </w:rPr>
              <w:t>578</w:t>
            </w:r>
          </w:hyperlink>
        </w:p>
        <w:p>
          <w:pPr>
            <w:pStyle w:val="Contents3"/>
            <w:tabs>
              <w:tab w:val="clear" w:pos="8459"/>
              <w:tab w:val="right" w:pos="9026" w:leader="dot"/>
            </w:tabs>
            <w:rPr/>
          </w:pPr>
          <w:hyperlink w:anchor="__RefHeading___Toc1841545_2322387425">
            <w:r>
              <w:rPr>
                <w:webHidden/>
                <w:rStyle w:val="IndexLink"/>
                <w:rtl w:val="true"/>
              </w:rPr>
              <w:t>الحادی عشر</w:t>
            </w:r>
            <w:r>
              <w:rPr>
                <w:rStyle w:val="IndexLink"/>
                <w:rtl w:val="true"/>
              </w:rPr>
              <w:t xml:space="preserve">: </w:t>
            </w:r>
            <w:r>
              <w:rPr>
                <w:rStyle w:val="IndexLink"/>
                <w:rtl w:val="true"/>
              </w:rPr>
              <w:t>الشک فی رکعات الثنائیة و الثلاثیة والاولیین من الرباعیة</w:t>
            </w:r>
            <w:r>
              <w:rPr>
                <w:rStyle w:val="IndexLink"/>
                <w:rtl w:val="true"/>
              </w:rPr>
              <w:tab/>
            </w:r>
            <w:r>
              <w:rPr>
                <w:rStyle w:val="IndexLink"/>
              </w:rPr>
              <w:t>580</w:t>
            </w:r>
          </w:hyperlink>
        </w:p>
        <w:p>
          <w:pPr>
            <w:pStyle w:val="Contents3"/>
            <w:tabs>
              <w:tab w:val="clear" w:pos="8459"/>
              <w:tab w:val="right" w:pos="9026" w:leader="dot"/>
            </w:tabs>
            <w:rPr/>
          </w:pPr>
          <w:hyperlink w:anchor="__RefHeading___Toc1841547_2322387425">
            <w:r>
              <w:rPr>
                <w:webHidden/>
                <w:rStyle w:val="IndexLink"/>
                <w:rtl w:val="true"/>
              </w:rPr>
              <w:t>الثانی عشر</w:t>
            </w:r>
            <w:r>
              <w:rPr>
                <w:rStyle w:val="IndexLink"/>
                <w:rtl w:val="true"/>
              </w:rPr>
              <w:t xml:space="preserve">: </w:t>
            </w:r>
            <w:r>
              <w:rPr>
                <w:rStyle w:val="IndexLink"/>
                <w:rtl w:val="true"/>
              </w:rPr>
              <w:t>زیادة جزءٍ أو نقصانه، عمداً إن لم یکن رکناً، و مطلقاً مع الرکنیة</w:t>
            </w:r>
            <w:r>
              <w:rPr>
                <w:rStyle w:val="IndexLink"/>
                <w:rtl w:val="true"/>
              </w:rPr>
              <w:tab/>
            </w:r>
            <w:r>
              <w:rPr>
                <w:rStyle w:val="IndexLink"/>
              </w:rPr>
              <w:t>580</w:t>
            </w:r>
          </w:hyperlink>
        </w:p>
        <w:p>
          <w:pPr>
            <w:pStyle w:val="Contents3"/>
            <w:tabs>
              <w:tab w:val="clear" w:pos="8459"/>
              <w:tab w:val="right" w:pos="9026" w:leader="dot"/>
            </w:tabs>
            <w:rPr/>
          </w:pPr>
          <w:hyperlink w:anchor="__RefHeading___Toc1841549_2322387425">
            <w:r>
              <w:rPr>
                <w:webHidden/>
                <w:rStyle w:val="IndexLink"/>
                <w:rtl w:val="true"/>
              </w:rPr>
              <w:t>لو شک بعد السلام فی أنه هل أحدث أثناء الصلاة أم لا؟ بنی علی العدم و الصحة</w:t>
            </w:r>
            <w:r>
              <w:rPr>
                <w:rStyle w:val="IndexLink"/>
                <w:rtl w:val="true"/>
              </w:rPr>
              <w:tab/>
            </w:r>
            <w:r>
              <w:rPr>
                <w:rStyle w:val="IndexLink"/>
              </w:rPr>
              <w:t>582</w:t>
            </w:r>
          </w:hyperlink>
        </w:p>
        <w:p>
          <w:pPr>
            <w:pStyle w:val="Contents3"/>
            <w:tabs>
              <w:tab w:val="clear" w:pos="8459"/>
              <w:tab w:val="right" w:pos="9026" w:leader="dot"/>
            </w:tabs>
            <w:rPr/>
          </w:pPr>
          <w:hyperlink w:anchor="__RefHeading___Toc1841551_2322387425">
            <w:r>
              <w:rPr>
                <w:webHidden/>
                <w:rStyle w:val="IndexLink"/>
                <w:rtl w:val="true"/>
              </w:rPr>
              <w:t>حکم من علم بأنه نام اختیاراً و شک فی أنه هل أتم الصلاة ثم نام، أو نام فی أثنائها؟</w:t>
            </w:r>
            <w:r>
              <w:rPr>
                <w:rStyle w:val="IndexLink"/>
                <w:rtl w:val="true"/>
              </w:rPr>
              <w:tab/>
            </w:r>
            <w:r>
              <w:rPr>
                <w:rStyle w:val="IndexLink"/>
              </w:rPr>
              <w:t>582</w:t>
            </w:r>
          </w:hyperlink>
        </w:p>
        <w:p>
          <w:pPr>
            <w:pStyle w:val="Contents3"/>
            <w:tabs>
              <w:tab w:val="clear" w:pos="8459"/>
              <w:tab w:val="right" w:pos="9026" w:leader="dot"/>
            </w:tabs>
            <w:rPr/>
          </w:pPr>
          <w:hyperlink w:anchor="__RefHeading___Toc1841553_2322387425">
            <w:r>
              <w:rPr>
                <w:webHidden/>
                <w:rStyle w:val="IndexLink"/>
                <w:rtl w:val="true"/>
              </w:rPr>
              <w:t>حکم من رأی نجاسة فی المسجد أثناء الصلاة</w:t>
            </w:r>
            <w:r>
              <w:rPr>
                <w:rStyle w:val="IndexLink"/>
                <w:rtl w:val="true"/>
              </w:rPr>
              <w:tab/>
            </w:r>
            <w:r>
              <w:rPr>
                <w:rStyle w:val="IndexLink"/>
              </w:rPr>
              <w:t>583</w:t>
            </w:r>
          </w:hyperlink>
        </w:p>
        <w:p>
          <w:pPr>
            <w:pStyle w:val="Contents3"/>
            <w:tabs>
              <w:tab w:val="clear" w:pos="8459"/>
              <w:tab w:val="right" w:pos="9026" w:leader="dot"/>
            </w:tabs>
            <w:rPr/>
          </w:pPr>
          <w:hyperlink w:anchor="__RefHeading___Toc1841555_2322387425">
            <w:r>
              <w:rPr>
                <w:webHidden/>
                <w:rStyle w:val="IndexLink"/>
                <w:rtl w:val="true"/>
              </w:rPr>
              <w:t>فی القول بجواز البکاء علی سید الشهداء علیه السلام فی حال الصلاة</w:t>
            </w:r>
            <w:r>
              <w:rPr>
                <w:rStyle w:val="IndexLink"/>
                <w:rtl w:val="true"/>
              </w:rPr>
              <w:tab/>
            </w:r>
            <w:r>
              <w:rPr>
                <w:rStyle w:val="IndexLink"/>
              </w:rPr>
              <w:t>585</w:t>
            </w:r>
          </w:hyperlink>
        </w:p>
        <w:p>
          <w:pPr>
            <w:pStyle w:val="Contents3"/>
            <w:tabs>
              <w:tab w:val="clear" w:pos="8459"/>
              <w:tab w:val="right" w:pos="9026" w:leader="dot"/>
            </w:tabs>
            <w:rPr/>
          </w:pPr>
          <w:hyperlink w:anchor="__RefHeading___Toc1841557_2322387425">
            <w:r>
              <w:rPr>
                <w:webHidden/>
                <w:rStyle w:val="IndexLink"/>
                <w:rtl w:val="true"/>
              </w:rPr>
              <w:t>حکم الشک فی بقاء الصلاة فی الفعل الکثیر و السکوت الطویل</w:t>
            </w:r>
            <w:r>
              <w:rPr>
                <w:rStyle w:val="IndexLink"/>
                <w:rtl w:val="true"/>
              </w:rPr>
              <w:tab/>
            </w:r>
            <w:r>
              <w:rPr>
                <w:rStyle w:val="IndexLink"/>
              </w:rPr>
              <w:t>588</w:t>
            </w:r>
          </w:hyperlink>
        </w:p>
        <w:p>
          <w:pPr>
            <w:pStyle w:val="Contents2"/>
            <w:tabs>
              <w:tab w:val="clear" w:pos="8743"/>
              <w:tab w:val="right" w:pos="9026" w:leader="dot"/>
            </w:tabs>
            <w:rPr/>
          </w:pPr>
          <w:hyperlink w:anchor="__RefHeading___Toc1841559_2322387425">
            <w:r>
              <w:rPr>
                <w:webHidden/>
                <w:rStyle w:val="IndexLink"/>
                <w:rtl w:val="true"/>
              </w:rPr>
              <w:t>فهرست محتویات الجزء السابع من کتاب</w:t>
            </w:r>
            <w:r>
              <w:rPr>
                <w:rStyle w:val="IndexLink"/>
                <w:rtl w:val="true"/>
              </w:rPr>
              <w:tab/>
            </w:r>
            <w:r>
              <w:rPr>
                <w:rStyle w:val="IndexLink"/>
              </w:rPr>
              <w:t>589</w:t>
            </w:r>
          </w:hyperlink>
        </w:p>
        <w:p>
          <w:pPr>
            <w:pStyle w:val="Contents2"/>
            <w:tabs>
              <w:tab w:val="clear" w:pos="8743"/>
              <w:tab w:val="right" w:pos="9026" w:leader="dot"/>
            </w:tabs>
            <w:rPr/>
          </w:pPr>
          <w:hyperlink w:anchor="__RefHeading___Toc1841561_2322387425">
            <w:r>
              <w:rPr>
                <w:webHidden/>
                <w:rStyle w:val="IndexLink"/>
                <w:rtl w:val="true"/>
              </w:rPr>
              <w:t>الاصدارات العلمیة لمؤسسة السبطین علیهماالسلام العالمیة</w:t>
            </w:r>
            <w:r>
              <w:rPr>
                <w:rStyle w:val="IndexLink"/>
                <w:rtl w:val="true"/>
              </w:rPr>
              <w:tab/>
            </w:r>
            <w:r>
              <w:rPr>
                <w:rStyle w:val="IndexLink"/>
              </w:rPr>
              <w:t>612</w:t>
            </w:r>
          </w:hyperlink>
        </w:p>
        <w:p>
          <w:pPr>
            <w:pStyle w:val="Contents3"/>
            <w:tabs>
              <w:tab w:val="clear" w:pos="8459"/>
              <w:tab w:val="right" w:pos="9026" w:leader="dot"/>
            </w:tabs>
            <w:rPr/>
          </w:pPr>
          <w:hyperlink w:anchor="__RefHeading___Toc1841563_2322387425">
            <w:r>
              <w:rPr>
                <w:webHidden/>
                <w:rStyle w:val="IndexLink"/>
                <w:rtl w:val="true"/>
              </w:rPr>
              <w:t>باللغة العربیة</w:t>
            </w:r>
            <w:r>
              <w:rPr>
                <w:rStyle w:val="IndexLink"/>
                <w:rtl w:val="true"/>
              </w:rPr>
              <w:tab/>
            </w:r>
            <w:r>
              <w:rPr>
                <w:rStyle w:val="IndexLink"/>
              </w:rPr>
              <w:t>612</w:t>
            </w:r>
          </w:hyperlink>
        </w:p>
        <w:p>
          <w:pPr>
            <w:pStyle w:val="Contents3"/>
            <w:tabs>
              <w:tab w:val="clear" w:pos="8459"/>
              <w:tab w:val="right" w:pos="9026" w:leader="dot"/>
            </w:tabs>
            <w:rPr/>
          </w:pPr>
          <w:hyperlink w:anchor="__RefHeading___Toc1841565_2322387425">
            <w:r>
              <w:rPr>
                <w:webHidden/>
                <w:rStyle w:val="IndexLink"/>
                <w:rtl w:val="true"/>
              </w:rPr>
              <w:t>باللغة الفارسیة</w:t>
            </w:r>
            <w:r>
              <w:rPr>
                <w:rStyle w:val="IndexLink"/>
                <w:rtl w:val="true"/>
              </w:rPr>
              <w:tab/>
            </w:r>
            <w:r>
              <w:rPr>
                <w:rStyle w:val="IndexLink"/>
              </w:rPr>
              <w:t>614</w:t>
            </w:r>
          </w:hyperlink>
        </w:p>
        <w:p>
          <w:pPr>
            <w:pStyle w:val="Contents3"/>
            <w:tabs>
              <w:tab w:val="clear" w:pos="8459"/>
              <w:tab w:val="right" w:pos="9026" w:leader="dot"/>
            </w:tabs>
            <w:rPr/>
          </w:pPr>
          <w:hyperlink w:anchor="__RefHeading___Toc1841567_2322387425">
            <w:r>
              <w:rPr>
                <w:webHidden/>
                <w:rStyle w:val="IndexLink"/>
                <w:rtl w:val="true"/>
              </w:rPr>
              <w:t>باللغة الانجلیزیة</w:t>
            </w:r>
            <w:r>
              <w:rPr>
                <w:rStyle w:val="IndexLink"/>
                <w:rtl w:val="true"/>
              </w:rPr>
              <w:tab/>
            </w:r>
            <w:r>
              <w:rPr>
                <w:rStyle w:val="IndexLink"/>
              </w:rPr>
              <w:t>615</w:t>
            </w:r>
          </w:hyperlink>
        </w:p>
        <w:p>
          <w:pPr>
            <w:pStyle w:val="Contents3"/>
            <w:tabs>
              <w:tab w:val="clear" w:pos="8459"/>
              <w:tab w:val="right" w:pos="9026" w:leader="dot"/>
            </w:tabs>
            <w:rPr/>
          </w:pPr>
          <w:hyperlink w:anchor="__RefHeading___Toc1841569_2322387425">
            <w:r>
              <w:rPr>
                <w:webHidden/>
                <w:rStyle w:val="IndexLink"/>
                <w:rtl w:val="true"/>
              </w:rPr>
              <w:t>باللغة الاُردویة</w:t>
            </w:r>
            <w:r>
              <w:rPr>
                <w:rStyle w:val="IndexLink"/>
                <w:rtl w:val="true"/>
              </w:rPr>
              <w:tab/>
            </w:r>
            <w:r>
              <w:rPr>
                <w:rStyle w:val="IndexLink"/>
              </w:rPr>
              <w:t>616</w:t>
            </w:r>
          </w:hyperlink>
        </w:p>
        <w:p>
          <w:pPr>
            <w:pStyle w:val="Contents3"/>
            <w:tabs>
              <w:tab w:val="clear" w:pos="8459"/>
              <w:tab w:val="right" w:pos="9026" w:leader="dot"/>
            </w:tabs>
            <w:rPr/>
          </w:pPr>
          <w:hyperlink w:anchor="__RefHeading___Toc1841571_2322387425">
            <w:r>
              <w:rPr>
                <w:webHidden/>
                <w:rStyle w:val="IndexLink"/>
                <w:rtl w:val="true"/>
              </w:rPr>
              <w:t>قید التحقیق</w:t>
            </w:r>
            <w:r>
              <w:rPr>
                <w:rStyle w:val="IndexLink"/>
                <w:rtl w:val="true"/>
              </w:rPr>
              <w:tab/>
            </w:r>
            <w:r>
              <w:rPr>
                <w:rStyle w:val="IndexLink"/>
              </w:rPr>
              <w:t>616</w:t>
            </w:r>
          </w:hyperlink>
        </w:p>
        <w:p>
          <w:pPr>
            <w:pStyle w:val="Contents3"/>
            <w:tabs>
              <w:tab w:val="clear" w:pos="8459"/>
              <w:tab w:val="right" w:pos="9026" w:leader="dot"/>
            </w:tabs>
            <w:rPr/>
          </w:pPr>
          <w:hyperlink w:anchor="__RefHeading___Toc1841573_2322387425">
            <w:r>
              <w:rPr>
                <w:webHidden/>
                <w:rStyle w:val="IndexLink"/>
                <w:rtl w:val="true"/>
              </w:rPr>
              <w:t>مرکز نشر و توزیع مؤسسة السبطین علیهماالسلام العالمیة</w:t>
            </w:r>
            <w:r>
              <w:rPr>
                <w:rStyle w:val="IndexLink"/>
                <w:rtl w:val="true"/>
              </w:rPr>
              <w:tab/>
            </w:r>
            <w:r>
              <w:rPr>
                <w:rStyle w:val="IndexLink"/>
              </w:rPr>
              <w:t>616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8_326271"/>
      <w:bookmarkStart w:id="1" w:name="pg13278_326271"/>
      <w:bookmarkEnd w:id="1"/>
    </w:p>
    <w:p>
      <w:pPr>
        <w:pStyle w:val="Heading2"/>
        <w:numPr>
          <w:ilvl w:val="1"/>
          <w:numId w:val="1"/>
        </w:numPr>
        <w:rPr/>
      </w:pPr>
      <w:bookmarkStart w:id="2" w:name="pg13278_326271"/>
      <w:bookmarkStart w:id="3" w:name="__RefHeading___Toc1840567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0569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وأرکانها ـ مبطلات الصلاة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و تحقیق </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 تألیف آیة اللّه العظمی السید محمد کاظم الطباطبائی 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مؤسسة السبطین علیهماالسلام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السبطین علیهماالسلام العالمیة،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الصلاة وأرکانها ـ یستحب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محمد کاظم بن عبدالعظیم،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ـ 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جعفری ـ 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BP5 / 183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40383</w:t>
      </w:r>
    </w:p>
    <w:p>
      <w:pPr>
        <w:pStyle w:val="BookText"/>
        <w:rPr/>
      </w:pPr>
      <w:r>
        <w:rPr>
          <w:rFonts w:eastAsia="Times New Roman" w:cs="Times New Roman" w:ascii="Times New Roman" w:hAnsi="Times New Roman"/>
          <w:color w:val="111111"/>
          <w:sz w:val="28"/>
          <w:szCs w:val="28"/>
          <w:lang w:val="en-US" w:bidi="en-US"/>
        </w:rPr>
        <w:t>342/297</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1161459</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والتعلیقات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الأعظم السید محمّد کاظم الطباطبائی الیزدی قدس‌سره</w:t>
      </w:r>
    </w:p>
    <w:p>
      <w:pPr>
        <w:pStyle w:val="BookText"/>
        <w:rPr/>
      </w:pPr>
      <w:r>
        <w:rPr>
          <w:rFonts w:ascii="IRNazanin" w:hAnsi="IRNazanin" w:eastAsia="IRNazanin"/>
          <w:color w:val="111111"/>
          <w:sz w:val="28"/>
          <w:sz w:val="28"/>
          <w:szCs w:val="28"/>
          <w:rtl w:val="true"/>
          <w:lang w:bidi="fa-IR"/>
        </w:rPr>
        <w:t>إعداد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محفوظة لمؤسسة السبطین علیهماالسلام العالمیة </w:t>
      </w:r>
      <w:bookmarkStart w:id="7" w:name="pg13278_326275"/>
    </w:p>
    <w:p>
      <w:pPr>
        <w:pStyle w:val="Heading2"/>
        <w:numPr>
          <w:ilvl w:val="1"/>
          <w:numId w:val="1"/>
        </w:numPr>
        <w:rPr/>
      </w:pPr>
      <w:bookmarkStart w:id="8" w:name="__RefHeading___Toc1840571_2322387425"/>
      <w:bookmarkStart w:id="9" w:name="_Toc3"/>
      <w:bookmarkEnd w:id="7"/>
      <w:bookmarkEnd w:id="8"/>
      <w:r>
        <w:rPr>
          <w:rtl w:val="true"/>
        </w:rPr>
        <w:t>أصحاب التعلیقات لهذا الکتاب</w:t>
      </w:r>
      <w:bookmarkEnd w:id="9"/>
    </w:p>
    <w:p>
      <w:pPr>
        <w:pStyle w:val="BookText"/>
        <w:rPr/>
      </w:pPr>
      <w:r>
        <w:rPr>
          <w:rFonts w:ascii="IRNazanin" w:hAnsi="IRNazanin" w:eastAsia="IRNazanin"/>
          <w:color w:val="111111"/>
          <w:sz w:val="28"/>
          <w:sz w:val="28"/>
          <w:szCs w:val="28"/>
          <w:rtl w:val="true"/>
          <w:lang w:bidi="fa-IR"/>
        </w:rPr>
        <w:t xml:space="preserve">التعلیقات علی العروة الوثقی الّتی قامت المؤسّسة بجمعها فی هذه الموسوعة القیّمة هی إحدی وأربعون تعلیقة، مدرجة حسب تاریخ الوفاة للمتوفّین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وبالنسبة لمن علی قید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تاریخ الولادة، مع الإشارة إلی مقدار تعلیقة کل منهم حسب النسخ المعتمدة،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علی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 إلاّ أنّ له تعلیقات علی کتاب الإجارة والمضاربة والنکاح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آقا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تقی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أحکام العرضین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الکوه کَمَری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صدر 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جمال الدین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الحسینی الإصطهباناتی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السیّدحسین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عبدالهادی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محمود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الحسینی الرفیعی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هادی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أحمد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کاظم 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الفانی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عبدالأعلی الموسوی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أمین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تقی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السیّدمحمّدصادق‌الحسینی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الموسوی 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الحسینی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باستثناء الحج</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278_326279"/>
      <w:bookmarkStart w:id="11" w:name="pg13278_326279"/>
      <w:bookmarkEnd w:id="11"/>
    </w:p>
    <w:p>
      <w:pPr>
        <w:pStyle w:val="Heading2"/>
        <w:numPr>
          <w:ilvl w:val="1"/>
          <w:numId w:val="1"/>
        </w:numPr>
        <w:rPr/>
      </w:pPr>
      <w:bookmarkStart w:id="12" w:name="pg13278_326279"/>
      <w:bookmarkStart w:id="13" w:name="__RefHeading___Toc1840573_2322387425"/>
      <w:bookmarkStart w:id="14" w:name="_Toc4"/>
      <w:bookmarkEnd w:id="12"/>
      <w:bookmarkEnd w:id="13"/>
      <w:r>
        <w:rPr>
          <w:rtl w:val="true"/>
        </w:rPr>
        <w:t>فصل فی واجبات الصلاة وأرکانها</w:t>
      </w:r>
      <w:bookmarkEnd w:id="14"/>
    </w:p>
    <w:p>
      <w:pPr>
        <w:pStyle w:val="Heading3"/>
        <w:numPr>
          <w:ilvl w:val="2"/>
          <w:numId w:val="1"/>
        </w:numPr>
        <w:rPr/>
      </w:pPr>
      <w:bookmarkStart w:id="15" w:name="__RefHeading___Toc1840575_2322387425"/>
      <w:bookmarkStart w:id="16" w:name="_Toc5"/>
      <w:bookmarkEnd w:id="15"/>
      <w:r>
        <w:rPr>
          <w:rtl w:val="true"/>
        </w:rPr>
        <w:t>الصلوات الواجبة</w:t>
      </w:r>
      <w:bookmarkEnd w:id="16"/>
    </w:p>
    <w:p>
      <w:pPr>
        <w:pStyle w:val="BookText"/>
        <w:rPr/>
      </w:pPr>
      <w:r>
        <w:rPr>
          <w:rFonts w:ascii="Amiri" w:hAnsi="Amiri" w:eastAsia="Amiri" w:cs="Amiri"/>
          <w:color w:val="111111"/>
          <w:sz w:val="28"/>
          <w:sz w:val="28"/>
          <w:szCs w:val="28"/>
          <w:rtl w:val="true"/>
          <w:lang w:bidi="ar-SA"/>
        </w:rPr>
        <w:t>واجبات الصلاة</w:t>
      </w:r>
      <w:r>
        <w:rPr>
          <w:rStyle w:val="FootnoteAnchor"/>
          <w:rtl w:val="true"/>
        </w:rPr>
        <w:footnoteReference w:id="2"/>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والقیام، وتکبیرة الإحرام، والرکوع، والسجود، والقراءة، والذِکر، والتشهّد، والسلام، والترتیب، والموالاة</w:t>
      </w:r>
      <w:r>
        <w:rPr>
          <w:rFonts w:eastAsia="IRNazanin" w:cs="IRNazanin"/>
          <w:color w:val="111111"/>
          <w:sz w:val="28"/>
          <w:szCs w:val="28"/>
          <w:rtl w:val="true"/>
          <w:lang w:bidi="fa-IR"/>
        </w:rPr>
        <w:t>.</w:t>
      </w:r>
    </w:p>
    <w:p>
      <w:pPr>
        <w:pStyle w:val="Heading3"/>
        <w:numPr>
          <w:ilvl w:val="2"/>
          <w:numId w:val="1"/>
        </w:numPr>
        <w:rPr/>
      </w:pPr>
      <w:bookmarkStart w:id="17" w:name="__RefHeading___Toc1840577_2322387425"/>
      <w:bookmarkStart w:id="18" w:name="_Toc6"/>
      <w:bookmarkEnd w:id="17"/>
      <w:r>
        <w:rPr>
          <w:rtl w:val="true"/>
        </w:rPr>
        <w:t>تعداد واجبات الصلاة و بیان الأرکان منها</w:t>
      </w:r>
      <w:bookmarkEnd w:id="18"/>
    </w:p>
    <w:p>
      <w:pPr>
        <w:pStyle w:val="BookText"/>
        <w:rPr/>
      </w:pPr>
      <w:r>
        <w:rPr>
          <w:rFonts w:ascii="IRNazanin" w:hAnsi="IRNazanin" w:eastAsia="IRNazanin"/>
          <w:color w:val="111111"/>
          <w:sz w:val="28"/>
          <w:sz w:val="28"/>
          <w:szCs w:val="28"/>
          <w:rtl w:val="true"/>
          <w:lang w:bidi="fa-IR"/>
        </w:rPr>
        <w:t>والخمسة الاُولی</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 التکبیرة من الأرکان بالمعنی المذکور فی غیر محلّه، إنّما المسلّم رکنیّتها من حیث النقیصة دون الزیادة، کما أنّ عَدّ القیام من الأرکان بکلا المعنیین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النیّة فهی مقوّمة للعبادة، فنقصها یوجب عدم تحقّق العبادة، وأمّا الزیادة فلا معنی لها، وأمّا تکبیرة الإحرام فلا تخلّ زیادتها السهویّة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رکنیّة تمام الخمسة إشکال، وسیأتی 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بمعنی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تکبیرة الإحرام رکناً بالمعنی المذکور فی المتن إشکال، وسیأتی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أنّ نقیصتها السهویة توجب البطلان، وأمّا الزیادة السهویة فلا تتصوّر فی القیام الرکنی إلاّ مع زیادة تکبیرة الإحرام أو الرکوع سهوا، والأظهر أنّ زیادة التکبیرة کذلک غیر مبطلة، وسیجیء الکلام فی زیادة الرکوع، وکذا السجود سهوا، ثمّ إنّ فی حکم القیام القعود لمن کان وظیفته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زیادتها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تکبیرة الإحرام سهوا لایوجب البطلان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زیادة تکبیرة الإحرام مبطلةً یختصّ بصورة العمد، وأمّا نقصانها فلا بدّ من التفصیل فیه بمقتضی تعارض النصوص، لکنّ الاحتیاط یقتضی الالتزام بما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ونقیصتها عمداً</w:t>
      </w:r>
    </w:p>
    <w:p>
      <w:pPr>
        <w:pStyle w:val="BookText"/>
        <w:rPr/>
      </w:pPr>
      <w:r>
        <w:rPr>
          <w:rFonts w:ascii="Amiri" w:hAnsi="Amiri" w:eastAsia="Amiri" w:cs="Amiri"/>
          <w:color w:val="111111"/>
          <w:sz w:val="28"/>
          <w:sz w:val="28"/>
          <w:szCs w:val="28"/>
          <w:rtl w:val="true"/>
          <w:lang w:bidi="ar-SA"/>
        </w:rPr>
        <w:t>وسهواً موجبة للبطلان</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یأتی فی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زیادة تکبیرة الإحرام سهواً لا توجب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زیادة تکبیرة الإحرام سهواً لا توجب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لا تتصوّر الزیادة فی النیّة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بناءً علی الداعی، وبناءً علی الإخطار غیر قادحة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والبقیّة واجبات غیر رکنیّة، فزیادتها ونقصها عمداً موجب للبطلان، لا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ترک الترتیب والموالاة سهوا تفصیل 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یوجبان البطلان إذا أوجبا سلب اسم الصلاة حتّی ولو عن 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لاتتصوّر الزیادة فی الموالاة والترتیب، والإخلال بهما سهوا قد یوجب البطلان،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3278_326281"/>
    </w:p>
    <w:p>
      <w:pPr>
        <w:pStyle w:val="Heading2"/>
        <w:numPr>
          <w:ilvl w:val="1"/>
          <w:numId w:val="1"/>
        </w:numPr>
        <w:rPr/>
      </w:pPr>
      <w:bookmarkStart w:id="20" w:name="__RefHeading___Toc1840579_2322387425"/>
      <w:bookmarkStart w:id="21" w:name="_Toc7"/>
      <w:bookmarkEnd w:id="19"/>
      <w:bookmarkEnd w:id="20"/>
      <w:r>
        <w:rPr>
          <w:rtl w:val="true"/>
        </w:rPr>
        <w:t>فصل فی النیّة</w:t>
      </w:r>
      <w:bookmarkEnd w:id="21"/>
    </w:p>
    <w:p>
      <w:pPr>
        <w:pStyle w:val="Heading3"/>
        <w:numPr>
          <w:ilvl w:val="2"/>
          <w:numId w:val="1"/>
        </w:numPr>
        <w:rPr/>
      </w:pPr>
      <w:bookmarkStart w:id="22" w:name="__RefHeading___Toc1840581_2322387425"/>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الفعل</w:t>
      </w:r>
      <w:r>
        <w:rPr>
          <w:rStyle w:val="FootnoteAnchor"/>
          <w:rtl w:val="true"/>
        </w:rPr>
        <w:footnoteReference w:id="5"/>
      </w:r>
      <w:r>
        <w:rPr>
          <w:rFonts w:ascii="IRNazanin" w:hAnsi="IRNazanin" w:eastAsia="IRNazanin"/>
          <w:color w:val="111111"/>
          <w:sz w:val="28"/>
          <w:sz w:val="28"/>
          <w:szCs w:val="28"/>
          <w:rtl w:val="true"/>
          <w:lang w:bidi="fa-IR"/>
        </w:rPr>
        <w:t>بعنوان الامتثال</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یلزم قصد الامتثال، بل یکفی مطلق القربة، وبما ذکرنا یظهر الإشکال فی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اعتبار قصد الأمر أیضاً، کما لا دلیل علی اعتبار قصد الوجه، والمذکور من کلمات الفقهاء اعتبار قصد القربة، فاعتباره یُغنی عن قصد الأمر والوجه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النیّة المعتبرة فی العبادات عبارة عن إتیان العمل 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لزوم وقوع الفعل علی وجه التعبّد، ویتحقّق بإضافته إلی اللّه تعالی إضافة تذلّلیة، کالإتیان به بداعی امتثال أمره، 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ماهیّة اعتباریة تذلّلیة یکفی مع قصدها مجرد إضافتها إلی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24" w:name="__RefHeading___Toc1840583_2322387425"/>
      <w:bookmarkStart w:id="25" w:name="_Toc9"/>
      <w:bookmarkEnd w:id="24"/>
      <w:r>
        <w:rPr>
          <w:rtl w:val="true"/>
        </w:rPr>
        <w:t>کفایة الداعی دون الزائد علیه</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 فیها </w:t>
      </w:r>
      <w:bookmarkStart w:id="26" w:name="pg13278_326282"/>
    </w:p>
    <w:p>
      <w:pPr>
        <w:pStyle w:val="BookText"/>
        <w:rPr/>
      </w:pPr>
      <w:bookmarkEnd w:id="26"/>
      <w:r>
        <w:rPr>
          <w:rFonts w:ascii="IRNazanin" w:hAnsi="IRNazanin" w:eastAsia="IRNazanin"/>
          <w:color w:val="111111"/>
          <w:sz w:val="28"/>
          <w:sz w:val="28"/>
          <w:szCs w:val="28"/>
          <w:rtl w:val="true"/>
          <w:lang w:bidi="fa-IR"/>
        </w:rPr>
        <w:t>الداعی القلبیّ</w:t>
      </w:r>
      <w:r>
        <w:rPr>
          <w:rStyle w:val="FootnoteAnchor"/>
          <w:rtl w:val="true"/>
        </w:rPr>
        <w:footnoteReference w:id="7"/>
      </w:r>
      <w:r>
        <w:rPr>
          <w:rFonts w:ascii="IRNazanin" w:hAnsi="IRNazanin" w:eastAsia="IRNazanin"/>
          <w:color w:val="111111"/>
          <w:sz w:val="28"/>
          <w:sz w:val="28"/>
          <w:szCs w:val="28"/>
          <w:rtl w:val="true"/>
          <w:lang w:bidi="fa-IR"/>
        </w:rPr>
        <w:t>، ولا یعتبر فیها الإخطار بالبال</w:t>
      </w:r>
      <w:r>
        <w:rPr>
          <w:rStyle w:val="FootnoteAnchor"/>
          <w:rtl w:val="true"/>
        </w:rPr>
        <w:footnoteReference w:id="8"/>
      </w:r>
      <w:r>
        <w:rPr>
          <w:rFonts w:ascii="IRNazanin" w:hAnsi="IRNazanin" w:eastAsia="IRNazanin"/>
          <w:color w:val="111111"/>
          <w:sz w:val="28"/>
          <w:sz w:val="28"/>
          <w:szCs w:val="28"/>
          <w:rtl w:val="true"/>
          <w:lang w:bidi="fa-IR"/>
        </w:rPr>
        <w:t>ولا التلفّظ، فحال الصلاة وسائر العبادات حال سائر الأعمال والأفعال الاختیاریّة، کالأکل والشرب والقیام والقعود ونحوها من حیث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تزید علیها باعتبار القربة فیها بأن یکون الداعی والمحرّک هو الامتثال والقربة</w:t>
      </w:r>
      <w:r>
        <w:rPr>
          <w:rStyle w:val="FootnoteAnchor"/>
          <w:rtl w:val="true"/>
        </w:rPr>
        <w:footnoteReference w:id="9"/>
      </w:r>
      <w:r>
        <w:rPr>
          <w:rFonts w:ascii="IRNazanin" w:hAnsi="IRNazanin" w:eastAsia="IRNazanin"/>
          <w:color w:val="111111"/>
          <w:sz w:val="28"/>
          <w:sz w:val="28"/>
          <w:szCs w:val="28"/>
          <w:rtl w:val="true"/>
          <w:lang w:bidi="fa-IR"/>
        </w:rPr>
        <w:t>،</w:t>
      </w:r>
    </w:p>
    <w:p>
      <w:pPr>
        <w:pStyle w:val="Heading3"/>
        <w:numPr>
          <w:ilvl w:val="2"/>
          <w:numId w:val="1"/>
        </w:numPr>
        <w:rPr/>
      </w:pPr>
      <w:bookmarkStart w:id="27" w:name="__RefHeading___Toc1840585_2322387425"/>
      <w:bookmarkStart w:id="28" w:name="_Toc10"/>
      <w:bookmarkEnd w:id="27"/>
      <w:r>
        <w:rPr>
          <w:rtl w:val="true"/>
        </w:rPr>
        <w:t>درجات غایات الامتثال</w:t>
      </w:r>
      <w:bookmarkEnd w:id="28"/>
    </w:p>
    <w:p>
      <w:pPr>
        <w:pStyle w:val="BookText"/>
        <w:rPr/>
      </w:pPr>
      <w:r>
        <w:rPr>
          <w:rFonts w:ascii="IRNazanin" w:hAnsi="IRNazanin" w:eastAsia="IRNazanin"/>
          <w:color w:val="111111"/>
          <w:sz w:val="28"/>
          <w:sz w:val="28"/>
          <w:szCs w:val="28"/>
          <w:rtl w:val="true"/>
          <w:lang w:bidi="fa-IR"/>
        </w:rPr>
        <w:t>ولغایات الامتثال</w:t>
      </w:r>
      <w:r>
        <w:rPr>
          <w:rStyle w:val="FootnoteAnchor"/>
          <w:rtl w:val="true"/>
        </w:rPr>
        <w:footnoteReference w:id="10"/>
      </w:r>
      <w:r>
        <w:rPr>
          <w:rFonts w:ascii="IRNazanin" w:hAnsi="IRNazanin" w:eastAsia="IRNazanin"/>
          <w:color w:val="111111"/>
          <w:sz w:val="28"/>
          <w:sz w:val="28"/>
          <w:szCs w:val="28"/>
          <w:rtl w:val="true"/>
          <w:lang w:bidi="fa-IR"/>
        </w:rPr>
        <w:t>درجات</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نجد حدیثاً دالاًّ علی الدرجات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وهو أعلاها</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أعلاها أن یکون الداعی الحبّ، کما ورد عن أمیرالموءمنین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وأعلی منه درجات اُخر، أشارت إلی بعضها ما وردت فی صلاة المعراج ومصباح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ومرجع هذا أیضاً إلی کمال العامل؛ إذ ما بالعرض ینتهی إلی ما بالذات، والأعلی منه ما لو کان العامل علی نحو لا یری نفسه کی یری کمالاً له، وعبادة مولانا أمیرالمؤمنین علیه‌السلام کانت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أیضا مراتب، کما لایخفی علی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أعلی الوجوه أن یعبد اللّه حبّاً له، کما تضمّنته الروایات المعتبرة، وقد تقدّم ذلک فی نیّة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یکون الداعی الحبّ، کما ورد عن الإمام الصادق علیه صلوات اللّه وسلامه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أیضاً مراتب عدیدة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ذلک، کما مرّ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امتثال أمر اللّه؛ لأ نّه تعالی أهل للعبادة</w:t>
      </w:r>
    </w:p>
    <w:p>
      <w:pPr>
        <w:pStyle w:val="BookText"/>
        <w:rPr/>
      </w:pPr>
      <w:r>
        <w:rPr>
          <w:rFonts w:ascii="IRNazanin" w:hAnsi="IRNazanin" w:eastAsia="IRNazanin"/>
          <w:color w:val="111111"/>
          <w:sz w:val="28"/>
          <w:sz w:val="28"/>
          <w:szCs w:val="28"/>
          <w:rtl w:val="true"/>
          <w:lang w:bidi="fa-IR"/>
        </w:rPr>
        <w:t xml:space="preserve">والطاعة، وهذا ما أشار إلیه أمیر الموءمنین علیه‌السلام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نظره علیه‌السلام إلی إتیان الصلاة ولو لم یکن أمر بها، بل أهلیته تعالی بنفسها باعثة 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ما عبدتک خوفاً من نارک، ولا طمعاً فی جنّتک، بل وجدتک أهلاً للعبادة فعبدتک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الألفین 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شکر نعمه</w:t>
      </w:r>
      <w:r>
        <w:rPr>
          <w:rStyle w:val="FootnoteAnchor"/>
          <w:rtl w:val="true"/>
        </w:rPr>
        <w:footnoteReference w:id="14"/>
      </w:r>
      <w:r>
        <w:rPr>
          <w:rFonts w:ascii="IRNazanin" w:hAnsi="IRNazanin" w:eastAsia="IRNazanin"/>
          <w:color w:val="111111"/>
          <w:sz w:val="28"/>
          <w:sz w:val="28"/>
          <w:szCs w:val="28"/>
          <w:rtl w:val="true"/>
          <w:lang w:bidi="fa-IR"/>
        </w:rPr>
        <w:t>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به تحصیل رضاه، والفرار من سخطه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به حصول القرب إلیه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w:t>
      </w:r>
      <w:r>
        <w:rPr>
          <w:rStyle w:val="FootnoteAnchor"/>
          <w:rtl w:val="true"/>
        </w:rPr>
        <w:footnoteReference w:id="16"/>
      </w:r>
      <w:r>
        <w:rPr>
          <w:rFonts w:ascii="IRNazanin" w:hAnsi="IRNazanin" w:eastAsia="IRNazanin"/>
          <w:color w:val="111111"/>
          <w:sz w:val="28"/>
          <w:sz w:val="28"/>
          <w:szCs w:val="28"/>
          <w:rtl w:val="true"/>
          <w:lang w:bidi="fa-IR"/>
        </w:rPr>
        <w:t>به الثواب</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الاُخروی أو الدنیوی بنحو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العقاب، بأن یکون الداعی إلی امتثال أمره رجاء ثوابه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وتخلیصه من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إذا کان قصده ذلک علی وجه المعاوضة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المقصود موافقة الأمر مقیّدة بحصول العوض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یأتی بها فی مقابل العوض الاُخروی أو الدنیوی أو کلیهما مقیّداً، بحیث لولا العوض لَما أتی به، لا أن یجعله من باب الداعی علی الداعی، وإلاّ لاریب فی الصحّة علی مختاره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العابد المؤمن لا یقصد المعاوضة مع اللّه تعالی بالعبادة، وما یوهم من بعض الآیات والروایة محمول علی المجاز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أن یکون برجاء</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اُخروی أو رجائه قصد حصوله من باب الخاصّیة المترتّبة، ففی صحّة العمل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قصد حصوله بسبب القرب فی عبودیّته صحّ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إثابته</w:t>
      </w:r>
      <w:r>
        <w:rPr>
          <w:rStyle w:val="FootnoteAnchor"/>
          <w:rtl w:val="true"/>
        </w:rPr>
        <w:footnoteReference w:id="18"/>
      </w:r>
      <w:r>
        <w:rPr>
          <w:rFonts w:ascii="IRNazanin" w:hAnsi="IRNazanin" w:eastAsia="IRNazanin"/>
          <w:color w:val="111111"/>
          <w:sz w:val="28"/>
          <w:sz w:val="28"/>
          <w:szCs w:val="28"/>
          <w:rtl w:val="true"/>
          <w:lang w:bidi="fa-IR"/>
        </w:rPr>
        <w:t>تعالی فیشکل</w:t>
      </w:r>
      <w:r>
        <w:rPr>
          <w:rStyle w:val="FootnoteAnchor"/>
          <w:rtl w:val="true"/>
        </w:rPr>
        <w:footnoteReference w:id="19"/>
      </w:r>
      <w:r>
        <w:rPr>
          <w:rFonts w:ascii="Amiri" w:hAnsi="Amiri" w:eastAsia="Amiri" w:cs="Amiri"/>
          <w:color w:val="111111"/>
          <w:sz w:val="28"/>
          <w:sz w:val="28"/>
          <w:szCs w:val="28"/>
          <w:rtl w:val="true"/>
          <w:lang w:bidi="ar-SA"/>
        </w:rPr>
        <w:t>صحّته</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علی نحو الداعی علی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یصحّ؛ لعدم انتساب امتثاله إلیه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ورد من صلاة الاستسقاء وصلاة الحاجة إنّما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علی الوجه الأوّل</w:t>
      </w:r>
      <w:r>
        <w:rPr>
          <w:rFonts w:eastAsia="IRNazanin" w:cs="IRNazanin"/>
          <w:color w:val="111111"/>
          <w:sz w:val="28"/>
          <w:szCs w:val="28"/>
          <w:rtl w:val="true"/>
          <w:lang w:bidi="fa-IR"/>
        </w:rPr>
        <w:t>.</w:t>
      </w:r>
      <w:bookmarkStart w:id="29" w:name="pg13278_326287"/>
    </w:p>
    <w:p>
      <w:pPr>
        <w:pStyle w:val="Heading3"/>
        <w:numPr>
          <w:ilvl w:val="2"/>
          <w:numId w:val="1"/>
        </w:numPr>
        <w:rPr/>
      </w:pPr>
      <w:bookmarkStart w:id="30" w:name="__RefHeading___Toc1840587_2322387425"/>
      <w:bookmarkStart w:id="31" w:name="_Toc11"/>
      <w:bookmarkEnd w:id="29"/>
      <w:bookmarkEnd w:id="30"/>
      <w:r>
        <w:rPr>
          <w:rtl w:val="true"/>
        </w:rPr>
        <w:t>وجوب تعیین العمل لو کان ما علیه فعلاً متعدداً</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تعیین</w:t>
      </w:r>
      <w:r>
        <w:rPr>
          <w:rStyle w:val="FootnoteAnchor"/>
          <w:rtl w:val="true"/>
        </w:rPr>
        <w:footnoteReference w:id="21"/>
      </w:r>
      <w:r>
        <w:rPr>
          <w:rFonts w:ascii="IRNazanin" w:hAnsi="IRNazanin" w:eastAsia="IRNazanin"/>
          <w:color w:val="111111"/>
          <w:sz w:val="28"/>
          <w:sz w:val="28"/>
          <w:szCs w:val="28"/>
          <w:rtl w:val="true"/>
          <w:lang w:bidi="fa-IR"/>
        </w:rPr>
        <w:t>العمل</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قصد العناوین القصدیة التی ورد بها الدلیل التعبّدی، کالظهریة والعصریة وإن کان ما علیه متّحدا، وذلک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القصد الإجمالی إذا کان علی نحو الإشارة إلی العنوان القصدی المعتبر فی العمل شرعا بحیث یستلزم تحقّق العنوان، وذلک فی المتّحد، لا المتعدّد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قصد عنوان المأمور به مطلقاً ولو إجمالاً، کأن یقصد ما علیه مع الاتّحاد وما وجب علیه أوّلاً مع التعدّد، ولو کان ما علیه فردان من طبیعة واحدة من دون ترتیب یکفی قصد إیجاد الطبیعة، کما فی قضاء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ما علیه فعلاً متعدّداً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أن یکون ما علیه متعدّداً أو متّحداً، فی أنّه یجب قصد کلّ قید اُخذ فی متعلّق الطلب من العناوین القصدیّة التی لا انصراف إلیها إلاّ بالقصد، والفرق إمکان التعیین فی الصورة الثانیة بالقصد إلی ما فی الذمّة، وهو التعیین إجمالاً دون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تعدّد ما فی الذمّة لایقتضی التعیین، أمّا مع عدم اقتضائه تعدّد الامتثال ـ کما سیجیء تصویره فی نیة الصوم ـ فواضح، وکذا مع اقتضائه التعدّد إذا فرض عدم الاختلاف فی الآثار، کما لو نذر صلاة رکعتین مکرّرا فإنّه لا موجب فی مثله للتعیین ولو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الاختلاف فیها ـ کما إذا کان أحدهما موقّتا أو موسّعا دون الآخر ـ فلا بُدّ من التعیین، کما لا بُدّ من تعیین نوع الصلاة المأمور بها مطلقا حتّی مع وحدة ما فی الذمّة، سواء کان متمیّزا عن غیره خارجا، أو بمجرّد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کالظهر والعصر وصلاة القضاء والصلاة نیابة عن الغیر، ولکن یکفی فی قصد النوع القصد الإجمالی، ولایعتبر إحراز العنوان تفصیلاً، فیکفی فی صلاة الظهر مثلاً قصد ما یؤتی به أوّلاً من الفریضتین بعد الزوال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ولکن یکفی التعیین الإجمالی</w:t>
      </w:r>
      <w:r>
        <w:rPr>
          <w:rStyle w:val="FootnoteAnchor"/>
          <w:rtl w:val="true"/>
        </w:rPr>
        <w:footnoteReference w:id="23"/>
      </w:r>
      <w:r>
        <w:rPr>
          <w:rFonts w:ascii="IRNazanin" w:hAnsi="IRNazanin" w:eastAsia="IRNazanin"/>
          <w:color w:val="111111"/>
          <w:sz w:val="28"/>
          <w:sz w:val="28"/>
          <w:szCs w:val="28"/>
          <w:rtl w:val="true"/>
          <w:lang w:bidi="fa-IR"/>
        </w:rPr>
        <w:t>، کأن ینوی ما وجب علیه أوّلاً من الصلاتین مثلاً، أو ینوی ما اشتغلت ذمّته به أوّلاً أو ثانیاً، ولا یجب</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بدّ أن یکون عنوان المأخوذ فیه مقصوداً ولو إجمالاً،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معه أیضا، فإنّه لا بُدّ من قصد العناوین القصدیة التی لاینصرف العمل المشترک إلی بعضها إلاّ بالقصد، کعنوانَی الظهریة والعصریة، وکالفریضة والنافلة فی مثل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التعیین الإجمالی فی الثانی دون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الاتّحاد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لتعیّنه إذا کان معلوماً بالتفصیل، وأمّا مع تردّده بین أمرین أو اُمور فیحتاج إلی معیِّن کالمتعدِّد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أیضاً، غایة الأمر أ نّه یکفی فیه قصد امتثال الأمر الفعلی من غیر حاجة إلی ضمّ شیء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معه أیضا، إلاّ أنّه أخفّ مُؤنة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معه أیضاً علی نحو ما له من التعیّن، ویکفی أیضاً التعیین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یلزم قصد العمل بما له من عنوانه إذا أمر به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تعیین المأمور به مطلقاً ولو بعنوان 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تعیین ما اُخذ فی المأمور به من العنوان، کعناوین الصلاة الیومیة کالظهریة والعصریة، بل قصد نافلتها فی نوافلها فی وجهٍ قویٍّ، کلزوم قصد صلاة اللیلیّة والشفعیّة والوتریة فیها وإن کان المأمور به واحداً، کما أنّه یجب قصد التعیین فی غیر ذلک إذا توقّف امتثال أمره الخاصّ علیه، کصلاة الزیارة ولیلة الدفن وإن لم یکن العنوان دخیلاً فی المأمور به وغیر ذلک فی الآوقات والأمکنة المخصوصة، أو للمطالب الخاصة، نعم، فی القسم الثانی یکفی قصد الإجمالی ولو مع التمکّن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التعدّد والاتّحاد فی وجوب قصد عنوان المأمور به وقیوده المأخوذة فی المأمور به، غایة الأمر أنّ قصدَ ما فی الذمّة تعیین إجمالی له مع الاتّحاد، بخلافه مع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وجوب التعیین فی تحقّق الامتثال بعمل خاصّ بین الاتّحاد والتعدّد إلاّ فی کیفیة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القصد إلیه تعیین حینئذٍ له إجمالاً، فیجب التعیین إجمالاً مطلقا، تعدّد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الأمر المتوجّه إلیه مع فرض اتّحاد العمل فقد حصل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ما إذا اُخذ فی المأمور به عنوان من العناوین القصدیة کالظهریة ونحوها، فإنّه حینئذٍ یجب التعیین ولو إجمالاً مع الاتّحاد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فیکفی عنوان ما اشتغلت به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3278_326290"/>
      <w:bookmarkStart w:id="33" w:name="pg13278_326290"/>
      <w:bookmarkEnd w:id="33"/>
    </w:p>
    <w:p>
      <w:pPr>
        <w:pStyle w:val="Heading3"/>
        <w:numPr>
          <w:ilvl w:val="2"/>
          <w:numId w:val="1"/>
        </w:numPr>
        <w:rPr/>
      </w:pPr>
      <w:bookmarkStart w:id="34" w:name="pg13278_326290"/>
      <w:bookmarkStart w:id="35" w:name="__RefHeading___Toc1840589_2322387425"/>
      <w:bookmarkStart w:id="36" w:name="_Toc12"/>
      <w:bookmarkEnd w:id="34"/>
      <w:bookmarkEnd w:id="35"/>
      <w:r>
        <w:rPr>
          <w:rtl w:val="true"/>
        </w:rPr>
        <w:t>عدم وجوب قصد الأداء و القضاء إلا مع توقف التعیین علی أحدهما</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Style w:val="FootnoteAnchor"/>
          <w:rtl w:val="true"/>
        </w:rPr>
        <w:footnoteReference w:id="25"/>
      </w:r>
      <w:r>
        <w:rPr>
          <w:rFonts w:ascii="IRNazanin" w:hAnsi="IRNazanin" w:eastAsia="IRNazanin"/>
          <w:color w:val="111111"/>
          <w:sz w:val="28"/>
          <w:sz w:val="28"/>
          <w:szCs w:val="28"/>
          <w:rtl w:val="true"/>
          <w:lang w:bidi="fa-IR"/>
        </w:rPr>
        <w:t>قصد</w:t>
      </w:r>
      <w:r>
        <w:rPr>
          <w:rStyle w:val="FootnoteAnchor"/>
          <w:rtl w:val="true"/>
        </w:rPr>
        <w:footnoteReference w:id="26"/>
      </w:r>
      <w:r>
        <w:rPr>
          <w:rFonts w:ascii="IRNazanin" w:hAnsi="IRNazanin" w:eastAsia="IRNazanin"/>
          <w:color w:val="111111"/>
          <w:sz w:val="28"/>
          <w:sz w:val="28"/>
          <w:szCs w:val="28"/>
          <w:rtl w:val="true"/>
          <w:lang w:bidi="fa-IR"/>
        </w:rPr>
        <w:t>الأداء</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القضاء فیجب تعیینه؛ لأنـّه خصوصیّة زائدة فی المطلوب لا بدّ من قصدها، ولا یتعیّن إلاّ بقصدها، بخلاف الأداء والقصر والإتمام فإنّه یتعیّن بنفس فعلها، ویکفی الارتکاز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قصد عنواناً ملازماً مع قصد الأداء والقضاء، أو القصر والتمام، وإلاّ یجب قصدهما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تشتغل ذمّته بهما معا فعلاً، ولم یکن توجّه القصد إلی أحدهما المعیّن خارجا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تعیّنهما ذاتیّ من جهة إتیان العمل فی خارج الوقت قضاءً وفی نفس الوقت أداءً، أو قلنا بأنّ تعیّنهما قصدی، فما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بینهما بأنّ الأداء من العناوین القصدیة دون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العناوین الذاتیة، وکذا 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الأدائیة لیست من العناوین القصدیة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 فکلّ منهما من العناوین القصدیة التی تُقوَّم بهما الملاکات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توقّف القضاء علی قصده، سواء کان واجبا أم مندوبا، ولکن یکفی القصد الإجمالی، کقصد إتیان المأمور به بالأمر الفعلی مع وحدة ما فی الذمّة، ولایضرّ توصیفه بغیر ما هو علیه علی نحو الخطأ فی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w:t>
      </w:r>
    </w:p>
    <w:p>
      <w:pPr>
        <w:pStyle w:val="BookText"/>
        <w:rPr/>
      </w:pPr>
      <w:r>
        <w:rPr>
          <w:rFonts w:ascii="IRNazanin" w:hAnsi="IRNazanin" w:eastAsia="IRNazanin"/>
          <w:color w:val="111111"/>
          <w:sz w:val="28"/>
          <w:sz w:val="28"/>
          <w:szCs w:val="28"/>
          <w:rtl w:val="true"/>
          <w:lang w:bidi="fa-IR"/>
        </w:rPr>
        <w:t>القصر</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القصر والتمام من القیود المأخوذة فی المأمور به، فلا بدّ من قصدهما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القصد الإجمالی، فلو کان جاهلاً بأنّ حکمه القصر أو التمام وشرع فی الصلاة بقصد الأمر المتوجّه إلیه بالفعل، وبنی علی أن یتمّ صلاته کما ینبئه زید الثقة العارف بحکمه، فأعلمه بأنّ حکمه القصر مثلاً وأتمّ صلاته کذلک کانت صلاته صحیحة إذا طابقت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قصدهما خصوصاً، بناءً علی تغایرهما فی الحقیقة؛ إذ القصر عنوان متّخذ من کون الصلاة رکعتین لیس إلاّ، کما أنّ التمام منتزع عن کونها أربع کذلک، وهاتان الخصوصیّتان مأخوذتان فی المتعلّق، لا أنّهما من الطوارئ علیه، فلا بدّ من قصدهما ولو إجمالاً،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الوجوب والندب إلاّ مع توقّف التعیین علی قصد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29"/>
      </w:r>
      <w:r>
        <w:rPr>
          <w:rFonts w:ascii="IRNazanin" w:hAnsi="IRNazanin" w:eastAsia="IRNazanin"/>
          <w:color w:val="111111"/>
          <w:sz w:val="28"/>
          <w:sz w:val="28"/>
          <w:szCs w:val="28"/>
          <w:rtl w:val="true"/>
          <w:lang w:bidi="fa-IR"/>
        </w:rPr>
        <w:t>، بل لو قصد أحد الأمرین</w:t>
      </w:r>
      <w:r>
        <w:rPr>
          <w:rStyle w:val="FootnoteAnchor"/>
          <w:rtl w:val="true"/>
        </w:rPr>
        <w:footnoteReference w:id="30"/>
      </w:r>
      <w:r>
        <w:rPr>
          <w:rFonts w:ascii="IRNazanin" w:hAnsi="IRNazanin" w:eastAsia="IRNazanin"/>
          <w:color w:val="111111"/>
          <w:sz w:val="28"/>
          <w:sz w:val="28"/>
          <w:szCs w:val="28"/>
          <w:rtl w:val="true"/>
          <w:lang w:bidi="fa-IR"/>
        </w:rPr>
        <w:t>فی مقام الآخر صحّ</w:t>
      </w:r>
      <w:r>
        <w:rPr>
          <w:rStyle w:val="FootnoteAnchor"/>
          <w:rtl w:val="true"/>
        </w:rPr>
        <w:footnoteReference w:id="31"/>
      </w:r>
      <w:r>
        <w:rPr>
          <w:rFonts w:ascii="IRNazanin" w:hAnsi="IRNazanin" w:eastAsia="IRNazanin"/>
          <w:color w:val="111111"/>
          <w:sz w:val="28"/>
          <w:sz w:val="28"/>
          <w:szCs w:val="28"/>
          <w:rtl w:val="true"/>
          <w:lang w:bidi="fa-IR"/>
        </w:rPr>
        <w:t>إذا کان علی وجه الاشتباه</w:t>
      </w:r>
      <w:r>
        <w:rPr>
          <w:rStyle w:val="FootnoteAnchor"/>
          <w:rtl w:val="true"/>
        </w:rPr>
        <w:footnoteReference w:id="32"/>
      </w:r>
      <w:r>
        <w:rPr>
          <w:rFonts w:ascii="IRNazanin" w:hAnsi="IRNazanin" w:eastAsia="IRNazanin"/>
          <w:color w:val="111111"/>
          <w:sz w:val="28"/>
          <w:sz w:val="28"/>
          <w:szCs w:val="28"/>
          <w:rtl w:val="true"/>
          <w:lang w:bidi="fa-IR"/>
        </w:rPr>
        <w:t>فی التطبیق</w:t>
      </w:r>
      <w:r>
        <w:rPr>
          <w:rStyle w:val="FootnoteAnchor"/>
          <w:rtl w:val="true"/>
        </w:rPr>
        <w:footnoteReference w:id="33"/>
      </w:r>
      <w:r>
        <w:rPr>
          <w:rFonts w:ascii="IRNazanin" w:hAnsi="IRNazanin" w:eastAsia="IRNazanin"/>
          <w:color w:val="111111"/>
          <w:sz w:val="28"/>
          <w:sz w:val="28"/>
          <w:szCs w:val="28"/>
          <w:rtl w:val="true"/>
          <w:lang w:bidi="fa-IR"/>
        </w:rPr>
        <w:t>، کأن قصد امتثال الأمرین المتعلّق به فعلاً وتخیّل أ نّه أمر أدائی</w:t>
      </w:r>
      <w:r>
        <w:rPr>
          <w:rStyle w:val="FootnoteAnchor"/>
          <w:rtl w:val="true"/>
        </w:rPr>
        <w:footnoteReference w:id="34"/>
      </w:r>
      <w:r>
        <w:rPr>
          <w:rFonts w:ascii="Amiri" w:hAnsi="Amiri" w:eastAsia="Amiri" w:cs="Amiri"/>
          <w:color w:val="111111"/>
          <w:sz w:val="28"/>
          <w:sz w:val="28"/>
          <w:szCs w:val="28"/>
          <w:rtl w:val="true"/>
          <w:lang w:bidi="ar-SA"/>
        </w:rPr>
        <w:t xml:space="preserve">فبان قضائیّاً، أو بالعکس، أو تخیّل أ نّه </w:t>
      </w:r>
    </w:p>
    <w:p>
      <w:pPr>
        <w:pStyle w:val="BookText"/>
        <w:rPr/>
      </w:pPr>
      <w:r>
        <w:rPr>
          <w:rFonts w:ascii="IRNazanin" w:hAnsi="IRNazanin" w:eastAsia="IRNazanin"/>
          <w:color w:val="111111"/>
          <w:sz w:val="28"/>
          <w:sz w:val="28"/>
          <w:szCs w:val="28"/>
          <w:rtl w:val="true"/>
          <w:lang w:bidi="fa-IR"/>
        </w:rPr>
        <w:t>وجوبیّ فبان ندبیّاً، أو بالعکس، وکذا القصر والتمام</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الأحوط اعتبار تعیین أحدهما فی مقام الامتثال مطلقاً،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هذا من الاشتباه فی التطبیق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متوجّهة حیث قصد إتیان ما هو الواجب علیه وما فی ذمّته إجمالاً، وأخطأ فی قصد غیر الواجب تفصیلاً بزعم أنّه المطلوب، ففی الفرض المذکور قد قصد الواقع إجمالاً، وقد مرّ أنّه کافٍ فی الحکم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الأمر المتوجّه إلیه فعلاً وکان معتقداً خطأً بأ نّه الأمر بالتمام مثلاً وشرع فی الصلاة فقد قصد الأمر بالقصر؛ لأ نّه الأمر المتوجّه بالفعل، فإذا استمرّ فی صلاته وأعلمه من یثق به بأنّ حکمه القصر وسلّم علی الرکعتین صحّت صلاته، ولم یضرّه اعتقاده المخطئ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علی وجه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فی مسألة التقیید فی باب الطهارة ما لَه مساس تامّ بما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للتقیید فی ما لا یعتبر فیه قصد العنوان ولو إجمالاً، کالقصر والإتمام، والوجوب والندب وما شاکلها، فإنّ العِبرة فی الصحّة فی هذه الموارد إنّما هی بتحقّق ذات المأمور به مع الإتیان بها علی نحوٍ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ذلک فی مثل الأداء والقضاء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تحقّقت القربة فی ذات المأمور به فلا یضرّ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صحیحاً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یکون صحیحا فی ما لایعتبر فیه قصد عنوانه، کما مرّ وجهه فی الوضوءات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إذا قصد امتثال الأمر الأدائیّ</w:t>
      </w:r>
      <w:bookmarkStart w:id="37" w:name="pg13278_326294"/>
    </w:p>
    <w:p>
      <w:pPr>
        <w:pStyle w:val="BookText"/>
        <w:rPr/>
      </w:pPr>
      <w:bookmarkEnd w:id="37"/>
      <w:r>
        <w:rPr>
          <w:rFonts w:ascii="IRNazanin" w:hAnsi="IRNazanin" w:eastAsia="IRNazanin"/>
          <w:color w:val="111111"/>
          <w:sz w:val="28"/>
          <w:sz w:val="28"/>
          <w:szCs w:val="28"/>
          <w:rtl w:val="true"/>
          <w:lang w:bidi="fa-IR"/>
        </w:rPr>
        <w:t>لیس إلاّ، أو الأمر الوجوبیّ لیس إلاّ، فبان الخلاف فإنّه باطل</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إذا قصد امتثال الأمر الشخصی مع التقیید 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یرجع إلی قصد الأمر الفعلی رأسا، وکان بانیا علی عدم إتیان المأمور به الفعلی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یرجع إلی قصد الأمر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علی تقدیره إنّما هو فی مثل الأداء والقضاء دون غیره، وفیه أیضا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840591_2322387425"/>
      <w:bookmarkStart w:id="39" w:name="_Toc13"/>
      <w:bookmarkEnd w:id="38"/>
      <w:r>
        <w:rPr>
          <w:rtl w:val="true"/>
        </w:rPr>
        <w:t>جواز العدول فی أماکن التخییر بین القصر و التمام</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أحد أماکن التخییر فنوی القصر یجوز له</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اتّحادهما حقیقةً واستمرار التخییر، وأمّا علی التغایر فیشکل الأمر، خصوصاً فی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یُتمّه تماما؛ لِما مرّ منه من عدم اعتبار قصد القصر والتمام الظاهر فی عدم کونهما عنوانین قصدیَّین، کما هو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القصر والإتمام من العناوین القصدیة،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وبالعکس ما لم یتجاوز محلّ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لو</w:t>
      </w:r>
    </w:p>
    <w:p>
      <w:pPr>
        <w:pStyle w:val="BookText"/>
        <w:rPr/>
      </w:pPr>
      <w:r>
        <w:rPr>
          <w:rFonts w:ascii="IRNazanin" w:hAnsi="IRNazanin" w:eastAsia="IRNazanin"/>
          <w:color w:val="111111"/>
          <w:sz w:val="28"/>
          <w:sz w:val="28"/>
          <w:szCs w:val="28"/>
          <w:rtl w:val="true"/>
          <w:lang w:bidi="fa-IR"/>
        </w:rPr>
        <w:t>نوی أحدهما وأتمّ علی الآخر من غیر التفات إلی العدول فالظاهر الصحّة</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فلو فرض قصده الرکعتین فَسَها وصلّی أربع رکعات فصحّة صلاته مشکلة، إلاّ أن یکون الفرض غیر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وقد تقدّم فی الحاشیة السابقة ما لَه ربط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استحباباً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وجود العنوانین حتّی یفرض العدول من أحدهما إلی الآخر، فلا مورد للعدول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التعیین حین الشروع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نوی القصر فشکّ بین الاثنین والثلاث بعد إکمال السجدتین 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مرّت الإشارة إلی أنّ عنوانَی القصر والإتمام لیسا من العناوین القصدیّة، وعلیه لایبقی مجال للعدول، بل یبنی علی الثلاث فی المثال، ولکنّ الأحوط الإعادة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القصر والإتمام من العناوین القصدیّة، ولا تأثیر للقصد فی تعیّنهما، فلا معنی للعدول فیهما، وسیأتی حکم الشکّ المذکور فی الخَلَل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للعدول علی ما مرّ، بل تبطل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العمل بالشکّ من غیر لزوم قصد العدول، والأحوط الإعادة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 المورد من الشبهة المصداقیّة لمحلّ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تأتی فی المسألة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أیضا، وقد أفتی قدس‌سره هناک بالبطلان وعدم جواز العدول، ولکنّ جوازه لایخلو من وجه، وإن کان الأحوط الإعادة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التمام</w:t>
      </w:r>
      <w:r>
        <w:rPr>
          <w:rStyle w:val="FootnoteAnchor"/>
          <w:rtl w:val="true"/>
        </w:rPr>
        <w:footnoteReference w:id="39"/>
      </w:r>
      <w:r>
        <w:rPr>
          <w:rFonts w:ascii="IRNazanin" w:hAnsi="IRNazanin" w:eastAsia="IRNazanin"/>
          <w:color w:val="111111"/>
          <w:sz w:val="28"/>
          <w:sz w:val="28"/>
          <w:szCs w:val="28"/>
          <w:rtl w:val="true"/>
          <w:lang w:bidi="fa-IR"/>
        </w:rPr>
        <w:t>، والبناء علی الثلاث، وإن کان لا یخلو من وجه</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یختار لزوماً التمام للتخلّص من الإبطال والقطع الممنوعین، ویعمل بوظیفة الشکّ بناءً علی اتّحاد الفرضین حقیقةً، مع عدم إمکان التسلیم فی مورد الشکّ؛ لمحذور المضیّ علی الشکّ فی الثنائیة، وأمّا بناءً علی التغایر فلا وجه للصحّة، وما یُتوهّم لها فبعید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قد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المصابیح؛ نظراً إلی شمول دلیل حرمة القطع للمورد، وقد مرّ فی الحاشیة السابقة التفصیل، وأنّ الإطلاق فی الحکم بالصحّة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وهوالأوجه، بناءً علی شمول دلیل حرمة قطع الصلاة لمثل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bookmarkStart w:id="40" w:name="pg13278_326297"/>
    </w:p>
    <w:p>
      <w:pPr>
        <w:pStyle w:val="BookText"/>
        <w:rPr/>
      </w:pPr>
      <w:bookmarkEnd w:id="40"/>
      <w:r>
        <w:rPr>
          <w:rFonts w:ascii="Amiri" w:hAnsi="Amiri" w:eastAsia="Amiri" w:cs="Amiri"/>
          <w:color w:val="111111"/>
          <w:sz w:val="28"/>
          <w:sz w:val="28"/>
          <w:szCs w:val="28"/>
          <w:rtl w:val="true"/>
          <w:lang w:bidi="ar-SA"/>
        </w:rPr>
        <w:t>بتعیّنه</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إذ لا عدول فی البَین علی ما عرفت، والتخییر باقٍ له، ولایتعیّن أحدهما إلاّ بالسلام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لحرمة إبطال العمل، فیتعیّن العدول إلی 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بناءً علی حرمة القطع حتّی فی مثل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الأوجه؛ إذ الواجب هو الجامع، ویمکن للمصلّی الأخذ بطریقٍ مصِّحح، فیجب فراراً عن الإبطال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العدول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اتّحاد الفرض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والإتمام مع صلاة الاحتیاط 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فیحرم علیه إبطال الصلاة، وإتیان صلاة الاحتیاط، وإعادة الصلاة قصراً أو تماماً؛ لأنـّه مخیّر بینهما فی هذه الأمکنة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840593_2322387425"/>
      <w:bookmarkStart w:id="42" w:name="_Toc14"/>
      <w:bookmarkEnd w:id="41"/>
      <w:r>
        <w:rPr>
          <w:rtl w:val="true"/>
        </w:rPr>
        <w:t>کفایة القصد الإجمالی للشروع فی الصلاة</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ابتداء العمل حین النیّة تصوّر الصلاة تفصیلاً، بل یکفی الإجمال</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نیّة المجموع من الأفعال جملةً، أو الأجزاء علی وجه یرجع إلیها، ولا یجوز</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لایجتمع ذلک مع قصد أمر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43" w:name="pg13278_326298"/>
    </w:p>
    <w:p>
      <w:pPr>
        <w:pStyle w:val="BookText"/>
        <w:rPr/>
      </w:pPr>
      <w:bookmarkEnd w:id="43"/>
      <w:r>
        <w:rPr>
          <w:rFonts w:ascii="IRNazanin" w:hAnsi="IRNazanin" w:eastAsia="IRNazanin"/>
          <w:color w:val="111111"/>
          <w:sz w:val="28"/>
          <w:sz w:val="28"/>
          <w:szCs w:val="28"/>
          <w:rtl w:val="true"/>
          <w:lang w:bidi="fa-IR"/>
        </w:rPr>
        <w:t>تفریق</w:t>
      </w:r>
      <w:r>
        <w:rPr>
          <w:rStyle w:val="FootnoteAnchor"/>
          <w:rtl w:val="true"/>
        </w:rPr>
        <w:footnoteReference w:id="44"/>
      </w:r>
      <w:r>
        <w:rPr>
          <w:rFonts w:ascii="IRNazanin" w:hAnsi="IRNazanin" w:eastAsia="IRNazanin"/>
          <w:color w:val="111111"/>
          <w:sz w:val="28"/>
          <w:sz w:val="28"/>
          <w:szCs w:val="28"/>
          <w:rtl w:val="true"/>
          <w:lang w:bidi="fa-IR"/>
        </w:rPr>
        <w:t>النیّة علی الأجزاء علی وجه لا یرجع إلی قصد الجملة، کأن یقصد کلاًّ</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ناویاً من أوّل الأمر للجمیع علی النحو المشروع فالظاهر الصحّة، وإن نوی الاستقلال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علی وجه الاستقلال من غیر لحاظ الجزئیّة</w:t>
      </w:r>
      <w:r>
        <w:rPr>
          <w:rFonts w:eastAsia="IRNazanin" w:cs="IRNazanin"/>
          <w:color w:val="111111"/>
          <w:sz w:val="28"/>
          <w:szCs w:val="28"/>
          <w:rtl w:val="true"/>
          <w:lang w:bidi="fa-IR"/>
        </w:rPr>
        <w:t>.</w:t>
      </w:r>
    </w:p>
    <w:p>
      <w:pPr>
        <w:pStyle w:val="Heading3"/>
        <w:numPr>
          <w:ilvl w:val="2"/>
          <w:numId w:val="1"/>
        </w:numPr>
        <w:rPr/>
      </w:pPr>
      <w:bookmarkStart w:id="44" w:name="__RefHeading___Toc1840595_2322387425"/>
      <w:bookmarkStart w:id="45" w:name="_Toc15"/>
      <w:bookmarkEnd w:id="44"/>
      <w:r>
        <w:rPr>
          <w:rtl w:val="true"/>
        </w:rPr>
        <w:t>عدم منافاة نیة الوجوب اشتمال الصلاة علی المندوب</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نیّة الوجوب</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اعتبارها شرعا فی الصلاة، وعدم إخلالها کذلک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اشتمال الصلاة علی الأجزاء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المندوبة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ینوِ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التی تُسمّی بذلک، لکنّها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مستحبّات مستقلّة فی أثناء الواجب، أو أجزاء لِما هو الأفضل من الواجب التخییری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فی نیة الوجوب أن لا تشمل الأجزاء المندوبة، بل یأتی بها بقصد استحبابها أو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ینوِ المصلّی وجوبها بنحو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نیة الوجوب علی نحو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یجب ملاحظتها فی ابتداء الصلاة، ولا تجدید</w:t>
      </w:r>
      <w:bookmarkStart w:id="46" w:name="pg13278_326299"/>
    </w:p>
    <w:p>
      <w:pPr>
        <w:pStyle w:val="BookText"/>
        <w:rPr/>
      </w:pPr>
      <w:bookmarkEnd w:id="46"/>
      <w:r>
        <w:rPr>
          <w:rFonts w:ascii="Amiri" w:hAnsi="Amiri" w:eastAsia="Amiri" w:cs="Amiri"/>
          <w:color w:val="111111"/>
          <w:sz w:val="28"/>
          <w:sz w:val="28"/>
          <w:szCs w:val="28"/>
          <w:rtl w:val="true"/>
          <w:lang w:bidi="ar-SA"/>
        </w:rPr>
        <w:t>النیّة</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بأجزاء الماهیة، ولا أجزاء فردها، بل اُمور مستقلّة مُستحسنة وظرفها العمل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أن یؤتی العمل الاستحبابی بنیّة الأمر الندبی ولو إجمالاً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 الندب حین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Heading3"/>
        <w:numPr>
          <w:ilvl w:val="2"/>
          <w:numId w:val="1"/>
        </w:numPr>
        <w:rPr/>
      </w:pPr>
      <w:bookmarkStart w:id="47" w:name="__RefHeading___Toc1840597_2322387425"/>
      <w:bookmarkStart w:id="48" w:name="_Toc16"/>
      <w:bookmarkEnd w:id="47"/>
      <w:r>
        <w:rPr>
          <w:rtl w:val="true"/>
        </w:rPr>
        <w:t>مرجوحیة التلفظ بالنیة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ضعیف فی غیر صلاة الاحتیاط، وأمّا فیها فالأحوط إعادة الصلاة لو تلفّظ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التلفّظ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المراد منه قبل التکبیر، فما عن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 التلفّظ قبل التکبیر فلا إشکال فیه فی غیر صلاة الاحتیاط، وبعده من الإشکال بدون فرقٍ بین سائر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 وبعد التکبیر لا معنی للتلفّظ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الصلاة، خصوصاً فی صلاة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فیها معه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البطلان فی التلفّظ بها فی خصوص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 بل البطلان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صلاة الاحتیاط 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للشکوک، وإن کان</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 فإنّ المستفاد من النصّ کون صلاة الاحتیاط متمّمةً، فلا یجوز الإتیان بالمنافی أثناءهما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معه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فی صلاة الاحتیاط مشکلة، سیّما بناءً علی جزئیّتها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صلاة الاحتیاط للشکوک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مهدی الشیرازی،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التلفّظ بها فی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لزوم ترکه فی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صلاة الاحتیاط، أمّا فیها فالأقوی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لزوم ترکه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الصحّة معه فی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تبطل صلاة الاحتیاط إذا تلفّظ بنیّتها عمداً، وعلیه إعادة الصلاة، والأحوط إعادة صلاة الاحتیاط قبلها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صلاة الاحتیاط مع عدم انکشاف تمام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صلاة الاحتیاط، بل البطلان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3278_326301"/>
    </w:p>
    <w:p>
      <w:pPr>
        <w:pStyle w:val="Heading3"/>
        <w:numPr>
          <w:ilvl w:val="2"/>
          <w:numId w:val="1"/>
        </w:numPr>
        <w:rPr/>
      </w:pPr>
      <w:bookmarkStart w:id="50" w:name="__RefHeading___Toc1840599_2322387425"/>
      <w:bookmarkStart w:id="51" w:name="_Toc17"/>
      <w:bookmarkEnd w:id="49"/>
      <w:bookmarkEnd w:id="50"/>
      <w:r>
        <w:rPr>
          <w:rtl w:val="true"/>
        </w:rPr>
        <w:t>من لا یعرف الصلاة علیه الأخذ بالتلقین</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یعرف الصلاة یجب علیه أن یأخذ من یلقّنه فیأتی بها جزءاً فجزءاً، ویجب علیه أن ینویها أوّلاً علی الإجمال</w:t>
      </w:r>
      <w:r>
        <w:rPr>
          <w:rFonts w:eastAsia="IRNazanin" w:cs="IRNazanin"/>
          <w:color w:val="111111"/>
          <w:sz w:val="28"/>
          <w:szCs w:val="28"/>
          <w:rtl w:val="true"/>
          <w:lang w:bidi="fa-IR"/>
        </w:rPr>
        <w:t>.</w:t>
      </w:r>
    </w:p>
    <w:p>
      <w:pPr>
        <w:pStyle w:val="Heading3"/>
        <w:numPr>
          <w:ilvl w:val="2"/>
          <w:numId w:val="1"/>
        </w:numPr>
        <w:rPr/>
      </w:pPr>
      <w:bookmarkStart w:id="52" w:name="__RefHeading___Toc1840601_2322387425"/>
      <w:bookmarkStart w:id="53" w:name="_Toc18"/>
      <w:bookmarkEnd w:id="52"/>
      <w:r>
        <w:rPr>
          <w:rtl w:val="true"/>
        </w:rPr>
        <w:t>شرطیة الخلوص من الریاء فی النیة</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نیّة الصلاة</w:t>
      </w:r>
      <w:r>
        <w:rPr>
          <w:rStyle w:val="FootnoteAnchor"/>
          <w:rtl w:val="true"/>
        </w:rPr>
        <w:footnoteReference w:id="50"/>
      </w:r>
      <w:r>
        <w:rPr>
          <w:rFonts w:ascii="IRNazanin" w:hAnsi="IRNazanin" w:eastAsia="IRNazanin"/>
          <w:color w:val="111111"/>
          <w:sz w:val="28"/>
          <w:sz w:val="28"/>
          <w:szCs w:val="28"/>
          <w:rtl w:val="true"/>
          <w:lang w:bidi="fa-IR"/>
        </w:rPr>
        <w:t>بل مطلق العبادات الخلوص عن الریاء، فلو نوی بها الریاء بطلت، بل هو من المعاصی الکبیرة</w:t>
      </w:r>
      <w:r>
        <w:rPr>
          <w:rStyle w:val="FootnoteAnchor"/>
          <w:rtl w:val="true"/>
        </w:rPr>
        <w:footnoteReference w:id="51"/>
      </w:r>
      <w:r>
        <w:rPr>
          <w:rFonts w:ascii="Amiri" w:hAnsi="Amiri" w:eastAsia="Amiri" w:cs="Amiri"/>
          <w:color w:val="111111"/>
          <w:sz w:val="28"/>
          <w:sz w:val="28"/>
          <w:szCs w:val="28"/>
          <w:rtl w:val="true"/>
          <w:lang w:bidi="ar-SA"/>
        </w:rPr>
        <w:t>لأ نّه شرک باللّه تعالی</w:t>
      </w:r>
      <w:r>
        <w:rPr>
          <w:rStyle w:val="FootnoteAnchor"/>
          <w:rtl w:val="true"/>
        </w:rPr>
        <w:footnoteReference w:id="52"/>
      </w:r>
      <w:r>
        <w:rPr>
          <w:rFonts w:ascii="IRNazanin" w:hAnsi="IRNazanin" w:eastAsia="IRNazanin"/>
          <w:color w:val="111111"/>
          <w:sz w:val="28"/>
          <w:sz w:val="28"/>
          <w:szCs w:val="28"/>
          <w:rtl w:val="true"/>
          <w:lang w:bidi="fa-IR"/>
        </w:rPr>
        <w:t>،</w:t>
      </w:r>
    </w:p>
    <w:p>
      <w:pPr>
        <w:pStyle w:val="Heading3"/>
        <w:numPr>
          <w:ilvl w:val="2"/>
          <w:numId w:val="1"/>
        </w:numPr>
        <w:rPr/>
      </w:pPr>
      <w:bookmarkStart w:id="54" w:name="__RefHeading___Toc1840603_2322387425"/>
      <w:bookmarkStart w:id="55" w:name="_Toc19"/>
      <w:bookmarkEnd w:id="54"/>
      <w:r>
        <w:rPr>
          <w:rtl w:val="true"/>
        </w:rPr>
        <w:t>وجوه تحقق الریاء</w:t>
      </w:r>
      <w:bookmarkEnd w:id="55"/>
    </w:p>
    <w:p>
      <w:pPr>
        <w:pStyle w:val="BookText"/>
        <w:rPr/>
      </w:pPr>
      <w:r>
        <w:rPr>
          <w:rFonts w:ascii="IRNazanin" w:hAnsi="IRNazanin" w:eastAsia="IRNazanin"/>
          <w:color w:val="111111"/>
          <w:sz w:val="28"/>
          <w:sz w:val="28"/>
          <w:szCs w:val="28"/>
          <w:rtl w:val="true"/>
          <w:lang w:bidi="fa-IR"/>
        </w:rPr>
        <w:t>ثمّ إنّ دخول الریاء فی العمل علی وجوه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840605_2322387425"/>
      <w:bookmarkStart w:id="57" w:name="_Toc20"/>
      <w:bookmarkEnd w:id="56"/>
      <w:r>
        <w:rPr>
          <w:rtl w:val="true"/>
        </w:rPr>
        <w:t>الأول</w:t>
      </w:r>
      <w:r>
        <w:rPr>
          <w:rtl w:val="true"/>
        </w:rPr>
        <w:t xml:space="preserve">: </w:t>
      </w:r>
      <w:r>
        <w:rPr>
          <w:rtl w:val="true"/>
        </w:rPr>
        <w:t>قصد الریاء محضاً</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بالعمل لمجرّد إراءة الناس</w:t>
      </w:r>
      <w:r>
        <w:rPr>
          <w:rStyle w:val="FootnoteAnchor"/>
          <w:rtl w:val="true"/>
        </w:rPr>
        <w:footnoteReference w:id="54"/>
      </w:r>
      <w:r>
        <w:rPr>
          <w:rFonts w:ascii="IRNazanin" w:hAnsi="IRNazanin" w:eastAsia="IRNazanin"/>
          <w:color w:val="111111"/>
          <w:sz w:val="28"/>
          <w:sz w:val="28"/>
          <w:szCs w:val="28"/>
          <w:rtl w:val="true"/>
          <w:lang w:bidi="fa-IR"/>
        </w:rPr>
        <w:t xml:space="preserve">من دون أن یقصد به </w:t>
      </w:r>
      <w:bookmarkStart w:id="58" w:name="pg13278_326302"/>
    </w:p>
    <w:p>
      <w:pPr>
        <w:pStyle w:val="BookText"/>
        <w:rPr/>
      </w:pPr>
      <w:bookmarkEnd w:id="58"/>
      <w:r>
        <w:rPr>
          <w:rFonts w:ascii="IRNazanin" w:hAnsi="IRNazanin" w:eastAsia="IRNazanin"/>
          <w:color w:val="111111"/>
          <w:sz w:val="28"/>
          <w:sz w:val="28"/>
          <w:szCs w:val="28"/>
          <w:rtl w:val="true"/>
          <w:lang w:bidi="fa-IR"/>
        </w:rPr>
        <w:t>امتثال أمر اللّه تعالی، وهذا باطل بلا إشکال؛ لأنـّه فاقد لقصد القربة أیضاً</w:t>
      </w:r>
      <w:r>
        <w:rPr>
          <w:rFonts w:eastAsia="IRNazanin" w:cs="IRNazanin"/>
          <w:color w:val="111111"/>
          <w:sz w:val="28"/>
          <w:szCs w:val="28"/>
          <w:rtl w:val="true"/>
          <w:lang w:bidi="fa-IR"/>
        </w:rPr>
        <w:t>.</w:t>
      </w:r>
    </w:p>
    <w:p>
      <w:pPr>
        <w:pStyle w:val="Heading3"/>
        <w:numPr>
          <w:ilvl w:val="2"/>
          <w:numId w:val="1"/>
        </w:numPr>
        <w:rPr/>
      </w:pPr>
      <w:bookmarkStart w:id="59" w:name="__RefHeading___Toc1840607_2322387425"/>
      <w:bookmarkStart w:id="60" w:name="_Toc21"/>
      <w:bookmarkEnd w:id="59"/>
      <w:r>
        <w:rPr>
          <w:rtl w:val="true"/>
        </w:rPr>
        <w:t>الثانی</w:t>
      </w:r>
      <w:r>
        <w:rPr>
          <w:rtl w:val="true"/>
        </w:rPr>
        <w:t xml:space="preserve">: </w:t>
      </w:r>
      <w:r>
        <w:rPr>
          <w:rtl w:val="true"/>
        </w:rPr>
        <w:t>ضم الریاء إلی القربة</w:t>
      </w:r>
      <w:bookmarkEnd w:id="6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داعیه ومحرّکه علی العمل القربة وامتثال الأمر والریاء معاً، وهذا أیضاً باطل، سواء کانا مستقلّین</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کلاًّ منهما مستقلّ بالتأثیر لو أنّه فقد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أحدهما تبعاً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ما إذا کان قصد القربة تبعا، وأمّا فی صورة العکس فلا یبعد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مع تبعیة الریاء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 مستقلاًّ، أو کانا معاً، ومنضمّاً محرّکاً وداعیاً</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840609_2322387425"/>
      <w:bookmarkStart w:id="62" w:name="_Toc22"/>
      <w:bookmarkEnd w:id="61"/>
      <w:r>
        <w:rPr>
          <w:rtl w:val="true"/>
        </w:rPr>
        <w:t>الثالث</w:t>
      </w:r>
      <w:r>
        <w:rPr>
          <w:rtl w:val="true"/>
        </w:rPr>
        <w:t xml:space="preserve">: </w:t>
      </w:r>
      <w:r>
        <w:rPr>
          <w:rtl w:val="true"/>
        </w:rPr>
        <w:t>الریاء فی الأجزاء الواجبة</w:t>
      </w:r>
      <w:bookmarkEnd w:id="6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ببعض الأجزاء</w:t>
      </w:r>
      <w:r>
        <w:rPr>
          <w:rStyle w:val="FootnoteAnchor"/>
          <w:rtl w:val="true"/>
        </w:rPr>
        <w:footnoteReference w:id="56"/>
      </w:r>
      <w:r>
        <w:rPr>
          <w:rFonts w:ascii="IRNazanin" w:hAnsi="IRNazanin" w:eastAsia="IRNazanin"/>
          <w:color w:val="111111"/>
          <w:sz w:val="28"/>
          <w:sz w:val="28"/>
          <w:szCs w:val="28"/>
          <w:rtl w:val="true"/>
          <w:lang w:bidi="fa-IR"/>
        </w:rPr>
        <w:t>الواجبة الریاء، وهذا أیضاً باطل</w:t>
      </w:r>
      <w:r>
        <w:rPr>
          <w:rStyle w:val="FootnoteAnchor"/>
          <w:rtl w:val="true"/>
        </w:rPr>
        <w:footnoteReference w:id="57"/>
      </w:r>
      <w:r>
        <w:rPr>
          <w:rFonts w:ascii="IRNazanin" w:hAnsi="IRNazanin" w:eastAsia="IRNazanin"/>
          <w:color w:val="111111"/>
          <w:sz w:val="28"/>
          <w:sz w:val="28"/>
          <w:szCs w:val="28"/>
          <w:rtl w:val="true"/>
          <w:lang w:bidi="fa-IR"/>
        </w:rPr>
        <w:t>، وإن کان محلّ التدارک باقیاً</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فیه التدارک،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ذکرنا فی فصل شرائط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الریاء فی الجزء یوجب بطلان الجزء، فإذا اکتفی به ولم یتدارکه بطل العمل کلّه؛ لنقصان جزئه، وإذا تدارک الجزء وأعاده قبل فوات الموالاة کان العمل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وقع ذلک فی الصلاة کانت باطلة؛ للزوم الزیادة العمدیة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سری إلی الکلّ بأن یکون الریاء فی العمل المشتمل علیه، أو لزم من تدارکه زیادة مبطلة، وهکذا الحال فی الأجزاء المستحبّة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الأعمال التی لا</w:t>
      </w:r>
      <w:bookmarkStart w:id="63" w:name="pg13278_326303"/>
    </w:p>
    <w:p>
      <w:pPr>
        <w:pStyle w:val="BookText"/>
        <w:rPr/>
      </w:pPr>
      <w:bookmarkEnd w:id="63"/>
      <w:r>
        <w:rPr>
          <w:rFonts w:ascii="IRNazanin" w:hAnsi="IRNazanin" w:eastAsia="IRNazanin"/>
          <w:color w:val="111111"/>
          <w:sz w:val="28"/>
          <w:sz w:val="28"/>
          <w:szCs w:val="28"/>
          <w:rtl w:val="true"/>
          <w:lang w:bidi="fa-IR"/>
        </w:rPr>
        <w:t>یرتبط بعضها ببعض أو لا تنافیها الزیادة فی الأثناء، کقراءة القرآن والأذان والإقامة</w:t>
      </w:r>
      <w:r>
        <w:rPr>
          <w:rStyle w:val="FootnoteAnchor"/>
          <w:rtl w:val="true"/>
        </w:rPr>
        <w:footnoteReference w:id="59"/>
      </w:r>
      <w:r>
        <w:rPr>
          <w:rFonts w:ascii="IRNazanin" w:hAnsi="IRNazanin" w:eastAsia="IRNazanin"/>
          <w:color w:val="111111"/>
          <w:sz w:val="28"/>
          <w:sz w:val="28"/>
          <w:szCs w:val="28"/>
          <w:rtl w:val="true"/>
          <w:lang w:bidi="fa-IR"/>
        </w:rPr>
        <w:t>إذا أتی ببعض الآیات أو الفصول من الأذان اختصّ البطلان به</w:t>
      </w:r>
      <w:r>
        <w:rPr>
          <w:rStyle w:val="FootnoteAnchor"/>
          <w:rtl w:val="true"/>
        </w:rPr>
        <w:footnoteReference w:id="60"/>
      </w:r>
      <w:r>
        <w:rPr>
          <w:rFonts w:ascii="IRNazanin" w:hAnsi="IRNazanin" w:eastAsia="IRNazanin"/>
          <w:color w:val="111111"/>
          <w:sz w:val="28"/>
          <w:sz w:val="28"/>
          <w:szCs w:val="28"/>
          <w:rtl w:val="true"/>
          <w:lang w:bidi="fa-IR"/>
        </w:rPr>
        <w:t>، فلو تدارک بالإعادة صحّ</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الأذان والإقامة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Heading3"/>
        <w:numPr>
          <w:ilvl w:val="2"/>
          <w:numId w:val="1"/>
        </w:numPr>
        <w:rPr/>
      </w:pPr>
      <w:bookmarkStart w:id="64" w:name="__RefHeading___Toc1840611_2322387425"/>
      <w:bookmarkStart w:id="65" w:name="_Toc23"/>
      <w:bookmarkEnd w:id="64"/>
      <w:r>
        <w:rPr>
          <w:rtl w:val="true"/>
        </w:rPr>
        <w:t>الرابع</w:t>
      </w:r>
      <w:r>
        <w:rPr>
          <w:rtl w:val="true"/>
        </w:rPr>
        <w:t xml:space="preserve">: </w:t>
      </w:r>
      <w:r>
        <w:rPr>
          <w:rtl w:val="true"/>
        </w:rPr>
        <w:t>الریاء فی الأجزاء المستحبة</w:t>
      </w:r>
      <w:bookmarkEnd w:id="65"/>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ببعض الأجزاء المستحبّة</w:t>
      </w:r>
      <w:r>
        <w:rPr>
          <w:rStyle w:val="FootnoteAnchor"/>
          <w:rtl w:val="true"/>
        </w:rPr>
        <w:footnoteReference w:id="63"/>
      </w:r>
      <w:r>
        <w:rPr>
          <w:rFonts w:ascii="IRNazanin" w:hAnsi="IRNazanin" w:eastAsia="IRNazanin"/>
          <w:color w:val="111111"/>
          <w:sz w:val="28"/>
          <w:sz w:val="28"/>
          <w:szCs w:val="28"/>
          <w:rtl w:val="true"/>
          <w:lang w:bidi="fa-IR"/>
        </w:rPr>
        <w:t>الریاء، کالقنوت</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البطلان فی القنوت وجلسة الاستراحة، أمّا فی الدعاء والذکر المستحبَّین فقد یقال بالبطلان؛ لأنّه من الکلام المحرَّم، ولا یُترک الاحتیاط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65"/>
      </w:r>
      <w:r>
        <w:rPr>
          <w:rFonts w:ascii="IRNazanin" w:hAnsi="IRNazanin" w:eastAsia="IRNazanin"/>
          <w:color w:val="111111"/>
          <w:sz w:val="28"/>
          <w:sz w:val="28"/>
          <w:szCs w:val="28"/>
          <w:rtl w:val="true"/>
          <w:lang w:bidi="fa-IR"/>
        </w:rPr>
        <w:t>، وهذا أیضاً باطل</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رجع الریاء فیه إلی الصلاة، وإلاّ ففیه تأمّل، وکذا فی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زیادة وإن لم یأتِ بالآخر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فی هذه الصورة وفی الصور الثلاث التالیة لها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 خصوص الجزء، لا بطلان الصلاة، وأثر بطلانه عدم استحقاق الثواب علیه، کما لو خلت الصلاة منه، فعلاً کان أو قولاً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لاحتمال کونه من الزیادة العمدیّة، وفیه تأمّل، أو لکونه من الکلام الآدمی المبطل فی تلک 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والأظهر عدم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3278_326305"/>
    </w:p>
    <w:p>
      <w:pPr>
        <w:pStyle w:val="Heading3"/>
        <w:numPr>
          <w:ilvl w:val="2"/>
          <w:numId w:val="1"/>
        </w:numPr>
        <w:rPr/>
      </w:pPr>
      <w:bookmarkStart w:id="67" w:name="__RefHeading___Toc1840613_2322387425"/>
      <w:bookmarkStart w:id="68" w:name="_Toc24"/>
      <w:bookmarkEnd w:id="66"/>
      <w:bookmarkEnd w:id="67"/>
      <w:r>
        <w:rPr>
          <w:rtl w:val="true"/>
        </w:rPr>
        <w:t>الخامس</w:t>
      </w:r>
      <w:r>
        <w:rPr>
          <w:rtl w:val="true"/>
        </w:rPr>
        <w:t xml:space="preserve">: </w:t>
      </w:r>
      <w:r>
        <w:rPr>
          <w:rtl w:val="true"/>
        </w:rPr>
        <w:t>الریاء من حیث المکان</w:t>
      </w:r>
      <w:bookmarkEnd w:id="6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أصل العمل للّه، لکن أتی به فی مکان</w:t>
      </w:r>
      <w:r>
        <w:rPr>
          <w:rStyle w:val="FootnoteAnchor"/>
          <w:rtl w:val="true"/>
        </w:rPr>
        <w:footnoteReference w:id="67"/>
      </w:r>
      <w:r>
        <w:rPr>
          <w:rFonts w:ascii="IRNazanin" w:hAnsi="IRNazanin" w:eastAsia="IRNazanin"/>
          <w:color w:val="111111"/>
          <w:sz w:val="28"/>
          <w:sz w:val="28"/>
          <w:szCs w:val="28"/>
          <w:rtl w:val="true"/>
          <w:lang w:bidi="fa-IR"/>
        </w:rPr>
        <w:t>وقصد بإتیانه فی ذلک</w:t>
      </w:r>
      <w:r>
        <w:rPr>
          <w:rStyle w:val="FootnoteAnchor"/>
          <w:rtl w:val="true"/>
        </w:rPr>
        <w:footnoteReference w:id="68"/>
      </w:r>
      <w:r>
        <w:rPr>
          <w:rFonts w:ascii="IRNazanin" w:hAnsi="IRNazanin" w:eastAsia="IRNazanin"/>
          <w:color w:val="111111"/>
          <w:sz w:val="28"/>
          <w:sz w:val="28"/>
          <w:szCs w:val="28"/>
          <w:rtl w:val="true"/>
          <w:lang w:bidi="fa-IR"/>
        </w:rPr>
        <w:t>المکان</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ذکرنا فی الرابع یجری فی الخامس، وفی السادس والسابع أیضاً من أنّ التفکیک أمر ممکن بالنظر الدِقّی دون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إذا أتی به فی المسجد أو بعض المشاهد ریاءً، وهذا أیضاً باطل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لصدق الصلاة المقیّدة بتلک الخصوصیّة المزریة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 کان وقوفه فی الصفّ الأوّل من الجماعة، أو فی الطرف الأیمن ریاءً</w:t>
      </w:r>
      <w:r>
        <w:rPr>
          <w:rFonts w:eastAsia="IRNazanin" w:cs="IRNazanin"/>
          <w:color w:val="111111"/>
          <w:sz w:val="28"/>
          <w:szCs w:val="28"/>
          <w:rtl w:val="true"/>
          <w:lang w:bidi="fa-IR"/>
        </w:rPr>
        <w:t>.</w:t>
      </w:r>
      <w:bookmarkStart w:id="69" w:name="pg13278_326306"/>
    </w:p>
    <w:p>
      <w:pPr>
        <w:pStyle w:val="Heading3"/>
        <w:numPr>
          <w:ilvl w:val="2"/>
          <w:numId w:val="1"/>
        </w:numPr>
        <w:rPr/>
      </w:pPr>
      <w:bookmarkStart w:id="70" w:name="__RefHeading___Toc1840615_2322387425"/>
      <w:bookmarkStart w:id="71" w:name="_Toc25"/>
      <w:bookmarkEnd w:id="69"/>
      <w:bookmarkEnd w:id="70"/>
      <w:r>
        <w:rPr>
          <w:rtl w:val="true"/>
        </w:rPr>
        <w:t>السادس</w:t>
      </w:r>
      <w:r>
        <w:rPr>
          <w:rtl w:val="true"/>
        </w:rPr>
        <w:t xml:space="preserve">: </w:t>
      </w:r>
      <w:r>
        <w:rPr>
          <w:rtl w:val="true"/>
        </w:rPr>
        <w:t>الریاء من حیث الزمان</w:t>
      </w:r>
      <w:bookmarkEnd w:id="71"/>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الریاء من حیث الزمان</w:t>
      </w:r>
      <w:r>
        <w:rPr>
          <w:rStyle w:val="FootnoteAnchor"/>
          <w:rtl w:val="true"/>
        </w:rPr>
        <w:footnoteReference w:id="70"/>
      </w:r>
      <w:r>
        <w:rPr>
          <w:rFonts w:ascii="IRNazanin" w:hAnsi="IRNazanin" w:eastAsia="IRNazanin"/>
          <w:color w:val="111111"/>
          <w:sz w:val="28"/>
          <w:sz w:val="28"/>
          <w:szCs w:val="28"/>
          <w:rtl w:val="true"/>
          <w:lang w:bidi="fa-IR"/>
        </w:rPr>
        <w:t>، کالصلاة فی أوّل الوقت ریاءً، وهذا أیضاً باطل علی الأقوی</w:t>
      </w:r>
      <w:r>
        <w:rPr>
          <w:rFonts w:eastAsia="IRNazanin" w:cs="IRNazanin"/>
          <w:color w:val="111111"/>
          <w:sz w:val="28"/>
          <w:szCs w:val="28"/>
          <w:rtl w:val="true"/>
          <w:lang w:bidi="fa-IR"/>
        </w:rPr>
        <w:t>.</w:t>
      </w:r>
    </w:p>
    <w:p>
      <w:pPr>
        <w:pStyle w:val="Heading3"/>
        <w:numPr>
          <w:ilvl w:val="2"/>
          <w:numId w:val="1"/>
        </w:numPr>
        <w:rPr/>
      </w:pPr>
      <w:bookmarkStart w:id="72" w:name="__RefHeading___Toc1840617_2322387425"/>
      <w:bookmarkStart w:id="73" w:name="_Toc26"/>
      <w:bookmarkEnd w:id="72"/>
      <w:r>
        <w:rPr>
          <w:rtl w:val="true"/>
        </w:rPr>
        <w:t>السابع</w:t>
      </w:r>
      <w:r>
        <w:rPr>
          <w:rtl w:val="true"/>
        </w:rPr>
        <w:t xml:space="preserve">: </w:t>
      </w:r>
      <w:r>
        <w:rPr>
          <w:rtl w:val="true"/>
        </w:rPr>
        <w:t>الریاء فی أوصاف العمل</w:t>
      </w:r>
      <w:bookmarkEnd w:id="73"/>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الریاء من حیث أوصاف العمل، کالإتیان بالصلاة جماعة</w:t>
      </w:r>
      <w:r>
        <w:rPr>
          <w:rStyle w:val="FootnoteAnchor"/>
          <w:rtl w:val="true"/>
        </w:rPr>
        <w:footnoteReference w:id="71"/>
      </w:r>
      <w:r>
        <w:rPr>
          <w:rFonts w:ascii="IRNazanin" w:hAnsi="IRNazanin" w:eastAsia="IRNazanin"/>
          <w:color w:val="111111"/>
          <w:sz w:val="28"/>
          <w:sz w:val="28"/>
          <w:szCs w:val="28"/>
          <w:rtl w:val="true"/>
          <w:lang w:bidi="fa-IR"/>
        </w:rPr>
        <w:t>، أو القراءة بالتأنیّ أو بالخشوع</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کما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راءی فی صلاته خاشعاً ـ کما هو ظاهر العبارة ـ بطلت صلاته، وإذا قصد الریاء بالخشوع وحده لم تبطل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نحو ذلک، وهذا أیضاً باطل علی الأقوی</w:t>
      </w:r>
      <w:r>
        <w:rPr>
          <w:rFonts w:eastAsia="IRNazanin" w:cs="IRNazanin"/>
          <w:color w:val="111111"/>
          <w:sz w:val="28"/>
          <w:szCs w:val="28"/>
          <w:rtl w:val="true"/>
          <w:lang w:bidi="fa-IR"/>
        </w:rPr>
        <w:t>.</w:t>
      </w:r>
    </w:p>
    <w:p>
      <w:pPr>
        <w:pStyle w:val="Heading3"/>
        <w:numPr>
          <w:ilvl w:val="2"/>
          <w:numId w:val="1"/>
        </w:numPr>
        <w:rPr/>
      </w:pPr>
      <w:bookmarkStart w:id="74" w:name="__RefHeading___Toc1840619_2322387425"/>
      <w:bookmarkStart w:id="75" w:name="_Toc27"/>
      <w:bookmarkEnd w:id="74"/>
      <w:r>
        <w:rPr>
          <w:rtl w:val="true"/>
        </w:rPr>
        <w:t>الثامن</w:t>
      </w:r>
      <w:r>
        <w:rPr>
          <w:rtl w:val="true"/>
        </w:rPr>
        <w:t xml:space="preserve">: </w:t>
      </w:r>
      <w:r>
        <w:rPr>
          <w:rtl w:val="true"/>
        </w:rPr>
        <w:t>الریاء فی مقدمات العمل</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مقدّمات العمل، کما إذا کان الریاء فی مشیه إلی </w:t>
      </w:r>
      <w:bookmarkStart w:id="76" w:name="pg13278_326307"/>
    </w:p>
    <w:p>
      <w:pPr>
        <w:pStyle w:val="BookText"/>
        <w:rPr/>
      </w:pPr>
      <w:bookmarkEnd w:id="76"/>
      <w:r>
        <w:rPr>
          <w:rFonts w:ascii="IRNazanin" w:hAnsi="IRNazanin" w:eastAsia="IRNazanin"/>
          <w:color w:val="111111"/>
          <w:sz w:val="28"/>
          <w:sz w:val="28"/>
          <w:szCs w:val="28"/>
          <w:rtl w:val="true"/>
          <w:lang w:bidi="fa-IR"/>
        </w:rPr>
        <w:t>المسجد، لا فی إتیانه فی المسجد، والظاهر عدم البطلان فی هذه الصورة</w:t>
      </w:r>
      <w:r>
        <w:rPr>
          <w:rFonts w:eastAsia="IRNazanin" w:cs="IRNazanin"/>
          <w:color w:val="111111"/>
          <w:sz w:val="28"/>
          <w:szCs w:val="28"/>
          <w:rtl w:val="true"/>
          <w:lang w:bidi="fa-IR"/>
        </w:rPr>
        <w:t>.</w:t>
      </w:r>
    </w:p>
    <w:p>
      <w:pPr>
        <w:pStyle w:val="Heading3"/>
        <w:numPr>
          <w:ilvl w:val="2"/>
          <w:numId w:val="1"/>
        </w:numPr>
        <w:rPr/>
      </w:pPr>
      <w:bookmarkStart w:id="77" w:name="__RefHeading___Toc1840621_2322387425"/>
      <w:bookmarkStart w:id="78" w:name="_Toc28"/>
      <w:bookmarkEnd w:id="77"/>
      <w:r>
        <w:rPr>
          <w:rtl w:val="true"/>
        </w:rPr>
        <w:t>التاسع</w:t>
      </w:r>
      <w:r>
        <w:rPr>
          <w:rtl w:val="true"/>
        </w:rPr>
        <w:t xml:space="preserve">: </w:t>
      </w:r>
      <w:r>
        <w:rPr>
          <w:rtl w:val="true"/>
        </w:rPr>
        <w:t>الریاء فی ما هو خارج عن الصلاة</w:t>
      </w:r>
      <w:bookmarkEnd w:id="78"/>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بعض الأعمال الخارجة عن الصلاة، کالتحنّک حال الصلاة، وهذا لا یکون مبطلاً إلاّ إذا رجع إلی الریاء فی الصلاة متحنّکاً</w:t>
      </w:r>
      <w:r>
        <w:rPr>
          <w:rFonts w:eastAsia="IRNazanin" w:cs="IRNazanin"/>
          <w:color w:val="111111"/>
          <w:sz w:val="28"/>
          <w:szCs w:val="28"/>
          <w:rtl w:val="true"/>
          <w:lang w:bidi="fa-IR"/>
        </w:rPr>
        <w:t>.</w:t>
      </w:r>
    </w:p>
    <w:p>
      <w:pPr>
        <w:pStyle w:val="Heading3"/>
        <w:numPr>
          <w:ilvl w:val="2"/>
          <w:numId w:val="1"/>
        </w:numPr>
        <w:rPr/>
      </w:pPr>
      <w:bookmarkStart w:id="79" w:name="__RefHeading___Toc1840623_2322387425"/>
      <w:bookmarkStart w:id="80" w:name="_Toc29"/>
      <w:bookmarkEnd w:id="79"/>
      <w:r>
        <w:rPr>
          <w:rtl w:val="true"/>
        </w:rPr>
        <w:t>العاشر</w:t>
      </w:r>
      <w:r>
        <w:rPr>
          <w:rtl w:val="true"/>
        </w:rPr>
        <w:t xml:space="preserve">: </w:t>
      </w:r>
      <w:r>
        <w:rPr>
          <w:rtl w:val="true"/>
        </w:rPr>
        <w:t>الصلاة بحیث یعجبه أن یراه الناس</w:t>
      </w:r>
      <w:bookmarkEnd w:id="80"/>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خالصاً للّه لکن کان بحیث یعجبه أن یراه الناس، والظاهر عدم بطلانه</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دخیلاً فی أصل النیّة والقصد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کما أنّ الخطور القلبیّ لا یضرّ، خصوصاً إذا کان بحیث یتأذّی بهذا الخطور، وکذا لا یضرّ الریاء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رجع إلی الریاء فی الصلاة بترکها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الأضداد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یرجع إلی الریاء فی أصل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رجع إلی الریاء فی الصلاة بترکها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لأنّ الصلاة فی الحقیقة منبعثة عن ذلک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لم یسرِ إلی فعل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راجع إلی الریاء فی إبقاء العمل، إلاّ أن یکون مرائیاً فی ترکها بما هی، لا بما هی أضداد للعمل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یرجع إلی الریاء بالفعل المقرون بترک الأضداد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لایسری إلی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بوصف مضادّتها، وإلاّ فربّما یسری ذلک إلی العمل من حیث إدامته، أو زمانه،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سری الریاء إلی نفس الصلاة المقرونة بترک الأضداد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ترکها حین العمل، ویحتمل حینئذٍ أن یرجع إلی إبقاءِ العمل إذا کان ضدّاً لجزءٍ، وإلی إکماله إذا کان ضدّاً لوصفه أو خصوصیّاته المکمّلة، مثل ما إذا ترک النظر إلی ما یضادّ النظر إلی مسجده أو غیره ریاءً، إلاّ إذا کان ترکها بما هی لا من جهة المضادّة، ولکنّه قابل للتأمّل والإشکال، بل المنع، 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اقتضاء الأمر بالشیء النهی عن ضدّه الخاصّ، فالأحوط إتمام الصلاة وإعادتها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یرجع إلی الریاء فی الصلاة بترکها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کونه مضرّاً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یرجع إلی الریاء فی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یرجع إلی الریاء فی أصل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یسرِ الریاء إلی الصلاة نفسها بأن یرائی فی الصلاة المتروک أضدادها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هی، لا بما هی أضداد للصلاة کی یرجع إلی الریاء فی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الموانع والمنافیات، مثلاً قصد الریاء فی ترک التکلّم أو عدم الالتفات إلی الیمین والیسار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رجع هذا إلی الریاء فی الصلاة الخالیة منها ـ أی إلی أصل العمل کرجوع الریاء فی الأجزاء إلی أصل الصلاة ـ فیکون مبطلاً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یسرِ إلی فعل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3278_326309"/>
      <w:bookmarkStart w:id="82" w:name="pg13278_326309"/>
      <w:bookmarkEnd w:id="82"/>
    </w:p>
    <w:p>
      <w:pPr>
        <w:pStyle w:val="Heading3"/>
        <w:numPr>
          <w:ilvl w:val="2"/>
          <w:numId w:val="1"/>
        </w:numPr>
        <w:rPr/>
      </w:pPr>
      <w:bookmarkStart w:id="83" w:name="pg13278_326309"/>
      <w:bookmarkStart w:id="84" w:name="__RefHeading___Toc1840625_2322387425"/>
      <w:bookmarkStart w:id="85" w:name="_Toc30"/>
      <w:bookmarkEnd w:id="83"/>
      <w:bookmarkEnd w:id="84"/>
      <w:r>
        <w:rPr>
          <w:rtl w:val="true"/>
        </w:rPr>
        <w:t>الریاء المتأخر عن العبادة لا یوجب البطلان</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المتأخّر</w:t>
      </w:r>
      <w:r>
        <w:rPr>
          <w:rStyle w:val="FootnoteAnchor"/>
          <w:rtl w:val="true"/>
        </w:rPr>
        <w:footnoteReference w:id="74"/>
      </w:r>
      <w:r>
        <w:rPr>
          <w:rFonts w:ascii="IRNazanin" w:hAnsi="IRNazanin" w:eastAsia="IRNazanin"/>
          <w:color w:val="111111"/>
          <w:sz w:val="28"/>
          <w:sz w:val="28"/>
          <w:szCs w:val="28"/>
          <w:rtl w:val="true"/>
          <w:lang w:bidi="fa-IR"/>
        </w:rPr>
        <w:t>لا یوجب البطلان، بأن کان حین العمل قاصداً للخلوص، ثمّ بعد تمامه بدا له فی ذکره، أو عمل عملاً</w:t>
      </w:r>
      <w:r>
        <w:rPr>
          <w:rStyle w:val="FootnoteAnchor"/>
          <w:rtl w:val="true"/>
        </w:rPr>
        <w:footnoteReference w:id="75"/>
      </w:r>
      <w:r>
        <w:rPr>
          <w:rFonts w:ascii="Amiri" w:hAnsi="Amiri" w:eastAsia="Amiri" w:cs="Amiri"/>
          <w:color w:val="111111"/>
          <w:sz w:val="28"/>
          <w:sz w:val="28"/>
          <w:szCs w:val="28"/>
          <w:rtl w:val="true"/>
          <w:lang w:bidi="ar-SA"/>
        </w:rPr>
        <w:t>یدلّ علی أ نّه فعل کذا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840627_2322387425"/>
      <w:bookmarkStart w:id="87" w:name="_Toc31"/>
      <w:bookmarkEnd w:id="86"/>
      <w:r>
        <w:rPr>
          <w:rtl w:val="true"/>
        </w:rPr>
        <w:t>حکم العجب المتأخر فی الصلاة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Style w:val="FootnoteAnchor"/>
          <w:rtl w:val="true"/>
        </w:rPr>
        <w:footnoteReference w:id="76"/>
      </w:r>
      <w:r>
        <w:rPr>
          <w:rFonts w:ascii="Amiri" w:hAnsi="Amiri" w:eastAsia="Amiri" w:cs="Amiri"/>
          <w:color w:val="111111"/>
          <w:sz w:val="28"/>
          <w:sz w:val="28"/>
          <w:szCs w:val="28"/>
          <w:rtl w:val="true"/>
          <w:lang w:bidi="ar-SA"/>
        </w:rPr>
        <w:t>المتأخّر</w:t>
      </w:r>
      <w:r>
        <w:rPr>
          <w:rStyle w:val="FootnoteAnchor"/>
          <w:rtl w:val="true"/>
        </w:rPr>
        <w:footnoteReference w:id="77"/>
      </w:r>
      <w:r>
        <w:rPr>
          <w:rFonts w:ascii="IRNazanin" w:hAnsi="IRNazanin" w:eastAsia="IRNazanin"/>
          <w:color w:val="111111"/>
          <w:sz w:val="28"/>
          <w:sz w:val="28"/>
          <w:szCs w:val="28"/>
          <w:rtl w:val="true"/>
          <w:lang w:bidi="fa-IR"/>
        </w:rPr>
        <w:t>لا یکون مبطلاً، بخلاف المقارن</w:t>
      </w:r>
      <w:r>
        <w:rPr>
          <w:rStyle w:val="FootnoteAnchor"/>
          <w:rtl w:val="true"/>
        </w:rPr>
        <w:footnoteReference w:id="78"/>
      </w:r>
      <w:r>
        <w:rPr>
          <w:rFonts w:ascii="IRNazanin" w:hAnsi="IRNazanin" w:eastAsia="IRNazanin"/>
          <w:color w:val="111111"/>
          <w:sz w:val="28"/>
          <w:sz w:val="28"/>
          <w:szCs w:val="28"/>
          <w:rtl w:val="true"/>
          <w:lang w:bidi="fa-IR"/>
        </w:rPr>
        <w:t>فإنّه مبطل علی الأحوط</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ما کان العجب من حین الشروع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3278_326310"/>
    </w:p>
    <w:p>
      <w:pPr>
        <w:pStyle w:val="Heading3"/>
        <w:numPr>
          <w:ilvl w:val="2"/>
          <w:numId w:val="1"/>
        </w:numPr>
        <w:rPr/>
      </w:pPr>
      <w:bookmarkStart w:id="89" w:name="__RefHeading___Toc1840629_2322387425"/>
      <w:bookmarkStart w:id="90" w:name="_Toc32"/>
      <w:bookmarkEnd w:id="88"/>
      <w:bookmarkEnd w:id="89"/>
      <w:r>
        <w:rPr>
          <w:rtl w:val="true"/>
        </w:rPr>
        <w:t>حکم الضمائم من غیر الریاء</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الریاء من الضمائم</w:t>
      </w:r>
      <w:r>
        <w:rPr>
          <w:rStyle w:val="FootnoteAnchor"/>
          <w:rtl w:val="true"/>
        </w:rPr>
        <w:footnoteReference w:id="80"/>
      </w:r>
      <w:r>
        <w:rPr>
          <w:rFonts w:ascii="IRNazanin" w:hAnsi="IRNazanin" w:eastAsia="IRNazanin"/>
          <w:color w:val="111111"/>
          <w:sz w:val="28"/>
          <w:sz w:val="28"/>
          <w:szCs w:val="28"/>
          <w:rtl w:val="true"/>
          <w:lang w:bidi="fa-IR"/>
        </w:rPr>
        <w:t>إمّا حرام أو مباح أو راجح، فإن کان حراماً وکان متّحداً</w:t>
      </w:r>
      <w:r>
        <w:rPr>
          <w:rStyle w:val="FootnoteAnchor"/>
          <w:rtl w:val="true"/>
        </w:rPr>
        <w:footnoteReference w:id="81"/>
      </w:r>
      <w:r>
        <w:rPr>
          <w:rFonts w:ascii="IRNazanin" w:hAnsi="IRNazanin" w:eastAsia="IRNazanin"/>
          <w:color w:val="111111"/>
          <w:sz w:val="28"/>
          <w:sz w:val="28"/>
          <w:szCs w:val="28"/>
          <w:rtl w:val="true"/>
          <w:lang w:bidi="fa-IR"/>
        </w:rPr>
        <w:t>مع العمل أو مع جزءٍ منه بطل</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لاستلزامه الزیادة العمدیة، والقول ببطلان الجزء لا الکلّ مع تدارکه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کالریاء، وإن</w:t>
      </w:r>
      <w:bookmarkStart w:id="91" w:name="pg13278_326311"/>
    </w:p>
    <w:p>
      <w:pPr>
        <w:pStyle w:val="BookText"/>
        <w:rPr/>
      </w:pPr>
      <w:bookmarkEnd w:id="91"/>
      <w:r>
        <w:rPr>
          <w:rFonts w:ascii="IRNazanin" w:hAnsi="IRNazanin" w:eastAsia="IRNazanin"/>
          <w:color w:val="111111"/>
          <w:sz w:val="28"/>
          <w:sz w:val="28"/>
          <w:szCs w:val="28"/>
          <w:rtl w:val="true"/>
          <w:lang w:bidi="fa-IR"/>
        </w:rPr>
        <w:t>کان خارجاً عن العمل</w:t>
      </w:r>
      <w:r>
        <w:rPr>
          <w:rStyle w:val="FootnoteAnchor"/>
          <w:rtl w:val="true"/>
        </w:rPr>
        <w:footnoteReference w:id="83"/>
      </w:r>
      <w:r>
        <w:rPr>
          <w:rFonts w:ascii="Amiri" w:hAnsi="Amiri" w:eastAsia="Amiri" w:cs="Amiri"/>
          <w:color w:val="111111"/>
          <w:sz w:val="28"/>
          <w:sz w:val="28"/>
          <w:szCs w:val="28"/>
          <w:rtl w:val="true"/>
          <w:lang w:bidi="ar-SA"/>
        </w:rPr>
        <w:t>مقارناً له</w:t>
      </w:r>
      <w:r>
        <w:rPr>
          <w:rStyle w:val="FootnoteAnchor"/>
          <w:rtl w:val="true"/>
        </w:rPr>
        <w:footnoteReference w:id="84"/>
      </w:r>
      <w:r>
        <w:rPr>
          <w:rFonts w:ascii="IRNazanin" w:hAnsi="IRNazanin" w:eastAsia="IRNazanin"/>
          <w:color w:val="111111"/>
          <w:sz w:val="28"/>
          <w:sz w:val="28"/>
          <w:szCs w:val="28"/>
          <w:rtl w:val="true"/>
          <w:lang w:bidi="fa-IR"/>
        </w:rPr>
        <w:t>لم یکن مبطلاً</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إتیان أصل العمل بداعی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من حیث کون الضمیمة محرّمة أو مباحة، أمّا من حیث النیّة وقصد القربة فتجری فیها الأقسام الآتیة للمباح والراجح وتعمّها أحکامها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داعی القربة مستقلاًّ فی الداعویة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منه قصد القربة والامتثال، وتحقّق منه الحرام فی أثناء العمل، کالنظر إلی الأجنبیّة بشهوة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840631_2322387425"/>
      <w:bookmarkStart w:id="93" w:name="_Toc33"/>
      <w:bookmarkEnd w:id="92"/>
      <w:r>
        <w:rPr>
          <w:rtl w:val="true"/>
        </w:rPr>
        <w:t>أنحاء الضمیمة إلی داعی القربة</w:t>
      </w:r>
      <w:bookmarkEnd w:id="93"/>
    </w:p>
    <w:p>
      <w:pPr>
        <w:pStyle w:val="BookText"/>
        <w:rPr/>
      </w:pPr>
      <w:r>
        <w:rPr>
          <w:rFonts w:ascii="Amiri" w:hAnsi="Amiri" w:eastAsia="Amiri" w:cs="Amiri"/>
          <w:color w:val="111111"/>
          <w:sz w:val="28"/>
          <w:sz w:val="28"/>
          <w:szCs w:val="28"/>
          <w:rtl w:val="true"/>
          <w:lang w:bidi="ar-SA"/>
        </w:rPr>
        <w:t>وإن کان مباحاً أو راجحاً</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العبادة فی ما اذا کانت الضمیمة راجحة، وإن کانا معاً منضمّین محرّکاً وداعیاً علیه، وأمّا إن کانت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داعی القربة مستقلاًّ وذلک الأمر تبعاً فالأظهر الصحّة، وإلاّ فالبطلان، من غیر فرق بین کون داعی القربة تبعاً وبین کونهما مستقلّین، وکونهما معاً منضمّین داعیاً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تبعاً وکان داعی القربة مستقلاًّ فلا إ 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الضمیمة فی الخصوصیّة دون أصل العمل، وإلاّ فالصحّة مشکلة، خصوصاً مع استقلالها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الصحّة</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الضمیمة جزءاً للداعی عند الاجتماع مع الداعی الاستقلالی فلا یبعد القول بالبطلان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لاتخلو من إشکال؛ لفقد الإخلاص المعتبر فی العبادة إلاّ فی ما إذا کان الداعی إلی الضمیمة أیضا القربة، کما سیجیء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مستقلاًّ وکان داعی القربة تبعاً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یؤتَ بالضمیمة الراجحة للّه تعالی، وإلاّ فالظاهر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صورة الصلاة للتعلیم مثلاً وقصد عنوان الصلاة خالصا للّه فالظاهر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الداعی إلی الضمیمة الراجحة أو المباحة هو القربة فلا یضرّ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وکذا إذا کانا معاً منضمَّین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محرّکاً وداعیاً علی العمل، وإن کانا مستقلّین فالأقوی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لعلّه یرجع إلی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الضمیمة الراجحة، مثل الصلاة لإدراک فضیلة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استقلالهما فی حدّ نفسهما لایوجب تعدّد تأثیرهما، فهما مشترکان فیه، فالبطلان هو الأقوی، إلاّ أن تکون الضمیمة راجحة ومؤکّدة للقربة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البطلان مع اجتماعهما علی التحریک فی غیر الراجح، والأحوط فیه البطلان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البطلان فی الضمیمة المباحة الغیر الراجحة قویّ، وفی الراجحة محلّ إشکال، والأحوط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الصحّة مع استقلالهما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البطلان فی غیر الضمیمة الراجحة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94" w:name="pg13278_326313"/>
    </w:p>
    <w:p>
      <w:pPr>
        <w:pStyle w:val="BookText"/>
        <w:rPr/>
      </w:pPr>
      <w:bookmarkEnd w:id="94"/>
      <w:r>
        <w:rPr>
          <w:rFonts w:ascii="IRNazanin" w:hAnsi="IRNazanin" w:eastAsia="IRNazanin"/>
          <w:color w:val="111111"/>
          <w:sz w:val="28"/>
          <w:sz w:val="28"/>
          <w:szCs w:val="28"/>
          <w:rtl w:val="true"/>
          <w:lang w:bidi="fa-IR"/>
        </w:rPr>
        <w:t>وإن کان الأحوط</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 المرعشی،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 المباح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علی ما تقدّم من توجیه الفرض، کما أنّه علی المعنی الآخر أیضا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الضمیمة المباحة، بل فیها لایخلو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840633_2322387425"/>
      <w:bookmarkStart w:id="96" w:name="_Toc34"/>
      <w:bookmarkEnd w:id="95"/>
      <w:r>
        <w:rPr>
          <w:rtl w:val="true"/>
        </w:rPr>
        <w:t>حکم ما یؤتی به بقصد الصلاة و غیرها</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ببعض أجزاء الصلاة بقصد الصلاة وغیرها</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العنوان الآخر غیر الصلاة، کتعظیم الغیر المتّحد مع نفس الفعل الصلاتی، إن لم یکن بینه وبین نفس الصلاة تنافٍ فی الصدق کان حکم هذه المسألة حکم المسألة المتقدّمة، بل هما متّحدتان موضوعاً، وإن کان بینهما تنافٍ فی الصدق بطلت الصلاة، وبذلک ظهر حکم ما إذا کان من قبیل الغایة المترتّبة علی الفعل الصلاتی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یکون قصده منافیا مع وقوعه جزءاً، فتبطل الصلاة به للزیادة، وربّما لجهة اُخری أیضا، کصدق کلام الآدمی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البطلان بصورة العمد أو کونه ممّا تضرّ زیادته ولو سهوا، کالرکوع والسجدتین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کأن قصد برکوعه تعظیم الغیر والرکوع الصلاتی، أو بسلامه سلام التحیّة وسلام الصلاة</w:t>
      </w:r>
      <w:r>
        <w:rPr>
          <w:rStyle w:val="FootnoteAnchor"/>
          <w:rtl w:val="true"/>
        </w:rPr>
        <w:footnoteReference w:id="90"/>
      </w:r>
      <w:r>
        <w:rPr>
          <w:rFonts w:ascii="IRNazanin" w:hAnsi="IRNazanin" w:eastAsia="IRNazanin"/>
          <w:color w:val="111111"/>
          <w:sz w:val="28"/>
          <w:sz w:val="28"/>
          <w:szCs w:val="28"/>
          <w:rtl w:val="true"/>
          <w:lang w:bidi="fa-IR"/>
        </w:rPr>
        <w:t>بطل</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وأبطل عمداً وسهواً فی الأرکان، وعمداً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الجزء رکناً بطل وأبطل الصلاة، سواء کان المکلّف ساهیاً فی فعله أم عامداً، وإذا کان جزءاً غیر رکن أبطل الصلاة إذا کان المکلّف عامداً، أمّا إذا کان ساهیاً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تدارک الجزء وجب علیه أن یتدارکه وصحّت صلاته، وإلاّ قضاه إذا کان ممّا یقضی، من غیر فرقٍ فی ذلک بین القرآن والذکر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عن عمدٍ ولم یکن من الأرکان، وتدارکه لم یکن مبطلاً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بالبطلان علی الإطلاق تأمّل، بل منع؛ إذ مجرد الجمع بین الأمرین لا یقتضی البطلان، نعم، ربّما یعرضه عنوان ینافی الصلاتیة، کما لو رکع بداعی القربة وتعظیم الغیر فإنّه بقصد کون الأمرین جزءاً للصلاة مصداق للزیادة فتوجب البطلان، وبما ذکرنا یظهر الحال فی الأجزاء المستحبّة، فلا وجه للتفریق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فرقٍ بین الأجزاء الواجبة والمستحبّة، وسیأتی من الماتن فی باب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بالبطلان فی الأجزاء المستحبّة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من</w:t>
      </w:r>
    </w:p>
    <w:p>
      <w:pPr>
        <w:pStyle w:val="BookText"/>
        <w:rPr/>
      </w:pPr>
      <w:r>
        <w:rPr>
          <w:rFonts w:ascii="IRNazanin" w:hAnsi="IRNazanin" w:eastAsia="IRNazanin"/>
          <w:color w:val="111111"/>
          <w:sz w:val="28"/>
          <w:sz w:val="28"/>
          <w:szCs w:val="28"/>
          <w:rtl w:val="true"/>
          <w:lang w:bidi="fa-IR"/>
        </w:rPr>
        <w:t>الأجزاء</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إن کان من الأجزاء الرکنیة، وإلاّ یختصّ البطلان بصورة 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وتبطل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الواجبة، قلیلاً کان أم کثیراً، أمکن تدارکه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لا، وکذا فی الأجزاء المستحبّة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البطلان فیها؛ لعدم کونها من أجزاء ماهیّة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البطلان فیها، من غیر فرقٍ بین القرآن والذکر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فیهما أیضا إن أتی بهما بقصد الجزئیة، نعم، لو لم یأتِ بهما بقصد الجزئیة لایضرّ ذلک ما لم یستلزم محو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بینهما وبین غیرهما فی الحکم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یقصد الجزئیة بهما، وإلاّ فیکون من الزیادة العمدیة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الفرق بین الأجزاء الواجبة والمستحبّة من هذه الجهة، بل فی الواجبة تفصیل لیس هنا محلّ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القرآن والذکر وبین غیرهما، ولعدم البطلان فی الجمیع وجه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قصد غیر الصلاة محضاً فلا یکون مبطلاً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صدق الزیادة، ولعدم قصد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إذا</w:t>
      </w:r>
      <w:bookmarkStart w:id="97" w:name="pg13278_326317"/>
    </w:p>
    <w:p>
      <w:pPr>
        <w:pStyle w:val="BookText"/>
        <w:rPr/>
      </w:pPr>
      <w:bookmarkEnd w:id="97"/>
      <w:r>
        <w:rPr>
          <w:rFonts w:ascii="IRNazanin" w:hAnsi="IRNazanin" w:eastAsia="IRNazanin"/>
          <w:color w:val="111111"/>
          <w:sz w:val="28"/>
          <w:sz w:val="28"/>
          <w:szCs w:val="28"/>
          <w:rtl w:val="true"/>
          <w:lang w:bidi="fa-IR"/>
        </w:rPr>
        <w:t>کان ممّا لا یجوز فعله</w:t>
      </w:r>
      <w:r>
        <w:rPr>
          <w:rStyle w:val="FootnoteAnchor"/>
          <w:rtl w:val="true"/>
        </w:rPr>
        <w:footnoteReference w:id="94"/>
      </w:r>
      <w:r>
        <w:rPr>
          <w:rFonts w:ascii="IRNazanin" w:hAnsi="IRNazanin" w:eastAsia="IRNazanin"/>
          <w:color w:val="111111"/>
          <w:sz w:val="28"/>
          <w:sz w:val="28"/>
          <w:szCs w:val="28"/>
          <w:rtl w:val="true"/>
          <w:lang w:bidi="fa-IR"/>
        </w:rPr>
        <w:t>فی الصلاة</w:t>
      </w:r>
      <w:r>
        <w:rPr>
          <w:rStyle w:val="FootnoteAnchor"/>
          <w:rtl w:val="true"/>
        </w:rPr>
        <w:footnoteReference w:id="95"/>
      </w:r>
      <w:r>
        <w:rPr>
          <w:rFonts w:ascii="IRNazanin" w:hAnsi="IRNazanin" w:eastAsia="IRNazanin"/>
          <w:color w:val="111111"/>
          <w:sz w:val="28"/>
          <w:sz w:val="28"/>
          <w:szCs w:val="28"/>
          <w:rtl w:val="true"/>
          <w:lang w:bidi="fa-IR"/>
        </w:rPr>
        <w:t>، أو کان کثیراً</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کان ماحیاً لصورة الصلاة وإن کان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98" w:name="__RefHeading___Toc1840635_2322387425"/>
      <w:bookmarkStart w:id="99" w:name="_Toc35"/>
      <w:bookmarkEnd w:id="98"/>
      <w:r>
        <w:rPr>
          <w:rtl w:val="true"/>
        </w:rPr>
        <w:t>انضمام داعی إعلام الغیر إلی داعی الصلاة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صوته</w:t>
      </w:r>
      <w:r>
        <w:rPr>
          <w:rStyle w:val="FootnoteAnchor"/>
          <w:rtl w:val="true"/>
        </w:rPr>
        <w:footnoteReference w:id="97"/>
      </w:r>
      <w:r>
        <w:rPr>
          <w:rFonts w:ascii="IRNazanin" w:hAnsi="IRNazanin" w:eastAsia="IRNazanin"/>
          <w:color w:val="111111"/>
          <w:sz w:val="28"/>
          <w:sz w:val="28"/>
          <w:szCs w:val="28"/>
          <w:rtl w:val="true"/>
          <w:lang w:bidi="fa-IR"/>
        </w:rPr>
        <w:t>بالذکر أو القراءة</w:t>
      </w:r>
      <w:r>
        <w:rPr>
          <w:rStyle w:val="FootnoteAnchor"/>
          <w:rtl w:val="true"/>
        </w:rPr>
        <w:footnoteReference w:id="98"/>
      </w:r>
      <w:r>
        <w:rPr>
          <w:rFonts w:ascii="IRNazanin" w:hAnsi="IRNazanin" w:eastAsia="IRNazanin"/>
          <w:color w:val="111111"/>
          <w:sz w:val="28"/>
          <w:sz w:val="28"/>
          <w:szCs w:val="28"/>
          <w:rtl w:val="true"/>
          <w:lang w:bidi="fa-IR"/>
        </w:rPr>
        <w:t>لإعلام الغیر لم یبطل</w:t>
      </w:r>
      <w:r>
        <w:rPr>
          <w:rStyle w:val="FootnoteAnchor"/>
          <w:rtl w:val="true"/>
        </w:rPr>
        <w:footnoteReference w:id="99"/>
      </w:r>
      <w:r>
        <w:rPr>
          <w:rFonts w:ascii="IRNazanin" w:hAnsi="IRNazanin" w:eastAsia="IRNazanin"/>
          <w:color w:val="111111"/>
          <w:sz w:val="28"/>
          <w:sz w:val="28"/>
          <w:szCs w:val="28"/>
          <w:rtl w:val="true"/>
          <w:lang w:bidi="fa-IR"/>
        </w:rPr>
        <w:t>، إلاّ إذا کان</w:t>
      </w:r>
      <w:r>
        <w:rPr>
          <w:rStyle w:val="FootnoteAnchor"/>
          <w:rtl w:val="true"/>
        </w:rPr>
        <w:footnoteReference w:id="100"/>
      </w:r>
      <w:r>
        <w:rPr>
          <w:rFonts w:ascii="Amiri" w:hAnsi="Amiri" w:eastAsia="Amiri" w:cs="Amiri"/>
          <w:color w:val="111111"/>
          <w:sz w:val="28"/>
          <w:sz w:val="28"/>
          <w:szCs w:val="28"/>
          <w:rtl w:val="true"/>
          <w:lang w:bidi="ar-SA"/>
        </w:rPr>
        <w:t>قصد الجزئیّة تبعاً</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الإتیان بالواجب مستنداً إلی کلٍّ من قصد الجزئیة وقصد إعلام الغیر منضمّین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قصد الامتثال بأمر الجزء تابعاً لقصد الإعلام فیکون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الأذکار الواجبة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المندوبة أیضا إن أتی بها بقصد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لتقیید الجزء بالوجوب؛ فانّه لا فرق بین الجزء الواجب والمستحب من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مستحبّة إن قصد بها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3278_326318"/>
    </w:p>
    <w:p>
      <w:pPr>
        <w:pStyle w:val="BookText"/>
        <w:rPr/>
      </w:pPr>
      <w:bookmarkEnd w:id="100"/>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بقصد الذکر المطلق لإعلام الغیر لم یبطل</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ذلک من باب اختیار بعض أفراد الواجب وترجیحه علی غیره بداعی الإعلام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أصل الإتیان بقصد الصلاة ورفع الصوت بقصد الإعلان، وأمّا مع التشریک فی أصل الإتیان مشکل أو مبطل، حتّی مع کون الإعلان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مقدار الواجب من الجهر فی الجهریّة یجب الإتیان به بداعی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مثل سائر الأذکار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یوءتی بها لا بقصد الجزئیّة</w:t>
      </w:r>
      <w:r>
        <w:rPr>
          <w:rFonts w:eastAsia="IRNazanin" w:cs="IRNazanin"/>
          <w:color w:val="111111"/>
          <w:sz w:val="28"/>
          <w:szCs w:val="28"/>
          <w:rtl w:val="true"/>
          <w:lang w:bidi="fa-IR"/>
        </w:rPr>
        <w:t>.</w:t>
      </w:r>
    </w:p>
    <w:p>
      <w:pPr>
        <w:pStyle w:val="Heading3"/>
        <w:numPr>
          <w:ilvl w:val="2"/>
          <w:numId w:val="1"/>
        </w:numPr>
        <w:rPr/>
      </w:pPr>
      <w:bookmarkStart w:id="101" w:name="__RefHeading___Toc1840637_2322387425"/>
      <w:bookmarkStart w:id="102" w:name="_Toc36"/>
      <w:bookmarkEnd w:id="101"/>
      <w:r>
        <w:rPr>
          <w:rtl w:val="true"/>
        </w:rPr>
        <w:t>وقت نیة ابتداء الصلاة</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النیّة ابتداء الصلاة، وهو حال تکبیرة الإحرام، وأمره سهل بناءً علی الداعی، وعلی الإخطار، اللازم اتّصال آخر النیّة المخطرة بأوّل التکبیر</w:t>
      </w:r>
      <w:r>
        <w:rPr>
          <w:rStyle w:val="FootnoteAnchor"/>
          <w:rtl w:val="true"/>
        </w:rPr>
        <w:footnoteReference w:id="103"/>
      </w:r>
      <w:r>
        <w:rPr>
          <w:rFonts w:ascii="IRNazanin" w:hAnsi="IRNazanin" w:eastAsia="IRNazanin"/>
          <w:color w:val="111111"/>
          <w:sz w:val="28"/>
          <w:sz w:val="28"/>
          <w:szCs w:val="28"/>
          <w:rtl w:val="true"/>
          <w:lang w:bidi="fa-IR"/>
        </w:rPr>
        <w:t>، وهو أیضاً سهل</w:t>
      </w:r>
      <w:r>
        <w:rPr>
          <w:rFonts w:eastAsia="IRNazanin" w:cs="IRNazanin"/>
          <w:color w:val="111111"/>
          <w:sz w:val="28"/>
          <w:szCs w:val="28"/>
          <w:rtl w:val="true"/>
          <w:lang w:bidi="fa-IR"/>
        </w:rPr>
        <w:t>.</w:t>
      </w:r>
    </w:p>
    <w:p>
      <w:pPr>
        <w:pStyle w:val="Heading3"/>
        <w:numPr>
          <w:ilvl w:val="2"/>
          <w:numId w:val="1"/>
        </w:numPr>
        <w:rPr/>
      </w:pPr>
      <w:bookmarkStart w:id="103" w:name="__RefHeading___Toc1840639_2322387425"/>
      <w:bookmarkStart w:id="104" w:name="_Toc37"/>
      <w:bookmarkEnd w:id="103"/>
      <w:r>
        <w:rPr>
          <w:rtl w:val="true"/>
        </w:rPr>
        <w:t>وجوب استدامة النیة إلی آخر الصلاة</w:t>
      </w:r>
      <w:bookmarkEnd w:id="1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استدامة النیّة</w:t>
      </w:r>
      <w:r>
        <w:rPr>
          <w:rStyle w:val="FootnoteAnchor"/>
          <w:rtl w:val="true"/>
        </w:rPr>
        <w:footnoteReference w:id="104"/>
      </w:r>
      <w:r>
        <w:rPr>
          <w:rFonts w:ascii="IRNazanin" w:hAnsi="IRNazanin" w:eastAsia="IRNazanin"/>
          <w:color w:val="111111"/>
          <w:sz w:val="28"/>
          <w:sz w:val="28"/>
          <w:szCs w:val="28"/>
          <w:rtl w:val="true"/>
          <w:lang w:bidi="fa-IR"/>
        </w:rPr>
        <w:t xml:space="preserve">إلی آخر الصلاة، بمعنی عدم </w:t>
      </w:r>
      <w:bookmarkStart w:id="105" w:name="pg13278_326319"/>
    </w:p>
    <w:p>
      <w:pPr>
        <w:pStyle w:val="BookText"/>
        <w:rPr/>
      </w:pPr>
      <w:bookmarkEnd w:id="105"/>
      <w:r>
        <w:rPr>
          <w:rFonts w:ascii="IRNazanin" w:hAnsi="IRNazanin" w:eastAsia="IRNazanin"/>
          <w:color w:val="111111"/>
          <w:sz w:val="28"/>
          <w:sz w:val="28"/>
          <w:szCs w:val="28"/>
          <w:rtl w:val="true"/>
          <w:lang w:bidi="fa-IR"/>
        </w:rPr>
        <w:t>حصول الغفلة بالمرّة بحیث یزول الداعی علی وجهٍ لو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w:t>
      </w:r>
      <w:r>
        <w:rPr>
          <w:rStyle w:val="FootnoteAnchor"/>
          <w:rtl w:val="true"/>
        </w:rPr>
        <w:footnoteReference w:id="105"/>
      </w:r>
      <w:r>
        <w:rPr>
          <w:rFonts w:ascii="IRNazanin" w:hAnsi="IRNazanin" w:eastAsia="IRNazanin"/>
          <w:color w:val="111111"/>
          <w:sz w:val="28"/>
          <w:sz w:val="28"/>
          <w:szCs w:val="28"/>
          <w:rtl w:val="true"/>
          <w:lang w:bidi="fa-IR"/>
        </w:rPr>
        <w:t>؟ یبقی متحیّراً، وأمّا مع بقاء الداعی فی خزانة الخیال فلا تضرّ الغفلة، ولا یلزم الاستحضار الفعلی</w:t>
      </w:r>
      <w:r>
        <w:rPr>
          <w:rFonts w:eastAsia="IRNazanin" w:cs="IRNazanin"/>
          <w:color w:val="111111"/>
          <w:sz w:val="28"/>
          <w:szCs w:val="28"/>
          <w:rtl w:val="true"/>
          <w:lang w:bidi="fa-IR"/>
        </w:rPr>
        <w:t>.</w:t>
      </w:r>
    </w:p>
    <w:p>
      <w:pPr>
        <w:pStyle w:val="Heading3"/>
        <w:numPr>
          <w:ilvl w:val="2"/>
          <w:numId w:val="1"/>
        </w:numPr>
        <w:rPr/>
      </w:pPr>
      <w:bookmarkStart w:id="106" w:name="__RefHeading___Toc1840641_2322387425"/>
      <w:bookmarkStart w:id="107" w:name="_Toc38"/>
      <w:bookmarkEnd w:id="106"/>
      <w:r>
        <w:rPr>
          <w:rtl w:val="true"/>
        </w:rPr>
        <w:t>حکم نیة القطع أو القاطع أثناء الصلاة</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فی أثناء الصلاة قطعها فعلاً أو بعد ذلک</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لا یضرّ بقاء النیّة الارتکازیة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یقصد الصلاة فعلاً یکون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الالتفات إلی کونه قاطعا ومنافیا للصلاة، وبدونه یکون الحکم بالبطلان بمجرّد النیّة مشکلاً، بل ممنوعا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والمنافی فعلاً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بعد ذلک فإن أتمّ مع ذلک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بطلت الصلاة مطلقاً إذا کان الإتیان عمداً، وفی الأرکان ولو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البطلان إن کان الإتمام بقصد 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لاریب فی کونه مخلاًّ بالجزم بالنیّة فی الجملة، واعتباره أول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107"/>
      </w:r>
      <w:r>
        <w:rPr>
          <w:rFonts w:ascii="IRNazanin" w:hAnsi="IRNazanin" w:eastAsia="IRNazanin"/>
          <w:color w:val="111111"/>
          <w:sz w:val="28"/>
          <w:sz w:val="28"/>
          <w:szCs w:val="28"/>
          <w:rtl w:val="true"/>
          <w:lang w:bidi="fa-IR"/>
        </w:rPr>
        <w:t>لو أتی</w:t>
      </w:r>
      <w:r>
        <w:rPr>
          <w:rStyle w:val="FootnoteAnchor"/>
          <w:rtl w:val="true"/>
        </w:rPr>
        <w:footnoteReference w:id="108"/>
      </w:r>
      <w:r>
        <w:rPr>
          <w:rFonts w:ascii="IRNazanin" w:hAnsi="IRNazanin" w:eastAsia="IRNazanin"/>
          <w:color w:val="111111"/>
          <w:sz w:val="28"/>
          <w:sz w:val="28"/>
          <w:szCs w:val="28"/>
          <w:rtl w:val="true"/>
          <w:lang w:bidi="fa-IR"/>
        </w:rPr>
        <w:t>ببعض الأجزاء بعنوان</w:t>
      </w:r>
      <w:r>
        <w:rPr>
          <w:rStyle w:val="FootnoteAnchor"/>
          <w:rtl w:val="true"/>
        </w:rPr>
        <w:footnoteReference w:id="109"/>
      </w:r>
      <w:r>
        <w:rPr>
          <w:rFonts w:ascii="Amiri" w:hAnsi="Amiri" w:eastAsia="Amiri" w:cs="Amiri"/>
          <w:color w:val="111111"/>
          <w:sz w:val="28"/>
          <w:sz w:val="28"/>
          <w:szCs w:val="28"/>
          <w:rtl w:val="true"/>
          <w:lang w:bidi="ar-SA"/>
        </w:rPr>
        <w:t>الجزئیّة</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تحققّ ذلک مع فرض عدم العود إلی النیّة الاُولی قبله، وعلی أیّ حالٍ فالأحوط بعد العود أن یتدارک الجزء، ویتمّ الصلاة، ثمّ یعیدها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بالبطلان فیه وفی ما قبله یختصّ بما إذا کان المأتیّ به بقصد الجزئیة فاقدا للنیة المعتبرة، کما إذا أتی به بداعویة الأمر التشریعی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إلی النیّة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عاد إلی النیّة الاُولی قبل أن یأتی بشیءٍ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یبطل</w:t>
      </w:r>
      <w:r>
        <w:rPr>
          <w:rStyle w:val="FootnoteAnchor"/>
          <w:rtl w:val="true"/>
        </w:rPr>
        <w:footnoteReference w:id="111"/>
      </w:r>
      <w:r>
        <w:rPr>
          <w:rFonts w:ascii="IRNazanin" w:hAnsi="IRNazanin" w:eastAsia="IRNazanin"/>
          <w:color w:val="111111"/>
          <w:sz w:val="28"/>
          <w:sz w:val="28"/>
          <w:szCs w:val="28"/>
          <w:rtl w:val="true"/>
          <w:lang w:bidi="fa-IR"/>
        </w:rPr>
        <w:t>، وإن کان الأحوط</w:t>
      </w:r>
      <w:r>
        <w:rPr>
          <w:rStyle w:val="FootnoteAnchor"/>
          <w:rtl w:val="true"/>
        </w:rPr>
        <w:footnoteReference w:id="112"/>
      </w:r>
      <w:r>
        <w:rPr>
          <w:rFonts w:ascii="IRNazanin" w:hAnsi="IRNazanin" w:eastAsia="IRNazanin"/>
          <w:color w:val="111111"/>
          <w:sz w:val="28"/>
          <w:sz w:val="28"/>
          <w:szCs w:val="28"/>
          <w:rtl w:val="true"/>
          <w:lang w:bidi="fa-IR"/>
        </w:rPr>
        <w:t>الإتمام والإعادة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نوی القطع أو القاطع</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الفرق بین نیّة القطع والقاطع، وفی الثانی لا موجب للبطلان، ودعوی أنّ التذکّر للمنافاة لا یخلو من قصد الخروج غیر ظاهر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وأتی ببعض الأجزاء لا بعنوان الجزئیّة ثمّ عاد إلی النیّة الاُولی فالبطلان موقوف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فِعلاً کثیراً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کان صرف وجوده مبطلاً وإن لم یکن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کونه ممّا تبطل الصلاة بمطلق وجوده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بمطلق وجوده یکون مبطلاً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ماحیا لصورة الصلاة، أو ممّا تکون زیادته ولو بغیر قصد الجزئیة مبطلة، وسیأتی ضابطه فی مبحث الخلل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کان قلیلاً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خصوصاً إذا کان ذکراً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108" w:name="pg13278_326322"/>
    </w:p>
    <w:p>
      <w:pPr>
        <w:pStyle w:val="BookText"/>
        <w:rPr/>
      </w:pPr>
      <w:bookmarkEnd w:id="108"/>
      <w:r>
        <w:rPr>
          <w:rFonts w:ascii="Amiri" w:hAnsi="Amiri" w:eastAsia="Amiri" w:cs="Amiri"/>
          <w:color w:val="111111"/>
          <w:sz w:val="28"/>
          <w:sz w:val="28"/>
          <w:szCs w:val="28"/>
          <w:rtl w:val="true"/>
          <w:lang w:bidi="ar-SA"/>
        </w:rPr>
        <w:t>قرآناً</w:t>
      </w:r>
      <w:r>
        <w:rPr>
          <w:rStyle w:val="FootnoteAnchor"/>
          <w:rtl w:val="true"/>
        </w:rPr>
        <w:footnoteReference w:id="114"/>
      </w:r>
      <w:r>
        <w:rPr>
          <w:rFonts w:ascii="IRNazanin" w:hAnsi="IRNazanin" w:eastAsia="IRNazanin"/>
          <w:color w:val="111111"/>
          <w:sz w:val="28"/>
          <w:sz w:val="28"/>
          <w:szCs w:val="28"/>
          <w:rtl w:val="true"/>
          <w:lang w:bidi="fa-IR"/>
        </w:rPr>
        <w:t>وإن کان الأحوط</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الإتمام 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840643_2322387425"/>
      <w:bookmarkStart w:id="110" w:name="_Toc39"/>
      <w:bookmarkEnd w:id="109"/>
      <w:r>
        <w:rPr>
          <w:rtl w:val="true"/>
        </w:rPr>
        <w:t>لونوی المکلف صلاة فسبق لسانه أو خیاله خطوراً إلی غیرها</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لصلاةٍ ونواها فی قلبه فسبق لسانه أو خیاله خطوراً</w:t>
      </w:r>
      <w:r>
        <w:rPr>
          <w:rStyle w:val="FootnoteAnchor"/>
          <w:rtl w:val="true"/>
        </w:rPr>
        <w:footnoteReference w:id="116"/>
      </w:r>
      <w:r>
        <w:rPr>
          <w:rFonts w:ascii="IRNazanin" w:hAnsi="IRNazanin" w:eastAsia="IRNazanin"/>
          <w:color w:val="111111"/>
          <w:sz w:val="28"/>
          <w:sz w:val="28"/>
          <w:szCs w:val="28"/>
          <w:rtl w:val="true"/>
          <w:lang w:bidi="fa-IR"/>
        </w:rPr>
        <w:t>إلی غیرها صحّت علی ما قام إلیها، ولا یضرّ</w:t>
      </w:r>
      <w:r>
        <w:rPr>
          <w:rStyle w:val="FootnoteAnchor"/>
          <w:rtl w:val="true"/>
        </w:rPr>
        <w:footnoteReference w:id="117"/>
      </w:r>
      <w:r>
        <w:rPr>
          <w:rFonts w:ascii="IRNazanin" w:hAnsi="IRNazanin" w:eastAsia="IRNazanin"/>
          <w:color w:val="111111"/>
          <w:sz w:val="28"/>
          <w:sz w:val="28"/>
          <w:szCs w:val="28"/>
          <w:rtl w:val="true"/>
          <w:lang w:bidi="fa-IR"/>
        </w:rPr>
        <w:t>سبق اللسان ولا الخطور الخیالی</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ما خطر بباله من الصورة بإزاء ما قام إلیها،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الخطور نیّةً، بل الخطور من مقدّمات الإرادة التفصیلیّة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تزل عنه الإرادة اللبّیّة المخزونة والقصد الارتکازی، وکان الخطور حینئذٍ کالسبق اللسانی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840645_2322387425"/>
      <w:bookmarkStart w:id="112" w:name="_Toc40"/>
      <w:bookmarkEnd w:id="111"/>
      <w:r>
        <w:rPr>
          <w:rtl w:val="true"/>
        </w:rPr>
        <w:t>وقوع صحة الصلاة علی ما التتحت علیه</w:t>
      </w:r>
      <w:bookmarkEnd w:id="11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فریضة فأتمّها بزعم أنّها نافلة غفلة أو بالعکس صحّت</w:t>
      </w:r>
      <w:r>
        <w:rPr>
          <w:rStyle w:val="FootnoteAnchor"/>
          <w:rtl w:val="true"/>
        </w:rPr>
        <w:footnoteReference w:id="119"/>
      </w:r>
      <w:r>
        <w:rPr>
          <w:rFonts w:ascii="IRNazanin" w:hAnsi="IRNazanin" w:eastAsia="IRNazanin"/>
          <w:color w:val="111111"/>
          <w:sz w:val="28"/>
          <w:sz w:val="28"/>
          <w:szCs w:val="28"/>
          <w:rtl w:val="true"/>
          <w:lang w:bidi="fa-IR"/>
        </w:rPr>
        <w:t>علی ما افتتحت علیه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13" w:name="pg13278_326323"/>
    </w:p>
    <w:p>
      <w:pPr>
        <w:pStyle w:val="Heading3"/>
        <w:numPr>
          <w:ilvl w:val="2"/>
          <w:numId w:val="1"/>
        </w:numPr>
        <w:rPr/>
      </w:pPr>
      <w:bookmarkStart w:id="114" w:name="__RefHeading___Toc1840647_2322387425"/>
      <w:bookmarkStart w:id="115" w:name="_Toc41"/>
      <w:bookmarkEnd w:id="113"/>
      <w:bookmarkEnd w:id="114"/>
      <w:r>
        <w:rPr>
          <w:rtl w:val="true"/>
        </w:rPr>
        <w:t>حکم الشک فی تعیین الفریضة</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شکّ</w:t>
      </w:r>
      <w:r>
        <w:rPr>
          <w:rStyle w:val="FootnoteAnchor"/>
          <w:rtl w:val="true"/>
        </w:rPr>
        <w:footnoteReference w:id="121"/>
      </w:r>
      <w:r>
        <w:rPr>
          <w:rFonts w:ascii="Amiri" w:hAnsi="Amiri" w:eastAsia="Amiri" w:cs="Amiri"/>
          <w:color w:val="111111"/>
          <w:sz w:val="28"/>
          <w:sz w:val="28"/>
          <w:szCs w:val="28"/>
          <w:rtl w:val="true"/>
          <w:lang w:bidi="ar-SA"/>
        </w:rPr>
        <w:t>فی ما فی یده أ نّه عیّنها ظهراً أو عصراً</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لم یأتِ بالظهر قبل ذلک نواها ظهراً وأتمّها، وإن أتی بالظهر بطلت، والإتمام بنیّة الظهر لا یخلو من قوّة؛ لأنّها صحیحة مع کلّ حال، سواء شرع فیها بنیّة الظهر أم العصر، وإن کان الثانی یکون عدولاً إلی ما هو وظیفته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قام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البناء علی أنّها اُولی المترتّبتین، کالظهر مثلاً فی صورة الجزم بعدم إتیانها قبلاً والشکّ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لم‌یصلِّ الظهرأوشکّ فیها فإنّه یجعل مابیده ظهراً، ولیس‌علیه‌الإعادة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بالبناء علی التی قام إلیها فی غیر موارد العدول، وإن کان الأحوط ما ذکره، وأمّا فی موارد العدول فلا إشکال فی الصحّة بالبناء علی الأول، کالظهرین إن لم یصلِّ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وللمسألة صور کثیرة، والأقوی فی ما إذا لم یصلِّ العصر أو شکّ فی إتیانه وکان فی الوقت المشترک العدول إلی الظهر، وکذا فی الوقت المختصّ بالعصر إذا کان الوقت واسعاً لإتیان بقیّة الظهر وإدراک رکعة من العصر، ومع عدم السعة فإن کان واسعاً لإدراک رکعة من العصر ترک ما فی یده وصلّی العصر، ویقضی الظهر مع العلم بعدم الإتیان، ومع الشکّ لا یعتنی به علی الأقوی، والأحوط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السعة لإدراک رکعة أیضاً فالأحوط إتمامه عصراً، وقضاء الظهر والعصر خارج الوقت مع العلم بعدم إتیان الظهر، وإلاّ فیقضی العصر، والأحوط قضاء الظهر أیضاً، ولا یبعد جواز رفع الید عمّا بیده فی هذه الصورة وقضاؤهما فی صورة العلم بترکهما، وقضاء العصر فقط مع الشکّ فی إتیانهما، والأحوط قضاء الظهر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أنّه لم یصلِّ الظهر قَبلُ، أو شکّ فی ذلک عدل بالنیّة إلیها وصحّت، وإن علم أنّه صلاّها استأنف العصر، وإن أتمّ ما بیده ثمّ استأنف العصر فهو أحوط، وکذا فی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ویکفی استئناف الصلاة، هذا فی غیر المترتّبتین الحاضرتین، وأمّا فیهما فإن لم یکن آتیا بالاُولی أو شکّ فی إتیانها وکان فی وقتٍ تجب علیه نواها الاُولی وأتمّها، ولا إعادة علیه، وإلاّ فیحکم ببطلانها ویستأنفها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علیه ظهر، وإلاّ یبنی علی أنّها ظهر وصحّت، وکذلک فی العشاءین مع بقاء محلّ العدول، وفی ما عدا ذلک یبنی علی التی قام إلیها علی الأقوی، وإن کان الأحوط الإعادة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المترتّبتین، وفیهما هو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للاحتیاط علی نحو الإطلاق، کما لو تردّد الأمر بین الظهر والعصر وعلم بعدم الإتیان بالظهر، أو شکّ فیه فإنّه فی هذه الصورة یعدل بما فی یده إلی الظهر، ولایحتاج الی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 . . . . . . . . . .</w:t>
      </w:r>
    </w:p>
    <w:p>
      <w:pPr>
        <w:pStyle w:val="BookText"/>
        <w:rPr/>
      </w:pPr>
      <w:r>
        <w:rPr>
          <w:rFonts w:ascii="IRNazanin" w:hAnsi="IRNazanin" w:eastAsia="IRNazanin"/>
          <w:color w:val="111111"/>
          <w:sz w:val="28"/>
          <w:sz w:val="28"/>
          <w:szCs w:val="28"/>
          <w:rtl w:val="true"/>
          <w:lang w:bidi="fa-IR"/>
        </w:rPr>
        <w:t>الإتمام</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 تفصیل یأتی فی ختام مبحث الخلل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ما إذا علم بعدم إتیان الظهر، أو شکّ فإنّه یأتی بالبقیة بنیّة الظهر، ولا 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بعد البناء المذکور، وهذا فی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صلّی الظهر فقام إلی العصر ثمّ شکّ فی التعیین، وإلاّ فیجعل فعلاً ما بیده ظهراً ویتمّها، ولا إعادة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فروض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القطع والشکّ بعدم الإتیان بالظهر، ففی هاتین الصورتین یعدل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القطع بالإتیان والشکّ فی أنّ ما بیده نواه ظهراً أو عصراً، وفی هذه الصورة مقتضی العلم الإجمالی الإتمام والإعادة بنیّة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لم یقطع بعدم إتیان الظهر، وإلاّ یُتمّها ظهراً، بل فی صورة الشکّ فی الإتیان أیضاً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الشکّ فی إتیان الظهر یعدل إلیه، وإلاّ 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موارد العدول یعدل بلا إعادة، کما فی المثال مع اشتغال ذمّته بالظهر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یأتِ بالظهر أو شکّ فی إتیانه جعل ما فی یده ظهراً وصحّت بلا إشکال، وکذلک إن کان الشکّ بین المغرب والعشاء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بأنّه لم یصلّ الظهر قبل ذلک فإنّه یتمّ ما بعده ظهرا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الإعادة فی مثل الظهر والعصر إذا کان لم یصلّ الظهر قبلها، بل یتمّها ظهراً وتصحّ علی التقدیرین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یعدل إلی الظهر مع عدم إتیانها، أو الشکّ فیه وتصحّ ظهرا، وإلاّ استأنفها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یأتِ بالظهر أو شکّ فی ذلک عدل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لا یمکن العدول، وإلاّ یتعیّن علیه، فیتمّ ولا إ عادة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مثل الظهرین لو علم أنّه لم یصلِّ الظهر أو شکّ فی ذلک ینوی به الظهر ویتمّها، ولا حاجة إلی الإعادة، وکذلک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المترتّبتین، وأمّا فیهما فلو لم یکن آتیاً بالاُولی جعل ما فی یده الاُولی، وصحّت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یصلِّ السابقة، أو شکّ فی إتیانها یعدل إلیها ولا إعادة علیه، ویأتی فی أوّل مسائل الختام اختیاره رحمه‌الله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صلّی الظهر قبلها، وأمّا مع عدم الإتیان بها کذلک فیتمّها ظهرا من دون حاجة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إتیان السابقة أو شکّ فی إتیانها، ومع الإتیان یتمّها ثمّ یعیدها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Style w:val="FootnoteAnchor"/>
          <w:rtl w:val="true"/>
        </w:rPr>
        <w:footnoteReference w:id="125"/>
      </w:r>
      <w:r>
        <w:rPr>
          <w:rFonts w:ascii="IRNazanin" w:hAnsi="IRNazanin" w:eastAsia="IRNazanin"/>
          <w:color w:val="111111"/>
          <w:sz w:val="28"/>
          <w:sz w:val="28"/>
          <w:szCs w:val="28"/>
          <w:rtl w:val="true"/>
          <w:lang w:bidi="fa-IR"/>
        </w:rPr>
        <w:t>، لو رأی نفسه فی صلاة معیّنة</w:t>
      </w:r>
      <w:r>
        <w:rPr>
          <w:rStyle w:val="FootnoteAnchor"/>
          <w:rtl w:val="true"/>
        </w:rPr>
        <w:footnoteReference w:id="126"/>
      </w:r>
      <w:r>
        <w:rPr>
          <w:rFonts w:ascii="Amiri" w:hAnsi="Amiri" w:eastAsia="Amiri" w:cs="Amiri"/>
          <w:color w:val="111111"/>
          <w:sz w:val="28"/>
          <w:sz w:val="28"/>
          <w:szCs w:val="28"/>
          <w:rtl w:val="true"/>
          <w:lang w:bidi="ar-SA"/>
        </w:rPr>
        <w:t xml:space="preserve">وشکّ فی أ نّه </w:t>
      </w:r>
    </w:p>
    <w:p>
      <w:pPr>
        <w:pStyle w:val="BookText"/>
        <w:rPr/>
      </w:pPr>
      <w:r>
        <w:rPr>
          <w:rFonts w:ascii="IRNazanin" w:hAnsi="IRNazanin" w:eastAsia="IRNazanin"/>
          <w:color w:val="111111"/>
          <w:sz w:val="28"/>
          <w:sz w:val="28"/>
          <w:szCs w:val="28"/>
          <w:rtl w:val="true"/>
          <w:lang w:bidi="fa-IR"/>
        </w:rPr>
        <w:t>من الأوّل نواها أو نوی غیرها بنی</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الصلاة المعیّنة التی رأی نفسه فیها هی صلاة العصر، فتارةً صلّی الظهر قبلها، واُخری لم یصلّها، ولکنّه شرع فیها بنیّة العصر بزعم الإتیان بالظهر قبلها، 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أنّه نوی العصر، 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یتمّها ظهرا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الصلاة المعیّنة هی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صلاّها قبلها فلا مجال للبناء علی ما نوی، بل تکون باطلة، وإن لم یصلِّها قبلها فیبنی علیها، وقد ظهر أنّه لا مجال فی مثل المقام لقاعدة الشکّ بعد 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وقاعدة التجاوز لا تجری فی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یری نفسه فی الظهر مثلاً ولم یکن قد صلاّها، وأمّا فی غیر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لایمکنه البناء المذکور، أولابدّ من أن یحتاط بالإتمام والإعادة، وأمّا فی الصلوات الغیر مرتّبة فیطّرد إمکان هذا البناء، لکنّ الاحتیاط المذکور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کسابقه، ولاتجری قاعدة التجاوز فی العناوین القصدیة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بجریان الاستصحاب القهقری تَمَّ ما قیل، وهو مشکل أیضا؛ لکونه مثبتا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وجریان القاعدة فی أمثال المقام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أراد الاحتیاط فمع عدم إتیان السابقة أو الشکّ فی إتیانها یعدل إلیها، ومع إتیانها یتمّها ثمّ یعیدها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بل یجری فیها ما تقدّم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w:t>
      </w:r>
      <w:r>
        <w:rPr>
          <w:rFonts w:eastAsia="IRNazanin" w:cs="IRNazanin"/>
          <w:color w:val="111111"/>
          <w:sz w:val="28"/>
          <w:szCs w:val="28"/>
          <w:rtl w:val="true"/>
          <w:lang w:bidi="fa-IR"/>
        </w:rPr>
        <w:t>. . . . . . . . . . . . . . . . . . . . . .</w:t>
      </w:r>
    </w:p>
    <w:p>
      <w:pPr>
        <w:pStyle w:val="BookText"/>
        <w:rPr/>
      </w:pPr>
      <w:r>
        <w:rPr>
          <w:rFonts w:ascii="IRNazanin" w:hAnsi="IRNazanin" w:eastAsia="IRNazanin"/>
          <w:color w:val="111111"/>
          <w:sz w:val="28"/>
          <w:sz w:val="28"/>
          <w:szCs w:val="28"/>
          <w:rtl w:val="true"/>
          <w:lang w:bidi="fa-IR"/>
        </w:rPr>
        <w:t>یکن</w:t>
      </w:r>
      <w:r>
        <w:rPr>
          <w:rStyle w:val="FootnoteAnchor"/>
          <w:rtl w:val="true"/>
        </w:rPr>
        <w:footnoteReference w:id="128"/>
      </w:r>
      <w:r>
        <w:rPr>
          <w:rFonts w:ascii="Amiri" w:hAnsi="Amiri" w:eastAsia="Amiri" w:cs="Amiri"/>
          <w:color w:val="111111"/>
          <w:sz w:val="28"/>
          <w:sz w:val="28"/>
          <w:szCs w:val="28"/>
          <w:rtl w:val="true"/>
          <w:lang w:bidi="ar-SA"/>
        </w:rPr>
        <w:t>ممّا قام</w:t>
      </w:r>
      <w:r>
        <w:rPr>
          <w:rStyle w:val="FootnoteAnchor"/>
          <w:rtl w:val="true"/>
        </w:rPr>
        <w:footnoteReference w:id="129"/>
      </w:r>
      <w:r>
        <w:rPr>
          <w:rFonts w:ascii="IRNazanin" w:hAnsi="IRNazanin" w:eastAsia="IRNazanin"/>
          <w:color w:val="111111"/>
          <w:sz w:val="28"/>
          <w:sz w:val="28"/>
          <w:szCs w:val="28"/>
          <w:rtl w:val="true"/>
          <w:lang w:bidi="fa-IR"/>
        </w:rPr>
        <w:t>إلیه</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الصورة لا تخلو من إشکال، فالأحوط إتمامها کذلک ثمّ الإعادة فی ما إذا صلّی الظهر ثمّ قام إلیها بزعم أ نّه لم یصلّها ویری نفسه فی العصر، وأمّا إذا لم یصلّ الظهر قبلها أتمّها ظهراً، وتصحّ علی أیّ تقدیر، وإن صلاّها وقام إلی العصر ویری نفسه فی الظهر کانت باطلة، ولا مجری لقاعدة التجاوز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یحرز أنّه قام للصلاة التی نواها 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یرجع إلی الشکّ بعد تجاوز المحلّ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قاعدة التجاوز فی النیّة لایخلو من إشکال؛ فإن القاعدة إنّما تجری فی ما یکون ترکه ترکا لما ینبغی أن یفعل، وذلک غیر حاصل فی صورة الشکّ فی النیّة وعدم إحراز العنوان، فمحلّ نیّة صلاة العصر فی أول العصر، فإن أحرز العصریة فلا مورد للشکّ، وإن شکّ فی کونه عصرا فقد شکّ فی أنّ العمل کان محلّ نیّة العصر أو غیره، کما لایخفی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تلک القاعدة مشکل؛ إذ مجراها الشکّ فیمایکون له محلّ مقرّربحیث یکون ترکه هناک ترکاً لِمَا ینبغی فعله، وکون الشیء کذلک متفرّع علی العنوان الذی فرض فیه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ولاریب أنّ تحقّق ذاک العنوان وصدقه منوط بالنیّة فکیف یحصل العنوان فی صورة الشکّ فی النیّة الّتی هی محقِّقة للعنوان؟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فیمانحن فیه فیصلاة معیّنة فی أنّه نواها من الأوّل أو نوی غیرها فالشکّ یؤول إلی الشکّ فی أنّ العمل الذی بیده کان محلّ نیّة العنوان المشکوک أو غیره، فلا محلّ لإجراء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3278_326329"/>
    </w:p>
    <w:p>
      <w:pPr>
        <w:pStyle w:val="Heading3"/>
        <w:numPr>
          <w:ilvl w:val="2"/>
          <w:numId w:val="1"/>
        </w:numPr>
        <w:rPr/>
      </w:pPr>
      <w:bookmarkStart w:id="117" w:name="__RefHeading___Toc1840649_2322387425"/>
      <w:bookmarkStart w:id="118" w:name="_Toc42"/>
      <w:bookmarkEnd w:id="116"/>
      <w:bookmarkEnd w:id="117"/>
      <w:r>
        <w:rPr>
          <w:rtl w:val="true"/>
        </w:rPr>
        <w:t>موارد جواز العدول من صلاة إلی اخری</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العدول</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الواضح أنّ القاعدة تقتضی بطلان الصلاتین بالعدول، أمّا الاُولی فلعدم الاستدامة، وأمّا الثانیة فلعدم قصدها ابتداءً، والشیء لا ینقلب عمّا وقع علیه بالنیّة، ولکنّ هذا فی العناوین المقوّمة لنوع الصلاة، مثل الظهر والمغرب ونحوهما ممّا یتشخّص بها المأمور به، أمّا مثل الجماعة والفرادی والقصر والتمام قد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فیها، إلاّ أن یقوم دلیل علی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إلی اُخری إلاّ فی موارد 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840651_2322387425"/>
      <w:bookmarkStart w:id="120" w:name="_Toc43"/>
      <w:bookmarkEnd w:id="119"/>
      <w:r>
        <w:rPr>
          <w:rtl w:val="true"/>
        </w:rPr>
        <w:t>أولها</w:t>
      </w:r>
      <w:r>
        <w:rPr>
          <w:rtl w:val="true"/>
        </w:rPr>
        <w:t xml:space="preserve">: </w:t>
      </w:r>
      <w:r>
        <w:rPr>
          <w:rtl w:val="true"/>
        </w:rPr>
        <w:t>العدول من الحاضرة إلی الحاضرة</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الصلاتین المرتّبتین، کالظهرین والعشاءین</w:t>
      </w:r>
      <w:r>
        <w:rPr>
          <w:rStyle w:val="FootnoteAnchor"/>
          <w:rtl w:val="true"/>
        </w:rPr>
        <w:footnoteReference w:id="132"/>
      </w:r>
      <w:r>
        <w:rPr>
          <w:rFonts w:ascii="IRNazanin" w:hAnsi="IRNazanin" w:eastAsia="IRNazanin"/>
          <w:color w:val="111111"/>
          <w:sz w:val="28"/>
          <w:sz w:val="28"/>
          <w:szCs w:val="28"/>
          <w:rtl w:val="true"/>
          <w:lang w:bidi="fa-IR"/>
        </w:rPr>
        <w:t>إذا دخل فی الثانیة قبل الاُولی</w:t>
      </w:r>
      <w:r>
        <w:rPr>
          <w:rStyle w:val="FootnoteAnchor"/>
          <w:rtl w:val="true"/>
        </w:rPr>
        <w:footnoteReference w:id="133"/>
      </w:r>
      <w:r>
        <w:rPr>
          <w:rFonts w:ascii="IRNazanin" w:hAnsi="IRNazanin" w:eastAsia="IRNazanin"/>
          <w:color w:val="111111"/>
          <w:sz w:val="28"/>
          <w:sz w:val="28"/>
          <w:szCs w:val="28"/>
          <w:rtl w:val="true"/>
          <w:lang w:bidi="fa-IR"/>
        </w:rPr>
        <w:t>عدل إلیها بعد التذکّر فی الأثناء</w:t>
      </w:r>
      <w:r>
        <w:rPr>
          <w:rStyle w:val="FootnoteAnchor"/>
          <w:rtl w:val="true"/>
        </w:rPr>
        <w:footnoteReference w:id="134"/>
      </w:r>
      <w:r>
        <w:rPr>
          <w:rFonts w:ascii="IRNazanin" w:hAnsi="IRNazanin" w:eastAsia="IRNazanin"/>
          <w:color w:val="111111"/>
          <w:sz w:val="28"/>
          <w:sz w:val="28"/>
          <w:szCs w:val="28"/>
          <w:rtl w:val="true"/>
          <w:lang w:bidi="fa-IR"/>
        </w:rPr>
        <w:t xml:space="preserve">إذا لم یتجاوز محلّ </w:t>
      </w:r>
    </w:p>
    <w:p>
      <w:pPr>
        <w:pStyle w:val="BookText"/>
        <w:rPr/>
      </w:pPr>
      <w:r>
        <w:rPr>
          <w:rFonts w:ascii="IRNazanin" w:hAnsi="IRNazanin" w:eastAsia="IRNazanin"/>
          <w:color w:val="111111"/>
          <w:sz w:val="28"/>
          <w:sz w:val="28"/>
          <w:szCs w:val="28"/>
          <w:rtl w:val="true"/>
          <w:lang w:bidi="fa-IR"/>
        </w:rPr>
        <w:t>العدول</w:t>
      </w:r>
      <w:r>
        <w:rPr>
          <w:rStyle w:val="FootnoteAnchor"/>
          <w:rtl w:val="true"/>
        </w:rPr>
        <w:footnoteReference w:id="135"/>
      </w:r>
      <w:r>
        <w:rPr>
          <w:rFonts w:ascii="IRNazanin" w:hAnsi="IRNazanin" w:eastAsia="IRNazanin"/>
          <w:color w:val="111111"/>
          <w:sz w:val="28"/>
          <w:sz w:val="28"/>
          <w:szCs w:val="28"/>
          <w:rtl w:val="true"/>
          <w:lang w:bidi="fa-IR"/>
        </w:rPr>
        <w:t>، وأمّا إذا تجاوز کما إذا دخل فی رکوع الرابعة من العشاء فتذکّر ترک المغرب، فإنّه لا یجوز العدول؛ لعدم بقاء محلّه، فیتمّها</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موافق مع الاحتیاط، لکنّ الظاهر بطلان مابیده ولایجب إتمامه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یرفع الید عنها علی الأظهر، وإن کان ما فی المتن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رفع الید عنها والإتیان بالصلاتین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جواز 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تعیّن رفع الید عمّا هو مشغول به ویأتی بالصلاتین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یصلّی المغرب، ویعید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تُترک الإعادة، والأحوط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صحّتها، وکذا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الأقوی عدم وجوب الإعادة وإن کانت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إعادة العشاء إذا وقعت فی وقت المشترک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وإن کانت الصحّة عشاءً لا تخلو من قوّة، وکذا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احتیاطاً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رعایة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استحبابیّا، وکذا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3278_326331"/>
    </w:p>
    <w:p>
      <w:pPr>
        <w:pStyle w:val="BookText"/>
        <w:rPr/>
      </w:pPr>
      <w:bookmarkEnd w:id="121"/>
      <w:r>
        <w:rPr>
          <w:rFonts w:ascii="IRNazanin" w:hAnsi="IRNazanin" w:eastAsia="IRNazanin"/>
          <w:color w:val="111111"/>
          <w:sz w:val="28"/>
          <w:sz w:val="28"/>
          <w:szCs w:val="28"/>
          <w:rtl w:val="true"/>
          <w:lang w:bidi="fa-IR"/>
        </w:rPr>
        <w:t>وأمّا إذا دخل فی قیام الرابعة ولم یرکع بعدُ فالظاهر بقاء محلّ العدول، فیهدم القیام</w:t>
      </w:r>
      <w:r>
        <w:rPr>
          <w:rStyle w:val="FootnoteAnchor"/>
          <w:rtl w:val="true"/>
        </w:rPr>
        <w:footnoteReference w:id="137"/>
      </w:r>
      <w:r>
        <w:rPr>
          <w:rFonts w:ascii="Amiri" w:hAnsi="Amiri" w:eastAsia="Amiri" w:cs="Amiri"/>
          <w:color w:val="111111"/>
          <w:sz w:val="28"/>
          <w:sz w:val="28"/>
          <w:szCs w:val="28"/>
          <w:rtl w:val="true"/>
          <w:lang w:bidi="ar-SA"/>
        </w:rPr>
        <w:t>ویتمّها بنیّة المغرب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840653_2322387425"/>
      <w:bookmarkStart w:id="123" w:name="_Toc44"/>
      <w:bookmarkEnd w:id="122"/>
      <w:r>
        <w:rPr>
          <w:rtl w:val="true"/>
        </w:rPr>
        <w:t>الثانی</w:t>
      </w:r>
      <w:r>
        <w:rPr>
          <w:rtl w:val="true"/>
        </w:rPr>
        <w:t xml:space="preserve">: </w:t>
      </w:r>
      <w:r>
        <w:rPr>
          <w:rtl w:val="true"/>
        </w:rPr>
        <w:t>العدول من الفائتة إلی الفائتة</w:t>
      </w:r>
      <w:bookmarkEnd w:id="12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صلاتان أو أزید</w:t>
      </w:r>
      <w:r>
        <w:rPr>
          <w:rStyle w:val="FootnoteAnchor"/>
          <w:rtl w:val="true"/>
        </w:rPr>
        <w:footnoteReference w:id="139"/>
      </w:r>
      <w:r>
        <w:rPr>
          <w:rFonts w:ascii="IRNazanin" w:hAnsi="IRNazanin" w:eastAsia="IRNazanin"/>
          <w:color w:val="111111"/>
          <w:sz w:val="28"/>
          <w:sz w:val="28"/>
          <w:szCs w:val="28"/>
          <w:rtl w:val="true"/>
          <w:lang w:bidi="fa-IR"/>
        </w:rPr>
        <w:t>قضاءً فشرع فی اللاحقة قبل السابقة یعدل</w:t>
      </w:r>
      <w:r>
        <w:rPr>
          <w:rStyle w:val="FootnoteAnchor"/>
          <w:rtl w:val="true"/>
        </w:rPr>
        <w:footnoteReference w:id="140"/>
      </w:r>
      <w:r>
        <w:rPr>
          <w:rFonts w:ascii="IRNazanin" w:hAnsi="IRNazanin" w:eastAsia="IRNazanin"/>
          <w:color w:val="111111"/>
          <w:sz w:val="28"/>
          <w:sz w:val="28"/>
          <w:szCs w:val="28"/>
          <w:rtl w:val="true"/>
          <w:lang w:bidi="fa-IR"/>
        </w:rPr>
        <w:t>إلیها</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فی المترتّبتین من یوم واحد کالظهرین، أو لیلة واحدة کالعشاءین، وفی غیرهما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المترتّبتین کالصبح والظهر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العدول فی قضاء الفوائت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تجاوز محلّ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إذا دخل فی الظهر أو العصر فتذکّر ترک الصبح القضائیّ السابق علی الظهر والعصر، وأمّا</w:t>
      </w:r>
      <w:bookmarkStart w:id="124" w:name="pg13278_326332"/>
    </w:p>
    <w:p>
      <w:pPr>
        <w:pStyle w:val="BookText"/>
        <w:rPr/>
      </w:pPr>
      <w:bookmarkEnd w:id="124"/>
      <w:r>
        <w:rPr>
          <w:rFonts w:ascii="IRNazanin" w:hAnsi="IRNazanin" w:eastAsia="IRNazanin"/>
          <w:color w:val="111111"/>
          <w:sz w:val="28"/>
          <w:sz w:val="28"/>
          <w:szCs w:val="28"/>
          <w:rtl w:val="true"/>
          <w:lang w:bidi="fa-IR"/>
        </w:rPr>
        <w:t>إذا تجاوز أتمّ ما بیده علی الأحوط</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أیضاً التأمّل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فلایعیدها، وکذلک الحکم فی کلّ صلاتین لایشترط فی الأدائیة منهما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ویأتی بالسابقة ویعید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اللاحقة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الإعادة، کما مرّ فی الأدائیتین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المترتّبتین علی الأحوط، وفیهما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وجوبها فی غیر المترتّبتین فی أنفسهما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لایجب فی غیر المترتّبتین فی أنفسهما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الأدائیّتین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استحباب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دخل فی العصر فذکر ترک الظهر السابقة فإنّه یعدل</w:t>
      </w:r>
      <w:r>
        <w:rPr>
          <w:rFonts w:eastAsia="IRNazanin" w:cs="IRNazanin"/>
          <w:color w:val="111111"/>
          <w:sz w:val="28"/>
          <w:szCs w:val="28"/>
          <w:rtl w:val="true"/>
          <w:lang w:bidi="fa-IR"/>
        </w:rPr>
        <w:t>.</w:t>
      </w:r>
    </w:p>
    <w:p>
      <w:pPr>
        <w:pStyle w:val="Heading3"/>
        <w:numPr>
          <w:ilvl w:val="2"/>
          <w:numId w:val="1"/>
        </w:numPr>
        <w:rPr/>
      </w:pPr>
      <w:bookmarkStart w:id="125" w:name="__RefHeading___Toc1840655_2322387425"/>
      <w:bookmarkStart w:id="126" w:name="_Toc45"/>
      <w:bookmarkEnd w:id="125"/>
      <w:r>
        <w:rPr>
          <w:rtl w:val="true"/>
        </w:rPr>
        <w:t>الثالث</w:t>
      </w:r>
      <w:r>
        <w:rPr>
          <w:rtl w:val="true"/>
        </w:rPr>
        <w:t xml:space="preserve">: </w:t>
      </w:r>
      <w:r>
        <w:rPr>
          <w:rtl w:val="true"/>
        </w:rPr>
        <w:t>العدول من الحاضرة إلی الفائتة</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فی الحاضرة فذکر أنّ علیه قضاءً فإنّه یجوز له أن </w:t>
      </w:r>
    </w:p>
    <w:p>
      <w:pPr>
        <w:pStyle w:val="BookText"/>
        <w:rPr/>
      </w:pPr>
      <w:r>
        <w:rPr>
          <w:rFonts w:ascii="IRNazanin" w:hAnsi="IRNazanin" w:eastAsia="IRNazanin"/>
          <w:color w:val="111111"/>
          <w:sz w:val="28"/>
          <w:sz w:val="28"/>
          <w:szCs w:val="28"/>
          <w:rtl w:val="true"/>
          <w:lang w:bidi="fa-IR"/>
        </w:rPr>
        <w:t>یعدل</w:t>
      </w:r>
      <w:r>
        <w:rPr>
          <w:rStyle w:val="FootnoteAnchor"/>
          <w:rtl w:val="true"/>
        </w:rPr>
        <w:footnoteReference w:id="143"/>
      </w:r>
      <w:r>
        <w:rPr>
          <w:rFonts w:ascii="IRNazanin" w:hAnsi="IRNazanin" w:eastAsia="IRNazanin"/>
          <w:color w:val="111111"/>
          <w:sz w:val="28"/>
          <w:sz w:val="28"/>
          <w:szCs w:val="28"/>
          <w:rtl w:val="true"/>
          <w:lang w:bidi="fa-IR"/>
        </w:rPr>
        <w:t>إلی القضاء إذا لم یتجاوز محلّ العدول، والعدول فی هذه الصورة علی وجه الجواز</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لزوم تقدیم الفائتة، خصوصاً فائتة الیوم علی الحاضرة، وعدم المضایقة فی الفوائت، کما هو المختار فیهما، وإلاّ کان العدول واجباً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استحباب العدول مع خوف فوت وقت فضیلة ما بیده تأمّل، بل عدمه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تقدیم الفائتة مستحبّاً، وأمّا بناءً علی استحباب تقدیم صاحبة الوقت فالراجح ترک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مع ضیق وقت فضیلة الحاضرة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قلنا بوجوب الترتیب بین الفائتة والحاضرة فیجب تقدیم الفائتة علی الحاضرة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الصورتین الأوّلتین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علی وجه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أولهما، وعلی الاحتیاط فی ثانیهما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المترتّبتین من القضائیّتین مبنیّ علی الاحتیاط، وأن لا یخلو الوجوب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فی الثانیة مبنیّ علی لزوم الترتیب فی الفوائت، والمختار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بالوجوب فی الصورة الثانیة مبنیّ علی القول بوجوب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من الظهر إلی الصبح مبنیّ علی وجوب الترتیب فی قضاء الفائتة، وسیأتی فی محلّه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3278_326334"/>
    </w:p>
    <w:p>
      <w:pPr>
        <w:pStyle w:val="Heading3"/>
        <w:numPr>
          <w:ilvl w:val="2"/>
          <w:numId w:val="1"/>
        </w:numPr>
        <w:rPr/>
      </w:pPr>
      <w:bookmarkStart w:id="128" w:name="__RefHeading___Toc1840657_2322387425"/>
      <w:bookmarkStart w:id="129" w:name="_Toc46"/>
      <w:bookmarkEnd w:id="127"/>
      <w:bookmarkEnd w:id="128"/>
      <w:r>
        <w:rPr>
          <w:rtl w:val="true"/>
        </w:rPr>
        <w:t>الرابع</w:t>
      </w:r>
      <w:r>
        <w:rPr>
          <w:rtl w:val="true"/>
        </w:rPr>
        <w:t xml:space="preserve">: </w:t>
      </w:r>
      <w:r>
        <w:rPr>
          <w:rtl w:val="true"/>
        </w:rPr>
        <w:t>العدول من الجمعة إلی النافلة لمن قرأ غیر سورة الجمعة</w:t>
      </w:r>
      <w:bookmarkEnd w:id="129"/>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الفریضة</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من الفریضة بقرینة ما یأتی فی فصل القراءة هو خصوص الجمعة أو الظهر، وذلک ممّا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فالعدول بها إلی النافلة 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النافلة یوم الجمعة لمن نسی قراءة الجمعة وقرأ سورة اُخری من التوحید أو غیرها وبلغ النصف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العدول مطلقاً لا یخلو من قوّة، وإن کان الأحوط ما ذکره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العدول مطلقاً، ولکنّ ما ذکره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جواز العدول إلی النافلة بما إذا کان التفاته بعد تمام السورة من الرکعة الاُولی من صلاة الجمعة، ولم یثبت جواز العدول إلیها فی غیر هذا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أتمّ السورة، وأمّا إن لم یتمّها فیعدل عنها ولو کانت هی التوحید أو الجحد إلی الجمعة أو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هو الأحوط، والأظهر جواز العدول إلی النافلة، أو إلی سورة الجمعة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لم یبلغ</w:t>
      </w:r>
      <w:bookmarkStart w:id="130" w:name="pg13278_326335"/>
    </w:p>
    <w:p>
      <w:pPr>
        <w:pStyle w:val="BookText"/>
        <w:rPr/>
      </w:pPr>
      <w:bookmarkEnd w:id="130"/>
      <w:r>
        <w:rPr>
          <w:rFonts w:ascii="IRNazanin" w:hAnsi="IRNazanin" w:eastAsia="IRNazanin"/>
          <w:color w:val="111111"/>
          <w:sz w:val="28"/>
          <w:sz w:val="28"/>
          <w:szCs w:val="28"/>
          <w:rtl w:val="true"/>
          <w:lang w:bidi="fa-IR"/>
        </w:rPr>
        <w:t>النصف</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یتجاوزه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العدول إلی سورة الجمعة ما لم یبلغ الثلثین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أن یعدل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تلک السورة، ولو کانت هی التوحید إلی سورة الجمعة فیقطعها ویستأنف سورة الجمعة</w:t>
      </w:r>
      <w:r>
        <w:rPr>
          <w:rFonts w:eastAsia="IRNazanin" w:cs="IRNazanin"/>
          <w:color w:val="111111"/>
          <w:sz w:val="28"/>
          <w:szCs w:val="28"/>
          <w:rtl w:val="true"/>
          <w:lang w:bidi="fa-IR"/>
        </w:rPr>
        <w:t>.</w:t>
      </w:r>
    </w:p>
    <w:p>
      <w:pPr>
        <w:pStyle w:val="Heading3"/>
        <w:numPr>
          <w:ilvl w:val="2"/>
          <w:numId w:val="1"/>
        </w:numPr>
        <w:rPr/>
      </w:pPr>
      <w:bookmarkStart w:id="131" w:name="__RefHeading___Toc1840659_2322387425"/>
      <w:bookmarkStart w:id="132" w:name="_Toc47"/>
      <w:bookmarkEnd w:id="131"/>
      <w:r>
        <w:rPr>
          <w:rtl w:val="true"/>
        </w:rPr>
        <w:t>الخامس</w:t>
      </w:r>
      <w:r>
        <w:rPr>
          <w:rtl w:val="true"/>
        </w:rPr>
        <w:t xml:space="preserve">: </w:t>
      </w:r>
      <w:r>
        <w:rPr>
          <w:rtl w:val="true"/>
        </w:rPr>
        <w:t>العدول من الفریضة إلی النافلة لإدراک الجماعة</w:t>
      </w:r>
      <w:bookmarkEnd w:id="13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الفریضة إلی النافلة</w:t>
      </w:r>
      <w:r>
        <w:rPr>
          <w:rStyle w:val="FootnoteAnchor"/>
          <w:rtl w:val="true"/>
        </w:rPr>
        <w:footnoteReference w:id="148"/>
      </w:r>
      <w:r>
        <w:rPr>
          <w:rFonts w:ascii="IRNazanin" w:hAnsi="IRNazanin" w:eastAsia="IRNazanin"/>
          <w:color w:val="111111"/>
          <w:sz w:val="28"/>
          <w:sz w:val="28"/>
          <w:szCs w:val="28"/>
          <w:rtl w:val="true"/>
          <w:lang w:bidi="fa-IR"/>
        </w:rPr>
        <w:t>لإدراک الجماعة إذا دخل فیها واُقیمت الجماعة</w:t>
      </w:r>
      <w:r>
        <w:rPr>
          <w:rStyle w:val="FootnoteAnchor"/>
          <w:rtl w:val="true"/>
        </w:rPr>
        <w:footnoteReference w:id="149"/>
      </w:r>
      <w:r>
        <w:rPr>
          <w:rFonts w:ascii="IRNazanin" w:hAnsi="IRNazanin" w:eastAsia="IRNazanin"/>
          <w:color w:val="111111"/>
          <w:sz w:val="28"/>
          <w:sz w:val="28"/>
          <w:szCs w:val="28"/>
          <w:rtl w:val="true"/>
          <w:lang w:bidi="fa-IR"/>
        </w:rPr>
        <w:t>وخاف</w:t>
      </w:r>
      <w:r>
        <w:rPr>
          <w:rStyle w:val="FootnoteAnchor"/>
          <w:rtl w:val="true"/>
        </w:rPr>
        <w:footnoteReference w:id="150"/>
      </w:r>
      <w:r>
        <w:rPr>
          <w:rFonts w:ascii="IRNazanin" w:hAnsi="IRNazanin" w:eastAsia="IRNazanin"/>
          <w:color w:val="111111"/>
          <w:sz w:val="28"/>
          <w:sz w:val="28"/>
          <w:szCs w:val="28"/>
          <w:rtl w:val="true"/>
          <w:lang w:bidi="fa-IR"/>
        </w:rPr>
        <w:t>السبق</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عدمه أیضا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 مطلقاً، ولکنّ الأحوط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جائز، سواء خاف من إتمامها فوت الجماعة أم لا، ولکنّ الأحوط العدول فی صورة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عدم تجاوز محلّ</w:t>
      </w:r>
      <w:bookmarkStart w:id="133" w:name="pg13278_326336"/>
    </w:p>
    <w:p>
      <w:pPr>
        <w:pStyle w:val="BookText"/>
        <w:rPr/>
      </w:pPr>
      <w:bookmarkEnd w:id="133"/>
      <w:r>
        <w:rPr>
          <w:rFonts w:ascii="IRNazanin" w:hAnsi="IRNazanin" w:eastAsia="IRNazanin"/>
          <w:color w:val="111111"/>
          <w:sz w:val="28"/>
          <w:sz w:val="28"/>
          <w:szCs w:val="28"/>
          <w:rtl w:val="true"/>
          <w:lang w:bidi="fa-IR"/>
        </w:rPr>
        <w:t>العدول</w:t>
      </w:r>
      <w:r>
        <w:rPr>
          <w:rStyle w:val="FootnoteAnchor"/>
          <w:rtl w:val="true"/>
        </w:rPr>
        <w:footnoteReference w:id="152"/>
      </w:r>
      <w:r>
        <w:rPr>
          <w:rFonts w:ascii="IRNazanin" w:hAnsi="IRNazanin" w:eastAsia="IRNazanin"/>
          <w:color w:val="111111"/>
          <w:sz w:val="28"/>
          <w:sz w:val="28"/>
          <w:szCs w:val="28"/>
          <w:rtl w:val="true"/>
          <w:lang w:bidi="fa-IR"/>
        </w:rPr>
        <w:t>بأن دخل فی رکوع الرکعة الثالثة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840661_2322387425"/>
      <w:bookmarkStart w:id="135" w:name="_Toc48"/>
      <w:bookmarkEnd w:id="134"/>
      <w:r>
        <w:rPr>
          <w:rtl w:val="true"/>
        </w:rPr>
        <w:t>السادس</w:t>
      </w:r>
      <w:r>
        <w:rPr>
          <w:rtl w:val="true"/>
        </w:rPr>
        <w:t xml:space="preserve">: </w:t>
      </w:r>
      <w:r>
        <w:rPr>
          <w:rtl w:val="true"/>
        </w:rPr>
        <w:t>العدول من الجماعة إلی الانفراد</w:t>
      </w:r>
      <w:bookmarkEnd w:id="135"/>
    </w:p>
    <w:p>
      <w:pPr>
        <w:pStyle w:val="BookText"/>
        <w:rPr/>
      </w:pPr>
      <w:r>
        <w:rPr>
          <w:rFonts w:ascii="IRNazanin" w:hAnsi="IRNazanin" w:eastAsia="IRNazanin"/>
          <w:color w:val="111111"/>
          <w:sz w:val="28"/>
          <w:sz w:val="28"/>
          <w:szCs w:val="28"/>
          <w:rtl w:val="true"/>
          <w:lang w:bidi="fa-IR"/>
        </w:rPr>
        <w:t>السادس</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وما بعده لیس من أقسام المقسم المذکور، إلاّ علی بعض المبانی الفاسدة، لکن لا فی جمیعها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الانفراد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فی باب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لیس من العدول الاصطلاحی، أی من صلاة إلی اُخری، وهکذا الأمر فی السابع وما بعده، ولا یخفی أنّ جواز العدول إلی الانفراد مطلق، سواء بلغ فی الاقتداء إلی حدٍّ فات منه القراءة بسببه أم لا، و الإشکال فی مورد الثانی لیس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لیس من العدول من صلاة إلی صلاة، وکذا ما بعده من الموارد، وهناک موارد اُخر من هذا القبیل،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القصر إلی التمام ومن التمام إلی القصر فی المسافر الواصل إلی حدّ الترخص فی الأثناء، وعکسه،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القصر إلی التمام وعکسه للجاهل بالحکم أو الموضوع عند ارتفاع جهله قبل تجاوز محلّ العدول،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عن المأمومیة إلی الإمامة فی ما إذا عرض للإمام عارض فی الأثناء، وسیأتی الکلام فی الجمیع فی محالِّها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لعذر أو</w:t>
      </w:r>
      <w:bookmarkStart w:id="136" w:name="pg13278_326337"/>
    </w:p>
    <w:p>
      <w:pPr>
        <w:pStyle w:val="BookText"/>
        <w:rPr/>
      </w:pPr>
      <w:bookmarkEnd w:id="136"/>
      <w:r>
        <w:rPr>
          <w:rFonts w:ascii="Amiri" w:hAnsi="Amiri" w:eastAsia="Amiri" w:cs="Amiri"/>
          <w:color w:val="111111"/>
          <w:sz w:val="28"/>
          <w:sz w:val="28"/>
          <w:szCs w:val="28"/>
          <w:rtl w:val="true"/>
          <w:lang w:bidi="ar-SA"/>
        </w:rPr>
        <w:t>مطلقاً</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حکمه فی مبحث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هو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ناویاً له من أوّل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تفصیله فی مبحث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إلاّ إذا أتی بجمیع ما یجب فی صلاة الفرادی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اشکال إن لم یکن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840663_2322387425"/>
      <w:bookmarkStart w:id="138" w:name="_Toc49"/>
      <w:bookmarkEnd w:id="137"/>
      <w:r>
        <w:rPr>
          <w:rtl w:val="true"/>
        </w:rPr>
        <w:t>السابع</w:t>
      </w:r>
      <w:r>
        <w:rPr>
          <w:rtl w:val="true"/>
        </w:rPr>
        <w:t xml:space="preserve">: </w:t>
      </w:r>
      <w:r>
        <w:rPr>
          <w:rtl w:val="true"/>
        </w:rPr>
        <w:t>العدول من إمام إلی إمام آخر</w:t>
      </w:r>
      <w:bookmarkEnd w:id="138"/>
    </w:p>
    <w:p>
      <w:pPr>
        <w:pStyle w:val="BookText"/>
        <w:rPr/>
      </w:pPr>
      <w:r>
        <w:rPr>
          <w:rFonts w:ascii="IRNazanin" w:hAnsi="IRNazanin" w:eastAsia="IRNazanin"/>
          <w:color w:val="111111"/>
          <w:sz w:val="28"/>
          <w:sz w:val="28"/>
          <w:szCs w:val="28"/>
          <w:rtl w:val="true"/>
          <w:lang w:bidi="fa-IR"/>
        </w:rPr>
        <w:t>السابع</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إمام</w:t>
      </w:r>
      <w:r>
        <w:rPr>
          <w:rStyle w:val="FootnoteAnchor"/>
          <w:rtl w:val="true"/>
        </w:rPr>
        <w:footnoteReference w:id="157"/>
      </w:r>
      <w:r>
        <w:rPr>
          <w:rFonts w:ascii="IRNazanin" w:hAnsi="IRNazanin" w:eastAsia="IRNazanin"/>
          <w:color w:val="111111"/>
          <w:sz w:val="28"/>
          <w:sz w:val="28"/>
          <w:szCs w:val="28"/>
          <w:rtl w:val="true"/>
          <w:lang w:bidi="fa-IR"/>
        </w:rPr>
        <w:t>إلی إمام</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تفصیله فی صلاة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عرض للأوّل 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واستُنِیبَ الثانی لإتمامها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واستُنِیبَ من المأمومین فی هذه الجماعة، لا إماماً آخر، ولا مأموماً فی جماعة اُخری، ولا مصلّیاً منفرداً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فی محلّه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3278_326338"/>
    </w:p>
    <w:p>
      <w:pPr>
        <w:pStyle w:val="Heading3"/>
        <w:numPr>
          <w:ilvl w:val="2"/>
          <w:numId w:val="1"/>
        </w:numPr>
        <w:rPr/>
      </w:pPr>
      <w:bookmarkStart w:id="140" w:name="__RefHeading___Toc1840665_2322387425"/>
      <w:bookmarkStart w:id="141" w:name="_Toc50"/>
      <w:bookmarkEnd w:id="139"/>
      <w:bookmarkEnd w:id="140"/>
      <w:r>
        <w:rPr>
          <w:rtl w:val="true"/>
        </w:rPr>
        <w:t>الثامن</w:t>
      </w:r>
      <w:r>
        <w:rPr>
          <w:rtl w:val="true"/>
        </w:rPr>
        <w:t xml:space="preserve">: </w:t>
      </w:r>
      <w:r>
        <w:rPr>
          <w:rtl w:val="true"/>
        </w:rPr>
        <w:t>العدول من القصر إلی التمام</w:t>
      </w:r>
      <w:bookmarkEnd w:id="141"/>
    </w:p>
    <w:p>
      <w:pPr>
        <w:pStyle w:val="BookText"/>
        <w:rPr/>
      </w:pPr>
      <w:r>
        <w:rPr>
          <w:rFonts w:ascii="IRNazanin" w:hAnsi="IRNazanin" w:eastAsia="IRNazanin"/>
          <w:color w:val="111111"/>
          <w:sz w:val="28"/>
          <w:sz w:val="28"/>
          <w:szCs w:val="28"/>
          <w:rtl w:val="true"/>
          <w:lang w:bidi="fa-IR"/>
        </w:rPr>
        <w:t>الثامن</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القصر</w:t>
      </w:r>
      <w:r>
        <w:rPr>
          <w:rStyle w:val="FootnoteAnchor"/>
          <w:rtl w:val="true"/>
        </w:rPr>
        <w:footnoteReference w:id="160"/>
      </w:r>
      <w:r>
        <w:rPr>
          <w:rFonts w:ascii="IRNazanin" w:hAnsi="IRNazanin" w:eastAsia="IRNazanin"/>
          <w:color w:val="111111"/>
          <w:sz w:val="28"/>
          <w:sz w:val="28"/>
          <w:szCs w:val="28"/>
          <w:rtl w:val="true"/>
          <w:lang w:bidi="fa-IR"/>
        </w:rPr>
        <w:t>إلی التمام إذا قصد فی الأثناء إقامة عشرة أیّام</w:t>
      </w:r>
      <w:r>
        <w:rPr>
          <w:rFonts w:eastAsia="IRNazanin" w:cs="IRNazanin"/>
          <w:color w:val="111111"/>
          <w:sz w:val="28"/>
          <w:szCs w:val="28"/>
          <w:rtl w:val="true"/>
          <w:lang w:bidi="fa-IR"/>
        </w:rPr>
        <w:t>.</w:t>
      </w:r>
    </w:p>
    <w:p>
      <w:pPr>
        <w:pStyle w:val="Heading3"/>
        <w:numPr>
          <w:ilvl w:val="2"/>
          <w:numId w:val="1"/>
        </w:numPr>
        <w:rPr/>
      </w:pPr>
      <w:bookmarkStart w:id="142" w:name="__RefHeading___Toc1840667_2322387425"/>
      <w:bookmarkStart w:id="143" w:name="_Toc51"/>
      <w:bookmarkEnd w:id="142"/>
      <w:r>
        <w:rPr>
          <w:rtl w:val="true"/>
        </w:rPr>
        <w:t>التاسع</w:t>
      </w:r>
      <w:r>
        <w:rPr>
          <w:rtl w:val="true"/>
        </w:rPr>
        <w:t xml:space="preserve">: </w:t>
      </w:r>
      <w:r>
        <w:rPr>
          <w:rtl w:val="true"/>
        </w:rPr>
        <w:t>العدول من التمام إلی القصر</w:t>
      </w:r>
      <w:bookmarkEnd w:id="143"/>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التمام</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هذا الفرض وکذا الفرض العاشر لیسا من موارد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بدا له فی 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ماقصدها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یصلِّ صلاة قبلها إتماماً، ولکن تقدّم أنّ هذا الفرض وما قبله وما بعده لیست من العدول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قد صلّی تماماً، ولم یتجاوز محلّ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یصلِّ صلاة تماماً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أن یأتی بصلاة تماما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قد صلّی تماماً، ولم یتجاوز محلّ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عدوله عن الإقامة قبل أن یأتی بفریضة رباعیة بتمام، کما هو الفرض وکان فی محلٍّ یجوز فیه العدول، أمّا إذا تجاوز محلّ العدول کما إذا دخل فی رکوع الرکعة الثالثة فالأحوط له أن یتمّها رباعیةً ثمّ یعیدها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3278_326339"/>
    </w:p>
    <w:p>
      <w:pPr>
        <w:pStyle w:val="Heading3"/>
        <w:numPr>
          <w:ilvl w:val="2"/>
          <w:numId w:val="1"/>
        </w:numPr>
        <w:rPr/>
      </w:pPr>
      <w:bookmarkStart w:id="145" w:name="__RefHeading___Toc1840669_2322387425"/>
      <w:bookmarkStart w:id="146" w:name="_Toc52"/>
      <w:bookmarkEnd w:id="144"/>
      <w:bookmarkEnd w:id="145"/>
      <w:r>
        <w:rPr>
          <w:rtl w:val="true"/>
        </w:rPr>
        <w:t>العاشر</w:t>
      </w:r>
      <w:r>
        <w:rPr>
          <w:rtl w:val="true"/>
        </w:rPr>
        <w:t xml:space="preserve">: </w:t>
      </w:r>
      <w:r>
        <w:rPr>
          <w:rtl w:val="true"/>
        </w:rPr>
        <w:t>العدول من القصر إلی التمام أو العکس فی مواطن التخییر</w:t>
      </w:r>
      <w:bookmarkEnd w:id="146"/>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القصر</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التمام أو بالعکس فی مواطن 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840671_2322387425"/>
      <w:bookmarkStart w:id="148" w:name="_Toc53"/>
      <w:bookmarkEnd w:id="147"/>
      <w:r>
        <w:rPr>
          <w:rtl w:val="true"/>
        </w:rPr>
        <w:t>عدم جواز العدول من الفائتة إلی الحاضرة</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الفائتة إلی الحاضرة، فلو دخل فی فائتة ثمّ ذکر فی أثنائها حاضرةً ضاق وقتها أبطلها واستأنف، ولا یجوز العدول</w:t>
      </w:r>
      <w:r>
        <w:rPr>
          <w:rStyle w:val="FootnoteAnchor"/>
          <w:rtl w:val="true"/>
        </w:rPr>
        <w:footnoteReference w:id="163"/>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Heading3"/>
        <w:numPr>
          <w:ilvl w:val="2"/>
          <w:numId w:val="1"/>
        </w:numPr>
        <w:rPr/>
      </w:pPr>
      <w:bookmarkStart w:id="149" w:name="__RefHeading___Toc1840673_2322387425"/>
      <w:bookmarkStart w:id="150" w:name="_Toc54"/>
      <w:bookmarkEnd w:id="149"/>
      <w:r>
        <w:rPr>
          <w:rtl w:val="true"/>
        </w:rPr>
        <w:t>حکم العدول من النفل إلی الفرض أو إلی نفل آخر</w:t>
      </w:r>
      <w:bookmarkEnd w:id="1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النفل إلی الفرض، ولا من النفل</w:t>
      </w:r>
      <w:r>
        <w:rPr>
          <w:rStyle w:val="FootnoteAnchor"/>
          <w:rtl w:val="true"/>
        </w:rPr>
        <w:footnoteReference w:id="164"/>
      </w:r>
      <w:r>
        <w:rPr>
          <w:rFonts w:ascii="IRNazanin" w:hAnsi="IRNazanin" w:eastAsia="IRNazanin"/>
          <w:color w:val="111111"/>
          <w:sz w:val="28"/>
          <w:sz w:val="28"/>
          <w:szCs w:val="28"/>
          <w:rtl w:val="true"/>
          <w:lang w:bidi="fa-IR"/>
        </w:rPr>
        <w:t>إلی النفل</w:t>
      </w:r>
      <w:r>
        <w:rPr>
          <w:rStyle w:val="FootnoteAnchor"/>
          <w:rtl w:val="true"/>
        </w:rPr>
        <w:footnoteReference w:id="165"/>
      </w:r>
      <w:r>
        <w:rPr>
          <w:rFonts w:ascii="IRNazanin" w:hAnsi="IRNazanin" w:eastAsia="IRNazanin"/>
          <w:color w:val="111111"/>
          <w:sz w:val="28"/>
          <w:sz w:val="28"/>
          <w:szCs w:val="28"/>
          <w:rtl w:val="true"/>
          <w:lang w:bidi="fa-IR"/>
        </w:rPr>
        <w:t>، حتّی فی ما کان منه کالفرائض فی التوقیت والسبق</w:t>
      </w:r>
      <w:r>
        <w:rPr>
          <w:rStyle w:val="FootnoteAnchor"/>
          <w:rtl w:val="true"/>
        </w:rPr>
        <w:footnoteReference w:id="166"/>
      </w:r>
      <w:r>
        <w:rPr>
          <w:rFonts w:ascii="IRNazanin" w:hAnsi="IRNazanin" w:eastAsia="IRNazanin"/>
          <w:color w:val="111111"/>
          <w:sz w:val="28"/>
          <w:sz w:val="28"/>
          <w:szCs w:val="28"/>
          <w:rtl w:val="true"/>
          <w:lang w:bidi="fa-IR"/>
        </w:rPr>
        <w:t>واللحوق</w:t>
      </w:r>
      <w:r>
        <w:rPr>
          <w:rFonts w:eastAsia="IRNazanin" w:cs="IRNazanin"/>
          <w:color w:val="111111"/>
          <w:sz w:val="28"/>
          <w:szCs w:val="28"/>
          <w:rtl w:val="true"/>
          <w:lang w:bidi="fa-IR"/>
        </w:rPr>
        <w:t xml:space="preserve">. </w:t>
      </w:r>
      <w:bookmarkStart w:id="151" w:name="pg13278_326340"/>
    </w:p>
    <w:p>
      <w:pPr>
        <w:pStyle w:val="Heading3"/>
        <w:numPr>
          <w:ilvl w:val="2"/>
          <w:numId w:val="1"/>
        </w:numPr>
        <w:rPr/>
      </w:pPr>
      <w:bookmarkStart w:id="152" w:name="__RefHeading___Toc1840675_2322387425"/>
      <w:bookmarkStart w:id="153" w:name="_Toc55"/>
      <w:bookmarkEnd w:id="151"/>
      <w:bookmarkEnd w:id="152"/>
      <w:r>
        <w:rPr>
          <w:rtl w:val="true"/>
        </w:rPr>
        <w:t>عدم جواز العدول فی موضع لا یجوز العدول فیه</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فی موضع لا یجوز العدول بطلتا</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صحّة المعدول عنه إن لم یأتِ بشیء من أفعال المعدول إلیه ثمّ رجع عن قصده، أو أتی به ثمّ تدارکه من غیر لزوم زیادة رکن أو نقیصته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یجری علیه حکم نیّة القطع المتقدّم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الحکم فی المثال 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لو نوی بالظهر العصر وأتمّها علی نیّة العصر</w:t>
      </w:r>
      <w:r>
        <w:rPr>
          <w:rFonts w:eastAsia="IRNazanin" w:cs="IRNazanin"/>
          <w:color w:val="111111"/>
          <w:sz w:val="28"/>
          <w:szCs w:val="28"/>
          <w:rtl w:val="true"/>
          <w:lang w:bidi="fa-IR"/>
        </w:rPr>
        <w:t>.</w:t>
      </w:r>
    </w:p>
    <w:p>
      <w:pPr>
        <w:pStyle w:val="Heading3"/>
        <w:numPr>
          <w:ilvl w:val="2"/>
          <w:numId w:val="1"/>
        </w:numPr>
        <w:rPr/>
      </w:pPr>
      <w:bookmarkStart w:id="154" w:name="__RefHeading___Toc1840677_2322387425"/>
      <w:bookmarkStart w:id="155" w:name="_Toc56"/>
      <w:bookmarkEnd w:id="154"/>
      <w:r>
        <w:rPr>
          <w:rtl w:val="true"/>
        </w:rPr>
        <w:t>العدول من الظهر إلی العصر</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الظهر بتخیّل عدم إتیانها فبان فی الأثناء أ نّه قد فعلها لم یصحّ</w:t>
      </w:r>
      <w:r>
        <w:rPr>
          <w:rStyle w:val="FootnoteAnchor"/>
          <w:rtl w:val="true"/>
        </w:rPr>
        <w:footnoteReference w:id="168"/>
      </w:r>
      <w:r>
        <w:rPr>
          <w:rFonts w:ascii="IRNazanin" w:hAnsi="IRNazanin" w:eastAsia="IRNazanin"/>
          <w:color w:val="111111"/>
          <w:sz w:val="28"/>
          <w:sz w:val="28"/>
          <w:szCs w:val="28"/>
          <w:rtl w:val="true"/>
          <w:lang w:bidi="fa-IR"/>
        </w:rPr>
        <w:t>له العدول</w:t>
      </w:r>
      <w:r>
        <w:rPr>
          <w:rStyle w:val="FootnoteAnchor"/>
          <w:rtl w:val="true"/>
        </w:rPr>
        <w:footnoteReference w:id="169"/>
      </w:r>
      <w:r>
        <w:rPr>
          <w:rFonts w:ascii="IRNazanin" w:hAnsi="IRNazanin" w:eastAsia="IRNazanin"/>
          <w:color w:val="111111"/>
          <w:sz w:val="28"/>
          <w:sz w:val="28"/>
          <w:szCs w:val="28"/>
          <w:rtl w:val="true"/>
          <w:lang w:bidi="fa-IR"/>
        </w:rPr>
        <w:t>إلی العصر</w:t>
      </w:r>
      <w:r>
        <w:rPr>
          <w:rFonts w:eastAsia="IRNazanin" w:cs="IRNazanin"/>
          <w:color w:val="111111"/>
          <w:sz w:val="28"/>
          <w:szCs w:val="28"/>
          <w:rtl w:val="true"/>
          <w:lang w:bidi="fa-IR"/>
        </w:rPr>
        <w:t>.</w:t>
      </w:r>
    </w:p>
    <w:p>
      <w:pPr>
        <w:pStyle w:val="Heading3"/>
        <w:numPr>
          <w:ilvl w:val="2"/>
          <w:numId w:val="1"/>
        </w:numPr>
        <w:rPr/>
      </w:pPr>
      <w:bookmarkStart w:id="156" w:name="__RefHeading___Toc1840679_2322387425"/>
      <w:bookmarkStart w:id="157" w:name="_Toc57"/>
      <w:bookmarkEnd w:id="156"/>
      <w:r>
        <w:rPr>
          <w:rtl w:val="true"/>
        </w:rPr>
        <w:t>حکم العدول فی غیر موضع العدول خطأً</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 بزعم تحقّق موضع العدول فبان الخلاف بعد الفراغ أو فی الأثناء</w:t>
      </w:r>
      <w:r>
        <w:rPr>
          <w:rStyle w:val="FootnoteAnchor"/>
          <w:rtl w:val="true"/>
        </w:rPr>
        <w:footnoteReference w:id="170"/>
      </w:r>
      <w:r>
        <w:rPr>
          <w:rFonts w:ascii="IRNazanin" w:hAnsi="IRNazanin" w:eastAsia="IRNazanin"/>
          <w:color w:val="111111"/>
          <w:sz w:val="28"/>
          <w:sz w:val="28"/>
          <w:szCs w:val="28"/>
          <w:rtl w:val="true"/>
          <w:lang w:bidi="fa-IR"/>
        </w:rPr>
        <w:t>لا یبعد صحّتها</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تفصیل یظهر ممّا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الأوقات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النیّة الاُولی، کما إذا عدل بالعصر إلی الظهر ثمَّ بان أ نّه صلاّها</w:t>
      </w:r>
    </w:p>
    <w:p>
      <w:pPr>
        <w:pStyle w:val="BookText"/>
        <w:rPr/>
      </w:pPr>
      <w:r>
        <w:rPr>
          <w:rFonts w:ascii="Amiri" w:hAnsi="Amiri" w:eastAsia="Amiri" w:cs="Amiri"/>
          <w:color w:val="111111"/>
          <w:sz w:val="28"/>
          <w:sz w:val="28"/>
          <w:szCs w:val="28"/>
          <w:rtl w:val="true"/>
          <w:lang w:bidi="ar-SA"/>
        </w:rPr>
        <w:t>فإنّها تصحّ</w:t>
      </w:r>
      <w:r>
        <w:rPr>
          <w:rStyle w:val="FootnoteAnchor"/>
          <w:rtl w:val="true"/>
        </w:rPr>
        <w:footnoteReference w:id="172"/>
      </w:r>
      <w:r>
        <w:rPr>
          <w:rFonts w:ascii="Amiri" w:hAnsi="Amiri" w:eastAsia="Amiri" w:cs="Amiri"/>
          <w:color w:val="111111"/>
          <w:sz w:val="28"/>
          <w:sz w:val="28"/>
          <w:szCs w:val="28"/>
          <w:rtl w:val="true"/>
          <w:lang w:bidi="ar-SA"/>
        </w:rPr>
        <w:t>عصراً</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تصحّ، والأقوی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تصحّ عصراً والعدول إلی الظهر مفوِّت لنیّة العصر، ولا عمل إلاّ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عدل إلی العصر ثانیاً قبل ان یأتی بجزءٍ بعنوان الظهر فصلاته صحیحة، وکذلک إن أتی بغیر الأرکان وبعد العدول أعاد تلک الأجزاء بعنوان العصر، وإن اتی بالأرکان بعنوان الظهر فلایترک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یفعل عمداً أو سهواً مع عدم زیادة الرکن، وإلاّ یحکم ببطلان الصلاتین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 الروحانی، اللنکرانی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ما لم یلزم من العود إلی الثانیة محذور آخر من الزیادة المبطلة؛ حفظاً لعنوان المأمور به علی ما هو علیه،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یدّعی أنّ 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ما افتُتحت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وقوعها علی طبق قصدها أوّلاً، وإن عدل فی الأثناء ما لم یکن له محلّ، فیقع حینئذٍ للمعدول إلیه؛ للنصوص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فی دلالة الروایة المزبورة علی مثل هذا المعنی نظر؛ لإمکان حملها علی وجوب إتمامها علی طبق القصد الأوّل، لا علی وقوعها علیه قهراً، ومن المحتمل أیضاً کونه فی مقام التعبّد علی إتمام الصلاة علی طبق ما قصد، مع شکّه فی انقلاب تکلیفه عنه أو قصده، أم لا، والأوجه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 ولا أقلّ من احتماله، فلا یبقی مجال لإثبات مدّعاه بإطلاقه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لکن لا یبعد الصحّة لو التفت فی الأثناء مع عدم الإتیان بشیء من أجزاء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فی مثل ما تقدّم فی التعلیقة الآنفة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إذا تبیّن قبل الإتیان بشیءٍ بقصد الظهر فیتمّها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إن لم یکن من الخطأ فی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لزومها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الإعادة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نعم، لو بان فی الأثناء قبل أن یأتی بشیء من المعدول إلیه رجع إلی ما کان، و لا یعید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التفت إلی أنّه صلاّها قبل أن یأتی بشیء من أجزائها بعد العدول لا یبعد عدم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لفوات نیّة العصر بسبب العدول، والعمل العبادی لا یصحّ بلا 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إذا کان علی نحو الخطأ فی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المذکور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3278_326343"/>
    </w:p>
    <w:p>
      <w:pPr>
        <w:pStyle w:val="Heading3"/>
        <w:numPr>
          <w:ilvl w:val="2"/>
          <w:numId w:val="1"/>
        </w:numPr>
        <w:rPr/>
      </w:pPr>
      <w:bookmarkStart w:id="159" w:name="__RefHeading___Toc1840681_2322387425"/>
      <w:bookmarkStart w:id="160" w:name="_Toc58"/>
      <w:bookmarkEnd w:id="158"/>
      <w:bookmarkEnd w:id="159"/>
      <w:r>
        <w:rPr>
          <w:rtl w:val="true"/>
        </w:rPr>
        <w:t>عدم البأس بترامی العدول</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لا دلیل علی جواز العدول من الفائتة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بترامی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التأمّل فی جواز العدول من فائتة إلی سابقتها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لو عدل من حاضرة إلی سابقتها ثمّ ذکر أنّ علیه فائتة، وأمّا ترامی العدول فی الفوائت فمحلّ إشکال، بل منع؛ لِمَا تقدّم من عدم ثبوت جواز العدول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یعدل عن الحاضرة إلی السابقة، ومنها إلی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العدول فی المثال المذکور فی المتن فمحلّ تأمّل، کما علم ممّا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لو عدل فی الفوائت إلی سابقة فذکر سابقة علیها فإنّه یعدل منها إلیها، وهکذا</w:t>
      </w:r>
      <w:r>
        <w:rPr>
          <w:rFonts w:eastAsia="IRNazanin" w:cs="IRNazanin"/>
          <w:color w:val="111111"/>
          <w:sz w:val="28"/>
          <w:szCs w:val="28"/>
          <w:rtl w:val="true"/>
          <w:lang w:bidi="fa-IR"/>
        </w:rPr>
        <w:t>.</w:t>
      </w:r>
    </w:p>
    <w:p>
      <w:pPr>
        <w:pStyle w:val="Heading3"/>
        <w:numPr>
          <w:ilvl w:val="2"/>
          <w:numId w:val="1"/>
        </w:numPr>
        <w:rPr/>
      </w:pPr>
      <w:bookmarkStart w:id="161" w:name="__RefHeading___Toc1840683_2322387425"/>
      <w:bookmarkStart w:id="162" w:name="_Toc59"/>
      <w:bookmarkEnd w:id="161"/>
      <w:r>
        <w:rPr>
          <w:rtl w:val="true"/>
        </w:rPr>
        <w:t>العدول بعد الفراغ من الصلاة</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بعد الفراغ</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العدول بعد الفراغ رجاءً فی بعض النوافل، کما فی الموردین المتقدّمین فی التعلیق علی المسألة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فی الظهرین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أیضاً لا یجوز، والروایة الواردة فیهما قد أعرض عنها المشهور فلا یجوز العمل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العدول ثمّ الإتیان بأربعٍ بقصد ما فی الذمّة، والأحوط الإتیان بهما إذا صلاّها فی الوقت المختصّ بالظهر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یصحّ ذلک حتّی فی الظهرین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لإعراض الأصحاب عن الروایة الصحیحة، فلا بدّ من إتیان الصلاة بنیّة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للاستثناء، والصحیحة غیر معمول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أتی</w:t>
      </w:r>
    </w:p>
    <w:p>
      <w:pPr>
        <w:pStyle w:val="BookText"/>
        <w:rPr/>
      </w:pPr>
      <w:r>
        <w:rPr>
          <w:rFonts w:ascii="Amiri" w:hAnsi="Amiri" w:eastAsia="Amiri" w:cs="Amiri"/>
          <w:color w:val="111111"/>
          <w:sz w:val="28"/>
          <w:sz w:val="28"/>
          <w:szCs w:val="28"/>
          <w:rtl w:val="true"/>
          <w:lang w:bidi="ar-SA"/>
        </w:rPr>
        <w:t>بنیّة العصر</w:t>
      </w:r>
      <w:r>
        <w:rPr>
          <w:rStyle w:val="FootnoteAnchor"/>
          <w:rtl w:val="true"/>
        </w:rPr>
        <w:footnoteReference w:id="177"/>
      </w:r>
      <w:r>
        <w:rPr>
          <w:rFonts w:ascii="Amiri" w:hAnsi="Amiri" w:eastAsia="Amiri" w:cs="Amiri"/>
          <w:color w:val="111111"/>
          <w:sz w:val="28"/>
          <w:sz w:val="28"/>
          <w:szCs w:val="28"/>
          <w:rtl w:val="true"/>
          <w:lang w:bidi="ar-SA"/>
        </w:rPr>
        <w:t>بتخیّل أ نّه صلّی الظهر فبان أ نّه لم یصلّها، حیث إنّ مقتضی</w:t>
      </w:r>
      <w:r>
        <w:rPr>
          <w:rStyle w:val="FootnoteAnchor"/>
          <w:rtl w:val="true"/>
        </w:rPr>
        <w:footnoteReference w:id="178"/>
      </w:r>
      <w:r>
        <w:rPr>
          <w:rFonts w:ascii="Amiri" w:hAnsi="Amiri" w:eastAsia="Amiri" w:cs="Amiri"/>
          <w:color w:val="111111"/>
          <w:sz w:val="28"/>
          <w:sz w:val="28"/>
          <w:szCs w:val="28"/>
          <w:rtl w:val="true"/>
          <w:lang w:bidi="ar-SA"/>
        </w:rPr>
        <w:t>روایةٍ</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بها مشکل، مع مخالفتها للقواعد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شاذّة لا معوّل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ممّا أعرض عنها المشهور، والقول بمضمونها شاذّ لا یُعبأ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ینفعها الصحّة مع الإعراض والهجران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 یجعلها ظهراً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 أربع رکعات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العدول ثمّ الإتیان بأربعٍ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w:t>
      </w:r>
    </w:p>
    <w:p>
      <w:pPr>
        <w:pStyle w:val="BookText"/>
        <w:rPr/>
      </w:pPr>
      <w:r>
        <w:rPr>
          <w:rFonts w:ascii="Amiri" w:hAnsi="Amiri" w:eastAsia="Amiri" w:cs="Amiri"/>
          <w:color w:val="111111"/>
          <w:sz w:val="28"/>
          <w:sz w:val="28"/>
          <w:szCs w:val="28"/>
          <w:rtl w:val="true"/>
          <w:lang w:bidi="ar-SA"/>
        </w:rPr>
        <w:t>مرَّ</w:t>
      </w:r>
      <w:r>
        <w:rPr>
          <w:rStyle w:val="FootnoteAnchor"/>
          <w:rtl w:val="true"/>
        </w:rPr>
        <w:footnoteReference w:id="180"/>
      </w:r>
      <w:r>
        <w:rPr>
          <w:rFonts w:ascii="Amiri" w:hAnsi="Amiri" w:eastAsia="Amiri" w:cs="Amiri"/>
          <w:color w:val="111111"/>
          <w:sz w:val="28"/>
          <w:sz w:val="28"/>
          <w:szCs w:val="28"/>
          <w:rtl w:val="true"/>
          <w:lang w:bidi="ar-SA"/>
        </w:rPr>
        <w:t>سابقاً</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إعراض الأصحاب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الأحوط العدول، ثمّ الإتیان بأربعٍ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الاحتیاط فی المسألة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سابقاً صحّتها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الأحوط العدول، ثمّ الإتیان بأربع رکعات بقصد ما فی الذمّة من الظهر أو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الأقوی خلافه، والصحیحة شاذّة فلا عمل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الأصحّ عدم العمل بالصحیحة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أیضاً أنّه یقصد ما فی الذمّة فی ما یأتی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الصحیحة بلحاظ إعراض الأصحاب عنها لا شأن لها، ولکنّ الأحوط العدول ثمّ الإتیان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التذکّر بعد الفراغ فالأقرب صحّتها عصراً، سواء کان فی الوقت المختصّ، أم المشترک، وعلیه أن یصلّی الظهر، وإن نوی السابقة ظهراً وصلّی أربع رکعات بقصد ما فی الذمّة فهو 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أنّه لأجل عدم إفتاء المشهور بمضمونها، الاحتیاط بإتیان أربع رکعات بقصد ما فی الذمّة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منعه والإشکال فی صحّة ما استدلّ به علی هذا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3278_326346"/>
    </w:p>
    <w:p>
      <w:pPr>
        <w:pStyle w:val="Heading3"/>
        <w:numPr>
          <w:ilvl w:val="2"/>
          <w:numId w:val="1"/>
        </w:numPr>
        <w:rPr/>
      </w:pPr>
      <w:bookmarkStart w:id="164" w:name="__RefHeading___Toc1840685_2322387425"/>
      <w:bookmarkStart w:id="165" w:name="_Toc60"/>
      <w:bookmarkEnd w:id="163"/>
      <w:bookmarkEnd w:id="164"/>
      <w:r>
        <w:rPr>
          <w:rtl w:val="true"/>
        </w:rPr>
        <w:t>کفایة النیة فی تحقق العدول</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العدول مجرّد النیّة</w:t>
      </w:r>
      <w:r>
        <w:rPr>
          <w:rStyle w:val="FootnoteAnchor"/>
          <w:rtl w:val="true"/>
        </w:rPr>
        <w:footnoteReference w:id="182"/>
      </w:r>
      <w:r>
        <w:rPr>
          <w:rFonts w:ascii="IRNazanin" w:hAnsi="IRNazanin" w:eastAsia="IRNazanin"/>
          <w:color w:val="111111"/>
          <w:sz w:val="28"/>
          <w:sz w:val="28"/>
          <w:szCs w:val="28"/>
          <w:rtl w:val="true"/>
          <w:lang w:bidi="fa-IR"/>
        </w:rPr>
        <w:t>من غیر حاجة</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بقاء ما ذکر واستدامته ولو إجمالاً، والبقاء علی مبنی لزوم الإخطار واضح، وعلی کفایة الداعی أوضح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ذکر فی ابتداء النیّة</w:t>
      </w:r>
      <w:r>
        <w:rPr>
          <w:rFonts w:eastAsia="IRNazanin" w:cs="IRNazanin"/>
          <w:color w:val="111111"/>
          <w:sz w:val="28"/>
          <w:szCs w:val="28"/>
          <w:rtl w:val="true"/>
          <w:lang w:bidi="fa-IR"/>
        </w:rPr>
        <w:t>.</w:t>
      </w:r>
    </w:p>
    <w:p>
      <w:pPr>
        <w:pStyle w:val="Heading3"/>
        <w:numPr>
          <w:ilvl w:val="2"/>
          <w:numId w:val="1"/>
        </w:numPr>
        <w:rPr/>
      </w:pPr>
      <w:bookmarkStart w:id="166" w:name="__RefHeading___Toc1840687_2322387425"/>
      <w:bookmarkStart w:id="167" w:name="_Toc61"/>
      <w:bookmarkEnd w:id="166"/>
      <w:r>
        <w:rPr>
          <w:rtl w:val="true"/>
        </w:rPr>
        <w:t>بلوغ حد الترخص أثناء الصلاة</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فی السفر</w:t>
      </w:r>
      <w:r>
        <w:rPr>
          <w:rStyle w:val="FootnoteAnchor"/>
          <w:rtl w:val="true"/>
        </w:rPr>
        <w:footnoteReference w:id="184"/>
      </w:r>
      <w:r>
        <w:rPr>
          <w:rFonts w:ascii="IRNazanin" w:hAnsi="IRNazanin" w:eastAsia="IRNazanin"/>
          <w:color w:val="111111"/>
          <w:sz w:val="28"/>
          <w:sz w:val="28"/>
          <w:szCs w:val="28"/>
          <w:rtl w:val="true"/>
          <w:lang w:bidi="fa-IR"/>
        </w:rPr>
        <w:t>وکان فی السفینة أو الکاری مثلاً فشرع فی الصلاة بنیّة التمام</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لعدم علمه بوصوله إلی حدّ الترخّص قبل إتمام الصلاة، وزعمه عدم الوصول إلیه فی الأثناء، وإلاّ فکیف یتحقّق منه قصد التمام؟ وعلی فرض التمشّی فکیف یصحّ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الوصول إلی حدّ الترخّص فوصل فی الأثناء إلی حدّ الترخّص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یدخل فی رکوع الثالثة فالظاهر أ نّه یعدل إلی 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ذلک من العدول المصطلح المحتاج إلی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دخل فی رکوع الثالثة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وجوب القصر علیه متعیّناً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القطع، بل البطلان، والشروع فی القصر بناءً علی تغایر القصر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 الصلاة بالدخول فی الرکوع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الاحتیاط حسن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جواز القطع والإتیان بالصلاة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68" w:name="pg13278_326347"/>
    </w:p>
    <w:p>
      <w:pPr>
        <w:pStyle w:val="BookText"/>
        <w:rPr/>
      </w:pPr>
      <w:bookmarkEnd w:id="168"/>
      <w:r>
        <w:rPr>
          <w:rFonts w:ascii="IRNazanin" w:hAnsi="IRNazanin" w:eastAsia="IRNazanin"/>
          <w:color w:val="111111"/>
          <w:sz w:val="28"/>
          <w:sz w:val="28"/>
          <w:szCs w:val="28"/>
          <w:rtl w:val="true"/>
          <w:lang w:bidi="fa-IR"/>
        </w:rPr>
        <w:t>الإتمام</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یقطع الصلاة ویعیدها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 القطع والإعادة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الصلاة لایخلو من قوّة، فیجب علیه إتیان الصلاة قصراً، ولکن من جهة احتمال عدم شمول دلیل القصر علی هذا المورد لایُترک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ودخل فی الصلاة بنیّة القصر فوصل إلی حدّ الترخّص یعدل إلی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840689_2322387425"/>
      <w:bookmarkStart w:id="170" w:name="_Toc62"/>
      <w:bookmarkEnd w:id="169"/>
      <w:r>
        <w:rPr>
          <w:rtl w:val="true"/>
        </w:rPr>
        <w:t>إذا عین صلاة ثم تبین أن ما فی ذمته صلاة اخری</w:t>
      </w:r>
      <w:bookmarkEnd w:id="1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w:t>
      </w:r>
      <w:r>
        <w:rPr>
          <w:rStyle w:val="FootnoteAnchor"/>
          <w:rtl w:val="true"/>
        </w:rPr>
        <w:footnoteReference w:id="187"/>
      </w:r>
      <w:r>
        <w:rPr>
          <w:rFonts w:ascii="IRNazanin" w:hAnsi="IRNazanin" w:eastAsia="IRNazanin"/>
          <w:color w:val="111111"/>
          <w:sz w:val="28"/>
          <w:sz w:val="28"/>
          <w:szCs w:val="28"/>
          <w:rtl w:val="true"/>
          <w:lang w:bidi="fa-IR"/>
        </w:rPr>
        <w:t>فی الصلاة بقصد ما فی الذمّة فعلاً وتخیّل أنّها الظهر</w:t>
      </w:r>
      <w:r>
        <w:rPr>
          <w:rStyle w:val="FootnoteAnchor"/>
          <w:rtl w:val="true"/>
        </w:rPr>
        <w:footnoteReference w:id="188"/>
      </w:r>
      <w:r>
        <w:rPr>
          <w:rFonts w:ascii="Amiri" w:hAnsi="Amiri" w:eastAsia="Amiri" w:cs="Amiri"/>
          <w:color w:val="111111"/>
          <w:sz w:val="28"/>
          <w:sz w:val="28"/>
          <w:szCs w:val="28"/>
          <w:rtl w:val="true"/>
          <w:lang w:bidi="ar-SA"/>
        </w:rPr>
        <w:t>مثلاً، ثمَّ تبیّن أنّ ما فی ذمّته هی العصر أو بالعکس</w:t>
      </w:r>
      <w:r>
        <w:rPr>
          <w:rStyle w:val="FootnoteAnchor"/>
          <w:rtl w:val="true"/>
        </w:rPr>
        <w:footnoteReference w:id="189"/>
      </w:r>
      <w:r>
        <w:rPr>
          <w:rFonts w:ascii="IRNazanin" w:hAnsi="IRNazanin" w:eastAsia="IRNazanin"/>
          <w:color w:val="111111"/>
          <w:sz w:val="28"/>
          <w:sz w:val="28"/>
          <w:szCs w:val="28"/>
          <w:rtl w:val="true"/>
          <w:lang w:bidi="fa-IR"/>
        </w:rPr>
        <w:t>فالظاهر</w:t>
      </w:r>
      <w:r>
        <w:rPr>
          <w:rStyle w:val="FootnoteAnchor"/>
          <w:rtl w:val="true"/>
        </w:rPr>
        <w:footnoteReference w:id="190"/>
      </w:r>
      <w:bookmarkStart w:id="171" w:name="pg13278_326348"/>
    </w:p>
    <w:p>
      <w:pPr>
        <w:pStyle w:val="BookText"/>
        <w:rPr/>
      </w:pPr>
      <w:bookmarkEnd w:id="171"/>
      <w:r>
        <w:rPr>
          <w:rFonts w:ascii="Amiri" w:hAnsi="Amiri" w:eastAsia="Amiri" w:cs="Amiri"/>
          <w:color w:val="111111"/>
          <w:sz w:val="28"/>
          <w:sz w:val="28"/>
          <w:szCs w:val="28"/>
          <w:rtl w:val="true"/>
          <w:lang w:bidi="ar-SA"/>
        </w:rPr>
        <w:t>الصحّة</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مجرد التخیّل وخطور الظهر فی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 فی الصورتین، إلاّ إذا کان فی أثناء ما تخیّله عصراً فتبیّن أنّ ما فی ذمّته الظهر فیعدل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عدمها إذا اعتقد جزماً أنّ ما فی ذمّته صلاةً معیّنةً کصلاة الظهر مثلاً وأتی بها بهذا العنوان، ثمّ تبیّن أ نّه کان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اعتقد جزماً أنّها صلاة معیّنة کالظهر وقصد عنوانها، فإنّها حینئذٍ لا تصحّ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اعتقد جزماً بأنّ ما فی ذمّته صلاةً معیّنةً کصلاة الظهر وأتی بهذا العنوان، أم تخیّل أنّه خطأ فی التطبیق، فما عن بعضهم البطلان فی الفرض الأول من جهة کونه عدولاً من السابقة إلی اللاحقة لیس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الاشتباه إنّما هو فی التطبیق</w:t>
      </w:r>
      <w:r>
        <w:rPr>
          <w:rFonts w:eastAsia="IRNazanin" w:cs="IRNazanin"/>
          <w:color w:val="111111"/>
          <w:sz w:val="28"/>
          <w:szCs w:val="28"/>
          <w:rtl w:val="true"/>
          <w:lang w:bidi="fa-IR"/>
        </w:rPr>
        <w:t>.</w:t>
      </w:r>
    </w:p>
    <w:p>
      <w:pPr>
        <w:pStyle w:val="Heading3"/>
        <w:numPr>
          <w:ilvl w:val="2"/>
          <w:numId w:val="1"/>
        </w:numPr>
        <w:rPr/>
      </w:pPr>
      <w:bookmarkStart w:id="172" w:name="__RefHeading___Toc1840691_2322387425"/>
      <w:bookmarkStart w:id="173" w:name="_Toc63"/>
      <w:bookmarkEnd w:id="172"/>
      <w:r>
        <w:rPr>
          <w:rtl w:val="true"/>
        </w:rPr>
        <w:t>الخطأ فی قصد عنوان الرکعات فی النوافل</w:t>
      </w:r>
      <w:bookmarkEnd w:id="1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تخیّل أ نّه أتی برکعتین من نافلة اللیل مثلاً فقصد الرکعتین الثانیتین أو نحو ذلک فبان أ نّه لم یصلّ الاُولتین صحّت وحسبت له الاُولتان، وکذا فی نوافل الظهرین، وکذا إذا تبیّن بطلان الاُولتین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من باب العدول، بل من جهة أ نّه لا یعتبر قصد کونهما</w:t>
      </w:r>
      <w:r>
        <w:rPr>
          <w:rStyle w:val="FootnoteAnchor"/>
          <w:rtl w:val="true"/>
        </w:rPr>
        <w:footnoteReference w:id="192"/>
      </w:r>
      <w:r>
        <w:rPr>
          <w:rFonts w:ascii="IRNazanin" w:hAnsi="IRNazanin" w:eastAsia="IRNazanin"/>
          <w:color w:val="111111"/>
          <w:sz w:val="28"/>
          <w:sz w:val="28"/>
          <w:szCs w:val="28"/>
          <w:rtl w:val="true"/>
          <w:lang w:bidi="fa-IR"/>
        </w:rPr>
        <w:t>اُولتین أو ثانیتین فتُحسب علی ما هو الواقع، نظیر رکعات الصلاة</w:t>
      </w:r>
      <w:r>
        <w:rPr>
          <w:rStyle w:val="FootnoteAnchor"/>
          <w:rtl w:val="true"/>
        </w:rPr>
        <w:footnoteReference w:id="193"/>
      </w:r>
      <w:r>
        <w:rPr>
          <w:rFonts w:ascii="IRNazanin" w:hAnsi="IRNazanin" w:eastAsia="IRNazanin"/>
          <w:color w:val="111111"/>
          <w:sz w:val="28"/>
          <w:sz w:val="28"/>
          <w:szCs w:val="28"/>
          <w:rtl w:val="true"/>
          <w:lang w:bidi="fa-IR"/>
        </w:rPr>
        <w:t>حیث إنّه لو تخیّل أنّ ما بیده من الرکعة ثانیة مثلاً فبان أ نّها الاُولی أو العکس أو نحو ذلک لا یضرّ، ویحسب علی ما هو الواقع</w:t>
      </w:r>
      <w:r>
        <w:rPr>
          <w:rFonts w:eastAsia="IRNazanin" w:cs="IRNazanin"/>
          <w:color w:val="111111"/>
          <w:sz w:val="28"/>
          <w:szCs w:val="28"/>
          <w:rtl w:val="true"/>
          <w:lang w:bidi="fa-IR"/>
        </w:rPr>
        <w:t>.</w:t>
      </w:r>
      <w:bookmarkStart w:id="174" w:name="pg13278_326349"/>
    </w:p>
    <w:p>
      <w:pPr>
        <w:pStyle w:val="Heading2"/>
        <w:numPr>
          <w:ilvl w:val="1"/>
          <w:numId w:val="1"/>
        </w:numPr>
        <w:rPr/>
      </w:pPr>
      <w:bookmarkStart w:id="175" w:name="__RefHeading___Toc1840693_2322387425"/>
      <w:bookmarkStart w:id="176" w:name="_Toc64"/>
      <w:bookmarkEnd w:id="174"/>
      <w:bookmarkEnd w:id="175"/>
      <w:r>
        <w:rPr>
          <w:rtl w:val="true"/>
        </w:rPr>
        <w:t>فصل فی تکبیرة الإحرام</w:t>
      </w:r>
      <w:bookmarkEnd w:id="176"/>
    </w:p>
    <w:p>
      <w:pPr>
        <w:pStyle w:val="Heading3"/>
        <w:numPr>
          <w:ilvl w:val="2"/>
          <w:numId w:val="1"/>
        </w:numPr>
        <w:rPr/>
      </w:pPr>
      <w:bookmarkStart w:id="177" w:name="__RefHeading___Toc1840695_2322387425"/>
      <w:bookmarkStart w:id="178" w:name="_Toc65"/>
      <w:bookmarkEnd w:id="177"/>
      <w:r>
        <w:rPr>
          <w:rtl w:val="true"/>
        </w:rPr>
        <w:t>رکنیة التکبیر</w:t>
      </w:r>
      <w:bookmarkEnd w:id="178"/>
    </w:p>
    <w:p>
      <w:pPr>
        <w:pStyle w:val="BookText"/>
        <w:rPr/>
      </w:pP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تکبیرة الافتتاح أیضاً، وهی أوّل الأجزاء</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کونها جزءاً من الصلاة، لا شرطاً لها ولا واجباً مستقلاًّ مقارناً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الواجبة للصلاة بناءً علی کون النیّة شرطاً، وبها یحرم علی المصلّی المنافیات، وما لم یتمّها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قطعها،</w:t>
      </w:r>
    </w:p>
    <w:p>
      <w:pPr>
        <w:pStyle w:val="Heading3"/>
        <w:numPr>
          <w:ilvl w:val="2"/>
          <w:numId w:val="1"/>
        </w:numPr>
        <w:rPr/>
      </w:pPr>
      <w:bookmarkStart w:id="179" w:name="__RefHeading___Toc1840697_2322387425"/>
      <w:bookmarkStart w:id="180" w:name="_Toc66"/>
      <w:bookmarkEnd w:id="179"/>
      <w:r>
        <w:rPr>
          <w:rtl w:val="true"/>
        </w:rPr>
        <w:t>حکم ترک التکبیرة و زیادتها أو نقصانها</w:t>
      </w:r>
      <w:bookmarkEnd w:id="180"/>
    </w:p>
    <w:p>
      <w:pPr>
        <w:pStyle w:val="BookText"/>
        <w:rPr/>
      </w:pPr>
      <w:r>
        <w:rPr>
          <w:rFonts w:ascii="Amiri" w:hAnsi="Amiri" w:eastAsia="Amiri" w:cs="Amiri"/>
          <w:color w:val="111111"/>
          <w:sz w:val="28"/>
          <w:sz w:val="28"/>
          <w:szCs w:val="28"/>
          <w:rtl w:val="true"/>
          <w:lang w:bidi="ar-SA"/>
        </w:rPr>
        <w:t>وترکها عمداً وسهواً</w:t>
      </w:r>
      <w:r>
        <w:rPr>
          <w:rStyle w:val="FootnoteAnchor"/>
          <w:rtl w:val="true"/>
        </w:rPr>
        <w:footnoteReference w:id="196"/>
      </w:r>
      <w:r>
        <w:rPr>
          <w:rFonts w:ascii="IRNazanin" w:hAnsi="IRNazanin" w:eastAsia="IRNazanin"/>
          <w:color w:val="111111"/>
          <w:sz w:val="28"/>
          <w:sz w:val="28"/>
          <w:szCs w:val="28"/>
          <w:rtl w:val="true"/>
          <w:lang w:bidi="fa-IR"/>
        </w:rPr>
        <w:t>مبطل، کما أنّ زیادتها</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الزیادة السهویة إشکال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الکلام فیها فی فصل واجبات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198"/>
      </w:r>
      <w:r>
        <w:rPr>
          <w:rFonts w:ascii="IRNazanin" w:hAnsi="IRNazanin" w:eastAsia="IRNazanin"/>
          <w:color w:val="111111"/>
          <w:sz w:val="28"/>
          <w:sz w:val="28"/>
          <w:szCs w:val="28"/>
          <w:rtl w:val="true"/>
          <w:lang w:bidi="fa-IR"/>
        </w:rPr>
        <w:t>کذلک</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اشتهر بین الأصحاب، وإلاّ فعدم البطلان بزیادتها سهواً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زیادتها سهواً موجبة للبطلان إشکال، الأقرب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زیادتها السهویة غیر مبطلة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 زیادتها سهواً لا توجب البطلان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زیادتها سهواً لا توجب البطلان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زیادتها سهواً لا توجب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البطلان بزیادتها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کبّر بقصد الافتتاح وأتی بها علی الوجه الصحیح ثمَّ کبّر بهذا القصد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ثانیاً بطلت، واحتاج إلی ثالثة، فإن أبطلها بزیادة رابعة احتاج إلی خامسة، وهکذا تبطل بالشفع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أراد الجزم بالبطلان أتی بمبطل آخر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زادها عمداً، وإلاّ صحّت فی وجهٍ 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عند الفقهاء، وفیه نظر، فإنّ التکبیر ذکر غیر مبطل، وقصد الافتتاح لا یصیّرها افتتاحاً؛ لأنّه تحصیل حاصل، فعدم البطلان غیر بعید، سیّما فی صورة السهو أو قصد الإعادة؛ لاحتمال فساد الاُولی، فلا یجوز له الإتیان بالمنافیات بعد الثانیة بناءً علی حرمة القطع اختیاراً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bookmarkStart w:id="181" w:name="pg13278_326351"/>
    </w:p>
    <w:p>
      <w:pPr>
        <w:pStyle w:val="Heading3"/>
        <w:numPr>
          <w:ilvl w:val="2"/>
          <w:numId w:val="1"/>
        </w:numPr>
        <w:rPr/>
      </w:pPr>
      <w:bookmarkStart w:id="182" w:name="__RefHeading___Toc1840699_2322387425"/>
      <w:bookmarkStart w:id="183" w:name="_Toc67"/>
      <w:bookmarkEnd w:id="181"/>
      <w:bookmarkEnd w:id="182"/>
      <w:r>
        <w:rPr>
          <w:rtl w:val="true"/>
        </w:rPr>
        <w:t>الإتیان بتکبیرة أثناء الصلاة لصلاة اخری نسیاناً</w:t>
      </w:r>
      <w:bookmarkEnd w:id="183"/>
    </w:p>
    <w:p>
      <w:pPr>
        <w:pStyle w:val="BookText"/>
        <w:rPr/>
      </w:pPr>
      <w:r>
        <w:rPr>
          <w:rFonts w:ascii="Amiri" w:hAnsi="Amiri" w:eastAsia="Amiri" w:cs="Amiri"/>
          <w:color w:val="111111"/>
          <w:sz w:val="28"/>
          <w:sz w:val="28"/>
          <w:szCs w:val="28"/>
          <w:rtl w:val="true"/>
          <w:lang w:bidi="ar-SA"/>
        </w:rPr>
        <w:t>وتصحّ بالوَتر</w:t>
      </w:r>
      <w:r>
        <w:rPr>
          <w:rStyle w:val="FootnoteAnchor"/>
          <w:rtl w:val="true"/>
        </w:rPr>
        <w:footnoteReference w:id="200"/>
      </w:r>
      <w:r>
        <w:rPr>
          <w:rFonts w:ascii="IRNazanin" w:hAnsi="IRNazanin" w:eastAsia="IRNazanin"/>
          <w:color w:val="111111"/>
          <w:sz w:val="28"/>
          <w:sz w:val="28"/>
          <w:szCs w:val="28"/>
          <w:rtl w:val="true"/>
          <w:lang w:bidi="fa-IR"/>
        </w:rPr>
        <w:t>، ولو کان فی أثناء صلاةٍ فنسی وکبّر لصلاةٍ اُخری فالأحوط</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الاُولی وکفایتها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لزوم الإتمام وعدم لزوم الإعادة، کما هو المفروض، خصوصاً فی مثل هذه الزیادة لأجل صلاة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حسن، ولکن لا تجب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الاقتصار علی الإتمام وعدم لزوم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صحّتها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والأحوط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أنّه یجب إتمام الاُولی، ولا یحتاج إلی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ذلک، ولاحاجة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صحّة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صحّة الاُولی، فیتمّمها بلا حاجة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الاُولی لاتخلو من قوّة، وإن کان الأحوط 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الأقوی صحّة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الاحتیاط استحبابیّ، والبناء علی صحّة الاُولی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184" w:name="pg13278_326352"/>
    </w:p>
    <w:p>
      <w:pPr>
        <w:pStyle w:val="Heading3"/>
        <w:numPr>
          <w:ilvl w:val="2"/>
          <w:numId w:val="1"/>
        </w:numPr>
        <w:rPr/>
      </w:pPr>
      <w:bookmarkStart w:id="185" w:name="__RefHeading___Toc1840701_2322387425"/>
      <w:bookmarkStart w:id="186" w:name="_Toc68"/>
      <w:bookmarkEnd w:id="184"/>
      <w:bookmarkEnd w:id="185"/>
      <w:r>
        <w:rPr>
          <w:rtl w:val="true"/>
        </w:rPr>
        <w:t>لزوم الإتیان بتکبیرة الإحرام مجردة بلا وصل</w:t>
      </w:r>
      <w:bookmarkEnd w:id="186"/>
    </w:p>
    <w:p>
      <w:pPr>
        <w:pStyle w:val="BookText"/>
        <w:rPr/>
      </w:pPr>
      <w:r>
        <w:rPr>
          <w:rFonts w:ascii="IRNazanin" w:hAnsi="IRNazanin" w:eastAsia="IRNazanin"/>
          <w:color w:val="111111"/>
          <w:sz w:val="28"/>
          <w:sz w:val="28"/>
          <w:szCs w:val="28"/>
          <w:rtl w:val="true"/>
          <w:lang w:bidi="fa-IR"/>
        </w:rPr>
        <w:t>وإعادتها</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صحّة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الإتمام من غیر إعادة فی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الإعادة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کفایة الإتمام بلا حاجة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الاکتفاء بإتمام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کان الأقوی عدم لزوم الاعادة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یبعد صحّة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تغییر ولا تبدیل، ولا یجزی مرادفها، ولا ترجمتها بالعجمیّة أو غیرها،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بالنسبة إلی الراء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مرعشی، 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فیه مورد للوصل أصلاً؛ لعدم جوازه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بها مجرّدة غیر موصولة بما قبلها ولا بما بعدها، وتلقّاها المتشرّعة بل المسلمون یداً 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عدم وصلها بما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وکذا لا یُترک الاحتیاط بعدم وصلها بما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وصلها بشیء قبلها أو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الدعاء أو لفظ النیّة،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والأحوط أن یأتی بها مجرّدة غیر موصولة علی النحو المألوف بین المتشرّعة، المتلقّی یداً عن 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الجواز مع حذف الألف من لفظ الجلالة، نعم، مع إثباتها لا یبعد الجواز، وإن کان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إشکال، فالاحتیاط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ویحذف الهمزة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الأقوی جواز وصلها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بعدها من الاستعاذة أو البسملة أو غیرهما، ویجب 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جواز الوصل بالسّکون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إعراب راء</w:t>
      </w:r>
      <w:bookmarkStart w:id="187" w:name="pg13278_326354"/>
    </w:p>
    <w:p>
      <w:pPr>
        <w:pStyle w:val="BookText"/>
        <w:rPr/>
      </w:pPr>
      <w:bookmarkEnd w:id="187"/>
      <w:r>
        <w:rPr>
          <w:rFonts w:ascii="IRNazanin" w:hAnsi="IRNazanin" w:eastAsia="IRNazanin"/>
          <w:color w:val="111111"/>
          <w:sz w:val="28"/>
          <w:sz w:val="28"/>
          <w:szCs w:val="28"/>
          <w:rtl w:val="true"/>
          <w:lang w:bidi="fa-IR"/>
        </w:rPr>
        <w:t>أکبر</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حذراً عن الوصل بالسکون، ولکن لا یبعد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الاحتیاط مؤکّد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قوّة؛ لعدم تمامیّة دلیل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 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حروفها من مخارجها والموالاة بینها وبین الکلمتین</w:t>
      </w:r>
      <w:r>
        <w:rPr>
          <w:rFonts w:eastAsia="IRNazanin" w:cs="IRNazanin"/>
          <w:color w:val="111111"/>
          <w:sz w:val="28"/>
          <w:szCs w:val="28"/>
          <w:rtl w:val="true"/>
          <w:lang w:bidi="fa-IR"/>
        </w:rPr>
        <w:t>.</w:t>
      </w:r>
    </w:p>
    <w:p>
      <w:pPr>
        <w:pStyle w:val="Heading3"/>
        <w:numPr>
          <w:ilvl w:val="2"/>
          <w:numId w:val="1"/>
        </w:numPr>
        <w:rPr/>
      </w:pPr>
      <w:bookmarkStart w:id="188" w:name="__RefHeading___Toc1840703_2322387425"/>
      <w:bookmarkStart w:id="189" w:name="_Toc69"/>
      <w:bookmarkEnd w:id="188"/>
      <w:r>
        <w:rPr>
          <w:rtl w:val="true"/>
        </w:rPr>
        <w:t>التکبیر بغیر الکیفیة المعهودة</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Style w:val="FootnoteAnchor"/>
          <w:rtl w:val="true"/>
        </w:rPr>
        <w:footnoteReference w:id="205"/>
      </w:r>
      <w:r>
        <w:rPr>
          <w:rFonts w:ascii="IRNazanin" w:hAnsi="IRNazanin" w:eastAsia="IRNazanin"/>
          <w:color w:val="111111"/>
          <w:sz w:val="28"/>
          <w:sz w:val="28"/>
          <w:szCs w:val="28"/>
          <w:rtl w:val="true"/>
          <w:lang w:bidi="fa-IR"/>
        </w:rPr>
        <w:t>،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من أ ن یوصف</w:t>
      </w:r>
      <w:r>
        <w:rPr>
          <w:rStyle w:val="FootnoteAnchor"/>
          <w:rtl w:val="true"/>
        </w:rPr>
        <w:footnoteReference w:id="206"/>
      </w:r>
      <w:r>
        <w:rPr>
          <w:rFonts w:ascii="IRNazanin" w:hAnsi="IRNazanin" w:eastAsia="IRNazanin"/>
          <w:color w:val="111111"/>
          <w:sz w:val="28"/>
          <w:sz w:val="28"/>
          <w:szCs w:val="28"/>
          <w:rtl w:val="true"/>
          <w:lang w:bidi="fa-IR"/>
        </w:rPr>
        <w:t>، أو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المیلانی، أحمد الخونساری، عبداللّه الشیرازی، المرعشی،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وجوب استئناف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الإتمام</w:t>
      </w:r>
      <w:r>
        <w:rPr>
          <w:rStyle w:val="FootnoteAnchor"/>
          <w:rtl w:val="true"/>
        </w:rPr>
        <w:footnoteReference w:id="208"/>
      </w:r>
      <w:r>
        <w:rPr>
          <w:rFonts w:ascii="Amiri" w:hAnsi="Amiri" w:eastAsia="Amiri" w:cs="Amiri"/>
          <w:color w:val="111111"/>
          <w:sz w:val="28"/>
          <w:sz w:val="28"/>
          <w:szCs w:val="28"/>
          <w:rtl w:val="true"/>
          <w:lang w:bidi="ar-SA"/>
        </w:rPr>
        <w:t>والإعادة</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 الصلاة؛ لکونه کلامَ آدمیٍّ لم یعتبر جزئیّته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بل عدم الصحّة لا یخلو من قوّة؛ لأنّه علی خلاف السیرة القطعیّة، بل خلاف النصوص الواردة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إشکال؛ فإنّه غیر معهود عند المتشرّعة،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ونظر، والاحتیاط بالإعادة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بقصد التشریع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بإشباع فتحة الباء حتّی تولّد الألف بطل</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قصد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والموحّدة، أم قصد الإفراد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 نّه لو شدّد راء أکبر بطل أیضاً</w:t>
      </w:r>
      <w:r>
        <w:rPr>
          <w:rFonts w:eastAsia="IRNazanin" w:cs="IRNazanin"/>
          <w:color w:val="111111"/>
          <w:sz w:val="28"/>
          <w:szCs w:val="28"/>
          <w:rtl w:val="true"/>
          <w:lang w:bidi="fa-IR"/>
        </w:rPr>
        <w:t>.</w:t>
      </w:r>
      <w:bookmarkStart w:id="190" w:name="pg13278_326356"/>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تفخیم اللام</w:t>
      </w:r>
      <w:r>
        <w:rPr>
          <w:rStyle w:val="FootnoteAnchor"/>
          <w:rtl w:val="true"/>
        </w:rPr>
        <w:footnoteReference w:id="211"/>
      </w:r>
      <w:r>
        <w:rPr>
          <w:rFonts w:ascii="IRNazanin" w:hAnsi="IRNazanin" w:eastAsia="IRNazanin"/>
          <w:color w:val="111111"/>
          <w:sz w:val="28"/>
          <w:sz w:val="28"/>
          <w:szCs w:val="28"/>
          <w:rtl w:val="true"/>
          <w:lang w:bidi="fa-IR"/>
        </w:rPr>
        <w:t>من اللّه، والراء</w:t>
      </w:r>
      <w:r>
        <w:rPr>
          <w:rStyle w:val="FootnoteAnchor"/>
          <w:rtl w:val="true"/>
        </w:rPr>
        <w:footnoteReference w:id="212"/>
      </w:r>
      <w:r>
        <w:rPr>
          <w:rFonts w:ascii="IRNazanin" w:hAnsi="IRNazanin" w:eastAsia="IRNazanin"/>
          <w:color w:val="111111"/>
          <w:sz w:val="28"/>
          <w:sz w:val="28"/>
          <w:szCs w:val="28"/>
          <w:rtl w:val="true"/>
          <w:lang w:bidi="fa-IR"/>
        </w:rPr>
        <w:t>من أکبر، ولکنّ الأقوی الصحّة</w:t>
      </w:r>
      <w:r>
        <w:rPr>
          <w:rStyle w:val="FootnoteAnchor"/>
          <w:rtl w:val="true"/>
        </w:rPr>
        <w:footnoteReference w:id="213"/>
      </w:r>
      <w:r>
        <w:rPr>
          <w:rFonts w:ascii="IRNazanin" w:hAnsi="IRNazanin" w:eastAsia="IRNazanin"/>
          <w:color w:val="111111"/>
          <w:sz w:val="28"/>
          <w:sz w:val="28"/>
          <w:szCs w:val="28"/>
          <w:rtl w:val="true"/>
          <w:lang w:bidi="fa-IR"/>
        </w:rPr>
        <w:t>مع ترکه أیضاً</w:t>
      </w:r>
      <w:r>
        <w:rPr>
          <w:rFonts w:eastAsia="IRNazanin" w:cs="IRNazanin"/>
          <w:color w:val="111111"/>
          <w:sz w:val="28"/>
          <w:szCs w:val="28"/>
          <w:rtl w:val="true"/>
          <w:lang w:bidi="fa-IR"/>
        </w:rPr>
        <w:t>.</w:t>
      </w:r>
    </w:p>
    <w:p>
      <w:pPr>
        <w:pStyle w:val="Heading3"/>
        <w:numPr>
          <w:ilvl w:val="2"/>
          <w:numId w:val="1"/>
        </w:numPr>
        <w:rPr/>
      </w:pPr>
      <w:bookmarkStart w:id="191" w:name="__RefHeading___Toc1840705_2322387425"/>
      <w:bookmarkStart w:id="192" w:name="_Toc70"/>
      <w:bookmarkEnd w:id="191"/>
      <w:r>
        <w:rPr>
          <w:rtl w:val="true"/>
        </w:rPr>
        <w:t>اعتبار القیام و الاستقرار فی تکبیرة الإحرام</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فیها القیام والاستقرار</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ترک الاستقرار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بلزوم الاستقرار فی أجزاء الصلاة مشکل، فاشتراطه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بالاستقرار فی مقابل المشی فی صلاة الفریضة ـ علی ما مرّ منه قدس‌سره فی مکان المصلّی ـ صحّة الصلاة فی مثل الطائرة والسفینة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صلاة الفریضة، وکذا یجب فیها الاستقلال 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ترک أحدهما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فی ترک الاستقرار سهواً یبتنی علی الاحتیاط، والأقوی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ترک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ترک الاستقرار سهواً، والأحوط الإتمام ثمّ الإعادة، وإن کان 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ترک الاستقرار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ترک الاستقرار سهواً الإتیان بالمنافی ثمّ استئناف التکبیر، وأحوط منه 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بطلان الصلاة بترک مطلق الاستقرار سهواً نظر؛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أفعال الصلاة، ح</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بلغ إلی حدّ المشی أمکن المصیر إلی بطلان الصلاة؛ لانصراف ما هو رکن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بترک الاستقرار سهواً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بترک الاستقرار سهواً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الحکیم،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ترک الاستقرار سهواً الأحوط الإتمام ثمّ الإعادة، وإن کان الأرجح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ترک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فی القیام دون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خصوص القیام، وأمّا الاستقرار فترکه سهواً لا 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یضرّ ترک الاستقرار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بترک الاستقرار سهواً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ترک الاستقرار، فلو ترکه سهواً فالأحوط الإتیان بالمنافی ثمّ التکبیر، وأحوط منه 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البطلان بترک الاستقرار سهواً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 الصلاة بترک الاستقرار سهواً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ترک الاستقرار سهواً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 أنها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وسیأتی منه الفتوی بالصحّة فی المسألة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البطلان بترک الاستقرار فی تکبیرة الإحرام سهواً، إلاّ إذا رجع إلی ترک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بطلان الصلاة بترک الاستقرار سهواً هو الأظهر، إلاّ أنّ الاحتیاط بالإعادة سیّما فی ترک الاستقرار بمعنی الوقوف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بطلانها بترک الاستقرار سهواً تأمّل، نعم، هو الأحوط، ومقتضی الاحتیاط 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البطلان بترک الاستقرار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3278_326358"/>
      <w:bookmarkStart w:id="194" w:name="pg13278_326358"/>
      <w:bookmarkEnd w:id="194"/>
    </w:p>
    <w:p>
      <w:pPr>
        <w:pStyle w:val="Heading3"/>
        <w:numPr>
          <w:ilvl w:val="2"/>
          <w:numId w:val="1"/>
        </w:numPr>
        <w:rPr/>
      </w:pPr>
      <w:bookmarkStart w:id="195" w:name="pg13278_326358"/>
      <w:bookmarkStart w:id="196" w:name="__RefHeading___Toc1840707_2322387425"/>
      <w:bookmarkStart w:id="197" w:name="_Toc71"/>
      <w:bookmarkEnd w:id="195"/>
      <w:bookmarkEnd w:id="196"/>
      <w:r>
        <w:rPr>
          <w:rtl w:val="true"/>
        </w:rPr>
        <w:t>أنی ما یتحقق به التلفظ</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w:t>
      </w:r>
      <w:r>
        <w:rPr>
          <w:rStyle w:val="FootnoteAnchor"/>
          <w:rtl w:val="true"/>
        </w:rPr>
        <w:footnoteReference w:id="215"/>
      </w:r>
      <w:r>
        <w:rPr>
          <w:rFonts w:ascii="IRNazanin" w:hAnsi="IRNazanin" w:eastAsia="IRNazanin"/>
          <w:color w:val="111111"/>
          <w:sz w:val="28"/>
          <w:sz w:val="28"/>
          <w:szCs w:val="28"/>
          <w:rtl w:val="true"/>
          <w:lang w:bidi="fa-IR"/>
        </w:rPr>
        <w:t>فی صدق التلفّظ بها بل وبغیرها من الأذکار والأدعیة والقرآن أن یکون بحیث یُسمِع نفسه تحقیقاً</w:t>
      </w:r>
      <w:r>
        <w:rPr>
          <w:rStyle w:val="FootnoteAnchor"/>
          <w:rtl w:val="true"/>
        </w:rPr>
        <w:footnoteReference w:id="216"/>
      </w:r>
      <w:r>
        <w:rPr>
          <w:rFonts w:ascii="IRNazanin" w:hAnsi="IRNazanin" w:eastAsia="IRNazanin"/>
          <w:color w:val="111111"/>
          <w:sz w:val="28"/>
          <w:sz w:val="28"/>
          <w:szCs w:val="28"/>
          <w:rtl w:val="true"/>
          <w:lang w:bidi="fa-IR"/>
        </w:rPr>
        <w:t>أو تقدیراً، فلو تکلّم بدون ذلک</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من مجرّد حرکته اللسان أو الشَفَة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یصدق علیه التلفّظ والتکلّم به، وإلاّ فالأقوی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یصدق علیه التکلّم بأن کان من مجرّد تحریک اللسان والشَفَة، وإلاّ فالصحّة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فمجرّد الإخطار القلبی وتحریک لسانه وشَفَتیه من دون تحقّق السماع لا یکفی؛ لعدم صدق التکلّم علیه، سواء سمع جوهر صوته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مع صدق التکلّم علیه عرفاً، وهو الصوت المعتمد علی مخارج الفم الملازم لسماع المتکلّم همهمته ولو تقدیراً، نعم، یستحبّ أن یُسمِع نفسه ما یتکلّم به تحقیقاً ولو برفع موانعه، فلا یصلّی فی مهبّ الریح الشدید، أو فی الضوضاء ونحوهما، ولا یختصّ الحکم المذکور بالصلاة، بل یعمّ مطلق الذکر والدعاء والقرآن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3278_326359"/>
    </w:p>
    <w:p>
      <w:pPr>
        <w:pStyle w:val="Heading3"/>
        <w:numPr>
          <w:ilvl w:val="2"/>
          <w:numId w:val="1"/>
        </w:numPr>
        <w:rPr/>
      </w:pPr>
      <w:bookmarkStart w:id="199" w:name="__RefHeading___Toc1840709_2322387425"/>
      <w:bookmarkStart w:id="200" w:name="_Toc72"/>
      <w:bookmarkEnd w:id="198"/>
      <w:bookmarkEnd w:id="199"/>
      <w:r>
        <w:rPr>
          <w:rtl w:val="true"/>
        </w:rPr>
        <w:t>وجوب تعلم التکبیرة</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یعرفها یجب علیه أن یتعلّم، ولا یجوز له الدخول</w:t>
      </w:r>
      <w:r>
        <w:rPr>
          <w:rStyle w:val="FootnoteAnchor"/>
          <w:rtl w:val="true"/>
        </w:rPr>
        <w:footnoteReference w:id="218"/>
      </w:r>
      <w:r>
        <w:rPr>
          <w:rFonts w:ascii="IRNazanin" w:hAnsi="IRNazanin" w:eastAsia="IRNazanin"/>
          <w:color w:val="111111"/>
          <w:sz w:val="28"/>
          <w:sz w:val="28"/>
          <w:szCs w:val="28"/>
          <w:rtl w:val="true"/>
          <w:lang w:bidi="fa-IR"/>
        </w:rPr>
        <w:t>فی الصلاة قبل التعلّم</w:t>
      </w:r>
      <w:r>
        <w:rPr>
          <w:rStyle w:val="FootnoteAnchor"/>
          <w:rtl w:val="true"/>
        </w:rPr>
        <w:footnoteReference w:id="219"/>
      </w:r>
      <w:r>
        <w:rPr>
          <w:rFonts w:ascii="IRNazanin" w:hAnsi="IRNazanin" w:eastAsia="IRNazanin"/>
          <w:color w:val="111111"/>
          <w:sz w:val="28"/>
          <w:sz w:val="28"/>
          <w:szCs w:val="28"/>
          <w:rtl w:val="true"/>
          <w:lang w:bidi="fa-IR"/>
        </w:rPr>
        <w:t>إلاّ إذا ضاق الوقت</w:t>
      </w:r>
      <w:r>
        <w:rPr>
          <w:rStyle w:val="FootnoteAnchor"/>
          <w:rtl w:val="true"/>
        </w:rPr>
        <w:footnoteReference w:id="220"/>
      </w:r>
      <w:r>
        <w:rPr>
          <w:rFonts w:ascii="IRNazanin" w:hAnsi="IRNazanin" w:eastAsia="IRNazanin"/>
          <w:color w:val="111111"/>
          <w:sz w:val="28"/>
          <w:sz w:val="28"/>
          <w:szCs w:val="28"/>
          <w:rtl w:val="true"/>
          <w:lang w:bidi="fa-IR"/>
        </w:rPr>
        <w:t>فیأتی بها ملحونة</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الملحون مادّةً الإتیان بالصلاة مع الملحون تارةً، ومع الترجمة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التکبیر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اللحن فی الهیئة أم فی المادّة، وسواء کان مغیّراً للمعنی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اللحن مغیّراً للمعنی، وإلاّ أتی بمرادفها، وإن عجز فبترجمتها علی الأحوط وجوباً فی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یقدر فترجمتها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بحسب القواعد سقوط أمرها فی الفرض، إلاّ أنّه لإفتاء الأصحاب بوجوب الترجمة لا یُترک الاحتیاط بإتیانها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w:t>
      </w:r>
    </w:p>
    <w:p>
      <w:pPr>
        <w:pStyle w:val="BookText"/>
        <w:rPr/>
      </w:pPr>
      <w:r>
        <w:rPr>
          <w:rFonts w:ascii="Amiri" w:hAnsi="Amiri" w:eastAsia="Amiri" w:cs="Amiri"/>
          <w:color w:val="111111"/>
          <w:sz w:val="28"/>
          <w:sz w:val="28"/>
          <w:szCs w:val="28"/>
          <w:rtl w:val="true"/>
          <w:lang w:bidi="ar-SA"/>
        </w:rPr>
        <w:t>العربیّة</w:t>
      </w:r>
      <w:r>
        <w:rPr>
          <w:rStyle w:val="FootnoteAnchor"/>
          <w:rtl w:val="true"/>
        </w:rPr>
        <w:footnoteReference w:id="222"/>
      </w:r>
      <w:r>
        <w:rPr>
          <w:rFonts w:ascii="IRNazanin" w:hAnsi="IRNazanin" w:eastAsia="IRNazanin"/>
          <w:color w:val="111111"/>
          <w:sz w:val="28"/>
          <w:sz w:val="28"/>
          <w:szCs w:val="28"/>
          <w:rtl w:val="true"/>
          <w:lang w:bidi="fa-IR"/>
        </w:rPr>
        <w:t>ولا یلزم أن تکون بلغته</w:t>
      </w:r>
      <w:r>
        <w:rPr>
          <w:rStyle w:val="FootnoteAnchor"/>
          <w:rtl w:val="true"/>
        </w:rPr>
        <w:footnoteReference w:id="223"/>
      </w:r>
      <w:r>
        <w:rPr>
          <w:rFonts w:ascii="IRNazanin" w:hAnsi="IRNazanin" w:eastAsia="IRNazanin"/>
          <w:color w:val="111111"/>
          <w:sz w:val="28"/>
          <w:sz w:val="28"/>
          <w:szCs w:val="28"/>
          <w:rtl w:val="true"/>
          <w:lang w:bidi="fa-IR"/>
        </w:rPr>
        <w:t>، وإن کان أحوط</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الآملی،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إن کانت لغته أقرب إلی اللغة العربیة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تجزی عن الترجمة غیرها من الأذکار والأدعیة وإن کانت بالعربیّة، وإن أمکن له النطق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الموالاة فی نظر العرف بین الحروف وعدم تفرّقها وانتشارها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حرجیاً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بتلقین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منه رحمه‌الله فی فصل القراءة المسألة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اتّباع الغیر فی حال الاختیار أیضاً، والمقام متّحد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من الماتن قدس‌سره جواز اتّباع الغیر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حرفاً فحرفاً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لم تخرج عن صورة التکبیر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بحیث یصدق علیه التکبیر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ولیکن موالیاً بین حروفها بحیث لا یخرج عن صورة التکبیر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حفظ الموالاة بین الحروف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الموالاة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الموالاة بین الحروف بحیث تصدق علیه الکلمة عرفاً، وحینئذٍ یکون فی عرض الإتیان بها عن تعلّمٍ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یفوّت الموالاة بین الحروف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التوالی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علی الملحون والترجمة</w:t>
      </w:r>
      <w:r>
        <w:rPr>
          <w:rFonts w:eastAsia="IRNazanin" w:cs="IRNazanin"/>
          <w:color w:val="111111"/>
          <w:sz w:val="28"/>
          <w:szCs w:val="28"/>
          <w:rtl w:val="true"/>
          <w:lang w:bidi="fa-IR"/>
        </w:rPr>
        <w:t>.</w:t>
      </w:r>
      <w:bookmarkStart w:id="201" w:name="pg13278_326361"/>
    </w:p>
    <w:p>
      <w:pPr>
        <w:pStyle w:val="Heading3"/>
        <w:numPr>
          <w:ilvl w:val="2"/>
          <w:numId w:val="1"/>
        </w:numPr>
        <w:rPr/>
      </w:pPr>
      <w:bookmarkStart w:id="202" w:name="__RefHeading___Toc1840711_2322387425"/>
      <w:bookmarkStart w:id="203" w:name="_Toc73"/>
      <w:bookmarkEnd w:id="201"/>
      <w:bookmarkEnd w:id="202"/>
      <w:r>
        <w:rPr>
          <w:rtl w:val="true"/>
        </w:rPr>
        <w:t>کیفیة التکبیر من الأخرس</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w:t>
      </w:r>
      <w:r>
        <w:rPr>
          <w:rStyle w:val="FootnoteAnchor"/>
          <w:rtl w:val="true"/>
        </w:rPr>
        <w:footnoteReference w:id="225"/>
      </w:r>
      <w:r>
        <w:rPr>
          <w:rFonts w:ascii="IRNazanin" w:hAnsi="IRNazanin" w:eastAsia="IRNazanin"/>
          <w:color w:val="111111"/>
          <w:sz w:val="28"/>
          <w:sz w:val="28"/>
          <w:szCs w:val="28"/>
          <w:rtl w:val="true"/>
          <w:lang w:bidi="fa-IR"/>
        </w:rPr>
        <w:t>یأتی بها علی قدر الإمکان، وإن عجز عن النطق أصلاً أخطرها</w:t>
      </w:r>
      <w:r>
        <w:rPr>
          <w:rStyle w:val="FootnoteAnchor"/>
          <w:rtl w:val="true"/>
        </w:rPr>
        <w:footnoteReference w:id="226"/>
      </w:r>
      <w:r>
        <w:rPr>
          <w:rFonts w:ascii="IRNazanin" w:hAnsi="IRNazanin" w:eastAsia="IRNazanin"/>
          <w:color w:val="111111"/>
          <w:sz w:val="28"/>
          <w:sz w:val="28"/>
          <w:szCs w:val="28"/>
          <w:rtl w:val="true"/>
          <w:lang w:bidi="fa-IR"/>
        </w:rPr>
        <w:t>بقلبه وأشار إلیها</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ولتکن الإشارة بإصبعه، کما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بالإصبع أو اللهاة أو الشَفَة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بإصبعة، کما فی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یتوجّه إلی معناها ویشیر إلیها بیده أو بإصبعه أو بغیرها، علی ما هو المتعارف عنده فی بیان مقاصده، ویعرفه العارف بمطالبه وإشاراته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تحریک لسانه إن أمکنه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فی صورة العجز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3278_326362"/>
    </w:p>
    <w:p>
      <w:pPr>
        <w:pStyle w:val="Heading3"/>
        <w:numPr>
          <w:ilvl w:val="2"/>
          <w:numId w:val="1"/>
        </w:numPr>
        <w:rPr/>
      </w:pPr>
      <w:bookmarkStart w:id="205" w:name="__RefHeading___Toc1840713_2322387425"/>
      <w:bookmarkStart w:id="206" w:name="_Toc74"/>
      <w:bookmarkEnd w:id="204"/>
      <w:bookmarkEnd w:id="205"/>
      <w:r>
        <w:rPr>
          <w:rtl w:val="true"/>
        </w:rPr>
        <w:t>حکم التکبیرات المندوبة کحکم تکبیرة الإحرام</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التکبیرات المندوبة</w:t>
      </w:r>
      <w:r>
        <w:rPr>
          <w:rStyle w:val="FootnoteAnchor"/>
          <w:rtl w:val="true"/>
        </w:rPr>
        <w:footnoteReference w:id="228"/>
      </w:r>
      <w:r>
        <w:rPr>
          <w:rFonts w:ascii="IRNazanin" w:hAnsi="IRNazanin" w:eastAsia="IRNazanin"/>
          <w:color w:val="111111"/>
          <w:sz w:val="28"/>
          <w:sz w:val="28"/>
          <w:szCs w:val="28"/>
          <w:rtl w:val="true"/>
          <w:lang w:bidi="fa-IR"/>
        </w:rPr>
        <w:t>فی ما ذکر حکم تکبیرة الإحرام</w:t>
      </w:r>
      <w:r>
        <w:rPr>
          <w:rStyle w:val="FootnoteAnchor"/>
          <w:rtl w:val="true"/>
        </w:rPr>
        <w:footnoteReference w:id="229"/>
      </w:r>
      <w:r>
        <w:rPr>
          <w:rFonts w:ascii="IRNazanin" w:hAnsi="IRNazanin" w:eastAsia="IRNazanin"/>
          <w:color w:val="111111"/>
          <w:sz w:val="28"/>
          <w:sz w:val="28"/>
          <w:szCs w:val="28"/>
          <w:rtl w:val="true"/>
          <w:lang w:bidi="fa-IR"/>
        </w:rPr>
        <w:t>، حتّی فی إشارة الأخرس</w:t>
      </w:r>
      <w:r>
        <w:rPr>
          <w:rFonts w:eastAsia="IRNazanin" w:cs="IRNazanin"/>
          <w:color w:val="111111"/>
          <w:sz w:val="28"/>
          <w:szCs w:val="28"/>
          <w:rtl w:val="true"/>
          <w:lang w:bidi="fa-IR"/>
        </w:rPr>
        <w:t>.</w:t>
      </w:r>
    </w:p>
    <w:p>
      <w:pPr>
        <w:pStyle w:val="Heading3"/>
        <w:numPr>
          <w:ilvl w:val="2"/>
          <w:numId w:val="1"/>
        </w:numPr>
        <w:rPr/>
      </w:pPr>
      <w:bookmarkStart w:id="207" w:name="__RefHeading___Toc1840715_2322387425"/>
      <w:bookmarkStart w:id="208" w:name="_Toc75"/>
      <w:bookmarkEnd w:id="207"/>
      <w:r>
        <w:rPr>
          <w:rtl w:val="true"/>
        </w:rPr>
        <w:t>صحة صلاة من ترک التعلم فی سعة الوقت</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التعلّم فی سعة الوقت حتّی ضاق أثم</w:t>
      </w:r>
      <w:r>
        <w:rPr>
          <w:rStyle w:val="FootnoteAnchor"/>
          <w:rtl w:val="true"/>
        </w:rPr>
        <w:footnoteReference w:id="230"/>
      </w:r>
      <w:r>
        <w:rPr>
          <w:rFonts w:ascii="Amiri" w:hAnsi="Amiri" w:eastAsia="Amiri" w:cs="Amiri"/>
          <w:color w:val="111111"/>
          <w:sz w:val="28"/>
          <w:sz w:val="28"/>
          <w:szCs w:val="28"/>
          <w:rtl w:val="true"/>
          <w:lang w:bidi="ar-SA"/>
        </w:rPr>
        <w:t>وصحّت</w:t>
      </w:r>
      <w:r>
        <w:rPr>
          <w:rStyle w:val="FootnoteAnchor"/>
          <w:rtl w:val="true"/>
        </w:rPr>
        <w:footnoteReference w:id="231"/>
      </w:r>
      <w:r>
        <w:rPr>
          <w:rFonts w:ascii="IRNazanin" w:hAnsi="IRNazanin" w:eastAsia="IRNazanin"/>
          <w:color w:val="111111"/>
          <w:sz w:val="28"/>
          <w:sz w:val="28"/>
          <w:szCs w:val="28"/>
          <w:rtl w:val="true"/>
          <w:lang w:bidi="fa-IR"/>
        </w:rPr>
        <w:t>صلاته علی الأقوی، والأحوط</w:t>
      </w:r>
      <w:r>
        <w:rPr>
          <w:rStyle w:val="FootnoteAnchor"/>
          <w:rtl w:val="true"/>
        </w:rPr>
        <w:footnoteReference w:id="232"/>
      </w:r>
      <w:r>
        <w:rPr>
          <w:rFonts w:ascii="IRNazanin" w:hAnsi="IRNazanin" w:eastAsia="IRNazanin"/>
          <w:color w:val="111111"/>
          <w:sz w:val="28"/>
          <w:sz w:val="28"/>
          <w:szCs w:val="28"/>
          <w:rtl w:val="true"/>
          <w:lang w:bidi="fa-IR"/>
        </w:rPr>
        <w:t>القضاء بعد التعلّم</w:t>
      </w:r>
      <w:r>
        <w:rPr>
          <w:rFonts w:eastAsia="IRNazanin" w:cs="IRNazanin"/>
          <w:color w:val="111111"/>
          <w:sz w:val="28"/>
          <w:szCs w:val="28"/>
          <w:rtl w:val="true"/>
          <w:lang w:bidi="fa-IR"/>
        </w:rPr>
        <w:t>.</w:t>
      </w:r>
    </w:p>
    <w:p>
      <w:pPr>
        <w:pStyle w:val="Heading3"/>
        <w:numPr>
          <w:ilvl w:val="2"/>
          <w:numId w:val="1"/>
        </w:numPr>
        <w:rPr/>
      </w:pPr>
      <w:bookmarkStart w:id="209" w:name="__RefHeading___Toc1840717_2322387425"/>
      <w:bookmarkStart w:id="210" w:name="_Toc76"/>
      <w:bookmarkEnd w:id="209"/>
      <w:r>
        <w:rPr>
          <w:rtl w:val="true"/>
        </w:rPr>
        <w:t>استحباب الإتیان بست تکبیرات سوی تکبیرة الإحرام و اختیار الأخیرة</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الإتیان بستّ تکبیرات مضافاً إلی تکبیرة الإحرام، فیکون المجموع سبعة، وتسمّی بالتکبیرات الافتتاحیّة، ویجوز الاقتصار علی الخمس وعلی الثلاث، ولا یبعد</w:t>
      </w:r>
      <w:r>
        <w:rPr>
          <w:rStyle w:val="FootnoteAnchor"/>
          <w:rtl w:val="true"/>
        </w:rPr>
        <w:footnoteReference w:id="233"/>
      </w:r>
      <w:r>
        <w:rPr>
          <w:rFonts w:ascii="IRNazanin" w:hAnsi="IRNazanin" w:eastAsia="IRNazanin"/>
          <w:color w:val="111111"/>
          <w:sz w:val="28"/>
          <w:sz w:val="28"/>
          <w:szCs w:val="28"/>
          <w:rtl w:val="true"/>
          <w:lang w:bidi="fa-IR"/>
        </w:rPr>
        <w:t>التخییر</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وإذا اختار واحدة منها فعیّنها للإحرام جهر بها إذا کان إماماً وأسَرّ البواقی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والأحوط اختیار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بعیداً جدّاً؛ فإنّه خلاف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تعیین</w:t>
      </w:r>
    </w:p>
    <w:p>
      <w:pPr>
        <w:pStyle w:val="BookText"/>
        <w:rPr/>
      </w:pPr>
      <w:r>
        <w:rPr>
          <w:rFonts w:ascii="IRNazanin" w:hAnsi="IRNazanin" w:eastAsia="IRNazanin"/>
          <w:color w:val="111111"/>
          <w:sz w:val="28"/>
          <w:sz w:val="28"/>
          <w:szCs w:val="28"/>
          <w:rtl w:val="true"/>
          <w:lang w:bidi="fa-IR"/>
        </w:rPr>
        <w:t>تکبیرة الإحرام</w:t>
      </w:r>
      <w:r>
        <w:rPr>
          <w:rStyle w:val="FootnoteAnchor"/>
          <w:rtl w:val="true"/>
        </w:rPr>
        <w:footnoteReference w:id="235"/>
      </w:r>
      <w:r>
        <w:rPr>
          <w:rFonts w:ascii="IRNazanin" w:hAnsi="IRNazanin" w:eastAsia="IRNazanin"/>
          <w:color w:val="111111"/>
          <w:sz w:val="28"/>
          <w:sz w:val="28"/>
          <w:szCs w:val="28"/>
          <w:rtl w:val="true"/>
          <w:lang w:bidi="fa-IR"/>
        </w:rPr>
        <w:t>فی أیّتها شاء</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بالباقی من الستّ أو تمامها بقصد القربة المطلقة، أو یختار الأخیرة علی الأحوط، وهذا خالٍ من الإشکال دون ما سواه من الاحتمالات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نیّة 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تحرم المنافیات إلاّ بعد الفراغ من الجمیع، وإن تحقّق الشروع بالاُولی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ترک الإحرام بالجمیع کما هو المشهور؛ لعدم نقله إلاّ عن والد المجلسی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نیّة الإحرام بالجمیع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بل غیر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یشکل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أخبار باب الافتتاح أنّ نیّة الإحرام بالجمیع، لکن یشکل الجواز من جهة مخالفتها لکثیر من الفقهاء، فالأمر یدور بین جعل الاُولی تکبیرة الإحرام فتتحقّق الطبیعة الواجبة بالفرد الأول، وبین تعیّن الفرد الآخر، والأحوط اختیار الأخیرة مع قصد الافتتاح الإجمالی بالبقیة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لکن لا یُترک الاحتیاط باختیار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والأحوط قصد الرجاء فی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الاحتیاط مذکور فی الفرع الحادی عشر،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وقصد الافتتاح الإجمالی رجاءً بالمجموع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الإتیان بما قبلها إلاّ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یکفی قصد الافتتاح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بأحدها المبهَم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الإجمال، بقصد ما هو الأفضل عند اللّه تعالی فلا إشکال فیه، کما سیأتی من المصنِّف قدس‌سره التصریح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w:t>
      </w:r>
      <w:bookmarkStart w:id="211" w:name="pg13278_326365"/>
    </w:p>
    <w:p>
      <w:pPr>
        <w:pStyle w:val="BookText"/>
        <w:rPr/>
      </w:pPr>
      <w:bookmarkEnd w:id="211"/>
      <w:r>
        <w:rPr>
          <w:rFonts w:ascii="IRNazanin" w:hAnsi="IRNazanin" w:eastAsia="IRNazanin"/>
          <w:color w:val="111111"/>
          <w:sz w:val="28"/>
          <w:sz w:val="28"/>
          <w:szCs w:val="28"/>
          <w:rtl w:val="true"/>
          <w:lang w:bidi="fa-IR"/>
        </w:rPr>
        <w:t>تعیین</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لم یکن لها تعیّن فی الواقع، وأمّا مع تعیّنها فیه بعنوانٍ ما فالظاهر جواز الاکتفاء بقصدها، ولو کانت غیر معیّنة لدی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12" w:name="__RefHeading___Toc1840719_2322387425"/>
      <w:bookmarkStart w:id="213" w:name="_Toc77"/>
      <w:bookmarkEnd w:id="212"/>
      <w:r>
        <w:rPr>
          <w:rtl w:val="true"/>
        </w:rPr>
        <w:t>عموم استحباب الافتتاح، والقول بالاختصاص بمواضع</w:t>
      </w:r>
      <w:bookmarkEnd w:id="213"/>
    </w:p>
    <w:p>
      <w:pPr>
        <w:pStyle w:val="BookText"/>
        <w:rPr/>
      </w:pPr>
      <w:r>
        <w:rPr>
          <w:rFonts w:ascii="IRNazanin" w:hAnsi="IRNazanin" w:eastAsia="IRNazanin"/>
          <w:color w:val="111111"/>
          <w:sz w:val="28"/>
          <w:sz w:val="28"/>
          <w:szCs w:val="28"/>
          <w:rtl w:val="true"/>
          <w:lang w:bidi="fa-IR"/>
        </w:rPr>
        <w:t>والظاهر عدم اختصاص استحبابها فی الیومیة، بل تستحبّ فی جمیع</w:t>
      </w:r>
      <w:r>
        <w:rPr>
          <w:rStyle w:val="FootnoteAnchor"/>
          <w:rtl w:val="true"/>
        </w:rPr>
        <w:footnoteReference w:id="239"/>
      </w:r>
      <w:r>
        <w:rPr>
          <w:rFonts w:ascii="IRNazanin" w:hAnsi="IRNazanin" w:eastAsia="IRNazanin"/>
          <w:color w:val="111111"/>
          <w:sz w:val="28"/>
          <w:sz w:val="28"/>
          <w:szCs w:val="28"/>
          <w:rtl w:val="true"/>
          <w:lang w:bidi="fa-IR"/>
        </w:rPr>
        <w:t>الصلوات</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الحکم بالاستحباب فی غیر الیومیّة والوَتر واُولی النوافل الظهریة ضعیفٌ فی الغایة، فالأولی رعایة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الواجبة والمندوبة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بالاختصاص بسبعة مواضع،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واجبة، وأوّل رکعة من صلاة اللیل، ومفردة الوَتر، وأوّل رکعة من نافلة الظهر، وأوّل رکعة من نافلة المغرب، وأوّل رکعة من صلاة الإحرام والوتیرة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القائل أراد تأکّدها فی هذه المواضع</w:t>
      </w:r>
      <w:r>
        <w:rPr>
          <w:rFonts w:eastAsia="IRNazanin" w:cs="IRNazanin"/>
          <w:color w:val="111111"/>
          <w:sz w:val="28"/>
          <w:szCs w:val="28"/>
          <w:rtl w:val="true"/>
          <w:lang w:bidi="fa-IR"/>
        </w:rPr>
        <w:t>.</w:t>
      </w:r>
    </w:p>
    <w:p>
      <w:pPr>
        <w:pStyle w:val="Heading3"/>
        <w:numPr>
          <w:ilvl w:val="2"/>
          <w:numId w:val="1"/>
        </w:numPr>
        <w:rPr/>
      </w:pPr>
      <w:bookmarkStart w:id="214" w:name="__RefHeading___Toc1840721_2322387425"/>
      <w:bookmarkStart w:id="215" w:name="_Toc78"/>
      <w:bookmarkEnd w:id="214"/>
      <w:r>
        <w:rPr>
          <w:rtl w:val="true"/>
        </w:rPr>
        <w:t>الجمع بین محتملات مسألة تعیین تکبیرة الإحرام</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مسألة تعیین تکبیرة الإحرام ـ إذا أتی بالسبع أو الخمس أو الثلاث ـ احتمالات بل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الأوّل، وتعیین الأخیر</w:t>
      </w:r>
      <w:r>
        <w:rPr>
          <w:rStyle w:val="FootnoteAnchor"/>
          <w:rtl w:val="true"/>
        </w:rPr>
        <w:footnoteReference w:id="241"/>
      </w:r>
      <w:r>
        <w:rPr>
          <w:rFonts w:ascii="IRNazanin" w:hAnsi="IRNazanin" w:eastAsia="IRNazanin"/>
          <w:color w:val="111111"/>
          <w:sz w:val="28"/>
          <w:sz w:val="28"/>
          <w:szCs w:val="28"/>
          <w:rtl w:val="true"/>
          <w:lang w:bidi="fa-IR"/>
        </w:rPr>
        <w:t>، والتخییر، والجمیع، 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فی المخطوط، وفی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التعیین، وإن کان الأولی له اختیار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إحراز جمیعها بالنحو المذکور فی صلاة واحدة مع الاحتیاج إلی القصد منظور فیه، فالأحوط لو لم یکن الأقوی التعیین، وقد تقدّم أنّ الأحوط تعیین الأخیرة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أولی وأحوط محلّ إشکال؛ لِما فیه من التردید فی النیّة، ولا یمکن قصد عنوان الصلاة جزماً، بل مراعاة الاحتیاط بالطریق المذکور خلاف الاحتیاط، فالأحوط ما ذکرنا فی المسألة العاشرة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أراد</w:t>
      </w:r>
    </w:p>
    <w:p>
      <w:pPr>
        <w:pStyle w:val="BookText"/>
        <w:rPr/>
      </w:pPr>
      <w:r>
        <w:rPr>
          <w:rFonts w:ascii="IRNazanin" w:hAnsi="IRNazanin" w:eastAsia="IRNazanin"/>
          <w:color w:val="111111"/>
          <w:sz w:val="28"/>
          <w:sz w:val="28"/>
          <w:szCs w:val="28"/>
          <w:rtl w:val="true"/>
          <w:lang w:bidi="fa-IR"/>
        </w:rPr>
        <w:t>إحراز</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إمکان إحراز جمیع الاحتمالات، خصوصاً علی الوجه الذی ذکره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إحراز جمیعها والاحتیاط التامّ، فالأحوط هو الاکتفاء بتکبیرة واحدة، وما ذکره فی المتن یرجع إلی التعلیق فی النیّة، وهو محلّ إشکال ومخالف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بإتیان ستّ تکبیراتٍ بقصد القربة المطلقة ثمّ الاستفتاح، أو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امتناع الجمع بین الاحتمالات ، ومقتضی الاحتیاط تعیین واحدة ، والأحوط اختیار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ومراعاة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تحصل مراعاته بما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ما مرّ فی المسألة 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جمیع الجهات</w:t>
      </w:r>
      <w:bookmarkStart w:id="216" w:name="pg13278_326367"/>
    </w:p>
    <w:p>
      <w:pPr>
        <w:pStyle w:val="BookText"/>
        <w:rPr/>
      </w:pPr>
      <w:bookmarkEnd w:id="216"/>
      <w:r>
        <w:rPr>
          <w:rFonts w:ascii="IRNazanin" w:hAnsi="IRNazanin" w:eastAsia="IRNazanin"/>
          <w:color w:val="111111"/>
          <w:sz w:val="28"/>
          <w:sz w:val="28"/>
          <w:szCs w:val="28"/>
          <w:rtl w:val="true"/>
          <w:lang w:bidi="fa-IR"/>
        </w:rPr>
        <w:t>أن یأتی بها</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احتیاطاً وصحیحاً غیر باطل فی غایة البعد والإشکال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محصِّل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لا یخلو من إشکال؛ لاشتماله علی التردید بین الشقیّن المذکورین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امتناع الجمع بین المحتملات مع مراعاة الاحتیاط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فی صحّة الصلاة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إن کان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التخییر فالافتتاح هو کذا، ویعیّن فی قلبه ماشاء، وإلاّ فهو ما عنداللّه من الأوّل أو الأخیر أو الجمیع</w:t>
      </w:r>
      <w:r>
        <w:rPr>
          <w:rFonts w:eastAsia="IRNazanin" w:cs="IRNazanin"/>
          <w:color w:val="111111"/>
          <w:sz w:val="28"/>
          <w:szCs w:val="28"/>
          <w:rtl w:val="true"/>
          <w:lang w:bidi="fa-IR"/>
        </w:rPr>
        <w:t>.</w:t>
      </w:r>
    </w:p>
    <w:p>
      <w:pPr>
        <w:pStyle w:val="Heading3"/>
        <w:numPr>
          <w:ilvl w:val="2"/>
          <w:numId w:val="1"/>
        </w:numPr>
        <w:rPr/>
      </w:pPr>
      <w:bookmarkStart w:id="217" w:name="__RefHeading___Toc1840723_2322387425"/>
      <w:bookmarkStart w:id="218" w:name="_Toc79"/>
      <w:bookmarkEnd w:id="217"/>
      <w:r>
        <w:rPr>
          <w:rtl w:val="true"/>
        </w:rPr>
        <w:t>کیفیة الافتتاح بالسبع وصیغها</w:t>
      </w:r>
      <w:bookmarkEnd w:id="21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الإتیان بالسبع ولاءً من غیر فصل بالدعاء، لکنّ الأفضل</w:t>
      </w:r>
      <w:r>
        <w:rPr>
          <w:rStyle w:val="FootnoteAnchor"/>
          <w:rtl w:val="true"/>
        </w:rPr>
        <w:footnoteReference w:id="245"/>
      </w:r>
      <w:r>
        <w:rPr>
          <w:rFonts w:ascii="IRNazanin" w:hAnsi="IRNazanin" w:eastAsia="IRNazanin"/>
          <w:color w:val="111111"/>
          <w:sz w:val="28"/>
          <w:sz w:val="28"/>
          <w:szCs w:val="28"/>
          <w:rtl w:val="true"/>
          <w:lang w:bidi="fa-IR"/>
        </w:rPr>
        <w:t>أن یأتی بالثلاث ثمّ یقول</w:t>
      </w:r>
      <w:r>
        <w:rPr>
          <w:rStyle w:val="FootnoteAnchor"/>
          <w:rtl w:val="true"/>
        </w:rPr>
        <w:footnoteReference w:id="2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الملک الحقّ لا إله إلاّ أنت، سبحانک إنّی ظلمت نفسی، فاغفر لی ذنبی إنّه لا یغفر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بإثنتین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وسعدیک، والخیر فی یدیک، والشرّ </w:t>
      </w:r>
    </w:p>
    <w:p>
      <w:pPr>
        <w:pStyle w:val="BookText"/>
        <w:rPr/>
      </w:pPr>
      <w:r>
        <w:rPr>
          <w:rFonts w:ascii="IRNazanin" w:hAnsi="IRNazanin" w:eastAsia="IRNazanin"/>
          <w:color w:val="111111"/>
          <w:sz w:val="28"/>
          <w:sz w:val="28"/>
          <w:szCs w:val="28"/>
          <w:rtl w:val="true"/>
          <w:lang w:bidi="fa-IR"/>
        </w:rPr>
        <w:t>لیس إلیک، والمَهِدیّ مَن هدیت، لا ملجأ منک إلاّ إلیک، سبحانک وحنانیک، تبارکت وتعالیت، سبحانک 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باثنتین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w:t>
      </w:r>
      <w:r>
        <w:rPr>
          <w:rStyle w:val="FootnoteAnchor"/>
          <w:rtl w:val="true"/>
        </w:rPr>
        <w:footnoteReference w:id="247"/>
      </w:r>
      <w:r>
        <w:rPr>
          <w:rFonts w:ascii="IRNazanin" w:hAnsi="IRNazanin" w:eastAsia="IRNazanin"/>
          <w:color w:val="111111"/>
          <w:sz w:val="28"/>
          <w:sz w:val="28"/>
          <w:szCs w:val="28"/>
          <w:rtl w:val="true"/>
          <w:lang w:bidi="fa-IR"/>
        </w:rPr>
        <w:t>للّذی فطر السماوات والأرض، عالمِ الغیب والشهادة، حنیفاً مسلماً وما أنا من المشرکین، إنّ صلاتی ونُسُکی ومحیای ومماتی للّه ربّ العالمین، لا شریک له، وبذلک اُمرت وأنا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یشرع فی الاستعاذة وسورة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أیضاً أن یقول قبل</w:t>
      </w:r>
      <w:r>
        <w:rPr>
          <w:rStyle w:val="FootnoteAnchor"/>
          <w:rtl w:val="true"/>
        </w:rPr>
        <w:footnoteReference w:id="248"/>
      </w:r>
      <w:r>
        <w:rPr>
          <w:rFonts w:ascii="IRNazanin" w:hAnsi="IRNazanin" w:eastAsia="IRNazanin"/>
          <w:color w:val="111111"/>
          <w:sz w:val="28"/>
          <w:sz w:val="28"/>
          <w:szCs w:val="28"/>
          <w:rtl w:val="true"/>
          <w:lang w:bidi="fa-IR"/>
        </w:rPr>
        <w:t>فلاح السائل لابن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الأذان والإقامة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التکبیرات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توجّهت، ومرضاتک ابتغیت، وبک آمنت، وعلیک توکّلت، صلِّ علی محمّدٍ وآل محمّد، وافتح قلبی لذکرک، وثبّتنی علی دینک، ولا تُزِغ قلبی بعد إذ هدیتنی، وهب لی من لدنک رحمة إنّک أنت الوهّاب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أیضاً أن یقول بعد الإقامة قبل تکبیرة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هذه الدعوة التامّة، والصلاة القائمة، بلّغ محمَّداً صلّی اللّه علیه وآله الدرجة والوسیلة والفضل والفضیلة، باللّه أستفتح، وباللّه أستنجح، وبمحمّدٍ رسول اللّه صلی‌الله‌علیه‌و‌آله أتوجّه، اللهمّ صلِّ علی محمّدٍ وآل محمّد، واجعلنی بهم عندک وجیهاً فی الدنیا والآخرة ومن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bookmarkStart w:id="219" w:name="pg13278_326369"/>
    </w:p>
    <w:p>
      <w:pPr>
        <w:pStyle w:val="BookText"/>
        <w:rPr/>
      </w:pPr>
      <w:bookmarkEnd w:id="219"/>
      <w:r>
        <w:rPr>
          <w:rFonts w:ascii="IRNazanin" w:hAnsi="IRNazanin" w:eastAsia="IRNazanin"/>
          <w:color w:val="111111"/>
          <w:sz w:val="28"/>
          <w:sz w:val="28"/>
          <w:szCs w:val="28"/>
          <w:rtl w:val="true"/>
          <w:lang w:bidi="fa-IR"/>
        </w:rPr>
        <w:t>یقول</w:t>
      </w:r>
      <w:r>
        <w:rPr>
          <w:rStyle w:val="FootnoteAnchor"/>
          <w:rtl w:val="true"/>
        </w:rPr>
        <w:footnoteReference w:id="250"/>
      </w:r>
      <w:r>
        <w:rPr>
          <w:rFonts w:ascii="IRNazanin" w:hAnsi="IRNazanin" w:eastAsia="IRNazanin"/>
          <w:color w:val="111111"/>
          <w:sz w:val="28"/>
          <w:sz w:val="28"/>
          <w:szCs w:val="28"/>
          <w:rtl w:val="true"/>
          <w:lang w:bidi="fa-IR"/>
        </w:rPr>
        <w:t>بعد تکبیرة الإحرام</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الموجود 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موضع هذا الدعاء قبل تکبیرة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قبلها، أو بعد السادسة علی ما فی الراویتین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منقول عن فلاح السائل، وما نقل عن المصباح قریب إلیه،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منقول عن أمیرالمؤمنین علیه‌السلام قبل أن یُحرِم ویُکبِّر، والأولی أن یأتی به بقصد الرجاء؛ لوروده فی مورد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الإتیان به فی غیر ما بعد السادسة بقصد الورود محلّ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وقد أمرت المحسن أن یتجاوز عن المسیء، أنت المحسن وأنا المسیء، بحقّ محمَّدٍ وآل محمّدٍ صلِّ علی محمَّدٍ وآل محمّد، وتجاوز عن قبیح ما تعلم منّی</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840725_2322387425"/>
      <w:bookmarkStart w:id="221" w:name="_Toc80"/>
      <w:bookmarkEnd w:id="220"/>
      <w:r>
        <w:rPr>
          <w:rtl w:val="true"/>
        </w:rPr>
        <w:t>استحباب جهر الإمام بتکبیرة الإحرام</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للإمام أن یجهر بتکبیرة الإحرام</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أن یجهر بواحدة ویُسِرّ ستّاً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المیلانی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بعنوان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أحادیث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الإجهار بواحدةٍ من السبع، والمنقول عن النبی الأکرم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یکبِّر واحدةً یجهر بها ویُسِرّ ستّاً، وهو مجمل من جهة الواحدة التی یجهر بها هل الاُولی أو الأخیرة أو الوسطی؟ ولکنّ کونها تکبیرة الإحرام وهی التکبیرة الأخیرة علی ما مرّ أحوط، خصوصاً مع 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بواحدة من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وجهٍ</w:t>
      </w:r>
      <w:bookmarkStart w:id="222" w:name="pg13278_326370"/>
    </w:p>
    <w:p>
      <w:pPr>
        <w:pStyle w:val="BookText"/>
        <w:rPr/>
      </w:pPr>
      <w:bookmarkEnd w:id="222"/>
      <w:r>
        <w:rPr>
          <w:rFonts w:ascii="IRNazanin" w:hAnsi="IRNazanin" w:eastAsia="IRNazanin"/>
          <w:color w:val="111111"/>
          <w:sz w:val="28"/>
          <w:sz w:val="28"/>
          <w:szCs w:val="28"/>
          <w:rtl w:val="true"/>
          <w:lang w:bidi="fa-IR"/>
        </w:rPr>
        <w:t>یسمع من خلفه دون الستّ، فإنّه یستحبّ الإخفات بها</w:t>
      </w:r>
      <w:r>
        <w:rPr>
          <w:rFonts w:eastAsia="IRNazanin" w:cs="IRNazanin"/>
          <w:color w:val="111111"/>
          <w:sz w:val="28"/>
          <w:szCs w:val="28"/>
          <w:rtl w:val="true"/>
          <w:lang w:bidi="fa-IR"/>
        </w:rPr>
        <w:t>.</w:t>
      </w:r>
    </w:p>
    <w:p>
      <w:pPr>
        <w:pStyle w:val="Heading3"/>
        <w:numPr>
          <w:ilvl w:val="2"/>
          <w:numId w:val="1"/>
        </w:numPr>
        <w:rPr/>
      </w:pPr>
      <w:bookmarkStart w:id="223" w:name="__RefHeading___Toc1840727_2322387425"/>
      <w:bookmarkStart w:id="224" w:name="_Toc81"/>
      <w:bookmarkEnd w:id="223"/>
      <w:r>
        <w:rPr>
          <w:rtl w:val="true"/>
        </w:rPr>
        <w:t>استحباب رفع الیدین حال التکبیر</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رفع</w:t>
      </w:r>
      <w:r>
        <w:rPr>
          <w:rStyle w:val="FootnoteAnchor"/>
          <w:rtl w:val="true"/>
        </w:rPr>
        <w:footnoteReference w:id="253"/>
      </w:r>
      <w:r>
        <w:rPr>
          <w:rFonts w:ascii="IRNazanin" w:hAnsi="IRNazanin" w:eastAsia="IRNazanin"/>
          <w:color w:val="111111"/>
          <w:sz w:val="28"/>
          <w:sz w:val="28"/>
          <w:szCs w:val="28"/>
          <w:rtl w:val="true"/>
          <w:lang w:bidi="fa-IR"/>
        </w:rPr>
        <w:t>الیدین بالتکبیر إلی الاُذُنین</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المراد بما عن بعض القدماء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شحمتیهما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إلی حیال الوجه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اختیاره؛ لاستفاضة النصوص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غیر الأوّل محلّ إشکال، وکذا خصوص الابتداء بالابتداء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والاکتفاء به هو الأحوط؛ لظهور دلیله، ووجود الإشکال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إلی النحر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مبتدئاً بابتدائه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المشهور فی ذلک، لکنّ ظاهر النصّ أن یرفع یدیه ویبسطهما بسطاً ثمّ یُکبِّر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المیلانی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الأدلّة أن یکبِّر وهو رافع یدیه، فإذا رفع یدیه وکبّر ثمّ أرسلهما کفی فی أداء الوظیفة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ومنتهیاً بانتهائه، فإذا انتهی التکبیر والرفع أرسلهما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الواجب منه والمستحبّ فی</w:t>
      </w:r>
    </w:p>
    <w:p>
      <w:pPr>
        <w:pStyle w:val="BookText"/>
        <w:rPr/>
      </w:pPr>
      <w:r>
        <w:rPr>
          <w:rFonts w:ascii="IRNazanin" w:hAnsi="IRNazanin" w:eastAsia="IRNazanin"/>
          <w:color w:val="111111"/>
          <w:sz w:val="28"/>
          <w:sz w:val="28"/>
          <w:szCs w:val="28"/>
          <w:rtl w:val="true"/>
          <w:lang w:bidi="fa-IR"/>
        </w:rPr>
        <w:t>ذلک، والأولی أن لا یتجاوز</w:t>
      </w:r>
      <w:r>
        <w:rPr>
          <w:rStyle w:val="FootnoteAnchor"/>
          <w:rtl w:val="true"/>
        </w:rPr>
        <w:footnoteReference w:id="255"/>
      </w:r>
      <w:r>
        <w:rPr>
          <w:rFonts w:ascii="IRNazanin" w:hAnsi="IRNazanin" w:eastAsia="IRNazanin"/>
          <w:color w:val="111111"/>
          <w:sz w:val="28"/>
          <w:sz w:val="28"/>
          <w:szCs w:val="28"/>
          <w:rtl w:val="true"/>
          <w:lang w:bidi="fa-IR"/>
        </w:rPr>
        <w:t>بهما الاُذُنین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ضمّ أصابعهما حتّی الإبهام</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والخنصر والاستقبال بباطنهما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التکبیر من غیر رفع الیدین،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نعم، لا بأس به رجاءً، وکذا رفع إحدی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 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الأدلّة کون رفع الیدین مستحبّاً حال التکبیر،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جوازه، ولا جواز رفع إحدی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یقصد الورود، وکذا فی المسألة الآتیة فی رفع إحدی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رفع الیدین من آداب التکبیر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البعد بعید؛ إذ الظاهر من الروایات أنّ رفعهما من سنن التکبیرة وآدابها، لا أنّه مطلوب مستقلّ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ظواهر الأدلة استحباب رفع الیدین بالتکبیر، لا فی مطلق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جّداً؛ لظهور الدلیل فی استحباب رفع الیدین حال التکبیر، وأمّا دلیل استحباب الرفع بدون التکبیر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استحباب رفع الیدین فی نفسه فی الحالات التی یستحبّ فیها التکبیر وإن لم یقترن به؛ لأنّه نحو من العبودیة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الکیفیّة فی رفع الیدین إنّما هو علی الأفضلیّة، وإلاّ فیکفی</w:t>
      </w:r>
      <w:r>
        <w:rPr>
          <w:rStyle w:val="FootnoteAnchor"/>
          <w:rtl w:val="true"/>
        </w:rPr>
        <w:footnoteReference w:id="257"/>
      </w:r>
      <w:r>
        <w:rPr>
          <w:rFonts w:ascii="IRNazanin" w:hAnsi="IRNazanin" w:eastAsia="IRNazanin"/>
          <w:color w:val="111111"/>
          <w:sz w:val="28"/>
          <w:sz w:val="28"/>
          <w:szCs w:val="28"/>
          <w:rtl w:val="true"/>
          <w:lang w:bidi="fa-IR"/>
        </w:rPr>
        <w:t>مطلق الرفع، بل لایبعد</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والأحوط رفعهما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جوازه بعنوان المشروعیّة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 الیدین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بقصد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لعدم ثبوته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 الاضطرار لا بأس به، کما لا بأس بالإتیان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یثبت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225" w:name="pg13278_326373"/>
    </w:p>
    <w:p>
      <w:pPr>
        <w:pStyle w:val="BookText"/>
        <w:rPr/>
      </w:pPr>
      <w:bookmarkEnd w:id="225"/>
      <w:r>
        <w:rPr>
          <w:rFonts w:ascii="Amiri" w:hAnsi="Amiri" w:eastAsia="Amiri" w:cs="Amiri"/>
          <w:color w:val="111111"/>
          <w:sz w:val="28"/>
          <w:sz w:val="28"/>
          <w:szCs w:val="28"/>
          <w:rtl w:val="true"/>
          <w:lang w:bidi="ar-SA"/>
        </w:rPr>
        <w:t>دون الاُخری</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840729_2322387425"/>
      <w:bookmarkStart w:id="227" w:name="_Toc82"/>
      <w:bookmarkEnd w:id="226"/>
      <w:r>
        <w:rPr>
          <w:rtl w:val="true"/>
        </w:rPr>
        <w:t>حکم الشک فی تکبیرة الإحرام</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الدخول فی ما بعدها بنی علی العدم</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البناء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بالتمسّک بالاحتیاط، وکون الشکّ شکّاً فی محلّه وغیرهما من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البناء علی الصحّة ، والأحوط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بعد الدخول فی ما بعدها من دعاء التوجّه أو الاستعاذة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القراءة بنی علی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یستفاد من بعض روایات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قبل الدخول فی القراءة، ولا بأس بالإتیان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الدخول فی القراءة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تمامیة قاعدة التجاوز علی الإطلاق عندنا محلّ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شکّ بعد إتمامها أ نّه أتی بها صحیحة أو لا بنی علی 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قائماً للشکّ فی إتیان الغیر مع بقاء محلّه فیأتی به، وأمّا لو کان قاعداً واحتمل سهوه فی قعوده حال قراءته فالبناء علی کونه تکبیرة الإحرام ینافی البناء علی صحّة ما مضی من عمله، فلا محیص من بنائه علی کونه تکبیرة رکوعه فیقوم ویرکع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 صحّة تکبیرته لا یقتضی شرعاً تجاوز محلّ القراءة فلا وجه لرفع الید عنه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الجزم بملازمة صحّة التکبیرة المزبورة مع القراءة یقطع بعدم وجوب القراءة، وإنّما الشکّ فی وجوب الإتمام بإتیان البقیّة من جهة الشکّ فی صحّة الإحرام، فأصالة الصحّة المزبورة توجب الإتمام کما ذکرنا، ولا نعنی من البناء علی کونه تکبیرة الرکوع إلاّ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الحکم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الصحّة فی وجه، کما سیجیء فی الخلل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بنی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 زین الدین،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البناء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أنّها صحیحة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البناء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یبعد البناء علی الصحّة؛ لقاعدة الصحّة المعمول علیها فی المعاملات والعبادات، ویشمله بعض أخبار قاعدة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البناء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البناء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بالتمسّک بقاعدة الشکّ فی المحلّ، لکنّه مع غمض النظر وغضّ البصر عن أصالة الصحّة التی علیها المعوّل فی الشکوک الطارئة فی الأفعال العبادیّة وغیرها بدعوی اختصاصها بالأفعال الصادرة عن غیر الشاکّ وغیرها من المناقشات، وإلاّ فالصحّة غیر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البناء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الصحّة، لکنّ الأحوط 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علی العدم، أی عدم الصحّة مبنیّ علی أنّ إجراء قاعدة الصحّة یتوقّف علی الدخول فی الغیر، وأمّا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قاعدتها لا تتوقّف علی الدخول فی الغیر بل یکفی فی الصحّة مجرّد الفراغ من العمل، یبنی علی الصحّة عملاً بإطلاق حدیث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الخلل الواقع فی الصلاة،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القاعدة کما تجری فی الکلّ تجری فی الجزء أیضاً، لکن فی ما ذکر تأمّل، والظاهر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یبنی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لکنّ</w:t>
      </w:r>
      <w:r>
        <w:rPr>
          <w:rStyle w:val="FootnoteAnchor"/>
          <w:rtl w:val="true"/>
        </w:rPr>
        <w:footnoteReference w:id="260"/>
      </w:r>
      <w:r>
        <w:rPr>
          <w:rFonts w:ascii="IRNazanin" w:hAnsi="IRNazanin" w:eastAsia="IRNazanin"/>
          <w:color w:val="111111"/>
          <w:sz w:val="28"/>
          <w:sz w:val="28"/>
          <w:szCs w:val="28"/>
          <w:rtl w:val="true"/>
          <w:lang w:bidi="fa-IR"/>
        </w:rPr>
        <w:t>الأحوط</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وأحوط من ذلک الإتمام ثمّ الإعادة فی سعة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أحوط من جهة، وخلاف الاحتیاط من جهة اُخری، فالأحوط الإتمام ثمّ الإعادة، کما احتاط لذلک رحمه‌الله فی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الإتمام ثمّ الإعادة؛ کی لا یحتمل قطع الصلاة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إبطالها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بإتمام الصلاة والإعادة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إتمامها وإعادتها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خلاف الاحتیاط؛ من جهة أنّه لو کان حکم المسألة البناء علی الصحّة یحرم علیه إتیان المنافی للصحّة، فالأحوط الإتمام ثمّ الإعادة، کما علیه الماتن فی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تکرارها بقصد الأعمّ من الافتتاح والذکر المطلق، أو إتمام الصلاة ثمّ استئنافها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بأحد المنافیات، ثمَّ استئنافها، وإن شکّ فی</w:t>
      </w:r>
    </w:p>
    <w:p>
      <w:pPr>
        <w:pStyle w:val="BookText"/>
        <w:rPr/>
      </w:pPr>
      <w:r>
        <w:rPr>
          <w:rFonts w:ascii="IRNazanin" w:hAnsi="IRNazanin" w:eastAsia="IRNazanin"/>
          <w:color w:val="111111"/>
          <w:sz w:val="28"/>
          <w:sz w:val="28"/>
          <w:szCs w:val="28"/>
          <w:rtl w:val="true"/>
          <w:lang w:bidi="fa-IR"/>
        </w:rPr>
        <w:t>الصحّة بعد الدخول فی ما بعدها بنی علی الصحّة</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الشکّ فی الصحّة ناشئاً عن الشکّ فی وجود المانع، أو مانعیّة الموجود، بل کان ناشئاً عن الشکّ فی وجود جزء أو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وإذا کبّر ثمّ 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نفسه فی حال القیام، فلو شکّ فی القراءة فحیث محلّها باقٍ بعد هذا البناء فعلیه الشروع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حال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کونه تکبیرة الإحرام أو تکبیرة الرکوع بنی علی أ نّه للإحرام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واضح من جهة إحراز دخوله فی الصلاة علی کلّ حال، سواء کانت التکبیرة للإحرام أو للرکوع، فما عن بعضهم من الحکم بالبطلان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فیأتی بالقراءة، إلاّ إذا کان شکّه بعد الهویّ إلی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3278_326377"/>
    </w:p>
    <w:p>
      <w:pPr>
        <w:pStyle w:val="Heading2"/>
        <w:numPr>
          <w:ilvl w:val="1"/>
          <w:numId w:val="1"/>
        </w:numPr>
        <w:rPr/>
      </w:pPr>
      <w:bookmarkStart w:id="229" w:name="__RefHeading___Toc1840731_2322387425"/>
      <w:bookmarkStart w:id="230" w:name="_Toc83"/>
      <w:bookmarkEnd w:id="228"/>
      <w:bookmarkEnd w:id="229"/>
      <w:r>
        <w:rPr>
          <w:rtl w:val="true"/>
        </w:rPr>
        <w:t>فصل فی القیام</w:t>
      </w:r>
      <w:bookmarkEnd w:id="230"/>
    </w:p>
    <w:p>
      <w:pPr>
        <w:pStyle w:val="Heading3"/>
        <w:numPr>
          <w:ilvl w:val="2"/>
          <w:numId w:val="1"/>
        </w:numPr>
        <w:rPr/>
      </w:pPr>
      <w:bookmarkStart w:id="231" w:name="__RefHeading___Toc1840733_2322387425"/>
      <w:bookmarkStart w:id="232" w:name="_Toc84"/>
      <w:bookmarkEnd w:id="231"/>
      <w:r>
        <w:rPr>
          <w:rtl w:val="true"/>
        </w:rPr>
        <w:t>التعریف بأقسام القیام</w:t>
      </w:r>
      <w:bookmarkEnd w:id="232"/>
    </w:p>
    <w:p>
      <w:pPr>
        <w:pStyle w:val="BookText"/>
        <w:rPr/>
      </w:pPr>
      <w:r>
        <w:rPr>
          <w:rFonts w:ascii="IRNazanin" w:hAnsi="IRNazanin" w:eastAsia="IRNazanin"/>
          <w:color w:val="111111"/>
          <w:sz w:val="28"/>
          <w:sz w:val="28"/>
          <w:szCs w:val="28"/>
          <w:rtl w:val="true"/>
          <w:lang w:bidi="fa-IR"/>
        </w:rPr>
        <w:t>وهو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رکن</w:t>
      </w:r>
      <w:r>
        <w:rPr>
          <w:rStyle w:val="FootnoteAnchor"/>
          <w:rtl w:val="true"/>
        </w:rPr>
        <w:footnoteReference w:id="263"/>
      </w:r>
    </w:p>
    <w:p>
      <w:pPr>
        <w:pStyle w:val="Heading3"/>
        <w:numPr>
          <w:ilvl w:val="2"/>
          <w:numId w:val="1"/>
        </w:numPr>
        <w:rPr/>
      </w:pPr>
      <w:bookmarkStart w:id="233" w:name="__RefHeading___Toc1840735_2322387425"/>
      <w:bookmarkStart w:id="234" w:name="_Toc85"/>
      <w:bookmarkEnd w:id="233"/>
      <w:r>
        <w:rPr>
          <w:rtl w:val="true"/>
        </w:rPr>
        <w:t>القیام حال التکبیرة، و المتصل بارکوع واجب رکنی</w:t>
      </w:r>
      <w:bookmarkEnd w:id="234"/>
    </w:p>
    <w:p>
      <w:pPr>
        <w:pStyle w:val="BookText"/>
        <w:rPr/>
      </w:pPr>
      <w:r>
        <w:rPr>
          <w:rFonts w:ascii="IRNazanin" w:hAnsi="IRNazanin" w:eastAsia="IRNazanin"/>
          <w:color w:val="111111"/>
          <w:sz w:val="28"/>
          <w:sz w:val="28"/>
          <w:szCs w:val="28"/>
          <w:rtl w:val="true"/>
          <w:lang w:bidi="fa-IR"/>
        </w:rPr>
        <w:t>وهو القیام حال تکبیرة</w:t>
      </w:r>
      <w:r>
        <w:rPr>
          <w:rStyle w:val="FootnoteAnchor"/>
          <w:rtl w:val="true"/>
        </w:rPr>
        <w:footnoteReference w:id="264"/>
      </w:r>
      <w:r>
        <w:rPr>
          <w:rFonts w:ascii="IRNazanin" w:hAnsi="IRNazanin" w:eastAsia="IRNazanin"/>
          <w:color w:val="111111"/>
          <w:sz w:val="28"/>
          <w:sz w:val="28"/>
          <w:szCs w:val="28"/>
          <w:rtl w:val="true"/>
          <w:lang w:bidi="fa-IR"/>
        </w:rPr>
        <w:t>الإحرام</w:t>
      </w:r>
      <w:r>
        <w:rPr>
          <w:rStyle w:val="FootnoteAnchor"/>
          <w:rtl w:val="true"/>
        </w:rPr>
        <w:footnoteReference w:id="265"/>
      </w:r>
      <w:r>
        <w:rPr>
          <w:rFonts w:ascii="IRNazanin" w:hAnsi="IRNazanin" w:eastAsia="IRNazanin"/>
          <w:color w:val="111111"/>
          <w:sz w:val="28"/>
          <w:sz w:val="28"/>
          <w:szCs w:val="28"/>
          <w:rtl w:val="true"/>
          <w:lang w:bidi="fa-IR"/>
        </w:rPr>
        <w:t>، والقیام المتّصل بالرکوع</w:t>
      </w:r>
      <w:r>
        <w:rPr>
          <w:rStyle w:val="FootnoteAnchor"/>
          <w:rtl w:val="true"/>
        </w:rPr>
        <w:footnoteReference w:id="266"/>
      </w:r>
      <w:r>
        <w:rPr>
          <w:rFonts w:ascii="IRNazanin" w:hAnsi="IRNazanin" w:eastAsia="IRNazanin"/>
          <w:color w:val="111111"/>
          <w:sz w:val="28"/>
          <w:sz w:val="28"/>
          <w:szCs w:val="28"/>
          <w:rtl w:val="true"/>
          <w:lang w:bidi="fa-IR"/>
        </w:rPr>
        <w:t>، بمعنی أن یکون الرکوع عن قیام، فلو کبّر للإحرام جالساً أو فی حال النهوض بطل ولو کان سهواً، وکذا لو رکع لا عن قیام بأن قرأ جالساً ثمّ رکع، أو جلس بعد القراءة أو فی أثنائها ورکع بأن نهض متقوّساً إلی هیئة الرکوع القیامیّ، وکذا لو جلس ثمّ قام متقوّساً</w:t>
      </w:r>
      <w:r>
        <w:rPr>
          <w:rStyle w:val="FootnoteAnchor"/>
          <w:rtl w:val="true"/>
        </w:rPr>
        <w:footnoteReference w:id="267"/>
      </w:r>
      <w:r>
        <w:rPr>
          <w:rFonts w:ascii="IRNazanin" w:hAnsi="IRNazanin" w:eastAsia="IRNazanin"/>
          <w:color w:val="111111"/>
          <w:sz w:val="28"/>
          <w:sz w:val="28"/>
          <w:szCs w:val="28"/>
          <w:rtl w:val="true"/>
          <w:lang w:bidi="fa-IR"/>
        </w:rPr>
        <w:t>من غیر أن ینتصب</w:t>
      </w:r>
      <w:r>
        <w:rPr>
          <w:rStyle w:val="FootnoteAnchor"/>
          <w:rtl w:val="true"/>
        </w:rPr>
        <w:footnoteReference w:id="268"/>
      </w:r>
      <w:r>
        <w:rPr>
          <w:rFonts w:ascii="Amiri" w:hAnsi="Amiri" w:eastAsia="Amiri" w:cs="Amiri"/>
          <w:color w:val="111111"/>
          <w:sz w:val="28"/>
          <w:sz w:val="28"/>
          <w:szCs w:val="28"/>
          <w:rtl w:val="true"/>
          <w:lang w:bidi="ar-SA"/>
        </w:rPr>
        <w:t>ثمّ یرکع</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فقد الانتصاب سهواً لا یوجب البطلان؛ لعدم دخله فی حقیقة القیام، والدلیل وهو الإجماع إنّما دلّ علی بطلان الصلاة بفقد أصل القیام المتّصل بالرکوع، ولم یدلّ دلیل علی بطلانها بفقد قید من قیوده کالانتصاب، ومقتضی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مع فقده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الإخلال بالانتصاب سهواً لا یضرّ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235" w:name="pg13278_326378"/>
    </w:p>
    <w:p>
      <w:pPr>
        <w:pStyle w:val="Heading3"/>
        <w:numPr>
          <w:ilvl w:val="2"/>
          <w:numId w:val="1"/>
        </w:numPr>
        <w:rPr/>
      </w:pPr>
      <w:bookmarkStart w:id="236" w:name="__RefHeading___Toc1840737_2322387425"/>
      <w:bookmarkStart w:id="237" w:name="_Toc86"/>
      <w:bookmarkEnd w:id="235"/>
      <w:bookmarkEnd w:id="236"/>
      <w:r>
        <w:rPr>
          <w:rtl w:val="true"/>
        </w:rPr>
        <w:t>القیام حال القراءة و بعد الرکوع واجب غیر رکنی</w:t>
      </w:r>
      <w:bookmarkEnd w:id="237"/>
    </w:p>
    <w:p>
      <w:pPr>
        <w:pStyle w:val="BookText"/>
        <w:rPr/>
      </w:pPr>
      <w:r>
        <w:rPr>
          <w:rFonts w:ascii="Amiri" w:hAnsi="Amiri" w:eastAsia="Amiri" w:cs="Amiri"/>
          <w:color w:val="111111"/>
          <w:sz w:val="28"/>
          <w:sz w:val="28"/>
          <w:szCs w:val="28"/>
          <w:rtl w:val="true"/>
          <w:lang w:bidi="ar-SA"/>
        </w:rPr>
        <w:t>ولو کان ذلک کلّه سهواً</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فی هذه الصورة متفرّع علی مدخلیته فی القیام، وإلاّ فلو کان واجباً غیر معتبر فیه بل مطلوباً مستقلاًّ حاله یمکن المصیر إلی الصحّة عند ترکه فی صورة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یستفاد من الأدلّة أنّ صحّة شرط الرکوع فی حال الاختیار أن یکون مسبوقاً بالهویّ القیامیّ الانتصابی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وواجب 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القیام حال القراءة، وبعد الرکوع</w:t>
      </w:r>
      <w:r>
        <w:rPr>
          <w:rFonts w:eastAsia="IRNazanin" w:cs="IRNazanin"/>
          <w:color w:val="111111"/>
          <w:sz w:val="28"/>
          <w:szCs w:val="28"/>
          <w:rtl w:val="true"/>
          <w:lang w:bidi="fa-IR"/>
        </w:rPr>
        <w:t>.</w:t>
      </w:r>
    </w:p>
    <w:p>
      <w:pPr>
        <w:pStyle w:val="Heading3"/>
        <w:numPr>
          <w:ilvl w:val="2"/>
          <w:numId w:val="1"/>
        </w:numPr>
        <w:rPr/>
      </w:pPr>
      <w:bookmarkStart w:id="238" w:name="__RefHeading___Toc1840739_2322387425"/>
      <w:bookmarkStart w:id="239" w:name="_Toc87"/>
      <w:bookmarkEnd w:id="238"/>
      <w:r>
        <w:rPr>
          <w:rtl w:val="true"/>
        </w:rPr>
        <w:t>القیام المستحب و المباح</w:t>
      </w:r>
      <w:bookmarkEnd w:id="239"/>
    </w:p>
    <w:p>
      <w:pPr>
        <w:pStyle w:val="BookText"/>
        <w:rPr/>
      </w:pPr>
      <w:r>
        <w:rPr>
          <w:rFonts w:ascii="IRNazanin" w:hAnsi="IRNazanin" w:eastAsia="IRNazanin"/>
          <w:color w:val="111111"/>
          <w:sz w:val="28"/>
          <w:sz w:val="28"/>
          <w:szCs w:val="28"/>
          <w:rtl w:val="true"/>
          <w:lang w:bidi="fa-IR"/>
        </w:rPr>
        <w:t>ومستحبّ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القیام حال القنوت، وحال تکبیر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القیام بعد القراءة أو التسبیح أو القنوت أو فی أثنائها مقداراً من غیر أن یشتغل بشیء، وذلک فی غیر المتّصل بالرکوع، وغیر الطویل الماحی للصورة</w:t>
      </w:r>
      <w:r>
        <w:rPr>
          <w:rFonts w:eastAsia="IRNazanin" w:cs="IRNazanin"/>
          <w:color w:val="111111"/>
          <w:sz w:val="28"/>
          <w:szCs w:val="28"/>
          <w:rtl w:val="true"/>
          <w:lang w:bidi="fa-IR"/>
        </w:rPr>
        <w:t>.</w:t>
      </w:r>
    </w:p>
    <w:p>
      <w:pPr>
        <w:pStyle w:val="Heading3"/>
        <w:numPr>
          <w:ilvl w:val="2"/>
          <w:numId w:val="1"/>
        </w:numPr>
        <w:rPr/>
      </w:pPr>
      <w:bookmarkStart w:id="240" w:name="__RefHeading___Toc1840741_2322387425"/>
      <w:bookmarkStart w:id="241" w:name="_Toc88"/>
      <w:bookmarkEnd w:id="240"/>
      <w:r>
        <w:rPr>
          <w:rtl w:val="true"/>
        </w:rPr>
        <w:t>حکم القیام حال تکبیرة الإحرام و قبلها و بعدها</w:t>
      </w:r>
      <w:bookmarkEnd w:id="2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القیام حال تکبیرة الإحرام من أوّلها إلی آخرها، بل یجب من باب المقدّمة</w:t>
      </w:r>
      <w:r>
        <w:rPr>
          <w:rStyle w:val="FootnoteAnchor"/>
          <w:rtl w:val="true"/>
        </w:rPr>
        <w:footnoteReference w:id="271"/>
      </w:r>
      <w:r>
        <w:rPr>
          <w:rFonts w:ascii="IRNazanin" w:hAnsi="IRNazanin" w:eastAsia="IRNazanin"/>
          <w:color w:val="111111"/>
          <w:sz w:val="28"/>
          <w:sz w:val="28"/>
          <w:szCs w:val="28"/>
          <w:rtl w:val="true"/>
          <w:lang w:bidi="fa-IR"/>
        </w:rPr>
        <w:t xml:space="preserve">قبلها وبعدها، فلو کان جالساً وقام للدخول فی </w:t>
      </w:r>
      <w:bookmarkStart w:id="242" w:name="pg13278_326379"/>
    </w:p>
    <w:p>
      <w:pPr>
        <w:pStyle w:val="BookText"/>
        <w:rPr/>
      </w:pPr>
      <w:bookmarkEnd w:id="242"/>
      <w:r>
        <w:rPr>
          <w:rFonts w:ascii="IRNazanin" w:hAnsi="IRNazanin" w:eastAsia="IRNazanin"/>
          <w:color w:val="111111"/>
          <w:sz w:val="28"/>
          <w:sz w:val="28"/>
          <w:szCs w:val="28"/>
          <w:rtl w:val="true"/>
          <w:lang w:bidi="fa-IR"/>
        </w:rPr>
        <w:t>الصلاة وکان حرف واحد من تکبیرة الإحرام حال النهوض قبل تحقّق القیام بطل، کما أ نّه لو کبّر المأموم وکان الراء من أکبر حال الهویِّ للرکوع کان باطلاً، بل یجب أن یستقرّ</w:t>
      </w:r>
      <w:r>
        <w:rPr>
          <w:rStyle w:val="FootnoteAnchor"/>
          <w:rtl w:val="true"/>
        </w:rPr>
        <w:footnoteReference w:id="272"/>
      </w:r>
      <w:r>
        <w:rPr>
          <w:rFonts w:ascii="Amiri" w:hAnsi="Amiri" w:eastAsia="Amiri" w:cs="Amiri"/>
          <w:color w:val="111111"/>
          <w:sz w:val="28"/>
          <w:sz w:val="28"/>
          <w:szCs w:val="28"/>
          <w:rtl w:val="true"/>
          <w:lang w:bidi="ar-SA"/>
        </w:rPr>
        <w:t>قائماً، ثمّ یکبّر ویکون مستقرّاً بعد التکبیر</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یرکع</w:t>
      </w:r>
      <w:r>
        <w:rPr>
          <w:rFonts w:eastAsia="IRNazanin" w:cs="IRNazanin"/>
          <w:color w:val="111111"/>
          <w:sz w:val="28"/>
          <w:szCs w:val="28"/>
          <w:rtl w:val="true"/>
          <w:lang w:bidi="fa-IR"/>
        </w:rPr>
        <w:t>.</w:t>
      </w:r>
    </w:p>
    <w:p>
      <w:pPr>
        <w:pStyle w:val="Heading3"/>
        <w:numPr>
          <w:ilvl w:val="2"/>
          <w:numId w:val="1"/>
        </w:numPr>
        <w:rPr/>
      </w:pPr>
      <w:bookmarkStart w:id="243" w:name="__RefHeading___Toc1840743_2322387425"/>
      <w:bookmarkStart w:id="244" w:name="_Toc89"/>
      <w:bookmarkEnd w:id="243"/>
      <w:r>
        <w:rPr>
          <w:rtl w:val="true"/>
        </w:rPr>
        <w:t>حکم القیام حال القراءة و التسبیحات</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القیام حال القراءة وحال التسبیحات الأربع شرط فیهما، أو واجب حالهما؟ وجهان، الأحوط الأوّل</w:t>
      </w:r>
      <w:r>
        <w:rPr>
          <w:rStyle w:val="FootnoteAnchor"/>
          <w:rtl w:val="true"/>
        </w:rPr>
        <w:footnoteReference w:id="274"/>
      </w:r>
      <w:r>
        <w:rPr>
          <w:rFonts w:ascii="IRNazanin" w:hAnsi="IRNazanin" w:eastAsia="IRNazanin"/>
          <w:color w:val="111111"/>
          <w:sz w:val="28"/>
          <w:sz w:val="28"/>
          <w:szCs w:val="28"/>
          <w:rtl w:val="true"/>
          <w:lang w:bidi="fa-IR"/>
        </w:rPr>
        <w:t>، والأظهر الثانی</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الأظهر الأول؛ إذ کلّ جزءٍ من أجزاء الصلاة مشروط بالأجزاء الاُخر؛ لارتباطیّتها، وعلیه فالقراءة فی غیر حال القیام فاقدة للشرط، فیجب الاستئناف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قرأ جالساً نسیاناً ثمّ تذکّر بعدها أو فی أثنائها صحّت قراءته وفات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بلحاظ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للقراءة، وأمّا القیام لتحصیل الرکوع عن قیام فمحلّه باقٍ فیجب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القیام حال القراءة، فیجب القیام المتّصل بالرکوع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وجب للرکوع عن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ولایجب استئناف القراءة</w:t>
      </w:r>
      <w:r>
        <w:rPr>
          <w:rStyle w:val="FootnoteAnchor"/>
          <w:rtl w:val="true"/>
        </w:rPr>
        <w:footnoteReference w:id="276"/>
      </w:r>
      <w:r>
        <w:rPr>
          <w:rFonts w:ascii="IRNazanin" w:hAnsi="IRNazanin" w:eastAsia="IRNazanin"/>
          <w:color w:val="111111"/>
          <w:sz w:val="28"/>
          <w:sz w:val="28"/>
          <w:szCs w:val="28"/>
          <w:rtl w:val="true"/>
          <w:lang w:bidi="fa-IR"/>
        </w:rPr>
        <w:t>، لکنّ الأحوط</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یأتیه بقصد ما فی الذمّة، ولو بملاحظة دخل القیام فی جزئیّة القراءة، وإن کان فی غایة الوهن،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فی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زین الدین،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الاستئناف بقصد الاحتیاط واحتمال جزئیتها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عبدالهادی الشیرازی، الحکیم، الشاهرودی، أحمد الخونساری، الآملی،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ما أفاده من الاحتیاط، ولیکن الاستئناف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باستئناف القراءة قائماً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الاستئناف؛ فإنّ ارتباطیة الأجزاء تقتضی الاشتراط، و محلّ التدارک 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استئنافها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بقصد احتمال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245" w:name="pg13278_326381"/>
    </w:p>
    <w:p>
      <w:pPr>
        <w:pStyle w:val="BookText"/>
        <w:rPr/>
      </w:pPr>
      <w:bookmarkEnd w:id="245"/>
      <w:r>
        <w:rPr>
          <w:rFonts w:ascii="Amiri" w:hAnsi="Amiri" w:eastAsia="Amiri" w:cs="Amiri"/>
          <w:color w:val="111111"/>
          <w:sz w:val="28"/>
          <w:sz w:val="28"/>
          <w:szCs w:val="28"/>
          <w:rtl w:val="true"/>
          <w:lang w:bidi="ar-SA"/>
        </w:rPr>
        <w:t>قائماً</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Heading3"/>
        <w:numPr>
          <w:ilvl w:val="2"/>
          <w:numId w:val="1"/>
        </w:numPr>
        <w:rPr/>
      </w:pPr>
      <w:bookmarkStart w:id="246" w:name="__RefHeading___Toc1840745_2322387425"/>
      <w:bookmarkStart w:id="247" w:name="_Toc90"/>
      <w:bookmarkEnd w:id="246"/>
      <w:r>
        <w:rPr>
          <w:rtl w:val="true"/>
        </w:rPr>
        <w:t>المراد من استحبابیة القیام حال القنوت</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کون القیام مستحبّاً حال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یجوز ترکه بترکه</w:t>
      </w:r>
      <w:r>
        <w:rPr>
          <w:rStyle w:val="FootnoteAnchor"/>
          <w:rtl w:val="true"/>
        </w:rPr>
        <w:footnoteReference w:id="279"/>
      </w:r>
      <w:r>
        <w:rPr>
          <w:rFonts w:ascii="IRNazanin" w:hAnsi="IRNazanin" w:eastAsia="IRNazanin"/>
          <w:color w:val="111111"/>
          <w:sz w:val="28"/>
          <w:sz w:val="28"/>
          <w:szCs w:val="28"/>
          <w:rtl w:val="true"/>
          <w:lang w:bidi="fa-IR"/>
        </w:rPr>
        <w:t>، لا أ نّه یجوز الإتیان بالقنوت جالساً عمداً، لکن نقل عن بعض العلماء جواز إتیانه جالساً، وأنّ القیام مستحبّ فیه لا شرط، وعلی ما ذکرنا فلو أتی به جالساً عمداً</w:t>
      </w:r>
      <w:r>
        <w:rPr>
          <w:rStyle w:val="FootnoteAnchor"/>
          <w:rtl w:val="true"/>
        </w:rPr>
        <w:footnoteReference w:id="280"/>
      </w:r>
      <w:r>
        <w:rPr>
          <w:rFonts w:ascii="IRNazanin" w:hAnsi="IRNazanin" w:eastAsia="IRNazanin"/>
          <w:color w:val="111111"/>
          <w:sz w:val="28"/>
          <w:sz w:val="28"/>
          <w:szCs w:val="28"/>
          <w:rtl w:val="true"/>
          <w:lang w:bidi="fa-IR"/>
        </w:rPr>
        <w:t>لم یأتِ بوظیفة القنوت، بل تبطل</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اللازم، إلاّ إذا أتی به بقصد مطلق الدعاء فلا یضرّ بصلاته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رجع إلی قصد التشریع فی أصل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البطلان، ولکنّ 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لمکان اشتراط القیام فی القنوت عنده قدس‌سره ، فالقنوت الفاقد للشرط لیس بمطلوب، بل زیادة عمدیّة، لکنّ المبنی والمبنیّ علیه کلاهما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248" w:name="pg13278_326382"/>
    </w:p>
    <w:p>
      <w:pPr>
        <w:pStyle w:val="BookText"/>
        <w:rPr/>
      </w:pPr>
      <w:bookmarkEnd w:id="248"/>
      <w:r>
        <w:rPr>
          <w:rFonts w:ascii="IRNazanin" w:hAnsi="IRNazanin" w:eastAsia="IRNazanin"/>
          <w:color w:val="111111"/>
          <w:sz w:val="28"/>
          <w:sz w:val="28"/>
          <w:szCs w:val="28"/>
          <w:rtl w:val="true"/>
          <w:lang w:bidi="fa-IR"/>
        </w:rPr>
        <w:t>للزیادة</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مبطلیّة مطلق الزیادة حتّی فی مثل القنوت، لکنّه محلّ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جاء به بقصد الجزئیّة وبعنوان الوظیفة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 الحکیم،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نعم، 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إن لم یتحقّق منه قصد مطلق الذکر، والاحتیاط حینئذٍ بالإتمام ثمّ الإعادة ، والفتوی منه قدس‌سره بالبطلان هنا تنافی ما یأتی منه فی المسألة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 فی الصحّة إن ترک الاستقرار فی الأذکار المندوبة، مع وحدة الدلیل فی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بطلانها إشکال، والأحوط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نظر، والحکم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840747_2322387425"/>
      <w:bookmarkStart w:id="250" w:name="_Toc91"/>
      <w:bookmarkEnd w:id="249"/>
      <w:r>
        <w:rPr>
          <w:rtl w:val="true"/>
        </w:rPr>
        <w:t>حکم نسیان القیام حال القراءة</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القیام حال القراءة وتذکّر بعد الوصول إلی حدّ الرکوع</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به عن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رکوعه عن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الجزم بالصحّة مشکل؛ للإشکال فی شمول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أثناء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الإعادة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w:t>
      </w:r>
    </w:p>
    <w:p>
      <w:pPr>
        <w:pStyle w:val="BookText"/>
        <w:rPr/>
      </w:pPr>
      <w:r>
        <w:rPr>
          <w:rFonts w:ascii="IRNazanin" w:hAnsi="IRNazanin" w:eastAsia="IRNazanin"/>
          <w:color w:val="111111"/>
          <w:sz w:val="28"/>
          <w:sz w:val="28"/>
          <w:szCs w:val="28"/>
          <w:rtl w:val="true"/>
          <w:lang w:bidi="fa-IR"/>
        </w:rPr>
        <w:t>صلاته</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رکع عن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رکع عن قیام بعد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رکوعه المفروض عن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رکوعه عن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زین الدین، السیستانی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رکوعه عن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رکع عن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تذکّر قبله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أنّه الأظهر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استئناف القراءة تماماً، وإن کان الأقوی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المسألة الثانیة أنّه 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عدم جواز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3278_326384"/>
    </w:p>
    <w:p>
      <w:pPr>
        <w:pStyle w:val="Heading3"/>
        <w:numPr>
          <w:ilvl w:val="2"/>
          <w:numId w:val="1"/>
        </w:numPr>
        <w:rPr/>
      </w:pPr>
      <w:bookmarkStart w:id="252" w:name="__RefHeading___Toc1840749_2322387425"/>
      <w:bookmarkStart w:id="253" w:name="_Toc92"/>
      <w:bookmarkEnd w:id="251"/>
      <w:bookmarkEnd w:id="252"/>
      <w:r>
        <w:rPr>
          <w:rtl w:val="true"/>
        </w:rPr>
        <w:t>المراد من القیام المتصل بالرکوع</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القراءة أو بعضها وتذکّر بعد الرکوع صحّت</w:t>
      </w:r>
      <w:r>
        <w:rPr>
          <w:rStyle w:val="FootnoteAnchor"/>
          <w:rtl w:val="true"/>
        </w:rPr>
        <w:footnoteReference w:id="285"/>
      </w:r>
      <w:r>
        <w:rPr>
          <w:rFonts w:ascii="IRNazanin" w:hAnsi="IRNazanin" w:eastAsia="IRNazanin"/>
          <w:color w:val="111111"/>
          <w:sz w:val="28"/>
          <w:sz w:val="28"/>
          <w:szCs w:val="28"/>
          <w:rtl w:val="true"/>
          <w:lang w:bidi="fa-IR"/>
        </w:rPr>
        <w:t>صلاته إن رکع عن قیام، فلیس المراد من کون القیام المتّصل بالرکوع رکناً أن یکون بعد تمام القراءة</w:t>
      </w:r>
      <w:r>
        <w:rPr>
          <w:rFonts w:eastAsia="IRNazanin" w:cs="IRNazanin"/>
          <w:color w:val="111111"/>
          <w:sz w:val="28"/>
          <w:szCs w:val="28"/>
          <w:rtl w:val="true"/>
          <w:lang w:bidi="fa-IR"/>
        </w:rPr>
        <w:t>.</w:t>
      </w:r>
    </w:p>
    <w:p>
      <w:pPr>
        <w:pStyle w:val="Heading3"/>
        <w:numPr>
          <w:ilvl w:val="2"/>
          <w:numId w:val="1"/>
        </w:numPr>
        <w:rPr/>
      </w:pPr>
      <w:bookmarkStart w:id="254" w:name="__RefHeading___Toc1840751_2322387425"/>
      <w:bookmarkStart w:id="255" w:name="_Toc93"/>
      <w:bookmarkEnd w:id="254"/>
      <w:r>
        <w:rPr>
          <w:rtl w:val="true"/>
        </w:rPr>
        <w:t>الکلام فی زیادة القیام</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القیام کما لو قام فی محلّ</w:t>
      </w:r>
      <w:r>
        <w:rPr>
          <w:rStyle w:val="FootnoteAnchor"/>
          <w:rtl w:val="true"/>
        </w:rPr>
        <w:footnoteReference w:id="286"/>
      </w:r>
      <w:r>
        <w:rPr>
          <w:rFonts w:ascii="IRNazanin" w:hAnsi="IRNazanin" w:eastAsia="IRNazanin"/>
          <w:color w:val="111111"/>
          <w:sz w:val="28"/>
          <w:sz w:val="28"/>
          <w:szCs w:val="28"/>
          <w:rtl w:val="true"/>
          <w:lang w:bidi="fa-IR"/>
        </w:rPr>
        <w:t>القعود</w:t>
      </w:r>
      <w:r>
        <w:rPr>
          <w:rStyle w:val="FootnoteAnchor"/>
          <w:rtl w:val="true"/>
        </w:rPr>
        <w:footnoteReference w:id="287"/>
      </w:r>
      <w:r>
        <w:rPr>
          <w:rFonts w:ascii="IRNazanin" w:hAnsi="IRNazanin" w:eastAsia="IRNazanin"/>
          <w:color w:val="111111"/>
          <w:sz w:val="28"/>
          <w:sz w:val="28"/>
          <w:szCs w:val="28"/>
          <w:rtl w:val="true"/>
          <w:lang w:bidi="fa-IR"/>
        </w:rPr>
        <w:t>سهواً لا تبطل</w:t>
      </w:r>
      <w:r>
        <w:rPr>
          <w:rStyle w:val="FootnoteAnchor"/>
          <w:rtl w:val="true"/>
        </w:rPr>
        <w:footnoteReference w:id="288"/>
      </w:r>
      <w:r>
        <w:rPr>
          <w:rFonts w:ascii="IRNazanin" w:hAnsi="IRNazanin" w:eastAsia="IRNazanin"/>
          <w:color w:val="111111"/>
          <w:sz w:val="28"/>
          <w:sz w:val="28"/>
          <w:szCs w:val="28"/>
          <w:rtl w:val="true"/>
          <w:lang w:bidi="fa-IR"/>
        </w:rPr>
        <w:t>صلاته، وکذا إذا زاد القیام حال القراءة بأن زاد القراءة سهواً، وأمّا زیادة القیام الرکنیّ فغیر متصوّرة من دون زیادة رکن آخر؛ فإنّ القیام حال تکبیرة الإحرام لا یزاد إلاّ بزیادتها، وکذا القیام المتّصل بالرکوع لایزاد إلاّ بزیادته، وإلاّ فلو نسی القراءة أو بعضها فهوی للرکوع وتذکّر قبل أن یصل</w:t>
      </w:r>
      <w:r>
        <w:rPr>
          <w:rStyle w:val="FootnoteAnchor"/>
          <w:rtl w:val="true"/>
        </w:rPr>
        <w:footnoteReference w:id="289"/>
      </w:r>
      <w:r>
        <w:rPr>
          <w:rFonts w:ascii="IRNazanin" w:hAnsi="IRNazanin" w:eastAsia="IRNazanin"/>
          <w:color w:val="111111"/>
          <w:sz w:val="28"/>
          <w:sz w:val="28"/>
          <w:szCs w:val="28"/>
          <w:rtl w:val="true"/>
          <w:lang w:bidi="fa-IR"/>
        </w:rPr>
        <w:t>إلی حدّ الرکوع رجع وأتی بما نسی، ثمّ رکع وصحّت صلاته، ولا یکون القیام السابق علی الهویِّ الأوّل متّصلاً بالرکوع حتّی یلزم زیادته؛ إذ لم یتحقّق الرکوع بعده فلم یکن متّصلاً به، وکذا إذا انحنی للرکوع فتذکّر قبل أن یصل إلی حدّه أ نّه أتی به فإنّه یجلس للسجدة، ولا یکون قیامه قبل الانحناء متّصلاً بالرکوع لیلزم الزیادة</w:t>
      </w:r>
      <w:r>
        <w:rPr>
          <w:rFonts w:eastAsia="IRNazanin" w:cs="IRNazanin"/>
          <w:color w:val="111111"/>
          <w:sz w:val="28"/>
          <w:szCs w:val="28"/>
          <w:rtl w:val="true"/>
          <w:lang w:bidi="fa-IR"/>
        </w:rPr>
        <w:t>.</w:t>
      </w:r>
    </w:p>
    <w:p>
      <w:pPr>
        <w:pStyle w:val="Heading3"/>
        <w:numPr>
          <w:ilvl w:val="2"/>
          <w:numId w:val="1"/>
        </w:numPr>
        <w:rPr/>
      </w:pPr>
      <w:bookmarkStart w:id="256" w:name="__RefHeading___Toc1840753_2322387425"/>
      <w:bookmarkStart w:id="257" w:name="_Toc94"/>
      <w:bookmarkEnd w:id="256"/>
      <w:r>
        <w:rPr>
          <w:rtl w:val="true"/>
        </w:rPr>
        <w:t>الشک فی القیام بعد تجاوزه</w:t>
      </w:r>
      <w:bookmarkEnd w:id="25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القیام حال التکبیر بعد الدخول فی ما بعده</w:t>
      </w:r>
      <w:r>
        <w:rPr>
          <w:rStyle w:val="FootnoteAnchor"/>
          <w:rtl w:val="true"/>
        </w:rPr>
        <w:footnoteReference w:id="29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فی القیام المتّصل بالرکوع بعد الوصول إلی حدّه</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کون الهیئة الخاصّة عن قیام لم یحرز کونها رکوعاً، ومعه لم یحرز الدخول فی الغیر، وعلیه فالأحوط الرجوع إلی القیام ثمّ الرکوع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أن یرجع إلی القیام ثمّ یرکع و یتمّ الصلاة، ثمّ یعیدها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فی القیام بعد الرکوع بعد الهَویِّ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ولو قبل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هذا الفرض وجوب العود إلی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هذه الصورة أحوطه التدارک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هذه الصورة وجوب العود إلی القیام؛ لعدم جریان قاعدة التجاوز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 هذا الفرض وجوب العود إلی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لابدّ من الاعتناء بالشکّ فی هذا المورد، وإنّما لا یعتنی به إذا کان بعد الدخول فی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إشکال، والأحوط العود إلی القیام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258" w:name="pg13278_326386"/>
    </w:p>
    <w:p>
      <w:pPr>
        <w:pStyle w:val="BookText"/>
        <w:rPr/>
      </w:pPr>
      <w:bookmarkEnd w:id="258"/>
      <w:r>
        <w:rPr>
          <w:rFonts w:ascii="Amiri" w:hAnsi="Amiri" w:eastAsia="Amiri" w:cs="Amiri"/>
          <w:color w:val="111111"/>
          <w:sz w:val="28"/>
          <w:sz w:val="28"/>
          <w:szCs w:val="28"/>
          <w:rtl w:val="true"/>
          <w:lang w:bidi="ar-SA"/>
        </w:rPr>
        <w:t>لم یعتنِ</w:t>
      </w:r>
      <w:r>
        <w:rPr>
          <w:rStyle w:val="FootnoteAnchor"/>
          <w:rtl w:val="true"/>
        </w:rPr>
        <w:footnoteReference w:id="292"/>
      </w:r>
      <w:r>
        <w:rPr>
          <w:rFonts w:ascii="IRNazanin" w:hAnsi="IRNazanin" w:eastAsia="IRNazanin"/>
          <w:color w:val="111111"/>
          <w:sz w:val="28"/>
          <w:sz w:val="28"/>
          <w:szCs w:val="28"/>
          <w:rtl w:val="true"/>
          <w:lang w:bidi="fa-IR"/>
        </w:rPr>
        <w:t>به</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الاختصاص فی مجری التجاوز، بل تعمیمها بالنسبة إلی مقدّمات أفعال الصلاة وإلی الأفعال غیر الأصلیّة المعنونة المخصوصة، وإلاّ فیشکل الأمر، والأحوط حینئذٍ العود إلی القیام، ثمّ الرکوع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وبنی علی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840755_2322387425"/>
      <w:bookmarkStart w:id="260" w:name="_Toc95"/>
      <w:bookmarkEnd w:id="259"/>
      <w:r>
        <w:rPr>
          <w:rtl w:val="true"/>
        </w:rPr>
        <w:t>ما یعتبر فی القیام</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القیام الانتصاب</w:t>
      </w:r>
      <w:r>
        <w:rPr>
          <w:rStyle w:val="FootnoteAnchor"/>
          <w:rtl w:val="true"/>
        </w:rPr>
        <w:footnoteReference w:id="294"/>
      </w:r>
      <w:r>
        <w:rPr>
          <w:rFonts w:ascii="IRNazanin" w:hAnsi="IRNazanin" w:eastAsia="IRNazanin"/>
          <w:color w:val="111111"/>
          <w:sz w:val="28"/>
          <w:sz w:val="28"/>
          <w:szCs w:val="28"/>
          <w:rtl w:val="true"/>
          <w:lang w:bidi="fa-IR"/>
        </w:rPr>
        <w:t>والاستقرار</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فی القیام المتّصل بالرکوع لا یخلو من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الاستقرار فی القیام المتّصل بالرکوع 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القیام المتّصل بالرکوع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الاستقرار والاستقلال مبنیّ علی الاحتیاط؛ فإنّ دلیل اعتبار الأول ضعیف، ودلیل اعتبار الثانی مضافاً إلی ضعفه معارض بما هو تامّ سنداً ومتأخّر صدوراً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مقابل الجری والمشی، وأمّا بمعنی السکون والطمأنینة فإطلاق اعتباره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والاستقلال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فی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وجواز الاستناد علی کراهة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الاستناد حیث یکون مقیماً صُلبه قویّ جدّاً، وإن کان الاحتیاط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الاستقلال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الاختیار، فلو انحنی قلیلاً أو مال إلی أحد الجانبین</w:t>
      </w:r>
      <w:r>
        <w:rPr>
          <w:rStyle w:val="FootnoteAnchor"/>
          <w:rtl w:val="true"/>
        </w:rPr>
        <w:footnoteReference w:id="296"/>
      </w:r>
      <w:r>
        <w:rPr>
          <w:rFonts w:ascii="IRNazanin" w:hAnsi="IRNazanin" w:eastAsia="IRNazanin"/>
          <w:color w:val="111111"/>
          <w:sz w:val="28"/>
          <w:sz w:val="28"/>
          <w:szCs w:val="28"/>
          <w:rtl w:val="true"/>
          <w:lang w:bidi="fa-IR"/>
        </w:rPr>
        <w:t>بطل، وکذا إذا لم یکن مستقرّاً، أو کان مستنداً</w:t>
      </w:r>
      <w:r>
        <w:rPr>
          <w:rStyle w:val="FootnoteAnchor"/>
          <w:rtl w:val="true"/>
        </w:rPr>
        <w:footnoteReference w:id="297"/>
      </w:r>
      <w:r>
        <w:rPr>
          <w:rFonts w:ascii="IRNazanin" w:hAnsi="IRNazanin" w:eastAsia="IRNazanin"/>
          <w:color w:val="111111"/>
          <w:sz w:val="28"/>
          <w:sz w:val="28"/>
          <w:szCs w:val="28"/>
          <w:rtl w:val="true"/>
          <w:lang w:bidi="fa-IR"/>
        </w:rPr>
        <w:t>علی شیء من إ نسان أو جدار أو خشبة أو نحوها</w:t>
      </w:r>
      <w:r>
        <w:rPr>
          <w:rStyle w:val="FootnoteAnchor"/>
          <w:rtl w:val="true"/>
        </w:rPr>
        <w:footnoteReference w:id="298"/>
      </w:r>
      <w:r>
        <w:rPr>
          <w:rFonts w:ascii="IRNazanin" w:hAnsi="IRNazanin" w:eastAsia="IRNazanin"/>
          <w:color w:val="111111"/>
          <w:sz w:val="28"/>
          <w:sz w:val="28"/>
          <w:szCs w:val="28"/>
          <w:rtl w:val="true"/>
          <w:lang w:bidi="fa-IR"/>
        </w:rPr>
        <w:t>، نعم، لا بأس بشیءٍ منها حال الاضطرار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یعتبر فیه عدم التفریج بین الرجلین فاحشاً بحیث یخرج</w:t>
      </w:r>
      <w:r>
        <w:rPr>
          <w:rStyle w:val="FootnoteAnchor"/>
          <w:rtl w:val="true"/>
        </w:rPr>
        <w:footnoteReference w:id="299"/>
      </w:r>
      <w:r>
        <w:rPr>
          <w:rFonts w:ascii="IRNazanin" w:hAnsi="IRNazanin" w:eastAsia="IRNazanin"/>
          <w:color w:val="111111"/>
          <w:sz w:val="28"/>
          <w:sz w:val="28"/>
          <w:szCs w:val="28"/>
          <w:rtl w:val="true"/>
          <w:lang w:bidi="fa-IR"/>
        </w:rPr>
        <w:t>عن صدق القیام</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یخرج عن صدقه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کان بغیر الفاحش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بأس،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القدمین دون الأصابع وأصل القدمین،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تأمّل، فالاحتیاط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فیهما وفی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بالوقوف علیهما تماماً، وترک الوقوف علی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ولا یُترک الاحتیاط، وکذا فی الوقوف علی رِجلٍ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کفایتهما</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إجزاء الوقوف علی الواحدة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کفایة الواحدة نظر، أو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بحیث لا یرفع الباقی من القدم، بل یمسّ به الأرض، وإلاّ ففیه إشکال، والأقرب عدم إجزاء الوقوف علی الواحدة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القیام بتلک الکیفیة والکیفیة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الوقوف علی الواحدة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وکذا الوقوف علی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کفایتهما إشکال، وکذلک فی إجزاء الوقوف علی الواحدة،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الوقوف علی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بالوقوف علی القدمین، والأقوی عدم إجزاء الوقوف علی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وکذا الوقوف علی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والأقوی عدم جواز الاکتفاء بواحدة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bookmarkStart w:id="261" w:name="pg13278_326390"/>
    </w:p>
    <w:p>
      <w:pPr>
        <w:pStyle w:val="BookText"/>
        <w:rPr/>
      </w:pPr>
      <w:bookmarkEnd w:id="261"/>
      <w:r>
        <w:rPr>
          <w:rFonts w:ascii="IRNazanin" w:hAnsi="IRNazanin" w:eastAsia="IRNazanin"/>
          <w:color w:val="111111"/>
          <w:sz w:val="28"/>
          <w:sz w:val="28"/>
          <w:szCs w:val="28"/>
          <w:rtl w:val="true"/>
          <w:lang w:bidi="fa-IR"/>
        </w:rPr>
        <w:t>الوقوف</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یجزی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الوقوف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الإطراق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العُنُق أیضاً، وإن کان الأقوی جواز الإطراق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840757_2322387425"/>
      <w:bookmarkStart w:id="263" w:name="_Toc96"/>
      <w:bookmarkEnd w:id="262"/>
      <w:r>
        <w:rPr>
          <w:rtl w:val="true"/>
        </w:rPr>
        <w:t>الإخلال بشرائط القیام نسیاناً</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الانتصاب</w:t>
      </w:r>
      <w:r>
        <w:rPr>
          <w:rStyle w:val="FootnoteAnchor"/>
          <w:rtl w:val="true"/>
        </w:rPr>
        <w:footnoteReference w:id="304"/>
      </w:r>
      <w:r>
        <w:rPr>
          <w:rFonts w:ascii="IRNazanin" w:hAnsi="IRNazanin" w:eastAsia="IRNazanin"/>
          <w:color w:val="111111"/>
          <w:sz w:val="28"/>
          <w:sz w:val="28"/>
          <w:szCs w:val="28"/>
          <w:rtl w:val="true"/>
          <w:lang w:bidi="fa-IR"/>
        </w:rPr>
        <w:t>أو الاستقرار أو الاستقلال ناسیاً صحّت</w:t>
      </w:r>
      <w:r>
        <w:rPr>
          <w:rStyle w:val="FootnoteAnchor"/>
          <w:rtl w:val="true"/>
        </w:rPr>
        <w:footnoteReference w:id="305"/>
      </w:r>
      <w:r>
        <w:rPr>
          <w:rFonts w:ascii="IRNazanin" w:hAnsi="IRNazanin" w:eastAsia="IRNazanin"/>
          <w:color w:val="111111"/>
          <w:sz w:val="28"/>
          <w:sz w:val="28"/>
          <w:szCs w:val="28"/>
          <w:rtl w:val="true"/>
          <w:lang w:bidi="fa-IR"/>
        </w:rPr>
        <w:t>صلاته</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مع نسیان الانتصاب فی القیام الرکنی لاتخلو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ذلک فی القیام الرکنیّ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منافٍ لِما تقدّم فی المسألة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القیام الرُکنی علیه، وإلاّ فلا إشکال فی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فی بعض الصور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 ، الآملی،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إعادة الصلاة،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هذا الاحتیاط فی المشی مثلاً فی القیام الرکنی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264" w:name="pg13278_326391"/>
    </w:p>
    <w:p>
      <w:pPr>
        <w:pStyle w:val="BookText"/>
        <w:rPr/>
      </w:pPr>
      <w:bookmarkEnd w:id="264"/>
      <w:r>
        <w:rPr>
          <w:rFonts w:ascii="IRNazanin" w:hAnsi="IRNazanin" w:eastAsia="IRNazanin"/>
          <w:color w:val="111111"/>
          <w:sz w:val="28"/>
          <w:sz w:val="28"/>
          <w:szCs w:val="28"/>
          <w:rtl w:val="true"/>
          <w:lang w:bidi="fa-IR"/>
        </w:rPr>
        <w:t>فیه</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وقد تقدّم منه الفتوی بالبطلان فی ترک الاستقرار سهواً فی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أحمد الخونساری، الخمینی ،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فی الانتصاب، وکذا فی الاستقرار قبال المشی؛ لاحتمال دخلهما فی أصل جزئیّتهما، لا أ نّهما شرطان فی أصل الصلاة حال القیام کی لا یشملهما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أفعال الصلاة، ح</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الشأن فی غیرهما؛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إعادة الصلاة، ولا یُترک، بل لا یُترک الاحتیاط بإعادة القراءة أو الذکر فی</w:t>
      </w:r>
    </w:p>
    <w:p>
      <w:pPr>
        <w:pStyle w:val="BookText"/>
        <w:rPr/>
      </w:pPr>
      <w:r>
        <w:rPr>
          <w:rFonts w:ascii="IRNazanin" w:hAnsi="IRNazanin" w:eastAsia="IRNazanin"/>
          <w:color w:val="111111"/>
          <w:sz w:val="28"/>
          <w:sz w:val="28"/>
          <w:szCs w:val="28"/>
          <w:rtl w:val="true"/>
          <w:lang w:bidi="fa-IR"/>
        </w:rPr>
        <w:t>غیر الرکنی إذا تذکّر وهو فی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المشی فی القیام الرکنی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Heading3"/>
        <w:numPr>
          <w:ilvl w:val="2"/>
          <w:numId w:val="1"/>
        </w:numPr>
        <w:rPr/>
      </w:pPr>
      <w:bookmarkStart w:id="265" w:name="__RefHeading___Toc1840759_2322387425"/>
      <w:bookmarkStart w:id="266" w:name="_Toc97"/>
      <w:bookmarkEnd w:id="265"/>
      <w:r>
        <w:rPr>
          <w:rtl w:val="true"/>
        </w:rPr>
        <w:t>حکم الاعتماد علی إحدی الرجلین حال القیام</w:t>
      </w:r>
      <w:bookmarkEnd w:id="26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تسویة</w:t>
      </w:r>
      <w:r>
        <w:rPr>
          <w:rStyle w:val="FootnoteAnchor"/>
          <w:rtl w:val="true"/>
        </w:rPr>
        <w:footnoteReference w:id="308"/>
      </w:r>
      <w:r>
        <w:rPr>
          <w:rFonts w:ascii="IRNazanin" w:hAnsi="IRNazanin" w:eastAsia="IRNazanin"/>
          <w:color w:val="111111"/>
          <w:sz w:val="28"/>
          <w:sz w:val="28"/>
          <w:szCs w:val="28"/>
          <w:rtl w:val="true"/>
          <w:lang w:bidi="fa-IR"/>
        </w:rPr>
        <w:t>الرجلین</w:t>
      </w:r>
      <w:r>
        <w:rPr>
          <w:rStyle w:val="FootnoteAnchor"/>
          <w:rtl w:val="true"/>
        </w:rPr>
        <w:footnoteReference w:id="309"/>
      </w:r>
      <w:r>
        <w:rPr>
          <w:rFonts w:ascii="IRNazanin" w:hAnsi="IRNazanin" w:eastAsia="IRNazanin"/>
          <w:color w:val="111111"/>
          <w:sz w:val="28"/>
          <w:sz w:val="28"/>
          <w:szCs w:val="28"/>
          <w:rtl w:val="true"/>
          <w:lang w:bidi="fa-IR"/>
        </w:rPr>
        <w:t xml:space="preserve">فی الاعتماد، فیجوز أن </w:t>
      </w:r>
      <w:bookmarkStart w:id="267" w:name="pg13278_326392"/>
    </w:p>
    <w:p>
      <w:pPr>
        <w:pStyle w:val="BookText"/>
        <w:rPr/>
      </w:pPr>
      <w:bookmarkEnd w:id="267"/>
      <w:r>
        <w:rPr>
          <w:rFonts w:ascii="IRNazanin" w:hAnsi="IRNazanin" w:eastAsia="IRNazanin"/>
          <w:color w:val="111111"/>
          <w:sz w:val="28"/>
          <w:sz w:val="28"/>
          <w:szCs w:val="28"/>
          <w:rtl w:val="true"/>
          <w:lang w:bidi="fa-IR"/>
        </w:rPr>
        <w:t>یکون الاعتماد علی إحداهما</w:t>
      </w:r>
      <w:r>
        <w:rPr>
          <w:rStyle w:val="FootnoteAnchor"/>
          <w:rtl w:val="true"/>
        </w:rPr>
        <w:footnoteReference w:id="310"/>
      </w:r>
      <w:r>
        <w:rPr>
          <w:rFonts w:ascii="IRNazanin" w:hAnsi="IRNazanin" w:eastAsia="IRNazanin"/>
          <w:color w:val="111111"/>
          <w:sz w:val="28"/>
          <w:sz w:val="28"/>
          <w:szCs w:val="28"/>
          <w:rtl w:val="true"/>
          <w:lang w:bidi="fa-IR"/>
        </w:rPr>
        <w:t>ولو علی القول بوجوب</w:t>
      </w:r>
      <w:r>
        <w:rPr>
          <w:rStyle w:val="FootnoteAnchor"/>
          <w:rtl w:val="true"/>
        </w:rPr>
        <w:footnoteReference w:id="311"/>
      </w:r>
      <w:r>
        <w:rPr>
          <w:rFonts w:ascii="IRNazanin" w:hAnsi="IRNazanin" w:eastAsia="IRNazanin"/>
          <w:color w:val="111111"/>
          <w:sz w:val="28"/>
          <w:sz w:val="28"/>
          <w:szCs w:val="28"/>
          <w:rtl w:val="true"/>
          <w:lang w:bidi="fa-IR"/>
        </w:rPr>
        <w:t>الوقوف علیهما</w:t>
      </w:r>
      <w:r>
        <w:rPr>
          <w:rFonts w:eastAsia="IRNazanin" w:cs="IRNazanin"/>
          <w:color w:val="111111"/>
          <w:sz w:val="28"/>
          <w:szCs w:val="28"/>
          <w:rtl w:val="true"/>
          <w:lang w:bidi="fa-IR"/>
        </w:rPr>
        <w:t>.</w:t>
      </w:r>
    </w:p>
    <w:p>
      <w:pPr>
        <w:pStyle w:val="Heading3"/>
        <w:numPr>
          <w:ilvl w:val="2"/>
          <w:numId w:val="1"/>
        </w:numPr>
        <w:rPr/>
      </w:pPr>
      <w:bookmarkStart w:id="268" w:name="__RefHeading___Toc1840761_2322387425"/>
      <w:bookmarkStart w:id="269" w:name="_Toc98"/>
      <w:bookmarkEnd w:id="268"/>
      <w:r>
        <w:rPr>
          <w:rtl w:val="true"/>
        </w:rPr>
        <w:t>حکم الاعتماد والمعتمد علیه فی حال الاضطرار</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حال الاضطرار بین الاعتماد علی الحائط أو الإنسان أو الخشبة</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تقدیم الخشبة علی غیرها فی الأقطع؛ رعایةً لِما هو الأقرب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یعتبر فی سناد الأقطع أن تکون خشبته المعدّة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لمشیه، بل یجوز له الاعتماد علی غیرها من المذکورات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313"/>
      </w:r>
      <w:r>
        <w:rPr>
          <w:rFonts w:ascii="IRNazanin" w:hAnsi="IRNazanin" w:eastAsia="IRNazanin"/>
          <w:color w:val="111111"/>
          <w:sz w:val="28"/>
          <w:sz w:val="28"/>
          <w:szCs w:val="28"/>
          <w:rtl w:val="true"/>
          <w:lang w:bidi="fa-IR"/>
        </w:rPr>
        <w:t>شراء</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استعارته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عند الاضطرار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استئجاره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التوقّف علیهما</w:t>
      </w:r>
      <w:r>
        <w:rPr>
          <w:rFonts w:eastAsia="IRNazanin" w:cs="IRNazanin"/>
          <w:color w:val="111111"/>
          <w:sz w:val="28"/>
          <w:szCs w:val="28"/>
          <w:rtl w:val="true"/>
          <w:lang w:bidi="fa-IR"/>
        </w:rPr>
        <w:t>.</w:t>
      </w:r>
    </w:p>
    <w:p>
      <w:pPr>
        <w:pStyle w:val="Heading3"/>
        <w:numPr>
          <w:ilvl w:val="2"/>
          <w:numId w:val="1"/>
        </w:numPr>
        <w:rPr/>
      </w:pPr>
      <w:bookmarkStart w:id="270" w:name="__RefHeading___Toc1840763_2322387425"/>
      <w:bookmarkStart w:id="271" w:name="_Toc99"/>
      <w:bookmarkEnd w:id="270"/>
      <w:r>
        <w:rPr>
          <w:rtl w:val="true"/>
        </w:rPr>
        <w:t>مقدمیة القیام الاضطراری بأقسامه علی الجلوس</w:t>
      </w:r>
      <w:bookmarkEnd w:id="27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الاضطراریّ بأقسامه</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مع الانحناء، أو </w:t>
      </w:r>
    </w:p>
    <w:p>
      <w:pPr>
        <w:pStyle w:val="BookText"/>
        <w:rPr/>
      </w:pPr>
      <w:r>
        <w:rPr>
          <w:rFonts w:ascii="IRNazanin" w:hAnsi="IRNazanin" w:eastAsia="IRNazanin"/>
          <w:color w:val="111111"/>
          <w:sz w:val="28"/>
          <w:sz w:val="28"/>
          <w:szCs w:val="28"/>
          <w:rtl w:val="true"/>
          <w:lang w:bidi="fa-IR"/>
        </w:rPr>
        <w:t>المیل إلی أحد الجانبین، أو مع الاعتماد، أو مع عدم الاستقرار، أو مع التفریج</w:t>
      </w:r>
      <w:r>
        <w:rPr>
          <w:rStyle w:val="FootnoteAnchor"/>
          <w:rtl w:val="true"/>
        </w:rPr>
        <w:footnoteReference w:id="316"/>
      </w:r>
      <w:r>
        <w:rPr>
          <w:rFonts w:ascii="IRNazanin" w:hAnsi="IRNazanin" w:eastAsia="IRNazanin"/>
          <w:color w:val="111111"/>
          <w:sz w:val="28"/>
          <w:sz w:val="28"/>
          <w:szCs w:val="28"/>
          <w:rtl w:val="true"/>
          <w:lang w:bidi="fa-IR"/>
        </w:rPr>
        <w:t>الفاحش</w:t>
      </w:r>
      <w:r>
        <w:rPr>
          <w:rStyle w:val="FootnoteAnchor"/>
          <w:rtl w:val="true"/>
        </w:rPr>
        <w:footnoteReference w:id="317"/>
      </w:r>
      <w:r>
        <w:rPr>
          <w:rFonts w:ascii="IRNazanin" w:hAnsi="IRNazanin" w:eastAsia="IRNazanin"/>
          <w:color w:val="111111"/>
          <w:sz w:val="28"/>
          <w:sz w:val="28"/>
          <w:szCs w:val="28"/>
          <w:rtl w:val="true"/>
          <w:lang w:bidi="fa-IR"/>
        </w:rPr>
        <w:t>بین الرجلین</w:t>
      </w:r>
      <w:r>
        <w:rPr>
          <w:rStyle w:val="FootnoteAnchor"/>
          <w:rtl w:val="true"/>
        </w:rPr>
        <w:footnoteReference w:id="318"/>
      </w:r>
      <w:r>
        <w:rPr>
          <w:rFonts w:ascii="IRNazanin" w:hAnsi="IRNazanin" w:eastAsia="IRNazanin"/>
          <w:color w:val="111111"/>
          <w:sz w:val="28"/>
          <w:sz w:val="28"/>
          <w:szCs w:val="28"/>
          <w:rtl w:val="true"/>
          <w:lang w:bidi="fa-IR"/>
        </w:rPr>
        <w:t>مقدّم علی الجلوس</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بالنسبة إلی التفریج الفاحش، والأحوط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التفریج إنّما هو مع صدق القیام کما هو المفروض، وإلاّ فالجلوس مقدَّم علیه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التفریج الفاحش، وفیه 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القیام، والأحوط مع عدم لزوم المحذور تکرار الصلاة بالتفریج تارةً، وبالجلوس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علیه القیام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علیه القیام، أمّا إن لم یصدق القیام فالظاهر تقدّم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یتمّ فی الثلاثة الاُوَل، وأمّا فی الأخیرین فالأظهر تقدم الجلوس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ما إذا لم یکن الانحناء أو المیل أو التفریج بحدٍّ لا یصدق علیه القیام مطلقاً، ولو فی حقّ من لا یقدر علی أزید منه لنقصٍ فی خلقته أو لغیره، وإلاّ فالظاهر تقدّم الجلوس علیه ، ولعلّ هذا خارج عن محطّ نظر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دار</w:t>
      </w:r>
    </w:p>
    <w:p>
      <w:pPr>
        <w:pStyle w:val="BookText"/>
        <w:rPr/>
      </w:pPr>
      <w:r>
        <w:rPr>
          <w:rFonts w:ascii="IRNazanin" w:hAnsi="IRNazanin" w:eastAsia="IRNazanin"/>
          <w:color w:val="111111"/>
          <w:sz w:val="28"/>
          <w:sz w:val="28"/>
          <w:szCs w:val="28"/>
          <w:rtl w:val="true"/>
          <w:lang w:bidi="fa-IR"/>
        </w:rPr>
        <w:t>الأمر بین التفریج</w:t>
      </w:r>
      <w:r>
        <w:rPr>
          <w:rStyle w:val="FootnoteAnchor"/>
          <w:rtl w:val="true"/>
        </w:rPr>
        <w:footnoteReference w:id="320"/>
      </w:r>
      <w:r>
        <w:rPr>
          <w:rFonts w:ascii="IRNazanin" w:hAnsi="IRNazanin" w:eastAsia="IRNazanin"/>
          <w:color w:val="111111"/>
          <w:sz w:val="28"/>
          <w:sz w:val="28"/>
          <w:szCs w:val="28"/>
          <w:rtl w:val="true"/>
          <w:lang w:bidi="fa-IR"/>
        </w:rPr>
        <w:t>الفاحش</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جمیع صور الدوران بین أفراد القیام الاضطراری المقدَّم علی الجلوس هو التخییر، وفی صورة الدوران بین أحدها وما هو مؤخّر عن الجلوس یُقدّم ما هو مقدّم علی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والاعتماد أو بینه وبین ترک الاستقرار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قُدِّما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جمیع صور الدوران بالجمع بتکرار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المانع عن صدق القیام، وأمّا غیر المتعارف منه مع صدقه فمقدّم علی الجمیع لدی الدوران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الأحوال المتعارفة وغیرها لو تبیّن أقربیة بعضها عن الآخر أقربیة عرفیة قُدِّم ، وإلاّ فالتخییر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بینه وبین الانحناء، أو المیل إلی أحد الجانبین قدّم ما هو</w:t>
      </w:r>
    </w:p>
    <w:p>
      <w:pPr>
        <w:pStyle w:val="BookText"/>
        <w:rPr/>
      </w:pPr>
      <w:r>
        <w:rPr>
          <w:rFonts w:ascii="IRNazanin" w:hAnsi="IRNazanin" w:eastAsia="IRNazanin"/>
          <w:color w:val="111111"/>
          <w:sz w:val="28"/>
          <w:sz w:val="28"/>
          <w:szCs w:val="28"/>
          <w:rtl w:val="true"/>
          <w:lang w:bidi="fa-IR"/>
        </w:rPr>
        <w:t>أقرب إلی القیام</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تقدیمهما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الأقربیة لا أثر لها، فلو لم یصدق القیام علی شیءٍ منها صلّی جالساً، ولو صدق علی بعضها دون الآخر لزم تقدیمه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العرف، وما ذکره فی المتن من الترجیح فی الدوران وإن لا یخلو من وجه لکن لا یُترک الاحتیاط فی جمیع الموارد بالجمع بتکرار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الدوران تعیّن ما یصدق علیه القیام دون الآخر، وتعیّن الجلوس فی صورة عدم صدق القیام علی إحدی الحالتین، وتعیّن التفریج مع صدقه علی کلتیهما، وقد تقدّم أنّ الأحوط الجمع بین المحتملات بتکرار الصلاة حیث لا محذور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القیام علی أحدهما فقط تعیّن ذلک، وإذا صدق علی کلیهما قُدِّم التفریج، وإذا لم یصدق علی شیءٍ منهما تعیّن الجلوس، ویختلف ذلک باختلاف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وإلاّ فالأحوط التکرار مع عدم الحرج، ومعه فالتخییر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یصدق القیام علی واحد منهما تعیّن الجلوس، وإن صدق علی أحدهما خاصّةً هو المتعیّن، وإن صدق علی کلیهما قُدِّم التفریج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المعتاد، ولکنّ الظاهر تقدّم التفریج علیهما مع صدق القیام الاضطراری علی الجمیع، کما هو مفروض کلامه قدس‌سره ؛ لأنّ فیه یتحقّق قیام الصلب وهو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دار الأمر بین ترک الانتصاب وترک الاستقلال قدّم</w:t>
      </w:r>
    </w:p>
    <w:p>
      <w:pPr>
        <w:pStyle w:val="BookText"/>
        <w:rPr/>
      </w:pPr>
      <w:r>
        <w:rPr>
          <w:rFonts w:ascii="IRNazanin" w:hAnsi="IRNazanin" w:eastAsia="IRNazanin"/>
          <w:color w:val="111111"/>
          <w:sz w:val="28"/>
          <w:sz w:val="28"/>
          <w:szCs w:val="28"/>
          <w:rtl w:val="true"/>
          <w:lang w:bidi="fa-IR"/>
        </w:rPr>
        <w:t>ترک الاستقلال</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فالأحوط تکرار الصلاة، وکذا فی بقیّة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بلزوم التقدیم فی هذا الفرض وکذا فی الفرضین بعده محلّ إشکال ، ولا ینبغی ترک الاحتیاط بالتکرار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فیقوم منتصباً معتمداً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لو دار بین ترک الانتصاب وترک الاستقرار قُدّم 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مراتب ترک الاستقرار موءخّر عن ترک الانتصاب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تختلف مراتب کلٍّ منهما، فقد یُقدَّم ترک الانتصاب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بعض مراتب ترک الاستقرار مؤخّر عن ترک الانتصاب، فالأحوط الجمع بالتکرار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اختلاف مراتب عدم الاستقرار، فقد یُقدّم بعض مراتب عدم الانتصاب علی بعض مراتب عدم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دار بین ترک</w:t>
      </w:r>
      <w:bookmarkStart w:id="272" w:name="pg13278_326397"/>
    </w:p>
    <w:p>
      <w:pPr>
        <w:pStyle w:val="BookText"/>
        <w:rPr/>
      </w:pPr>
      <w:bookmarkEnd w:id="272"/>
      <w:r>
        <w:rPr>
          <w:rFonts w:ascii="Amiri" w:hAnsi="Amiri" w:eastAsia="Amiri" w:cs="Amiri"/>
          <w:color w:val="111111"/>
          <w:sz w:val="28"/>
          <w:sz w:val="28"/>
          <w:szCs w:val="28"/>
          <w:rtl w:val="true"/>
          <w:lang w:bidi="ar-SA"/>
        </w:rPr>
        <w:t>الاستقلال وترک الاستقرار قُدِّم الأوّل</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فمراعاة الانتصاب 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مراعاة الاستقلال والاستقرار، ومراعاة الاستقرار أولی من مراعاة الاستقلال</w:t>
      </w:r>
      <w:r>
        <w:rPr>
          <w:rFonts w:eastAsia="IRNazanin" w:cs="IRNazanin"/>
          <w:color w:val="111111"/>
          <w:sz w:val="28"/>
          <w:szCs w:val="28"/>
          <w:rtl w:val="true"/>
          <w:lang w:bidi="fa-IR"/>
        </w:rPr>
        <w:t>.</w:t>
      </w:r>
    </w:p>
    <w:p>
      <w:pPr>
        <w:pStyle w:val="Heading3"/>
        <w:numPr>
          <w:ilvl w:val="2"/>
          <w:numId w:val="1"/>
        </w:numPr>
        <w:rPr/>
      </w:pPr>
      <w:bookmarkStart w:id="273" w:name="__RefHeading___Toc1840765_2322387425"/>
      <w:bookmarkStart w:id="274" w:name="_Toc100"/>
      <w:bookmarkEnd w:id="273"/>
      <w:r>
        <w:rPr>
          <w:rtl w:val="true"/>
        </w:rPr>
        <w:t>حکم العاجز عن القیام أو الجلوس أو الاستلقاء</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w:t>
      </w:r>
      <w:r>
        <w:rPr>
          <w:rStyle w:val="FootnoteAnchor"/>
          <w:rtl w:val="true"/>
        </w:rPr>
        <w:footnoteReference w:id="325"/>
      </w:r>
      <w:r>
        <w:rPr>
          <w:rFonts w:ascii="Amiri" w:hAnsi="Amiri" w:eastAsia="Amiri" w:cs="Amiri"/>
          <w:color w:val="111111"/>
          <w:sz w:val="28"/>
          <w:sz w:val="28"/>
          <w:szCs w:val="28"/>
          <w:rtl w:val="true"/>
          <w:lang w:bidi="ar-SA"/>
        </w:rPr>
        <w:t>علی القیام کلاًّ ولا بعضاً مطلقاً</w:t>
      </w:r>
      <w:r>
        <w:rPr>
          <w:rStyle w:val="FootnoteAnchor"/>
          <w:rtl w:val="true"/>
        </w:rPr>
        <w:footnoteReference w:id="326"/>
      </w:r>
      <w:r>
        <w:rPr>
          <w:rFonts w:ascii="IRNazanin" w:hAnsi="IRNazanin" w:eastAsia="IRNazanin"/>
          <w:color w:val="111111"/>
          <w:sz w:val="28"/>
          <w:sz w:val="28"/>
          <w:szCs w:val="28"/>
          <w:rtl w:val="true"/>
          <w:lang w:bidi="fa-IR"/>
        </w:rPr>
        <w:t>حتّی ما کان منه بصورة الرکوع</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صدق علیه القیام، کالمخلوق کذلک أو المنحنی ظهره، وإلاّ قدّم الجلوس مع القدرة علیه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 بصورة الرکوع إن صدق علیه القیام کالمنحنی ظهره مقدّم علی الجلوس، وإلاّ فالجلوس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التقدیم صدق عنوان القیام الذی هو عبارة عن الاعتدال، وفی غیر هذه الصورة تصل النوبة إلی القعود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من جلوس، وکان الانتصاب جالساً بدلاً عن القیام، فیجری فیه حینئذٍ جمیع ما ذکر فیه حتّی الاعتماد 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ومع تعذّره صلّی مضطجعاً علی الجانب</w:t>
      </w:r>
      <w:r>
        <w:rPr>
          <w:rStyle w:val="FootnoteAnchor"/>
          <w:rtl w:val="true"/>
        </w:rPr>
        <w:footnoteReference w:id="328"/>
      </w:r>
      <w:r>
        <w:rPr>
          <w:rFonts w:ascii="IRNazanin" w:hAnsi="IRNazanin" w:eastAsia="IRNazanin"/>
          <w:color w:val="111111"/>
          <w:sz w:val="28"/>
          <w:sz w:val="28"/>
          <w:szCs w:val="28"/>
          <w:rtl w:val="true"/>
          <w:lang w:bidi="fa-IR"/>
        </w:rPr>
        <w:t>الأیمن</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مستقبلاً القبلة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کهیئة المدفون، فإن تعذّر فعلی الأیسر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والتخییر بینه وبین الاستلقاء ضعیف لا یُعبَأ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فی الترتیب بین الجانبین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الأوّل، فإن تعذّر صلّی مستلقیاً کالمحتضر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الانحناء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المصلّی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الجالس، لا المضطجع والمستلقی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الانحناء بما أمکن خلاف القاعدة؛ إذ لا صلاة لمن لم یُقِمْ صُلْبَه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الصلاة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علی الجالس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القاعد مع صدق الرکوع والسجود ولو برفع ما یسجد علیه ووضع الرأس علیه، وإلاّ فالأحوط الانحناء والإیماء بالرأس، قاصداً لأداء الوظیفة بأیّهما حصل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للجالس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أمّا إذا تمکّن من الانحناء بحدٍّ یصدق الرکوع والسجود فیجب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صدق الرکوع والسجود لا دلیل علی وجوب الانحناء بما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والسجود</w:t>
      </w:r>
      <w:r>
        <w:rPr>
          <w:rStyle w:val="FootnoteAnchor"/>
          <w:rtl w:val="true"/>
        </w:rPr>
        <w:footnoteReference w:id="330"/>
      </w:r>
      <w:r>
        <w:rPr>
          <w:rFonts w:ascii="IRNazanin" w:hAnsi="IRNazanin" w:eastAsia="IRNazanin"/>
          <w:color w:val="111111"/>
          <w:sz w:val="28"/>
          <w:sz w:val="28"/>
          <w:szCs w:val="28"/>
          <w:rtl w:val="true"/>
          <w:lang w:bidi="fa-IR"/>
        </w:rPr>
        <w:t>بما أمکن</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برفع 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الرکوع والسجود ولو برفع ما یسجد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صدق علی الانحناء الرکوع أو السجود ولو برفع المسجد لوضع الجبهة علیه، وإلاّ لم یجب الانحناء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برفع موضع سجوده بالقدر الممکن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 إمکانه یومئ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ومع تعذّره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فبالعینین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یجمع بین الإیماء وغمضِ العینین إن أمکن، ورفع شیءٍ یضع جبهته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بتغمیضهما، ولیجعل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إیماء</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یلزم ذلک، بل المدار علی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سجوده أخفض منه لرکوعه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غمض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یعتمد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 وعدم وجوب الإیماء بالمساجد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غمضها للرکوع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 أو وضعها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 هذا فی المضطجِع والمستلقِی ، وأمّا الجالس الذی وظیفته الإیماء فالأحوط الأولی أن یضع جبهته علی ما یصحّ السجود علیه بعد رفعه، وکذا یضع ما یتمکّن من سائر المساجد فی محالِّها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وضع الجبهة علی 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صلّی مضطجعاً أو مستلقیاً، وأمّا الجالس فالأقوی عدم وجوب ذلک علیه، بل یضع جبهته علی ما یصحّ السجود علیه مع التمکّن منه ولو برفعه، وإلاّ فیکتفی بالإیماء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علی الجبهة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لولم یتمکّن من وضع الجبهة علیه،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ترکه، وأمّا الإیماء بالمساجد فلم نتصوّر له معنیً معقولاً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وضع الجبهة علیه بعد رفعه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العکس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والإیماء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والإیماء بها أمر ممکن، لکن لادلیل علی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الاُخر</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یلزم الإیماء ظاهراً،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ما یصلّی مع وضع الجبهة علی ما یرفعه کان الأحوط أن یضع علی الأرض ما أمکنه من المساجد الأُخر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لوجوب الإیماء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نعم، مع رفع المسجد ووضع الرأس علیه فاللازم مراعاة وضعها فی محلّها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ولیس بعد المراتب المزبورة حدّ موظّف، فیصلّی کیفما قدر، ولیتحرَّ الأقرب إلی صلاة المختار، وإلاّ فالأقرب إلی صلاة المضطرّ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3278_326403"/>
    </w:p>
    <w:p>
      <w:pPr>
        <w:pStyle w:val="Heading3"/>
        <w:numPr>
          <w:ilvl w:val="2"/>
          <w:numId w:val="1"/>
        </w:numPr>
        <w:rPr/>
      </w:pPr>
      <w:bookmarkStart w:id="276" w:name="__RefHeading___Toc1840767_2322387425"/>
      <w:bookmarkStart w:id="277" w:name="_Toc101"/>
      <w:bookmarkEnd w:id="275"/>
      <w:bookmarkEnd w:id="276"/>
      <w:r>
        <w:rPr>
          <w:rtl w:val="true"/>
        </w:rPr>
        <w:t>حکم التمتکن من القیام و العاجز عن الرکوع قائماً أو السجود</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القیام لکن لم یتمکّن من الرکوع قائماً جلس ورکع</w:t>
      </w:r>
      <w:r>
        <w:rPr>
          <w:rStyle w:val="FootnoteAnchor"/>
          <w:rtl w:val="true"/>
        </w:rPr>
        <w:footnoteReference w:id="335"/>
      </w:r>
      <w:r>
        <w:rPr>
          <w:rFonts w:ascii="Amiri" w:hAnsi="Amiri" w:eastAsia="Amiri" w:cs="Amiri"/>
          <w:color w:val="111111"/>
          <w:sz w:val="28"/>
          <w:sz w:val="28"/>
          <w:szCs w:val="28"/>
          <w:rtl w:val="true"/>
          <w:lang w:bidi="ar-SA"/>
        </w:rPr>
        <w:t>جالساً</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أن یرکع بالإیماء ویصلّی صلاةً اُخری، ویجلس ویرکع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ضیق الوقت واستمرار العذر إلی آخر الوقت،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یومئ للرکوع قائماً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یتمکّن من الرکوع والسجود صلّی قائماً وأومأ للرکوع والسجود وانحنی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الانحناء للسجود حال القیام لیس بلازم، نعم، إن تمکّن من الجلوس والانحناء المحقّق للسجود ولو برفع ما یسجد علیه وجب ذلک، وإلاّ فالواجب هو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للرکوع فقط إذا صدق الرکوع فی الجملة، وإلاّ کفی مجرّد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الانحناء لهما؛ حیث لا یعدّ من مراتبهما، وکذا الأقوی أنّ إیماء السجود لا یجب لأجله الجلوس، وأمّا وضع ما یصحّ السجود علیه علی الجبهة فقد مرّ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الرکوع فیقصد ما هو الرکوع فی علم اللّه ویأتی بهما احتیاطاً، وأمّا فی السجود فالواجب هو الإیماء، ولا دلیل علی وجوب الانحناء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الانحناء لهما بقدر الإمکان، نعم، إذا تمکّن من الانحناء بمقدار الرکوع الناقص فهو رکوعه، ولا یجب علیه الإیماء له، کما أنّه لو تمکّن من السجود جالساً ولو برفع ما یسجد علیه 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 للسجود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الظاهرعدم وجوبه وعدم وجوب الجلوس للإیماء إلی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الرکوع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الانحناء للسجود فی حال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الانحناء للسجود حال القیام لیس بواجب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w:t>
      </w:r>
    </w:p>
    <w:p>
      <w:pPr>
        <w:pStyle w:val="BookText"/>
        <w:rPr/>
      </w:pPr>
      <w:r>
        <w:rPr>
          <w:rFonts w:ascii="IRNazanin" w:hAnsi="IRNazanin" w:eastAsia="IRNazanin"/>
          <w:color w:val="111111"/>
          <w:sz w:val="28"/>
          <w:sz w:val="28"/>
          <w:szCs w:val="28"/>
          <w:rtl w:val="true"/>
          <w:lang w:bidi="fa-IR"/>
        </w:rPr>
        <w:t>الإمکان</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ینحنی للرکوع ولو یسیراً بالمقدار الممکن، کما سیأتی فی المسألة الثانیة من فصل الرکوع، ثمّ ینحنی للسجود ولو برفع موضع سجوده، کما تقدّم، فإن لم یتمکّن أومأ وغمّض عینیه ورفع شیئاً یضع جبهته علیه،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صدق الرکوع والسجود فالظاهر کفایة الإیماء، ولایجب الانحناء، ولا الجلوس لإیماء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 مع عدم التمکّن من الانحناء المحقّق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لوجوب الانحناء للسجود أصلاً، بل ولا للرکوع مع عدم صدقه علیه عرفاً، کما هو المفروض، وکذا الحال فی ما ذکره من الجلوس للإیماء إلی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 . . . . . . . .</w:t>
      </w:r>
    </w:p>
    <w:p>
      <w:pPr>
        <w:pStyle w:val="BookText"/>
        <w:rPr/>
      </w:pPr>
      <w:r>
        <w:rPr>
          <w:rFonts w:ascii="IRNazanin" w:hAnsi="IRNazanin" w:eastAsia="IRNazanin"/>
          <w:color w:val="111111"/>
          <w:sz w:val="28"/>
          <w:sz w:val="28"/>
          <w:szCs w:val="28"/>
          <w:rtl w:val="true"/>
          <w:lang w:bidi="fa-IR"/>
        </w:rPr>
        <w:t>وإن تمکّن من الجلوس جلس</w:t>
      </w:r>
      <w:r>
        <w:rPr>
          <w:rStyle w:val="FootnoteAnchor"/>
          <w:rtl w:val="true"/>
        </w:rPr>
        <w:footnoteReference w:id="338"/>
      </w:r>
      <w:r>
        <w:rPr>
          <w:rFonts w:ascii="IRNazanin" w:hAnsi="IRNazanin" w:eastAsia="IRNazanin"/>
          <w:color w:val="111111"/>
          <w:sz w:val="28"/>
          <w:sz w:val="28"/>
          <w:szCs w:val="28"/>
          <w:rtl w:val="true"/>
          <w:lang w:bidi="fa-IR"/>
        </w:rPr>
        <w:t>لإیماء</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 وکذا لا یجب وضع 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یتجاوز عن مجرّد الإیماء ولم یمکنه السجود الاضطراری فلا یجب الجلوس لإیماء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وانحنی بقدر الإمکان إذا صدق السجود فی الجملة ولو برفع ما یسجد علیه، وإلاّ کفی مجرّد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أمکنه إیجاد مسمّی السجود الاضطراری یقدَّم علی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یتمکّن من السجدات البدلیة أصلاً، وإلاّ فهی مقدّمة علی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 أو وضعها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278" w:name="pg13278_326406"/>
    </w:p>
    <w:p>
      <w:pPr>
        <w:pStyle w:val="BookText"/>
        <w:rPr/>
      </w:pPr>
      <w:bookmarkEnd w:id="278"/>
      <w:r>
        <w:rPr>
          <w:rFonts w:ascii="IRNazanin" w:hAnsi="IRNazanin" w:eastAsia="IRNazanin"/>
          <w:color w:val="111111"/>
          <w:sz w:val="28"/>
          <w:sz w:val="28"/>
          <w:szCs w:val="28"/>
          <w:rtl w:val="true"/>
          <w:lang w:bidi="fa-IR"/>
        </w:rPr>
        <w:t>وضع</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مراعیاً لوضع الجبهة علیه، لا وضعه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بترکه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وضع الجبهة علی 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ما مرَّ من وضع الجبهة علیه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السجود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جبهته إن أمکن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840769_2322387425"/>
      <w:bookmarkStart w:id="280" w:name="_Toc102"/>
      <w:bookmarkEnd w:id="279"/>
      <w:r>
        <w:rPr>
          <w:rtl w:val="true"/>
        </w:rPr>
        <w:t>الحکم فی ترک القیام أو ترک الرکوع و السجود</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أمره بین الصلاة قائماً مومئاً أو جالساً مع الرکوع والسجود فالأحوط</w:t>
      </w:r>
      <w:r>
        <w:rPr>
          <w:rStyle w:val="FootnoteAnchor"/>
          <w:rtl w:val="true"/>
        </w:rPr>
        <w:footnoteReference w:id="341"/>
      </w:r>
      <w:r>
        <w:rPr>
          <w:rFonts w:ascii="IRNazanin" w:hAnsi="IRNazanin" w:eastAsia="IRNazanin"/>
          <w:color w:val="111111"/>
          <w:sz w:val="28"/>
          <w:sz w:val="28"/>
          <w:szCs w:val="28"/>
          <w:rtl w:val="true"/>
          <w:lang w:bidi="fa-IR"/>
        </w:rPr>
        <w:t>تکرار الصلاة</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الاکتفاء بصلاة واحدة، والجمع بین الإیماء قائماً والرکوع من جلوس مع قصد ما هو الرکوع فی علم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لا یبعد لزوم اختیار الأوّل فی السعة فضلاً عن الضیق، لکن لا ینبغی ترک الاحتیاط بالتکرار فی السعة واختیار الأوّل فی الضیق والقضاء جالساً، بل لا یُترک فی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الأظهر هو التخییر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هو التخییر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یتعیّن الأوّل والأولی الجمع، وکذا فی المسألة الأتیة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تعیّن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الضیق یتخیّر</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الجلوس والرکوع والسجود معه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الثانی، فیصلّی جالساً مع الرکوع والسجود، ویقضی الأول علی الأحوط وقد تقدم ذلک فی فصل مکان المصلی فی الشرط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الأمرین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یختار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الضیق تقدیم القیام مع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تقدیم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تعیّن الصلاة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یصلّی قائماً مُومِئاً فی وجهٍ 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الأرجح تقدیم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إختیار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الأوّل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ویحتاط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تقدیم الثانی، وقضاء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الأوّل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یختار الثانی، ویقضی صلاة کاملة بعد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یأتی بالأوّل فی الوقت، وبالثانی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الإتیان بأحدهما فی الوقت، وبالآخر فی خارجه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تقدیم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الثانی، ویحتاط بالقضاء للأوّل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تعیّن الأول، والأحوط القضاء جالساً إن لم یتجدّد له التمکّن، وإلاّ فالقضاء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تقدیم الثانی، وقضاء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تقدیم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الأوّل ، ولا تبعد کفایته فی فرض السعة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3278_326408"/>
    </w:p>
    <w:p>
      <w:pPr>
        <w:pStyle w:val="Heading3"/>
        <w:numPr>
          <w:ilvl w:val="2"/>
          <w:numId w:val="1"/>
        </w:numPr>
        <w:rPr/>
      </w:pPr>
      <w:bookmarkStart w:id="282" w:name="__RefHeading___Toc1840771_2322387425"/>
      <w:bookmarkStart w:id="283" w:name="_Toc103"/>
      <w:bookmarkEnd w:id="281"/>
      <w:bookmarkEnd w:id="282"/>
      <w:r>
        <w:rPr>
          <w:rtl w:val="true"/>
        </w:rPr>
        <w:t>دوران الأمر بین الصلاة قائماً ماشیاً أو جالساً</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أمره بین الصلاة قائماً ماشیاً أو جالساً فالأحوط</w:t>
      </w:r>
      <w:r>
        <w:rPr>
          <w:rStyle w:val="FootnoteAnchor"/>
          <w:rtl w:val="true"/>
        </w:rPr>
        <w:footnoteReference w:id="344"/>
      </w:r>
      <w:r>
        <w:rPr>
          <w:rFonts w:ascii="IRNazanin" w:hAnsi="IRNazanin" w:eastAsia="IRNazanin"/>
          <w:color w:val="111111"/>
          <w:sz w:val="28"/>
          <w:sz w:val="28"/>
          <w:szCs w:val="28"/>
          <w:rtl w:val="true"/>
          <w:lang w:bidi="fa-IR"/>
        </w:rPr>
        <w:t>التکرار</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الضیق لا یبعد تقدیم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الضیق یختار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السعة وفی الضیّق وجه، اختیار الثانی قویّ، والأحوط القضاء علی النحو الأوّل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لو ضاق الوقت صلّی جالساً، ویقضی الآخر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الضیق لا یبعد تقدیم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الضیق یختار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الضیق یختار الثانی فی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الصلاة جالساً، وفی الضیق یتعیّن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الضیق الأحوط أن یصلّی جالساً،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الضیق یختار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مع الضیق یختار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الضیق یختار الثانی، ویقضی الآخر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ضاق الوقت صلّی جالساً علی الأظهر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الضیق یختار الثانی فی الوقت ویأتی بالأوّل فی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عدم إمکانه ولو للضیق یقدّم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لزوم اختیار الجلوس، لکن لا یُترک الاحتیاط المذکور فی السعة، وفی الضیق یختار الجلوس ویقضی ماشیاً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تعیّن الصلاة قائماً ماشیاً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الضیق یختار الجلوس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الضیق یصلی ماشیاً ثمّ یقضی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الضیق یقدّم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تعین الصلاة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3278_326409"/>
    </w:p>
    <w:p>
      <w:pPr>
        <w:pStyle w:val="Heading3"/>
        <w:numPr>
          <w:ilvl w:val="2"/>
          <w:numId w:val="1"/>
        </w:numPr>
        <w:rPr/>
      </w:pPr>
      <w:bookmarkStart w:id="285" w:name="__RefHeading___Toc1840773_2322387425"/>
      <w:bookmarkStart w:id="286" w:name="_Toc104"/>
      <w:bookmarkEnd w:id="284"/>
      <w:bookmarkEnd w:id="285"/>
      <w:r>
        <w:rPr>
          <w:rtl w:val="true"/>
        </w:rPr>
        <w:t>فی من کانت وظیفته الجلوس و أمکنه القیام للرکوع</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وظیفته الصلاة جالساً وأمکنه القیام حال الرکوع وجب ذلک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840775_2322387425"/>
      <w:bookmarkStart w:id="288" w:name="_Toc105"/>
      <w:bookmarkEnd w:id="287"/>
      <w:r>
        <w:rPr>
          <w:rtl w:val="true"/>
        </w:rPr>
        <w:t>حکم القادر علی القیام فی بعض الرکعات أو الرکعة</w:t>
      </w:r>
      <w:bookmarkEnd w:id="2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 علی القیام فی بعض الرکعات دون الجمیع وجب </w:t>
      </w:r>
    </w:p>
    <w:p>
      <w:pPr>
        <w:pStyle w:val="BookText"/>
        <w:rPr/>
      </w:pPr>
      <w:r>
        <w:rPr>
          <w:rFonts w:ascii="IRNazanin" w:hAnsi="IRNazanin" w:eastAsia="IRNazanin"/>
          <w:color w:val="111111"/>
          <w:sz w:val="28"/>
          <w:sz w:val="28"/>
          <w:szCs w:val="28"/>
          <w:rtl w:val="true"/>
          <w:lang w:bidi="fa-IR"/>
        </w:rPr>
        <w:t>أن یقوم</w:t>
      </w:r>
      <w:r>
        <w:rPr>
          <w:rStyle w:val="FootnoteAnchor"/>
          <w:rtl w:val="true"/>
        </w:rPr>
        <w:footnoteReference w:id="347"/>
      </w:r>
      <w:r>
        <w:rPr>
          <w:rFonts w:ascii="IRNazanin" w:hAnsi="IRNazanin" w:eastAsia="IRNazanin"/>
          <w:color w:val="111111"/>
          <w:sz w:val="28"/>
          <w:sz w:val="28"/>
          <w:szCs w:val="28"/>
          <w:rtl w:val="true"/>
          <w:lang w:bidi="fa-IR"/>
        </w:rPr>
        <w:t>إلی أن یتجدّد العجز</w:t>
      </w:r>
      <w:r>
        <w:rPr>
          <w:rStyle w:val="FootnoteAnchor"/>
          <w:rtl w:val="true"/>
        </w:rPr>
        <w:footnoteReference w:id="348"/>
      </w:r>
      <w:r>
        <w:rPr>
          <w:rFonts w:ascii="IRNazanin" w:hAnsi="IRNazanin" w:eastAsia="IRNazanin"/>
          <w:color w:val="111111"/>
          <w:sz w:val="28"/>
          <w:sz w:val="28"/>
          <w:szCs w:val="28"/>
          <w:rtl w:val="true"/>
          <w:lang w:bidi="fa-IR"/>
        </w:rPr>
        <w:t>، وکذا إذا تمکّن منه فی بعض الرکعة لا فی تمامها</w:t>
      </w:r>
      <w:r>
        <w:rPr>
          <w:rStyle w:val="FootnoteAnchor"/>
          <w:rtl w:val="true"/>
        </w:rPr>
        <w:footnoteReference w:id="349"/>
      </w:r>
      <w:r>
        <w:rPr>
          <w:rFonts w:ascii="IRNazanin" w:hAnsi="IRNazanin" w:eastAsia="IRNazanin"/>
          <w:color w:val="111111"/>
          <w:sz w:val="28"/>
          <w:sz w:val="28"/>
          <w:szCs w:val="28"/>
          <w:rtl w:val="true"/>
          <w:lang w:bidi="fa-IR"/>
        </w:rPr>
        <w:t>، نعم، لو علم من حاله أ نّه لو قام أوّل الصلاة‌لم یدرک من الصلاة قائماً إلاّ رکعة أو بعضها، وإذا جلس أوّلاً یقدر علی الرکعتین قائماً أو أزید مثلاً لایبعد</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وجوب تقدیم القیام فیه وفی الفرع التالی، ولا یلزم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والأقوی فی الضیق تقدیم القیام فی هذه الصورة وفی التی بعدها، وأمّا فی السعة فیحتاط بالتکرار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هوبعید، والظاهر وجوب تقدیم القیام فیه وفی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فی کلتا الصورتین، والأظهر وجوب القیام إلی أن یعجز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وجوب تقدیم القیام ،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الجلوس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تقدیم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تقدیم القیام، لکونه المقدَّم فی الوجود فیقدَّم، إلاّ إذا دار الأمر بین فوته وفوت الرکنی، فیقدّم الرکنی، کما إذا دار بین فوته فی أوّل الرکعة أو فوته حال الرکوع، نعم، لا بأس بتکرار الصلاة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تقدیم القیام، وکذا فی الفرع الآتی،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تقدیم القیام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القیام فی الصورتین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مع ضیق الوقت، ومع سعته لا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لا یُترک</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351"/>
      </w:r>
      <w:r>
        <w:rPr>
          <w:rFonts w:ascii="IRNazanin" w:hAnsi="IRNazanin" w:eastAsia="IRNazanin"/>
          <w:color w:val="111111"/>
          <w:sz w:val="28"/>
          <w:sz w:val="28"/>
          <w:szCs w:val="28"/>
          <w:rtl w:val="true"/>
          <w:lang w:bidi="fa-IR"/>
        </w:rPr>
        <w:t>حینئذٍ بتکرار</w:t>
      </w:r>
      <w:r>
        <w:rPr>
          <w:rStyle w:val="FootnoteAnchor"/>
          <w:rtl w:val="true"/>
        </w:rPr>
        <w:footnoteReference w:id="352"/>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الأحوط</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ضاق الوقت ولم یتمکّن من التکرار فیقدّم الرکنی علی غیره مطلقاً، وفی ما عدا هذه الصورة یقدَّم المقدَّم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تقدیم القیام الرکنی علی غیره، سواء کان متقدّماً زماناً أو متأخّراً، وفی غیر ذلک یقدَّم المقدَّم مطلقاً، إلاّ إذا دار الأمر بین القیام حال التکبیرة والقیام المتّصل بالرکوع فإنّه لا یبعد تقدّم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دوران الأمر بین إدراک أوّل الرکعة قائماً والعجز حال الرکوع أو العکس أیضاً تکرار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دار الأمر بین الرکنی وغیره قدّم الرکنی مطلقاً، وفی ما عدا ذلک قدّم المقدّم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الضیق یختار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تقدیم القیام المتّصل بالرکوع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السعة وفی الضیق لا یبعد تقدیم الأوّل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3278_326412"/>
    </w:p>
    <w:p>
      <w:pPr>
        <w:pStyle w:val="Heading3"/>
        <w:numPr>
          <w:ilvl w:val="2"/>
          <w:numId w:val="1"/>
        </w:numPr>
        <w:rPr/>
      </w:pPr>
      <w:bookmarkStart w:id="290" w:name="__RefHeading___Toc1840777_2322387425"/>
      <w:bookmarkStart w:id="291" w:name="_Toc106"/>
      <w:bookmarkEnd w:id="289"/>
      <w:bookmarkEnd w:id="290"/>
      <w:r>
        <w:rPr>
          <w:rtl w:val="true"/>
        </w:rPr>
        <w:t>مقدمیة المشی أو الرکوب حال اصلاة للعجز عن القیام</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القیام ودار أمره بین الصلاة ماشیاً أو راکباً</w:t>
      </w:r>
      <w:r>
        <w:rPr>
          <w:rStyle w:val="FootnoteAnchor"/>
          <w:rtl w:val="true"/>
        </w:rPr>
        <w:footnoteReference w:id="354"/>
      </w:r>
      <w:r>
        <w:rPr>
          <w:rFonts w:ascii="Amiri" w:hAnsi="Amiri" w:eastAsia="Amiri" w:cs="Amiri"/>
          <w:color w:val="111111"/>
          <w:sz w:val="28"/>
          <w:sz w:val="28"/>
          <w:szCs w:val="28"/>
          <w:rtl w:val="true"/>
          <w:lang w:bidi="ar-SA"/>
        </w:rPr>
        <w:t>قدّم</w:t>
      </w:r>
      <w:r>
        <w:rPr>
          <w:rStyle w:val="FootnoteAnchor"/>
          <w:rtl w:val="true"/>
        </w:rPr>
        <w:footnoteReference w:id="355"/>
      </w:r>
      <w:r>
        <w:rPr>
          <w:rFonts w:ascii="IRNazanin" w:hAnsi="IRNazanin" w:eastAsia="IRNazanin"/>
          <w:color w:val="111111"/>
          <w:sz w:val="28"/>
          <w:sz w:val="28"/>
          <w:szCs w:val="28"/>
          <w:rtl w:val="true"/>
          <w:lang w:bidi="fa-IR"/>
        </w:rPr>
        <w:t>المشی</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ترجیح بعض مراتب المشی علی بعض الرکوب القریب بهیئة القیام نظر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والأحوط التکرار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الرکوب أقرَّ فیتساویان، بل قد یترجّح الرکوب، ولو دار بین الجلوس مستقرّاً والقیام بلا استقرار قدّم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بالجمع، وفی الضیق یختار أحدهما، ویقضی مع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ویحتاط بالقضاء الرکوبی، هذا فی الضیق، وأمّا فی السعة فیحتاط بالتکرار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تکرار الصلاة، ومع الضیق یصلّی ماشیاً، ثمّ یقضی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الرکوب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الضیق وفی السعة یتکرر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قدّم ما هو أقرب للإطمئنان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3278_326413"/>
    </w:p>
    <w:p>
      <w:pPr>
        <w:pStyle w:val="Heading3"/>
        <w:numPr>
          <w:ilvl w:val="2"/>
          <w:numId w:val="1"/>
        </w:numPr>
        <w:rPr/>
      </w:pPr>
      <w:bookmarkStart w:id="293" w:name="__RefHeading___Toc1840779_2322387425"/>
      <w:bookmarkStart w:id="294" w:name="_Toc107"/>
      <w:bookmarkEnd w:id="292"/>
      <w:bookmarkEnd w:id="293"/>
      <w:r>
        <w:rPr>
          <w:rtl w:val="true"/>
        </w:rPr>
        <w:t>مطنة التمکن من القیام فی آخر الوقت</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التمکّن من القیام فی آخر الوقت وجب</w:t>
      </w:r>
      <w:r>
        <w:rPr>
          <w:rStyle w:val="FootnoteAnchor"/>
          <w:rtl w:val="true"/>
        </w:rPr>
        <w:footnoteReference w:id="357"/>
      </w:r>
      <w:r>
        <w:rPr>
          <w:rFonts w:ascii="IRNazanin" w:hAnsi="IRNazanin" w:eastAsia="IRNazanin"/>
          <w:color w:val="111111"/>
          <w:sz w:val="28"/>
          <w:sz w:val="28"/>
          <w:szCs w:val="28"/>
          <w:rtl w:val="true"/>
          <w:lang w:bidi="fa-IR"/>
        </w:rPr>
        <w:t>التأخیر</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البدار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الأصل ینفیه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یصلّی رجاءً، فإن استمرّ العذر فبها، وإلاّ أعاد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جواز البدار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جواز البدار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فلهُ أن یبادر بانیاً علی الإعادة لو تمکّن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 وإن کان أحسن وأحوط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جواز البدار خصوصاً مع الاحتمال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جواز البدار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لم یبعد جواز البدار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له مع الاحتمال أن یصلّی رجاءً، فإن إستمرّ العذر فبها، وإلاّ أعاد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جاز البدار فی الصورتین، غایة الأمر جوازاً ظاهریاً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البدار مع حصول الیأس عن التمکّن منه، ولا تجب الإعادة حینئذٍ إن اتّفق زوال العذر فی الوقت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 وإن کان جواز البدار سیّما فی فرض مجرّد الاحتمال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مع الاحتمال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إذا صلّی مع الاحتمال برجاء استمرار العذر ثمّ انکشف استمرار العذر کذلک صحّت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3278_326414"/>
    </w:p>
    <w:p>
      <w:pPr>
        <w:pStyle w:val="Heading3"/>
        <w:numPr>
          <w:ilvl w:val="2"/>
          <w:numId w:val="1"/>
        </w:numPr>
        <w:rPr/>
      </w:pPr>
      <w:bookmarkStart w:id="296" w:name="__RefHeading___Toc1840781_2322387425"/>
      <w:bookmarkStart w:id="297" w:name="_Toc108"/>
      <w:bookmarkEnd w:id="295"/>
      <w:bookmarkEnd w:id="296"/>
      <w:r>
        <w:rPr>
          <w:rtl w:val="true"/>
        </w:rPr>
        <w:t>حکم التمکن من القیام مع خوف المرض أو بطء برئه</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القیام لکن خاف حدوث</w:t>
      </w:r>
      <w:r>
        <w:rPr>
          <w:rStyle w:val="FootnoteAnchor"/>
          <w:rtl w:val="true"/>
        </w:rPr>
        <w:footnoteReference w:id="359"/>
      </w:r>
      <w:r>
        <w:rPr>
          <w:rFonts w:ascii="IRNazanin" w:hAnsi="IRNazanin" w:eastAsia="IRNazanin"/>
          <w:color w:val="111111"/>
          <w:sz w:val="28"/>
          <w:sz w:val="28"/>
          <w:szCs w:val="28"/>
          <w:rtl w:val="true"/>
          <w:lang w:bidi="fa-IR"/>
        </w:rPr>
        <w:t>مرض أو بطوء برئه جاز</w:t>
      </w:r>
      <w:r>
        <w:rPr>
          <w:rStyle w:val="FootnoteAnchor"/>
          <w:rtl w:val="true"/>
        </w:rPr>
        <w:footnoteReference w:id="360"/>
      </w:r>
      <w:r>
        <w:rPr>
          <w:rFonts w:ascii="IRNazanin" w:hAnsi="IRNazanin" w:eastAsia="IRNazanin"/>
          <w:color w:val="111111"/>
          <w:sz w:val="28"/>
          <w:sz w:val="28"/>
          <w:szCs w:val="28"/>
          <w:rtl w:val="true"/>
          <w:lang w:bidi="fa-IR"/>
        </w:rPr>
        <w:t>له الجلوس</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وجب إذا کان الخوف عقلائیّاً، وإلاّ لم یجز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وجب حینئذٍ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فی ما لا یجوز له التسبیب فی إحداثه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الجواز هنا وفی ما یأتی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خاف من الجلوس جاز له الاضطجاع، وکذا إذا خاف من لصٍّ أو عدوٍّ أو سبعٍ أو نحو ذلک</w:t>
      </w:r>
      <w:r>
        <w:rPr>
          <w:rFonts w:eastAsia="IRNazanin" w:cs="IRNazanin"/>
          <w:color w:val="111111"/>
          <w:sz w:val="28"/>
          <w:szCs w:val="28"/>
          <w:rtl w:val="true"/>
          <w:lang w:bidi="fa-IR"/>
        </w:rPr>
        <w:t>.</w:t>
      </w:r>
    </w:p>
    <w:p>
      <w:pPr>
        <w:pStyle w:val="Heading3"/>
        <w:numPr>
          <w:ilvl w:val="2"/>
          <w:numId w:val="1"/>
        </w:numPr>
        <w:rPr/>
      </w:pPr>
      <w:bookmarkStart w:id="298" w:name="__RefHeading___Toc1840783_2322387425"/>
      <w:bookmarkStart w:id="299" w:name="_Toc109"/>
      <w:bookmarkEnd w:id="298"/>
      <w:r>
        <w:rPr>
          <w:rtl w:val="true"/>
        </w:rPr>
        <w:t>الحکم بین مراعاة الاستقبال و مراعاة القیام</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مراعاة الاستقبال</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بمراتبه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المقابل للاستدبار ، وأمّا لو دار بین الصلاة منحرفاً عن القبلة إلی بین الیمین والیسار وبین ترک القیام قدّم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الشامل لِما بین الیمین والشمال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القیام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من حدیث الحمیری تقدیم القیام علی القبلة، ومقتضی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طریق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الأمرین بالتکرار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خارجاً عمّا بین المشرق والمغرب، وإلاّ فالظاهر لزوم مراعاة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مراعاة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وصل الانحراف جلوساً إلی حدّ الیمین أو الیسار فصاعداً، وإلاّ فالتکرار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دار الأمر بین الاستدبار أو التوجّه إلی الیمین أو الیسار قائماً وبین الاستقبال جالساً، وامّا لو دار الأمر بین التوجّه إلی ما بین الیمین والیسار قائماً أو إلی نفس القبلة جالساً فالأحوط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تمکّن من القیام واستقبال ما بین المشرق والمغرب وجب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لو دار بین القیام والاستدبار، وإلاّ فالأحوط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ما بین المشرق والمغرب، وأمّا فیه فلا یبعد لزوم مراعاة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القیام مستلزماً للاستدبار أو التوجّه لنقطتی المشرق والمغرب، وأمّا لو لم یکن کذلک بل أمکن للقائم التوجّه إلی ما بین النقطتین فالأحوط التکرار فی السعة، ویتعیّن القیام فی الضیق، ومنه ظهر النظر والتأمّل فی إطلاق کلامه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أهمّیة الاستقبال نظر، والأحوط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التکرار مع عدم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بل مع التمکّن من التوجّه إلی ما بین الیمین والیسار والصلاة قائماً لا یبعد تعیّنه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الدوران بین الاستدبار والقیام، أمّا إن کان الدوران فی ما بین الیمین والیسار فالأحوط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3278_326416"/>
    </w:p>
    <w:p>
      <w:pPr>
        <w:pStyle w:val="Heading3"/>
        <w:numPr>
          <w:ilvl w:val="2"/>
          <w:numId w:val="1"/>
        </w:numPr>
        <w:rPr/>
      </w:pPr>
      <w:bookmarkStart w:id="301" w:name="__RefHeading___Toc1840785_2322387425"/>
      <w:bookmarkStart w:id="302" w:name="_Toc110"/>
      <w:bookmarkEnd w:id="300"/>
      <w:bookmarkEnd w:id="301"/>
      <w:r>
        <w:rPr>
          <w:rtl w:val="true"/>
        </w:rPr>
        <w:t>حکم تجدد العجز عن القیام فی أثناء الصلاة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العجز</w:t>
      </w:r>
      <w:r>
        <w:rPr>
          <w:rStyle w:val="FootnoteAnchor"/>
          <w:rtl w:val="true"/>
        </w:rPr>
        <w:footnoteReference w:id="364"/>
      </w:r>
      <w:r>
        <w:rPr>
          <w:rFonts w:ascii="IRNazanin" w:hAnsi="IRNazanin" w:eastAsia="IRNazanin"/>
          <w:color w:val="111111"/>
          <w:sz w:val="28"/>
          <w:sz w:val="28"/>
          <w:szCs w:val="28"/>
          <w:rtl w:val="true"/>
          <w:lang w:bidi="fa-IR"/>
        </w:rPr>
        <w:t>فی أثناء الصلاة عن القیام انتقل إلی الجلوس</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یعلم بتجدّد القدرة بعد ذلک فی الوقت فیتعیّن حینئذٍ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العذر، وکذا فی موارد الأبدال الاضطراریّة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ارتفع العجز والوقت باقٍ أعاد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الانتقال إلی ابدال الإضطراریة کلّیّة العذر المستوعب؛ لأنّ موضوعه الاضطرار، نعم، یجوز الانتقال رجاءً، ولکن یعید إذا انکشف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الیأس العرفی عن تجدّد القدرة، ومع عدمه فالأحوط الاولی الإتمام ثمّ الإعادة إن حصلت القدرة،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العذر، وکذا فی بقیّة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عجز عنه انتقل إلی الاضطجاع، ولو عجز عنه انتقل إلی</w:t>
      </w:r>
    </w:p>
    <w:p>
      <w:pPr>
        <w:pStyle w:val="BookText"/>
        <w:rPr/>
      </w:pPr>
      <w:r>
        <w:rPr>
          <w:rFonts w:ascii="IRNazanin" w:hAnsi="IRNazanin" w:eastAsia="IRNazanin"/>
          <w:color w:val="111111"/>
          <w:sz w:val="28"/>
          <w:sz w:val="28"/>
          <w:szCs w:val="28"/>
          <w:rtl w:val="true"/>
          <w:lang w:bidi="fa-IR"/>
        </w:rPr>
        <w:t>الاستلقاء، ویترک القراءة</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القراءة فی حال الهویِّ لا یخلو من قوّة، والأحوط إعادتها بعد استقرار الحالة المتأخّرة بنیّة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یقرأ، ویذکر حال الانتقال بقصد القربة، ثمّ یعیدها کذلک بعد الاستقرار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بهما فی الحالین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القدماء من حُکی عنه أنّ الأحوط الاشتغال بالقراءة فی حال الانتقال والهویّ بقصد القربة المطلقة، وکذا إعادتها بعد الاستقرار، وفیه ضعف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قرأ حال الهویِّ ثمّ أعاد ما قرأ فی حال الاستقرار بقصد القربة المطلقة لوافق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حال الانتقال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أن یستقرّ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3278_326418"/>
    </w:p>
    <w:p>
      <w:pPr>
        <w:pStyle w:val="Heading3"/>
        <w:numPr>
          <w:ilvl w:val="2"/>
          <w:numId w:val="1"/>
        </w:numPr>
        <w:rPr/>
      </w:pPr>
      <w:bookmarkStart w:id="304" w:name="__RefHeading___Toc1840787_2322387425"/>
      <w:bookmarkStart w:id="305" w:name="_Toc111"/>
      <w:bookmarkEnd w:id="303"/>
      <w:bookmarkEnd w:id="304"/>
      <w:r>
        <w:rPr>
          <w:rtl w:val="true"/>
        </w:rPr>
        <w:t>حکم تجدد القدرة علی القیام فی أثناء الصلاة</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تجدّدت القدرة</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ظنّها، أو احتمالها فی الابتداء وحین الشروع، فلا تصادم بین ما سبق منه فی المسألة الثانیة والعشرین وبین ما أفاده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القیام فی الأثناء انتقل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واکتفی بتلک الصلاة إن لم یسع الوقت للإعادة أو الاستئناف،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یتمّ فی ضیق الوقت، وأمّا فی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التدارک بلا إعادة الصلاة، کما إذا تجدّدت القدرة بعد القراءة وقبل الرکوع وجب، وإلاّ وجبت الإعادة فی القیام الرکنی دون غیره، وبذلک تظهر الحالة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فی ضیق الوقت وفی السعة یستأنف الصلاة، والأحوط الإتمام بالانتقال إلی المقدور، ثمّ الاستئناف، وکذا الکلام فی المسألة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ضیق الوقت، وکذا فی الفروض اللاحقة، أمّا مع سعة الوقت فلابُدّ من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فی سعة الوقت فالأحوط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ضیق الوقت، وأمّا فی سعته فلابدّ من رعایة القیام وإن استلزمت الإعادة؛ إذ شمول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الإشکال إن لم یکن ممنوعاً، والاحتیاط یقتضی أن تکون الإعادة فی بعض صورها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ضیق الوقت، وأمّا فی السعة فإن أمکن التدارک بلا إعادة الصلاة وجب، وإلاّ فیعید الصلاة من جهة فقد القیام الرکنی، وبه یظهر حال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تجدّد للمضطجع القدرة علی الجلوس، أو للمستلقی القدرة علی الاضطجاع، ویترک القراءة</w:t>
      </w:r>
      <w:r>
        <w:rPr>
          <w:rStyle w:val="FootnoteAnchor"/>
          <w:rtl w:val="true"/>
        </w:rPr>
        <w:footnoteReference w:id="368"/>
      </w:r>
      <w:r>
        <w:rPr>
          <w:rFonts w:ascii="IRNazanin" w:hAnsi="IRNazanin" w:eastAsia="IRNazanin"/>
          <w:color w:val="111111"/>
          <w:sz w:val="28"/>
          <w:sz w:val="28"/>
          <w:szCs w:val="28"/>
          <w:rtl w:val="true"/>
          <w:lang w:bidi="fa-IR"/>
        </w:rPr>
        <w:t>أو الذکر فی حال الانتقال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تجدّدت القدرة بعد القراءة قبل الرکوع قام للرکوع</w:t>
      </w:r>
      <w:r>
        <w:rPr>
          <w:rStyle w:val="FootnoteAnchor"/>
          <w:rtl w:val="true"/>
        </w:rPr>
        <w:footnoteReference w:id="369"/>
      </w:r>
      <w:r>
        <w:rPr>
          <w:rFonts w:ascii="IRNazanin" w:hAnsi="IRNazanin" w:eastAsia="IRNazanin"/>
          <w:color w:val="111111"/>
          <w:sz w:val="28"/>
          <w:sz w:val="28"/>
          <w:szCs w:val="28"/>
          <w:rtl w:val="true"/>
          <w:lang w:bidi="fa-IR"/>
        </w:rPr>
        <w:t>، ولیس علیه</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إعادتها واستئناف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الإطلاق فیه وفی ما یلیه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علیه الإعادة والاستئناف إن کان فی الأثناء، بل الأحوط مع سعة الوقت الإتمام والإعادة فی جمیع صور المسألة، ولا یترک، وإن ضاق الوقت عن الجمع بین الإتمام والإعادة قطعها وأعاد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قریباً فی عدم وجوب الإعادة، وبما ذکرنا یظهر الإشکال فی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لو تجدّدت فی أثناء القراءة لا یجب استئنافها، ولو تجدّدت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تمام الذکر انتصب للارتفاع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قبل إتمامه ارتفع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منحنیاً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الاکتفاء بما سبق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واحتاط بإعادة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إتمام الذکر جالساً، ثمّ الارتفاع منحنیاً والإتیان بالذکر بقصد القربة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 وجه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لسقوط الذکر وجه، هذا، وأمّا علی المختار فی ذوی الأعذار فلا محیص عن الاحتیاط بالإعادة فی سعة الوقت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إتمام الذکر جالساً، ثمّ الارتفاع منحنیاً إلی حدّ الرکوع عن قیامٍ، والإتیان بالذکر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بالذکر فی الحالتین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حدّ الرکوع</w:t>
      </w:r>
    </w:p>
    <w:p>
      <w:pPr>
        <w:pStyle w:val="BookText"/>
        <w:rPr/>
      </w:pPr>
      <w:r>
        <w:rPr>
          <w:rFonts w:ascii="Amiri" w:hAnsi="Amiri" w:eastAsia="Amiri" w:cs="Amiri"/>
          <w:color w:val="111111"/>
          <w:sz w:val="28"/>
          <w:sz w:val="28"/>
          <w:szCs w:val="28"/>
          <w:rtl w:val="true"/>
          <w:lang w:bidi="ar-SA"/>
        </w:rPr>
        <w:t>القیامیّ</w:t>
      </w:r>
      <w:r>
        <w:rPr>
          <w:rStyle w:val="FootnoteAnchor"/>
          <w:rtl w:val="true"/>
        </w:rPr>
        <w:footnoteReference w:id="371"/>
      </w:r>
      <w:r>
        <w:rPr>
          <w:rFonts w:ascii="IRNazanin" w:hAnsi="IRNazanin" w:eastAsia="IRNazanin"/>
          <w:color w:val="111111"/>
          <w:sz w:val="28"/>
          <w:sz w:val="28"/>
          <w:szCs w:val="28"/>
          <w:rtl w:val="true"/>
          <w:lang w:bidi="fa-IR"/>
        </w:rPr>
        <w:t>ولا یجوز له الانتصاب</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استئناف الصلاة مع سعة الوقت، ومع الضیق یحتاط بالإتمام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الرکوع، ولو تجدّدت بعد رفع الرأس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یجب علیه القیام للسجود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 انتصابه</w:t>
      </w:r>
      <w:bookmarkStart w:id="306" w:name="pg13278_326421"/>
    </w:p>
    <w:p>
      <w:pPr>
        <w:pStyle w:val="BookText"/>
        <w:rPr/>
      </w:pPr>
      <w:bookmarkEnd w:id="306"/>
      <w:r>
        <w:rPr>
          <w:rFonts w:ascii="IRNazanin" w:hAnsi="IRNazanin" w:eastAsia="IRNazanin"/>
          <w:color w:val="111111"/>
          <w:sz w:val="28"/>
          <w:sz w:val="28"/>
          <w:szCs w:val="28"/>
          <w:rtl w:val="true"/>
          <w:lang w:bidi="fa-IR"/>
        </w:rPr>
        <w:t>الجلوسیّ بدلاً عن الانتصاب القیامیّ ویجزی عنه، لکنّ الأحوط</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مهدی الشیرازی،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ذلک؛لتحصیل القیام المتعقّب بالسجود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ویأتی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للسجود عنه</w:t>
      </w:r>
      <w:r>
        <w:rPr>
          <w:rFonts w:eastAsia="IRNazanin" w:cs="IRNazanin"/>
          <w:color w:val="111111"/>
          <w:sz w:val="28"/>
          <w:szCs w:val="28"/>
          <w:rtl w:val="true"/>
          <w:lang w:bidi="fa-IR"/>
        </w:rPr>
        <w:t>.</w:t>
      </w:r>
    </w:p>
    <w:p>
      <w:pPr>
        <w:pStyle w:val="Heading3"/>
        <w:numPr>
          <w:ilvl w:val="2"/>
          <w:numId w:val="1"/>
        </w:numPr>
        <w:rPr/>
      </w:pPr>
      <w:bookmarkStart w:id="307" w:name="__RefHeading___Toc1840789_2322387425"/>
      <w:bookmarkStart w:id="308" w:name="_Toc112"/>
      <w:bookmarkEnd w:id="307"/>
      <w:r>
        <w:rPr>
          <w:rtl w:val="true"/>
        </w:rPr>
        <w:t>لو رکع قائماً ثم عجز عن القیام</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رکع قائماً ثمّ عجز عن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تمام الذکر جلس</w:t>
      </w:r>
      <w:r>
        <w:rPr>
          <w:rStyle w:val="FootnoteAnchor"/>
          <w:rtl w:val="true"/>
        </w:rPr>
        <w:footnoteReference w:id="374"/>
      </w:r>
      <w:r>
        <w:rPr>
          <w:rFonts w:ascii="Amiri" w:hAnsi="Amiri" w:eastAsia="Amiri" w:cs="Amiri"/>
          <w:color w:val="111111"/>
          <w:sz w:val="28"/>
          <w:sz w:val="28"/>
          <w:szCs w:val="28"/>
          <w:rtl w:val="true"/>
          <w:lang w:bidi="ar-SA"/>
        </w:rPr>
        <w:t>منتصباً</w:t>
      </w:r>
      <w:r>
        <w:rPr>
          <w:rStyle w:val="FootnoteAnchor"/>
          <w:rtl w:val="true"/>
        </w:rPr>
        <w:footnoteReference w:id="375"/>
      </w:r>
      <w:r>
        <w:rPr>
          <w:rFonts w:ascii="IRNazanin" w:hAnsi="IRNazanin" w:eastAsia="IRNazanin"/>
          <w:color w:val="111111"/>
          <w:sz w:val="28"/>
          <w:sz w:val="28"/>
          <w:szCs w:val="28"/>
          <w:rtl w:val="true"/>
          <w:lang w:bidi="fa-IR"/>
        </w:rPr>
        <w:t>ثمّ سجد، وإن کان قبل الذکر هوی</w:t>
      </w:r>
      <w:r>
        <w:rPr>
          <w:rStyle w:val="FootnoteAnchor"/>
          <w:rtl w:val="true"/>
        </w:rPr>
        <w:footnoteReference w:id="376"/>
      </w:r>
      <w:r>
        <w:rPr>
          <w:rFonts w:ascii="Amiri" w:hAnsi="Amiri" w:eastAsia="Amiri" w:cs="Amiri"/>
          <w:color w:val="111111"/>
          <w:sz w:val="28"/>
          <w:sz w:val="28"/>
          <w:szCs w:val="28"/>
          <w:rtl w:val="true"/>
          <w:lang w:bidi="ar-SA"/>
        </w:rPr>
        <w:t>متقوّساً</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والأولی سقوط الذکر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بلازم؛ لسقوط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سقوط الذکر وکفایة الرکوع الصادر عنه فی الفرض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إشکال، والأظهر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الرکوع وسقوط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حدّ الرکوع الجلوسیّ ثمّ أتی بالذکر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أتی به فی الحالین، کما مرّ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3278_326422"/>
    </w:p>
    <w:p>
      <w:pPr>
        <w:pStyle w:val="Heading3"/>
        <w:numPr>
          <w:ilvl w:val="2"/>
          <w:numId w:val="1"/>
        </w:numPr>
        <w:rPr/>
      </w:pPr>
      <w:bookmarkStart w:id="310" w:name="__RefHeading___Toc1840791_2322387425"/>
      <w:bookmarkStart w:id="311" w:name="_Toc113"/>
      <w:bookmarkEnd w:id="309"/>
      <w:bookmarkEnd w:id="310"/>
      <w:r>
        <w:rPr>
          <w:rtl w:val="true"/>
        </w:rPr>
        <w:t>اعتبار الاستقرار فی أفعال اصلاة و أذکارها</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378"/>
      </w:r>
      <w:r>
        <w:rPr>
          <w:rFonts w:ascii="IRNazanin" w:hAnsi="IRNazanin" w:eastAsia="IRNazanin"/>
          <w:color w:val="111111"/>
          <w:sz w:val="28"/>
          <w:sz w:val="28"/>
          <w:szCs w:val="28"/>
          <w:rtl w:val="true"/>
          <w:lang w:bidi="fa-IR"/>
        </w:rPr>
        <w:t>الاستقرار</w:t>
      </w:r>
      <w:r>
        <w:rPr>
          <w:rStyle w:val="FootnoteAnchor"/>
          <w:rtl w:val="true"/>
        </w:rPr>
        <w:footnoteReference w:id="379"/>
      </w:r>
      <w:r>
        <w:rPr>
          <w:rFonts w:ascii="IRNazanin" w:hAnsi="IRNazanin" w:eastAsia="IRNazanin"/>
          <w:color w:val="111111"/>
          <w:sz w:val="28"/>
          <w:sz w:val="28"/>
          <w:szCs w:val="28"/>
          <w:rtl w:val="true"/>
          <w:lang w:bidi="fa-IR"/>
        </w:rPr>
        <w:t>حال القراءة والتسبیحات، وحال ذکر الرکوع والسجود، بل فی جمیع أفعال الصلاة وأذکارها</w:t>
      </w:r>
      <w:r>
        <w:rPr>
          <w:rStyle w:val="FootnoteAnchor"/>
          <w:rtl w:val="true"/>
        </w:rPr>
        <w:footnoteReference w:id="380"/>
      </w:r>
      <w:r>
        <w:rPr>
          <w:rFonts w:ascii="IRNazanin" w:hAnsi="IRNazanin" w:eastAsia="IRNazanin"/>
          <w:color w:val="111111"/>
          <w:sz w:val="28"/>
          <w:sz w:val="28"/>
          <w:szCs w:val="28"/>
          <w:rtl w:val="true"/>
          <w:lang w:bidi="fa-IR"/>
        </w:rPr>
        <w:t>، بل فی حال القنوت</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الأذکار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الاستقرار فی حال القنوت و الأذکار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القنوت وفی الأذکار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والأذکار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الاستقرار فیها وفی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کتکبیرة الرکوع والسجود، نعم، لو کبّر بقصد الذکر المطلق فی حال عدم الاستقرار لا بأس به، وکذا لو سبّح أو هلّل، فلو کبّر بقصد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تکبیر الرکوع فی حال الهویِّ له أو للسجود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أو فی حال النهوض یشکل</w:t>
      </w:r>
      <w:bookmarkStart w:id="312" w:name="pg13278_326423"/>
    </w:p>
    <w:p>
      <w:pPr>
        <w:pStyle w:val="BookText"/>
        <w:rPr/>
      </w:pPr>
      <w:bookmarkEnd w:id="312"/>
      <w:r>
        <w:rPr>
          <w:rFonts w:ascii="Amiri" w:hAnsi="Amiri" w:eastAsia="Amiri" w:cs="Amiri"/>
          <w:color w:val="111111"/>
          <w:sz w:val="28"/>
          <w:sz w:val="28"/>
          <w:szCs w:val="28"/>
          <w:rtl w:val="true"/>
          <w:lang w:bidi="ar-SA"/>
        </w:rPr>
        <w:t>صحّته</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لا یضرّ بصحّة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بالحکم لا یبعد البطلان، بل ومع الجهل أیضاً إذا کان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فی ما ذکر لا تخلو من وجه، بل الاستقرار فی الأذکار المندوبة 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لفقد الاستقرار علی ما اختاره، أو لکونه زائداً مأتیّاً به فی غیر محلّه، فزیادته قادحة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یحصل منه قصد مطلق الذکر فی الجملة، ثمّ إنّه سیأتی منه قدس‌سره الاحتیاط الوجوبی فی اعتبار الطمأنینة فی الأذکار المندوبة فی الرکوع، وقد جزم فی المقام باعتبار الاستقرار فیها، ثمّ أشکل فی العمد مع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یصحّ، ولکن لا یضرّ بصحّة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لمن یکبّر کذلک أن یقصد الذکر المطلق، نعم، محلّ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النهوض للقیام</w:t>
      </w:r>
      <w:r>
        <w:rPr>
          <w:rFonts w:eastAsia="IRNazanin" w:cs="IRNazanin"/>
          <w:color w:val="111111"/>
          <w:sz w:val="28"/>
          <w:szCs w:val="28"/>
          <w:rtl w:val="true"/>
          <w:lang w:bidi="fa-IR"/>
        </w:rPr>
        <w:t>.</w:t>
      </w:r>
    </w:p>
    <w:p>
      <w:pPr>
        <w:pStyle w:val="Heading3"/>
        <w:numPr>
          <w:ilvl w:val="2"/>
          <w:numId w:val="1"/>
        </w:numPr>
        <w:rPr/>
      </w:pPr>
      <w:bookmarkStart w:id="313" w:name="__RefHeading___Toc1840793_2322387425"/>
      <w:bookmarkStart w:id="314" w:name="_Toc114"/>
      <w:bookmarkEnd w:id="313"/>
      <w:r>
        <w:rPr>
          <w:rtl w:val="true"/>
        </w:rPr>
        <w:t>حکم العاجز عن السجود</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یقدر علی السجود یرفع موضع</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بینه وبین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أ مکنه، وإلاّ 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تمکّن من وضع جبهته علی ما یصحّ السجود علیه فالأحوط وجوبه، ویقصد الإیماء للسجود، وإلاّ لم یجب وضعه علی جبهته، ویکتفی بما یمکنه من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حینئذٍ هو وجوب الإیماء بدلاً من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ضمّ الوضع المذکور إلی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یومئ، والوضع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الإیماء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یصحُّ</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بینه وبین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والظاهر عدم وجوبه فی غیر المستلقی والمضطجع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الجمع بینه وبین الإیماء بالرأس أو العین مع عدم قصده الجزئیّة، یأتی بهما بقصد ما فی الذمّة فِراراً عن صدق الزیادة،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أومأ للسجود ووضع ذلک حینه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الأحوط الجمع بین الإیماء بدلاً عن السجود، ووضع المسجد علی الجبهة إن لم یمکن وضعها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یضع الجبهة علیه بعد رفعه مع الإمکان،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جبهته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15" w:name="pg13278_326425"/>
    </w:p>
    <w:p>
      <w:pPr>
        <w:pStyle w:val="BookText"/>
        <w:rPr/>
      </w:pPr>
      <w:bookmarkEnd w:id="315"/>
      <w:r>
        <w:rPr>
          <w:rFonts w:ascii="Amiri" w:hAnsi="Amiri" w:eastAsia="Amiri" w:cs="Amiri"/>
          <w:color w:val="111111"/>
          <w:sz w:val="28"/>
          <w:sz w:val="28"/>
          <w:szCs w:val="28"/>
          <w:rtl w:val="true"/>
          <w:lang w:bidi="ar-SA"/>
        </w:rPr>
        <w:t>کما مرّ</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الواجب أن یضع جبهته علیه، لاالعکس حتّی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 نّه لا یبعد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یضع الجبهة علیه بعد الرفع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التفصیل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840795_2322387425"/>
      <w:bookmarkStart w:id="317" w:name="_Toc115"/>
      <w:bookmarkEnd w:id="316"/>
      <w:r>
        <w:rPr>
          <w:rtl w:val="true"/>
        </w:rPr>
        <w:t>کیفیة الجلوس للمصلی جالساً</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جالساً یتخیّر بین أنحاء الجلوس، نعم، یستحبّ</w:t>
      </w:r>
      <w:r>
        <w:rPr>
          <w:rStyle w:val="FootnoteAnchor"/>
          <w:rtl w:val="true"/>
        </w:rPr>
        <w:footnoteReference w:id="386"/>
      </w:r>
      <w:r>
        <w:rPr>
          <w:rFonts w:ascii="IRNazanin" w:hAnsi="IRNazanin" w:eastAsia="IRNazanin"/>
          <w:color w:val="111111"/>
          <w:sz w:val="28"/>
          <w:sz w:val="28"/>
          <w:szCs w:val="28"/>
          <w:rtl w:val="true"/>
          <w:lang w:bidi="fa-IR"/>
        </w:rPr>
        <w:t>له</w:t>
      </w:r>
      <w:r>
        <w:rPr>
          <w:rStyle w:val="FootnoteAnchor"/>
          <w:rtl w:val="true"/>
        </w:rPr>
        <w:footnoteReference w:id="387"/>
      </w:r>
      <w:r>
        <w:rPr>
          <w:rFonts w:ascii="IRNazanin" w:hAnsi="IRNazanin" w:eastAsia="IRNazanin"/>
          <w:color w:val="111111"/>
          <w:sz w:val="28"/>
          <w:sz w:val="28"/>
          <w:szCs w:val="28"/>
          <w:rtl w:val="true"/>
          <w:lang w:bidi="fa-IR"/>
        </w:rPr>
        <w:t>أن یجلس جلوس القُرفصاء</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الوارد فی النصّ التربّع وإرادة القُرفُصاء منه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یرفع فخذیه وساقیه، وإذا أراد أن یرکع ثنی رجلیه، وأمّا بین السجدتین وحال التشهّد فیستحبّ أن یتورّک</w:t>
      </w:r>
      <w:r>
        <w:rPr>
          <w:rFonts w:eastAsia="IRNazanin" w:cs="IRNazanin"/>
          <w:color w:val="111111"/>
          <w:sz w:val="28"/>
          <w:szCs w:val="28"/>
          <w:rtl w:val="true"/>
          <w:lang w:bidi="fa-IR"/>
        </w:rPr>
        <w:t>.</w:t>
      </w:r>
    </w:p>
    <w:p>
      <w:pPr>
        <w:pStyle w:val="Heading3"/>
        <w:numPr>
          <w:ilvl w:val="2"/>
          <w:numId w:val="1"/>
        </w:numPr>
        <w:rPr/>
      </w:pPr>
      <w:bookmarkStart w:id="318" w:name="__RefHeading___Toc1840797_2322387425"/>
      <w:bookmarkStart w:id="319" w:name="_Toc116"/>
      <w:bookmarkEnd w:id="318"/>
      <w:r>
        <w:rPr>
          <w:rtl w:val="true"/>
        </w:rPr>
        <w:t>مستحبات القیام</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حال القیام اُمور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إسدال المنکبین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الیدین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الکفّین علی الفخذین قبال الرکبتین، الیمنی علی الأیمن، والیسری علی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جمیع أصابع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نظره إلی موضع سجوده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ینصب فقار ظهره ونحره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یصفّ قدمیه</w:t>
      </w:r>
      <w:r>
        <w:rPr>
          <w:rStyle w:val="FootnoteAnchor"/>
          <w:rtl w:val="true"/>
        </w:rPr>
        <w:footnoteReference w:id="393"/>
      </w:r>
      <w:r>
        <w:rPr>
          <w:rFonts w:ascii="IRNazanin" w:hAnsi="IRNazanin" w:eastAsia="IRNazanin"/>
          <w:color w:val="111111"/>
          <w:sz w:val="28"/>
          <w:sz w:val="28"/>
          <w:szCs w:val="28"/>
          <w:rtl w:val="true"/>
          <w:lang w:bidi="fa-IR"/>
        </w:rPr>
        <w:t>مستقبلاً بهما متحاذیتین، بحیث لا تزید إحداهما علی الاُخری، ولا تنقص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بینهما بثلاث أصابع مفرّجات أو أزید إلی الشبر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بینهما فی الاعتماد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 الخضوع والخشوع</w:t>
      </w:r>
      <w:r>
        <w:rPr>
          <w:rStyle w:val="FootnoteAnchor"/>
          <w:rtl w:val="true"/>
        </w:rPr>
        <w:footnoteReference w:id="395"/>
      </w:r>
      <w:r>
        <w:rPr>
          <w:rFonts w:ascii="IRNazanin" w:hAnsi="IRNazanin" w:eastAsia="IRNazanin"/>
          <w:color w:val="111111"/>
          <w:sz w:val="28"/>
          <w:sz w:val="28"/>
          <w:szCs w:val="28"/>
          <w:rtl w:val="true"/>
          <w:lang w:bidi="fa-IR"/>
        </w:rPr>
        <w:t>، کقیام العبد الذلیل بین یدی المولی الجلیل</w:t>
      </w:r>
      <w:r>
        <w:rPr>
          <w:rFonts w:eastAsia="IRNazanin" w:cs="IRNazanin"/>
          <w:color w:val="111111"/>
          <w:sz w:val="28"/>
          <w:szCs w:val="28"/>
          <w:rtl w:val="true"/>
          <w:lang w:bidi="fa-IR"/>
        </w:rPr>
        <w:t>.</w:t>
      </w:r>
      <w:bookmarkStart w:id="320" w:name="pg13278_326427"/>
    </w:p>
    <w:p>
      <w:pPr>
        <w:pStyle w:val="Heading2"/>
        <w:numPr>
          <w:ilvl w:val="1"/>
          <w:numId w:val="1"/>
        </w:numPr>
        <w:rPr/>
      </w:pPr>
      <w:bookmarkStart w:id="321" w:name="__RefHeading___Toc1840799_2322387425"/>
      <w:bookmarkStart w:id="322" w:name="_Toc117"/>
      <w:bookmarkEnd w:id="320"/>
      <w:bookmarkEnd w:id="321"/>
      <w:r>
        <w:rPr>
          <w:rtl w:val="true"/>
        </w:rPr>
        <w:t>فصل فی القراءة</w:t>
      </w:r>
      <w:bookmarkEnd w:id="322"/>
    </w:p>
    <w:p>
      <w:pPr>
        <w:pStyle w:val="Heading3"/>
        <w:numPr>
          <w:ilvl w:val="2"/>
          <w:numId w:val="1"/>
        </w:numPr>
        <w:rPr/>
      </w:pPr>
      <w:bookmarkStart w:id="323" w:name="__RefHeading___Toc1840801_2322387425"/>
      <w:bookmarkStart w:id="324" w:name="_Toc118"/>
      <w:bookmarkEnd w:id="323"/>
      <w:r>
        <w:rPr>
          <w:rtl w:val="true"/>
        </w:rPr>
        <w:t>ما یجب قراءته فی صلاة القرائض</w:t>
      </w:r>
      <w:bookmarkEnd w:id="324"/>
    </w:p>
    <w:p>
      <w:pPr>
        <w:pStyle w:val="BookText"/>
        <w:rPr/>
      </w:pPr>
      <w:r>
        <w:rPr>
          <w:rFonts w:ascii="IRNazanin" w:hAnsi="IRNazanin" w:eastAsia="IRNazanin"/>
          <w:color w:val="111111"/>
          <w:sz w:val="28"/>
          <w:sz w:val="28"/>
          <w:szCs w:val="28"/>
          <w:rtl w:val="true"/>
          <w:lang w:bidi="fa-IR"/>
        </w:rPr>
        <w:t>یجب فی صلاة الصبح والرکعتین الاُولتین من سائر الفرائض قراءة سورة الحمد وسورة کاملة</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واشتراط کمالها کاد أن یُعدّ من ضروریات فقه الشیعة، بل عدّه بعض الأصحاب من انفرادیات الإمامیّة، سواء قیل بوجوب السورة ـ کما هو الأشهر ـ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السورة احتیاطاً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بحسب الروایات عدم وجوب السورة، إلاّ أنّه لأجل إفتاء الأساطین والمحقّقین بالوجوب لا یُترک الاحتیاط بإتیانها، والأظهر أیضاً جواز التبعیض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تجب السورة فی الفریضة وإن صارت نافلة کالمعادة ولا تجب فی النافلة وإن کانت واجبة بالنذر ونحو ذلک علی الأقوی فیجوز الاقتصار علی الحمد أو مع قراءة بعض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 وعلیه تبتنی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غیرها بعدها،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المرض</w:t>
      </w:r>
    </w:p>
    <w:p>
      <w:pPr>
        <w:pStyle w:val="BookText"/>
        <w:rPr/>
      </w:pPr>
      <w:r>
        <w:rPr>
          <w:rFonts w:ascii="IRNazanin" w:hAnsi="IRNazanin" w:eastAsia="IRNazanin"/>
          <w:color w:val="111111"/>
          <w:sz w:val="28"/>
          <w:sz w:val="28"/>
          <w:szCs w:val="28"/>
          <w:rtl w:val="true"/>
          <w:lang w:bidi="fa-IR"/>
        </w:rPr>
        <w:t>والاستعجال</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کانا موجبین للمشقّة فی قراءة السورة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وجوباً الاقتصار علی صورة المشقّة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الاقتصار علی الحمد، وإلاّ فی ضیق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الخوف ممّا لا یجوز تحمّله، وإلاّ جاز ترکها وجاز الإتیان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ونحوهما من أفراد 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مطلق الضرورة العرفیة فی سقوطها ، وأمّا الحکم بوجوب ترکها فی صورة الخوف فلیس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الاقتصار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وترک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یجوز تقدیمها علیه، فلو قدّمها عمداً بطلت الصلاة؛ للزیادة العمدیّة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الزیادة العمدیّة المبطلة بمثل ذلک محلّ نظر، فلو تدارکها بعد الحمد صحّت، کما لو أتی بها ریاءً وأعادها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قرأها ثانیاً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یقرأها ثانیاً نقص عن صلاته أیضاً، وإن لم یکن أثر لهذه النقیصة بعد البطلان بالزیادة العمدیّة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بها بقصد الجزئیّة ـ وهو محقّق عنوان الزیادة ـ فعلیه لا یتوقّف البطلان علی إتیانها ثانیاً، أو علی خلاف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صدق الزیادة علی الإتیان بها فی غیر محلّها بقصد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قرأها ثانیاً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صدق الزیادة حینئذٍ محلّ إشکال، ولو صدقت الزیادة فلا فرق بین قراءتها ثانیاً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قرأها</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الزیاده تتحقق بالإتیان بها فی غیر محلّها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بالحکم، لکن للتشریع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یقرأها ثانیاً؛ لصدق الزیادة العمدیة بإیجادها عمداً فی غیرمحلّها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صدق الزیادة العمدیّة وإن لم یقرأها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أتی بالاُولی بقصد الجزئیة، وأمّا إن أتی بها بقصد القرآنیة فتصحّ صلاته ولا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صدق الزیادة العمدیة، سواء قرأها ثانیاً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یقرأها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یقرأها، غایة الأمر مع الاقتصار علی ما قرأ تصدق النقیصة أیضاً علی القول بوجوبها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یقرأها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وعکس الترتیب الواجب إن لم یقرأها، ولو قدّمها</w:t>
      </w:r>
      <w:bookmarkStart w:id="325" w:name="pg13278_326430"/>
    </w:p>
    <w:p>
      <w:pPr>
        <w:pStyle w:val="BookText"/>
        <w:rPr/>
      </w:pPr>
      <w:bookmarkEnd w:id="325"/>
      <w:r>
        <w:rPr>
          <w:rFonts w:ascii="IRNazanin" w:hAnsi="IRNazanin" w:eastAsia="IRNazanin"/>
          <w:color w:val="111111"/>
          <w:sz w:val="28"/>
          <w:sz w:val="28"/>
          <w:szCs w:val="28"/>
          <w:rtl w:val="true"/>
          <w:lang w:bidi="fa-IR"/>
        </w:rPr>
        <w:t>سهواً وتذکّر قبل الرکوع أعادها</w:t>
      </w:r>
      <w:r>
        <w:rPr>
          <w:rStyle w:val="FootnoteAnchor"/>
          <w:rtl w:val="true"/>
        </w:rPr>
        <w:footnoteReference w:id="399"/>
      </w:r>
      <w:r>
        <w:rPr>
          <w:rFonts w:ascii="IRNazanin" w:hAnsi="IRNazanin" w:eastAsia="IRNazanin"/>
          <w:color w:val="111111"/>
          <w:sz w:val="28"/>
          <w:sz w:val="28"/>
          <w:szCs w:val="28"/>
          <w:rtl w:val="true"/>
          <w:lang w:bidi="fa-IR"/>
        </w:rPr>
        <w:t>بعد الحمد</w:t>
      </w:r>
      <w:r>
        <w:rPr>
          <w:rStyle w:val="FootnoteAnchor"/>
          <w:rtl w:val="true"/>
        </w:rPr>
        <w:footnoteReference w:id="400"/>
      </w:r>
      <w:r>
        <w:rPr>
          <w:rFonts w:ascii="IRNazanin" w:hAnsi="IRNazanin" w:eastAsia="IRNazanin"/>
          <w:color w:val="111111"/>
          <w:sz w:val="28"/>
          <w:sz w:val="28"/>
          <w:szCs w:val="28"/>
          <w:rtl w:val="true"/>
          <w:lang w:bidi="fa-IR"/>
        </w:rPr>
        <w:t>، أو أعاد غیرها، ولا یجب علیه إعادة الحمد</w:t>
      </w:r>
      <w:r>
        <w:rPr>
          <w:rStyle w:val="FootnoteAnchor"/>
          <w:rtl w:val="true"/>
        </w:rPr>
        <w:footnoteReference w:id="401"/>
      </w:r>
      <w:r>
        <w:rPr>
          <w:rFonts w:ascii="IRNazanin" w:hAnsi="IRNazanin" w:eastAsia="IRNazanin"/>
          <w:color w:val="111111"/>
          <w:sz w:val="28"/>
          <w:sz w:val="28"/>
          <w:szCs w:val="28"/>
          <w:rtl w:val="true"/>
          <w:lang w:bidi="fa-IR"/>
        </w:rPr>
        <w:t>إذا کان قد قرأها</w:t>
      </w:r>
      <w:r>
        <w:rPr>
          <w:rFonts w:eastAsia="IRNazanin" w:cs="IRNazanin"/>
          <w:color w:val="111111"/>
          <w:sz w:val="28"/>
          <w:szCs w:val="28"/>
          <w:rtl w:val="true"/>
          <w:lang w:bidi="fa-IR"/>
        </w:rPr>
        <w:t>.</w:t>
      </w:r>
    </w:p>
    <w:p>
      <w:pPr>
        <w:pStyle w:val="Heading3"/>
        <w:numPr>
          <w:ilvl w:val="2"/>
          <w:numId w:val="1"/>
        </w:numPr>
        <w:rPr/>
      </w:pPr>
      <w:bookmarkStart w:id="326" w:name="__RefHeading___Toc1840803_2322387425"/>
      <w:bookmarkStart w:id="327" w:name="_Toc119"/>
      <w:bookmarkEnd w:id="326"/>
      <w:r>
        <w:rPr>
          <w:rtl w:val="true"/>
        </w:rPr>
        <w:t>حکم القراءة</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لیست رکناً، فلو ترکها وتذکّر بعد الدخول فی الرکوع صحّت الصلاة، وسجد</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الوجوب فی ترک الحمد والسورة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سجدتَی السهو یختصّ بموارد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وجوبهما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یأتی، وکذا مابعده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عمّم وجوب السجدة لکلّ زیادة ونقیصة، وإلاّ فلا تجب، ویتمّم وجوب تکریرها لو جعل المیزان تعدّد المسهوِّ، لا تعدّد السهو، وإلاّ ـ کما لعلّه الأقرب‌ـ فتکفی السَجدتان 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وسیجیء اختصاص الوجوب بموارد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والأحوط أن یقصد بالاُولی منهما ما هو السبب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کما سیأتی،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فیه وفی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مرّتین</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لزوم أزید من مرّة لبعض القراءة المعتبر جزءاً فی الصلاة نظرٌ؛ إذ لا أقلّ من الشکّ فیه، فالأصل البراءة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قاصداً بالأوّل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وأحوط منهُ أن یأتی بالمرّة الاُولی بقصد کونها للأعّم من الحمد فقط، أو المجموع من الحمد والسورة، والثانیة لخصوص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مرّة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وعدم وجوبهما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مرّة واحدة علی الأقوی، وسیأتی أنّ سجود السهو لنسیان القراءة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وجوبهما لکلّ زیادة ونقیصة، وفی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نسی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 ولا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القراءة،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الراجح، وله الاکتفاء فی الاحتیاط بمرّة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سجود السهو علی الأقوی، نعم، هو أحوط، ویکفی مرّة لاتحاد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کفایة المرّة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الوجوب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بوجوبهما لکلّ نقیصة، وسیأتی ذلک فی محلّه، ثمّ علی القول بوجوبهما لا یبعد القول بالاکتفاء بإتیانهما 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 وفی کلّ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 . . . . . . . . . . . . . . . . . .</w:t>
      </w:r>
      <w:bookmarkStart w:id="328" w:name="pg13278_326432"/>
    </w:p>
    <w:p>
      <w:pPr>
        <w:pStyle w:val="BookText"/>
        <w:rPr/>
      </w:pPr>
      <w:bookmarkEnd w:id="328"/>
      <w:r>
        <w:rPr>
          <w:rFonts w:ascii="IRNazanin" w:hAnsi="IRNazanin" w:eastAsia="IRNazanin"/>
          <w:color w:val="111111"/>
          <w:sz w:val="28"/>
          <w:sz w:val="28"/>
          <w:szCs w:val="28"/>
          <w:rtl w:val="true"/>
          <w:lang w:bidi="fa-IR"/>
        </w:rPr>
        <w:t>للحمد</w:t>
      </w:r>
      <w:r>
        <w:rPr>
          <w:rStyle w:val="FootnoteAnchor"/>
          <w:rtl w:val="true"/>
        </w:rPr>
        <w:footnoteReference w:id="404"/>
      </w:r>
      <w:r>
        <w:rPr>
          <w:rFonts w:ascii="Amiri" w:hAnsi="Amiri" w:eastAsia="Amiri" w:cs="Amiri"/>
          <w:color w:val="111111"/>
          <w:sz w:val="28"/>
          <w:sz w:val="28"/>
          <w:szCs w:val="28"/>
          <w:rtl w:val="true"/>
          <w:lang w:bidi="ar-SA"/>
        </w:rPr>
        <w:t>، ومرّة للسورة</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مرّة واحدة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إن ترک إحداهما وتذکّر بعد الدخول فی الرکوع صحّت الصلاة وسجد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سجدتَی السهو یختصّ بموارد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سجدتَی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ترکهما أو إحداهما وتذکّر فی القنوت أو بعده قبل الوصول إلی حدّ الرکوع رجع وتدارک، وکذا لو ترک الحمد وتذکّر بعد الدخول فی السورة رجع وأتی بها ثمّ بالسورة</w:t>
      </w:r>
      <w:r>
        <w:rPr>
          <w:rFonts w:eastAsia="IRNazanin" w:cs="IRNazanin"/>
          <w:color w:val="111111"/>
          <w:sz w:val="28"/>
          <w:szCs w:val="28"/>
          <w:rtl w:val="true"/>
          <w:lang w:bidi="fa-IR"/>
        </w:rPr>
        <w:t>.</w:t>
      </w:r>
    </w:p>
    <w:p>
      <w:pPr>
        <w:pStyle w:val="Heading3"/>
        <w:numPr>
          <w:ilvl w:val="2"/>
          <w:numId w:val="1"/>
        </w:numPr>
        <w:rPr/>
      </w:pPr>
      <w:bookmarkStart w:id="329" w:name="__RefHeading___Toc1840805_2322387425"/>
      <w:bookmarkStart w:id="330" w:name="_Toc120"/>
      <w:bookmarkEnd w:id="329"/>
      <w:r>
        <w:rPr>
          <w:rtl w:val="true"/>
        </w:rPr>
        <w:t>حکم القراءة ما یفوت الوقت</w:t>
      </w:r>
      <w:bookmarkEnd w:id="33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قراءة ما یفوّت الوقت</w:t>
      </w:r>
      <w:r>
        <w:rPr>
          <w:rStyle w:val="FootnoteAnchor"/>
          <w:rtl w:val="true"/>
        </w:rPr>
        <w:footnoteReference w:id="406"/>
      </w:r>
      <w:r>
        <w:rPr>
          <w:rFonts w:ascii="IRNazanin" w:hAnsi="IRNazanin" w:eastAsia="IRNazanin"/>
          <w:color w:val="111111"/>
          <w:sz w:val="28"/>
          <w:sz w:val="28"/>
          <w:szCs w:val="28"/>
          <w:rtl w:val="true"/>
          <w:lang w:bidi="fa-IR"/>
        </w:rPr>
        <w:t>بقراءته من السور الطوال، فإن قرأه عامداً</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بطلت</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بمجرّد الشروع محلّ تأمّل، نعم، لا یبعد البطلان بقراءة ما یوجب التفویت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قصد خصوص التکلیف الأدائی ولم یدرک رکعة، وأمّا إن قصد الأمر الفعلی وأدرک رکعة فالأحوط الإتمام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بمجرّد الشروع فیه مع الالتفات إلی عدم سعة الوقت، ولا یجدی العدول عنه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رجع إلی عدم قصد الامتثال،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الأمر الأدائی ولم یدرک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لبطلان الصلاة إلاّ إذا رجع إلی عدم قصد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للنقص العمدی أو الزیادة العمدیّة أو غیرهما من الوجوه، وإن کان بعضها لا یخلو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صلاته إن قصد الأمر الجامع بین الأداء والقضاء، أو قصد الأمر الأدائی، ولکن إذا أدرک رکعة من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بطلان الصلاة بذلک وإن کان عامداً، فإذا کان فی سعة الوقت عدل من تلک السورة إلی غیرها وأتم صلاته، وإن کان الوقت ضیقاً قطع السورة وأتمّ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تبطل صلاته إذا قصد بها الأداء ولم یدرک رکعة من الوقت، سواء کان عامداً أم ساهیاً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بالصحة اذا قصد المحبوبیة، لا الأمر، بل لو نوی الجامع بین الأمر الأدائی والقضائی، والأحوط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قصد الأمر الأدائی أم لا، أدرک رکعة أم لا، فیجوز له قطع الصلاة والاکتفاء بالإعادة ولکن 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w:t>
      </w:r>
      <w:r>
        <w:rPr>
          <w:rFonts w:eastAsia="IRNazanin" w:cs="IRNazanin"/>
          <w:color w:val="111111"/>
          <w:sz w:val="28"/>
          <w:szCs w:val="28"/>
          <w:rtl w:val="true"/>
          <w:lang w:bidi="fa-IR"/>
        </w:rPr>
        <w:t>. . . . . . . . . . . . . . . . . . . .</w:t>
      </w:r>
    </w:p>
    <w:p>
      <w:pPr>
        <w:pStyle w:val="BookText"/>
        <w:rPr/>
      </w:pPr>
      <w:r>
        <w:rPr>
          <w:rFonts w:ascii="Amiri" w:hAnsi="Amiri" w:eastAsia="Amiri" w:cs="Amiri"/>
          <w:color w:val="111111"/>
          <w:sz w:val="28"/>
          <w:sz w:val="28"/>
          <w:szCs w:val="28"/>
          <w:rtl w:val="true"/>
          <w:lang w:bidi="ar-SA"/>
        </w:rPr>
        <w:t>یتمّه</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عدم إدراک رکعة من الوقت، وکذا لو قرأه ساهیاً علی الأظهر ، وأمّا إن لم یستلزم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بالمقدار المفوِّت عمداً بطلت صلاته أیضاً، بل وکذا لو شرع فیه عمداً علی الأحوط ، وأمّا إذا أتی به سهواً فلا موجب للبطلان، ولکنّه یقطع السورة إذا التفت فی الأثناء، ولا یجب علیه قراءة سورة اُخری مع استلزامها وقوع بعض الصلاة خارج الوقت، وإلاّ فالأحوط قراءتها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من نیّته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وأتمّها وفات الوقت ، أمّا إذا عدل فی الأثناء إلی سورة اُخری وأدرک الوقت معها صحّت صلاته، إلاّ إذا کان علی نحو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الشروع، وأمّا</w:t>
      </w:r>
    </w:p>
    <w:p>
      <w:pPr>
        <w:pStyle w:val="BookText"/>
        <w:rPr/>
      </w:pPr>
      <w:r>
        <w:rPr>
          <w:rFonts w:ascii="IRNazanin" w:hAnsi="IRNazanin" w:eastAsia="IRNazanin"/>
          <w:color w:val="111111"/>
          <w:sz w:val="28"/>
          <w:sz w:val="28"/>
          <w:szCs w:val="28"/>
          <w:rtl w:val="true"/>
          <w:lang w:bidi="fa-IR"/>
        </w:rPr>
        <w:t>إذا کان ساهیاً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تذکّر بعد الفراغ أتمّ</w:t>
      </w:r>
      <w:r>
        <w:rPr>
          <w:rStyle w:val="FootnoteAnchor"/>
          <w:rtl w:val="true"/>
        </w:rPr>
        <w:footnoteReference w:id="410"/>
      </w:r>
      <w:r>
        <w:rPr>
          <w:rFonts w:ascii="Amiri" w:hAnsi="Amiri" w:eastAsia="Amiri" w:cs="Amiri"/>
          <w:color w:val="111111"/>
          <w:sz w:val="28"/>
          <w:sz w:val="28"/>
          <w:szCs w:val="28"/>
          <w:rtl w:val="true"/>
          <w:lang w:bidi="ar-SA"/>
        </w:rPr>
        <w:t>الصلاة وصحّت، وإن لم</w:t>
      </w:r>
      <w:r>
        <w:rPr>
          <w:rStyle w:val="FootnoteAnchor"/>
          <w:rtl w:val="true"/>
        </w:rPr>
        <w:footnoteReference w:id="411"/>
      </w:r>
      <w:r>
        <w:rPr>
          <w:rFonts w:ascii="IRNazanin" w:hAnsi="IRNazanin" w:eastAsia="IRNazanin"/>
          <w:color w:val="111111"/>
          <w:sz w:val="28"/>
          <w:sz w:val="28"/>
          <w:szCs w:val="28"/>
          <w:rtl w:val="true"/>
          <w:lang w:bidi="fa-IR"/>
        </w:rPr>
        <w:t>یکن</w:t>
      </w:r>
      <w:r>
        <w:rPr>
          <w:rStyle w:val="FootnoteAnchor"/>
          <w:rtl w:val="true"/>
        </w:rPr>
        <w:footnoteReference w:id="412"/>
      </w:r>
      <w:r>
        <w:rPr>
          <w:rFonts w:ascii="IRNazanin" w:hAnsi="IRNazanin" w:eastAsia="IRNazanin"/>
          <w:color w:val="111111"/>
          <w:sz w:val="28"/>
          <w:sz w:val="28"/>
          <w:szCs w:val="28"/>
          <w:rtl w:val="true"/>
          <w:lang w:bidi="fa-IR"/>
        </w:rPr>
        <w:t>قد أدرک</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فی هذه الصورة أیضاً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قد أدرک رکعة، وکان فی الأثناء یجب القطع واستئناف الصلاة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بطلانها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أدرک رکعة فی الوقت مع سورة اُخری، وإلاّ ففیه إشکال، فلا یُترک الاحتیاط بإتمامها وقضائها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قصد التکلیف الفعلی، وأمّا مع قصد الأمر الأدائی بالخصوص فتشکل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فی هذه الصورة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تأمّل، وإن کان لا یبعد ذلک، فالأحوط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الوقت</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الجمع بین الإتمام والقضاء، کما أنّ الأقوی عدم کفایة تلک السورة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البطلان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فی هذا الفرض لا تخلو من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یحتاج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إعادة سورة اُخری، وإن تذکّر فی الأثناء عدل إلی 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بوجوب سورة کاملة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فی سعة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بمقدار إدراک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ترکها ورکع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وصحّت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أدرک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یدرک من الوقت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إتمامها وقضاؤها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أدرک رکعة مع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أدرک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أدرک رکعة من الوقت، والاّ کانت صلاته باطلة،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یدرک رکعة من الصلاة فی الوقت ففی الصحّة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3278_326437"/>
    </w:p>
    <w:p>
      <w:pPr>
        <w:pStyle w:val="Heading3"/>
        <w:numPr>
          <w:ilvl w:val="2"/>
          <w:numId w:val="1"/>
        </w:numPr>
        <w:rPr/>
      </w:pPr>
      <w:bookmarkStart w:id="332" w:name="__RefHeading___Toc1840807_2322387425"/>
      <w:bookmarkStart w:id="333" w:name="_Toc121"/>
      <w:bookmarkEnd w:id="331"/>
      <w:bookmarkEnd w:id="332"/>
      <w:r>
        <w:rPr>
          <w:rtl w:val="true"/>
        </w:rPr>
        <w:t>حکم قراءة سور العزائم</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یجوز علی الأقرب ، ولکن إذا قرأها حتّی بلغ آیة السجدة لزمه السجود لها، فإن سجد بطلت صلاته علی الأحوط، إلاّ إذا أتی به ساهیاً ، وإن ترکه ولو عصیاناً صحّت علی الأقوی ، وإن قرأها إلی ما قبل آیة السجدة جاز له العدول إلی غیرها مطلقاً، ولا فرق فی ما ذکر بین من قرأها متعمّداً وغیره، ومنه یظهر النظر فی بعض 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جعلها جزءاً فالحکم بالاستئناف فی ما إذا أتی بقصد الجزئیة، وإلاّ فالأظهر عدم بطلان الصلاة ، نعم، لو قرأ آیة السجدة وسجد فالأحوط إتمام الصلاة بسورة اُخری وإعادتها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 سور العزائم فی 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فلو قرأها عمداً استأنف</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المشهور من الحرمة والبطلان، لکنّ استفادتهما من الأخبار مشکل، والاحتیاط لا ینبغی ترکه وضعاً وتکلیفاً فی غیر آیة السجدة، وأمّا فیها فقد مرّ عدم جواز قراءتها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السجدة علیه حینئذٍ، فإنْ ترک السجدة فالأحوط وجوب الإتمام والإعادة، کما أنّه إن سجد بطلت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إتمام ما بیده بسورةٍ اُخری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قراءة آیة السجدة السجود وإتمام الصلاة ثمّ الإعادة، وأمّا قبل قراءة آیة السجدة فلا یُترک الاحتیاط بالعدول وقراءة سورة اُخری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بعد الإتمام، والإتیان بالسجدة فی الصلاة إن قرأ آیتها، وإلاّ فالأحوط العدول إلی سورة اُخری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السجود للتلاوة وإتمام الصلاة، ثمّ الإعادة إن قرأ آیة السجود، والعدول إلی سورة اُخری، وإتمام الصلاة ثمّ الإعادة إن لم یکن قد قرأها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قرأ سورة العزیمة فی الفریضة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سجد لها کما هو الأقرب بطلت صلاته للزیادة، وإن هو لم یسجد لها عصی بترک السجود وکان علیه أن یتمّ الصلاة ثمّ یعیدها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قرأها ساهیاً أو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تذکّر قبل آیة العزیمة عدل إلی سورة اُخری وأتم الصلاة، وإن لم یتذکّر إلاّ بعد قراءة آیة العزیمة والسجود لها ناسیاً أتمّ صلاته وکانت صحیحة علی الأقرب، وإن تذکّر بعد قراءة الآیة وقبل السجود لها کان الحکم هو ما تقدم فی العمد، فإن سجد لها کما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بطلت صلاته للزیادة، وإن عصی ولم یسجد وجب علیه أن یتمّ الصلاة ثمّ یعیدها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یسجد للعزیمة ویتمّ صلاته ثمّ یُعید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یکن</w:t>
      </w:r>
    </w:p>
    <w:p>
      <w:pPr>
        <w:pStyle w:val="BookText"/>
        <w:rPr/>
      </w:pPr>
      <w:r>
        <w:rPr>
          <w:rFonts w:ascii="IRNazanin" w:hAnsi="IRNazanin" w:eastAsia="IRNazanin"/>
          <w:color w:val="111111"/>
          <w:sz w:val="28"/>
          <w:sz w:val="28"/>
          <w:szCs w:val="28"/>
          <w:rtl w:val="true"/>
          <w:lang w:bidi="fa-IR"/>
        </w:rPr>
        <w:t>قرأ</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الاستئناف فی هذه الصورة وبطلان الصلاة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الصلاة بغیر آیة السجدة محلّ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یبلغ بآیة السجدة فالأحوط العدول إلی سورة اُخری ویتمّ الصلاة ثمّ یعید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ولو البسملة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شیئاً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من نیّته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 بمجرّد قراءة آیة السجدة دون توقّف علی السجود، فلو ترکها عصیاناً وقرأ سورة اُخری لم تصحّ، نعم، لو تعذّرت السجدة لمرض ونحوه ووجب الإیماء بدلاً عنها فللقول بالصحّة بعد الإیماء وإتمام السورة والصلاة مجال، وإن کان الأحوط خلافه، ولا حاجة فی ما لو قرأها ناسیاً إلی إتمام سورة العزیمة، بل یحصل بقراءة غیرها، بل هو خلاف الاحتیاط؛ لاستلزامه القرآن بین سورتین، کما أنّ السجدة فی الأثناء خلاف الاحتیاط، کما أنّ إعادة الصلاة لا حاجة إلیها إذا لم یأتِ بالسجدة فی الأثناء؛ إذ لم ینقل القول بالبطلان فی صورة السهو عن أحد، فالاحتیاط إذاً بالجمع بین الإیماء فی الصلاة والسجود بعدها وقراءة سورة اُخری إن تذکّر قبل الرکوع فی الأثناء، وإن کان الأقوی الاکتفاء بالإیماء وإکمال السورة من دون حاجة إلی سورة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لم یکن من نیّته شیء من الأمرین ، بل أتی بها بقصد الجزئیّة تکون صلاته باطلة ، وبدونه یشکل بطلان الصلاة بدون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w:t>
      </w:r>
    </w:p>
    <w:p>
      <w:pPr>
        <w:pStyle w:val="BookText"/>
        <w:rPr/>
      </w:pPr>
      <w:r>
        <w:rPr>
          <w:rFonts w:ascii="Amiri" w:hAnsi="Amiri" w:eastAsia="Amiri" w:cs="Amiri"/>
          <w:color w:val="111111"/>
          <w:sz w:val="28"/>
          <w:sz w:val="28"/>
          <w:szCs w:val="28"/>
          <w:rtl w:val="true"/>
          <w:lang w:bidi="ar-SA"/>
        </w:rPr>
        <w:t>الشروع الإتمام أو القراءة</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أتی بقصد الجزئیّة استأنفها علی الأحوط ولو لم ینوِ الإتمام أو القراءة إلی تمام آیة السجدة وأمّا مع عدم قصدها فیشکل الإبطال قبل إتیان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بنیّة الجزئیّة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ما بعد آیة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قرأها ساهیاً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تذکّر قبل بلوغ آیة السجدة وجب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العدول</w:t>
      </w:r>
      <w:r>
        <w:rPr>
          <w:rStyle w:val="FootnoteAnchor"/>
          <w:rtl w:val="true"/>
        </w:rPr>
        <w:footnoteReference w:id="419"/>
      </w:r>
      <w:r>
        <w:rPr>
          <w:rFonts w:ascii="IRNazanin" w:hAnsi="IRNazanin" w:eastAsia="IRNazanin"/>
          <w:color w:val="111111"/>
          <w:sz w:val="28"/>
          <w:sz w:val="28"/>
          <w:szCs w:val="28"/>
          <w:rtl w:val="true"/>
          <w:lang w:bidi="fa-IR"/>
        </w:rPr>
        <w:t>إلی سورة اُخری</w:t>
      </w:r>
      <w:r>
        <w:rPr>
          <w:rStyle w:val="FootnoteAnchor"/>
          <w:rtl w:val="true"/>
        </w:rPr>
        <w:footnoteReference w:id="420"/>
      </w:r>
      <w:r>
        <w:rPr>
          <w:rFonts w:ascii="IRNazanin" w:hAnsi="IRNazanin" w:eastAsia="IRNazanin"/>
          <w:color w:val="111111"/>
          <w:sz w:val="28"/>
          <w:sz w:val="28"/>
          <w:szCs w:val="28"/>
          <w:rtl w:val="true"/>
          <w:lang w:bidi="fa-IR"/>
        </w:rPr>
        <w:t>وإن کان قد تجاوز النصف، وإن تذکّر بعد قراءة آیة السجدة</w:t>
      </w:r>
      <w:r>
        <w:rPr>
          <w:rStyle w:val="FootnoteAnchor"/>
          <w:rtl w:val="true"/>
        </w:rPr>
        <w:footnoteReference w:id="421"/>
      </w:r>
      <w:r>
        <w:rPr>
          <w:rFonts w:ascii="IRNazanin" w:hAnsi="IRNazanin" w:eastAsia="IRNazanin"/>
          <w:color w:val="111111"/>
          <w:sz w:val="28"/>
          <w:sz w:val="28"/>
          <w:szCs w:val="28"/>
          <w:rtl w:val="true"/>
          <w:lang w:bidi="fa-IR"/>
        </w:rPr>
        <w:t>أو بعد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الرکوع</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بعده، فإن سجد نسیاناً أتمّ صلاته وصحّت، وکذا إن سها عن السجود حتّی أتمّها، وإن التفت فسجد بطلت، وإن عصی فالأحوط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سجد نسیاناً أتمّ صلاته وصحّتْ، وإنْ التفت فسجد بطلت، وإن عصی فالأحوط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الإتمام أحوط تأمّل، بل یرفع الید عنها ویقرأ غیرها مطلقا، ویؤخّر السجدة إلی ما بعد الفراغ لو قرأ آیتها، ویومئ إلیها فی الصلاة أیضاً متی تذکّرها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ترکها وقراءة سورة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الإتمام أحوط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جواز الاجتزاء بتلک السورة ، والأحوط الإیماء للسجود ، وکذا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 تمامها</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الأظهر صحّة الصلاة إن عمل بما ذکر مع الإیماء فی أثناء الصلاة والإتیان بسجدة التلاوة بعد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تذکّر بعد قراءة آیة السجدة فالأقوی هو الاجتزاء بتلک السورة وتأخیر السجدة إلی ما بعد الصلاة، ولا یجب الإیماء ولا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ویتعیّن علیه الإیماء للسجدة حینئذٍ، ولا یحتاج إلی الإعادة وإن کانت أحوط، ولا فرق فی ذلک بین أن یکون تذکّره قبل الرکوع، أو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الجمع بین الإیماء والسجدة فیها وإتمامها، وقراءة سورة اُخری وإتیان السجدة بعد الصلاة وإعادتها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الاجتزاء بهذه السورة والاکتفاء بالإیماء من دون إعادة الصلاة، وکذا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إتمامها والاکتفاء بها وکفایة الإیماء إلی السجدة، والأحوط الإتیان بها بعد إتمام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الصلاة فی الفرض، وعدم وجوب سورة اُخری علیه، ولزوم الإیماء بدل السجود فی الصلاة، والأحوط استحباباً الإتیان بالسجدة أیضاً بعد الصلاة، وأحوط منه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فی أ ثنائها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وقراءة سورة</w:t>
      </w:r>
      <w:r>
        <w:rPr>
          <w:rStyle w:val="FootnoteAnchor"/>
          <w:rtl w:val="true"/>
        </w:rPr>
        <w:footnoteReference w:id="424"/>
      </w:r>
      <w:r>
        <w:rPr>
          <w:rFonts w:ascii="IRNazanin" w:hAnsi="IRNazanin" w:eastAsia="IRNazanin"/>
          <w:color w:val="111111"/>
          <w:sz w:val="28"/>
          <w:sz w:val="28"/>
          <w:szCs w:val="28"/>
          <w:rtl w:val="true"/>
          <w:lang w:bidi="fa-IR"/>
        </w:rPr>
        <w:t>غیرها</w:t>
      </w:r>
      <w:r>
        <w:rPr>
          <w:rStyle w:val="FootnoteAnchor"/>
          <w:rtl w:val="true"/>
        </w:rPr>
        <w:footnoteReference w:id="425"/>
      </w:r>
      <w:r>
        <w:rPr>
          <w:rFonts w:ascii="IRNazanin" w:hAnsi="IRNazanin" w:eastAsia="IRNazanin"/>
          <w:color w:val="111111"/>
          <w:sz w:val="28"/>
          <w:sz w:val="28"/>
          <w:szCs w:val="28"/>
          <w:rtl w:val="true"/>
          <w:lang w:bidi="fa-IR"/>
        </w:rPr>
        <w:t>بنیّة القربة المطلقة</w:t>
      </w:r>
      <w:r>
        <w:rPr>
          <w:rStyle w:val="FootnoteAnchor"/>
          <w:rtl w:val="true"/>
        </w:rPr>
        <w:footnoteReference w:id="426"/>
      </w:r>
      <w:r>
        <w:rPr>
          <w:rFonts w:ascii="IRNazanin" w:hAnsi="IRNazanin" w:eastAsia="IRNazanin"/>
          <w:color w:val="111111"/>
          <w:sz w:val="28"/>
          <w:sz w:val="28"/>
          <w:szCs w:val="28"/>
          <w:rtl w:val="true"/>
          <w:lang w:bidi="fa-IR"/>
        </w:rPr>
        <w:t>بعد الإیماء إلی السجدة</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الإتیان بها، وکذا بعد الدخول فی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بها بعد الفریضة،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الإیماء إلی السجدة فی الصلاة، ثمّ الإتیان بالسجدة بعد الصلاة، ولا یحتاج الی إعادة الصلاة، وکذلک لو تذکّر بعد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الإیماء وعدم الإتیان بها فی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بها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للتخییر بین السجدة والإیماء فی أثناء الصلاة، بل المتعیّن الاحتیاط بإتیان السجدة بعد الصلاة والإیماء فی حالها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ترکها فی الصلاة، والأحوط الإیماء إلیها ثمّ الإتیان بها بعد الصلاة،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یأتی بها فی الفریضة، ومنه یظهر حکم التذکّر بعد الدخول فی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فالاحوط إتیان سجدة الآیة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إتمامها وإعادتها</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صحّة الفریضة لو اختار الإیماء فی أثنائها وأخّر السجدة إلی الفراغ منها، وکذا فی الصورة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لزوم الإعادة مع الإیماء، والأحوط ترک السجدة بین الصلاة، وکذا لو تذکّر بعد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بالإیماء للسجدة فی الصلاة ثمّ السجدة بعدها، وحینئذٍ لا وجه للإعادة، وکذا الکلام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الیها، ومنه یظهر حکم التذکّر بعد الدخول فی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الدخول فی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یکن سجد للتلاوة فکذلک، أومأ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هذا الفرض حکم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334" w:name="pg13278_326445"/>
    </w:p>
    <w:p>
      <w:pPr>
        <w:pStyle w:val="BookText"/>
        <w:rPr/>
      </w:pPr>
      <w:bookmarkEnd w:id="334"/>
      <w:r>
        <w:rPr>
          <w:rFonts w:ascii="IRNazanin" w:hAnsi="IRNazanin" w:eastAsia="IRNazanin"/>
          <w:color w:val="111111"/>
          <w:sz w:val="28"/>
          <w:sz w:val="28"/>
          <w:szCs w:val="28"/>
          <w:rtl w:val="true"/>
          <w:lang w:bidi="fa-IR"/>
        </w:rPr>
        <w:t>أو سجد</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الأحوط بل الأقوی ترک سجود التلاوة فی الفریضة والاکتفاء بالإیماء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أتمّها وأعادها، وإن کان سجد لها نسیاناً أیضاً فالظاهر صحّة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الصحّة متوقفة علی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 وقد 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شیء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لو تذکّر قبل الرکوع مع فرض الإتیان بسجود التلاوة أیضاً نسیاناً فإنّه لیس علیه إعادة الصلاة 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840809_2322387425"/>
      <w:bookmarkStart w:id="336" w:name="_Toc122"/>
      <w:bookmarkEnd w:id="335"/>
      <w:r>
        <w:rPr>
          <w:rtl w:val="true"/>
        </w:rPr>
        <w:t>حکم قراءة آیة السجده</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یقرأ سورة العزیمة لکن قرأ آیتها</w:t>
      </w:r>
      <w:r>
        <w:rPr>
          <w:rStyle w:val="FootnoteAnchor"/>
          <w:rtl w:val="true"/>
        </w:rPr>
        <w:footnoteReference w:id="430"/>
      </w:r>
      <w:r>
        <w:rPr>
          <w:rFonts w:ascii="IRNazanin" w:hAnsi="IRNazanin" w:eastAsia="IRNazanin"/>
          <w:color w:val="111111"/>
          <w:sz w:val="28"/>
          <w:sz w:val="28"/>
          <w:szCs w:val="28"/>
          <w:rtl w:val="true"/>
          <w:lang w:bidi="fa-IR"/>
        </w:rPr>
        <w:t>فی أثناء الصلاة</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یظهرحکم هذه المسألة بتمامها ممّا تقدّم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 هذه المسألة بتمامها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Amiri" w:hAnsi="Amiri" w:eastAsia="Amiri" w:cs="Amiri"/>
          <w:color w:val="111111"/>
          <w:sz w:val="28"/>
          <w:sz w:val="28"/>
          <w:szCs w:val="28"/>
          <w:rtl w:val="true"/>
          <w:lang w:bidi="ar-SA"/>
        </w:rPr>
        <w:t>عمداً</w:t>
      </w:r>
      <w:r>
        <w:rPr>
          <w:rStyle w:val="FootnoteAnchor"/>
          <w:rtl w:val="true"/>
        </w:rPr>
        <w:footnoteReference w:id="432"/>
      </w:r>
      <w:r>
        <w:rPr>
          <w:rFonts w:ascii="IRNazanin" w:hAnsi="IRNazanin" w:eastAsia="IRNazanin"/>
          <w:color w:val="111111"/>
          <w:sz w:val="28"/>
          <w:sz w:val="28"/>
          <w:szCs w:val="28"/>
          <w:rtl w:val="true"/>
          <w:lang w:bidi="fa-IR"/>
        </w:rPr>
        <w:t>بطلت صلاته</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 السجدة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غیر واضح إذا لم یکن بقصد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الآیة حکم تمام السورة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کما سبق،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البطلان لا یخلو من القوّة إذا لم یکن بقصد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مع عدم قصد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بقصد الجزئیة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تبطل الصلاة بقراءة آیة العزیمة، نعم، تبطل بالسجود لها، فإن هو عصی أو سها عن السجود فلم یسجد أتمّ صلاته، وکذلک إذا قرأها ناسیاً، وإذا سمعها أو استمع إلیها أومأ إلی السجود وأتمّ صلاته وصحّت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إذا لم تکن بقصد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بها بقصد الجزئیة مع إتیان السجدة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 لأنّ المفروض عدم قصد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قرأها نسیاناً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الحال فیه وفی ما قبله ممّا مرّ فی المسأله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استمعها</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قراءتها کما مرّ، وإن استمعها فالأحوط الإیماء للسجود فی الأثناء والإتیان بالسجدة بعد الصلاة، ولا یحتاج إلی إعادة الصلاة، وأمّا سماعها فالأحوط أنّه بحکم الاستماع، وإن کان الأقوی عدم وجوب السجدة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سمعها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السجدة بالسماع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الأحوط الإیماء فی الصلاة ثمّ الإتیان بالسجدة بعدها، ولایحتاج حینئذٍ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قراءتها، وکذلک الحکم إن استمعها، أمّا سماعها فالأحوط أنّه بحکم الاستماع، ولکنّ الأقوی عدم وجوب السجدة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صحّة الصلاة، وتعیّن الإیماء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فی صورة إتیانها نسیاناً، تأخیر السجدة إلی ما بعد الصلاة وفی حکم السماع والاستماع الإیماء فی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کما مرّ، وإن کان عدم البطلان فی صورة النسیان والسماع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إتمام الصلاة وإعادتها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إتیانها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الإیماء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بالسجدة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أثناء الفریضة یکتفی فی سجود التلاوة بالإیماء مطلقاً، والسجدة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فی هذا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یسجد بعد الصلاة ویومئ فیها احتیاطاً، ولا حاجة إلی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الأحوط بل الأقوی ترکها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الإیماء أحوط، وأحوط منه السجدة بعد الصلاة، وکذا فی سابقتها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وإتمامها وإعادتها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بترک السجدة بین الصلاة، وعدم لزوم الإعادة مع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3278_326449"/>
    </w:p>
    <w:p>
      <w:pPr>
        <w:pStyle w:val="Heading3"/>
        <w:numPr>
          <w:ilvl w:val="2"/>
          <w:numId w:val="1"/>
        </w:numPr>
        <w:rPr/>
      </w:pPr>
      <w:bookmarkStart w:id="338" w:name="__RefHeading___Toc1840811_2322387425"/>
      <w:bookmarkStart w:id="339" w:name="_Toc123"/>
      <w:bookmarkEnd w:id="337"/>
      <w:bookmarkEnd w:id="338"/>
      <w:r>
        <w:rPr>
          <w:rtl w:val="true"/>
        </w:rPr>
        <w:t>حکم قراءة السور فی النوافل</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النوافل قراءة السورة</w:t>
      </w:r>
      <w:r>
        <w:rPr>
          <w:rStyle w:val="FootnoteAnchor"/>
          <w:rtl w:val="true"/>
        </w:rPr>
        <w:footnoteReference w:id="436"/>
      </w:r>
      <w:r>
        <w:rPr>
          <w:rFonts w:ascii="IRNazanin" w:hAnsi="IRNazanin" w:eastAsia="IRNazanin"/>
          <w:color w:val="111111"/>
          <w:sz w:val="28"/>
          <w:sz w:val="28"/>
          <w:szCs w:val="28"/>
          <w:rtl w:val="true"/>
          <w:lang w:bidi="fa-IR"/>
        </w:rPr>
        <w:t>وإن وجبت</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تکون المنذورة ونحوها کالفرائض الأصلیة فی وجوب السورة والاستقبال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أنها غیر واجبة فی النافلة وإن صارت واجبة بالنذر ونحوه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نحوه، فیجوز الاقتصار علی الحمد، أو مع قراءة بعض السورة، نعم، النوافل التی تستحبّ بالسور المعیّنة یعتبر فی کونها تلک النافلة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قراءة تلک السورة، لکن فی الغالب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یحتاج إلی زیادة 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ظهور غالب الأدلّة فی التقیید ووحدة المطلوب فالمصیر إلی تعدّده یحتاج إلی دلیل، مضافاً إلی ما اشتهر بینهم فی باب المستحبّات والمکروهات من تقیید إطلاقاتهما لو کانت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الغلبة غیر واضحة، ومع الشک فلا بُدّ فی إحراز عنوان تلک النافلة من قراءة السورة الموظّفة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تعیین السور</w:t>
      </w:r>
      <w:bookmarkStart w:id="340" w:name="pg13278_326450"/>
    </w:p>
    <w:p>
      <w:pPr>
        <w:pStyle w:val="BookText"/>
        <w:rPr/>
      </w:pPr>
      <w:bookmarkEnd w:id="340"/>
      <w:r>
        <w:rPr>
          <w:rFonts w:ascii="IRNazanin" w:hAnsi="IRNazanin" w:eastAsia="IRNazanin"/>
          <w:color w:val="111111"/>
          <w:sz w:val="28"/>
          <w:sz w:val="28"/>
          <w:szCs w:val="28"/>
          <w:rtl w:val="true"/>
          <w:lang w:bidi="fa-IR"/>
        </w:rPr>
        <w:t>من باب</w:t>
      </w:r>
      <w:r>
        <w:rPr>
          <w:rStyle w:val="FootnoteAnchor"/>
          <w:rtl w:val="true"/>
        </w:rPr>
        <w:footnoteReference w:id="438"/>
      </w:r>
      <w:r>
        <w:rPr>
          <w:rFonts w:ascii="IRNazanin" w:hAnsi="IRNazanin" w:eastAsia="IRNazanin"/>
          <w:color w:val="111111"/>
          <w:sz w:val="28"/>
          <w:sz w:val="28"/>
          <w:szCs w:val="28"/>
          <w:rtl w:val="true"/>
          <w:lang w:bidi="fa-IR"/>
        </w:rPr>
        <w:t>المستحبّ علی وجه تعدّد المطلوب، لا التقیید</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لأصل مشروعیتها وصحتها إلاّ أن یستفاد فی بعض الموارد من الشهرة أو السیرة أو غیرهما وحدة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341" w:name="__RefHeading___Toc1840813_2322387425"/>
      <w:bookmarkStart w:id="342" w:name="_Toc124"/>
      <w:bookmarkEnd w:id="341"/>
      <w:r>
        <w:rPr>
          <w:rtl w:val="true"/>
        </w:rPr>
        <w:t>حکم قراءة العزائم فی النوافل</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قراءة العزائم فی النوافل وإن وجبت</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الإشکال والتأمّل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فیسجد بعد 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فی الصلاة ثمّ یتمّها</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840815_2322387425"/>
      <w:bookmarkStart w:id="344" w:name="_Toc125"/>
      <w:bookmarkEnd w:id="343"/>
      <w:r>
        <w:rPr>
          <w:rtl w:val="true"/>
        </w:rPr>
        <w:t>ما هی سور العزائم</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 السجدة، وحآم السجدة، والنجم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بِاسْمِ</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840817_2322387425"/>
      <w:bookmarkStart w:id="346" w:name="_Toc126"/>
      <w:bookmarkEnd w:id="345"/>
      <w:r>
        <w:rPr>
          <w:rtl w:val="true"/>
        </w:rPr>
        <w:t>حکم البسملة فی السور</w:t>
      </w:r>
      <w:bookmarkEnd w:id="34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جزء</w:t>
      </w:r>
      <w:r>
        <w:rPr>
          <w:rStyle w:val="FootnoteAnchor"/>
          <w:rtl w:val="true"/>
        </w:rPr>
        <w:footnoteReference w:id="441"/>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 . . . . . . . </w:t>
      </w:r>
      <w:bookmarkStart w:id="347" w:name="pg13278_326451"/>
    </w:p>
    <w:p>
      <w:pPr>
        <w:pStyle w:val="BookText"/>
        <w:rPr/>
      </w:pPr>
      <w:bookmarkEnd w:id="347"/>
      <w:r>
        <w:rPr>
          <w:rFonts w:ascii="Amiri" w:hAnsi="Amiri" w:eastAsia="Amiri" w:cs="Amiri"/>
          <w:color w:val="111111"/>
          <w:sz w:val="28"/>
          <w:sz w:val="28"/>
          <w:szCs w:val="28"/>
          <w:rtl w:val="true"/>
          <w:lang w:bidi="ar-SA"/>
        </w:rPr>
        <w:t>کلّ</w:t>
      </w:r>
      <w:r>
        <w:rPr>
          <w:rStyle w:val="FootnoteAnchor"/>
          <w:rtl w:val="true"/>
        </w:rPr>
        <w:footnoteReference w:id="442"/>
      </w:r>
      <w:r>
        <w:rPr>
          <w:rFonts w:ascii="Amiri" w:hAnsi="Amiri" w:eastAsia="Amiri" w:cs="Amiri"/>
          <w:color w:val="111111"/>
          <w:sz w:val="28"/>
          <w:sz w:val="28"/>
          <w:szCs w:val="28"/>
          <w:rtl w:val="true"/>
          <w:lang w:bidi="ar-SA"/>
        </w:rPr>
        <w:t>سورة</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البسملة جزء من فاتحة الکتاب بلا إشکال، وأمّا بالنسبة إلی ما عداها غیر سورة التوبة فالأحوط بناءً علی عدم جواز التبعیض ـ کما مرّ ـ الإتیان بها فی أوّلها، ولکن من غیر ترتیب آثار الجزئیة علیها، کالاقتصار علی قراءتها بعد الحمد فی صلاة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قراءتها، عدا سورة براءة</w:t>
      </w:r>
      <w:r>
        <w:rPr>
          <w:rFonts w:eastAsia="IRNazanin" w:cs="IRNazanin"/>
          <w:color w:val="111111"/>
          <w:sz w:val="28"/>
          <w:szCs w:val="28"/>
          <w:rtl w:val="true"/>
          <w:lang w:bidi="fa-IR"/>
        </w:rPr>
        <w:t>.</w:t>
      </w:r>
    </w:p>
    <w:p>
      <w:pPr>
        <w:pStyle w:val="Heading3"/>
        <w:numPr>
          <w:ilvl w:val="2"/>
          <w:numId w:val="1"/>
        </w:numPr>
        <w:rPr/>
      </w:pPr>
      <w:bookmarkStart w:id="348" w:name="__RefHeading___Toc1840819_2322387425"/>
      <w:bookmarkStart w:id="349" w:name="_Toc127"/>
      <w:bookmarkEnd w:id="348"/>
      <w:r>
        <w:rPr>
          <w:rtl w:val="true"/>
        </w:rPr>
        <w:t>ما حکم السور المتحدة</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اتّحاد</w:t>
      </w:r>
      <w:r>
        <w:rPr>
          <w:rStyle w:val="FootnoteAnchor"/>
          <w:rtl w:val="true"/>
        </w:rPr>
        <w:footnoteReference w:id="444"/>
      </w:r>
      <w:r>
        <w:rPr>
          <w:rFonts w:ascii="Amiri" w:hAnsi="Amiri" w:eastAsia="Amiri" w:cs="Amiri"/>
          <w:color w:val="111111"/>
          <w:sz w:val="28"/>
          <w:sz w:val="28"/>
          <w:szCs w:val="28"/>
          <w:rtl w:val="true"/>
          <w:lang w:bidi="ar-SA"/>
        </w:rPr>
        <w:t xml:space="preserve">سورة الفیل ولإیلاف،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فلا یجزی</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صلاة الفریضة، أمّا فی النافلة فیجوز الاکتفاء بقراءة بعض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جمعهما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مرتّبتین مع البسملة بینهما</w:t>
      </w:r>
      <w:r>
        <w:rPr>
          <w:rFonts w:eastAsia="IRNazanin" w:cs="IRNazanin"/>
          <w:color w:val="111111"/>
          <w:sz w:val="28"/>
          <w:szCs w:val="28"/>
          <w:rtl w:val="true"/>
          <w:lang w:bidi="fa-IR"/>
        </w:rPr>
        <w:t>.</w:t>
      </w:r>
      <w:bookmarkStart w:id="350" w:name="pg13278_326452"/>
    </w:p>
    <w:p>
      <w:pPr>
        <w:pStyle w:val="Heading3"/>
        <w:numPr>
          <w:ilvl w:val="2"/>
          <w:numId w:val="1"/>
        </w:numPr>
        <w:rPr/>
      </w:pPr>
      <w:bookmarkStart w:id="351" w:name="__RefHeading___Toc1840821_2322387425"/>
      <w:bookmarkStart w:id="352" w:name="_Toc128"/>
      <w:bookmarkEnd w:id="350"/>
      <w:bookmarkEnd w:id="351"/>
      <w:r>
        <w:rPr>
          <w:rtl w:val="true"/>
        </w:rPr>
        <w:t>قراءة أکثر من سورة فی الفرائض</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w:t>
      </w:r>
      <w:r>
        <w:rPr>
          <w:rStyle w:val="FootnoteAnchor"/>
          <w:rtl w:val="true"/>
        </w:rPr>
        <w:footnoteReference w:id="447"/>
      </w:r>
      <w:r>
        <w:rPr>
          <w:rFonts w:ascii="IRNazanin" w:hAnsi="IRNazanin" w:eastAsia="IRNazanin"/>
          <w:color w:val="111111"/>
          <w:sz w:val="28"/>
          <w:sz w:val="28"/>
          <w:szCs w:val="28"/>
          <w:rtl w:val="true"/>
          <w:lang w:bidi="fa-IR"/>
        </w:rPr>
        <w:t>قراءة سورتین أو أزید فی رکعة مع الکراهة فی الفریضة، والأحوط</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 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المرعشی، الإصطهباناتی ، الرفیعی ، مهدی الشیرازی ، محمد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الذی وقع الخلاف فی حکمه لعلّه مختصّ بما لو قرأ سورة أو أکثرها بقصد الجزئیّة للصلاة، أمّا لو قصد الدعاء أو من حیث کونه کتاب اللّه العظیم فلا بأس به، ولیس منه أیضاً تکریر الآیة أو إعادتها إحتیاطاً کما فی خبر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اُردّد الآیة علی قلبی وعلی سمعی حتّی سمعتها من المتکلم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ما زلت اُردد إیاک نعبد حتّی سمعتها من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کرّرتها حتّی سمعتها من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وهل یتحقّق بقراءة الأکثر من سورة ولو بآیة أو آیتین، أو لا یتحقّق إلاّ بسورتین کاملتین؟ وجهان أقواهما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والضابطة العامّة فی زیادة الذکر والدعاء أ نّه ما اُتِیَ به بقصد الجزئیّة فلیس فیه سوی الحرمة التشریعیّة، وإلاّ فلا بأس به، وأمّا النافلة فیجوز بکلّ نحو، ولکن فی روایة 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من صلاة اللیل یقرأ فیه بالسورتین والثلاث، وما کان من صلاة النهار فلا تقرأ إلاّ بسورة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القراءة،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صلاة اللیل فاقرأ بالسورتین والثلاث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بسورة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فی النافلة فلا کراهة</w:t>
      </w:r>
      <w:r>
        <w:rPr>
          <w:rFonts w:eastAsia="IRNazanin" w:cs="IRNazanin"/>
          <w:color w:val="111111"/>
          <w:sz w:val="28"/>
          <w:szCs w:val="28"/>
          <w:rtl w:val="true"/>
          <w:lang w:bidi="fa-IR"/>
        </w:rPr>
        <w:t>.</w:t>
      </w:r>
      <w:bookmarkStart w:id="353" w:name="pg13278_326453"/>
    </w:p>
    <w:p>
      <w:pPr>
        <w:pStyle w:val="Heading3"/>
        <w:numPr>
          <w:ilvl w:val="2"/>
          <w:numId w:val="1"/>
        </w:numPr>
        <w:rPr/>
      </w:pPr>
      <w:bookmarkStart w:id="354" w:name="__RefHeading___Toc1840823_2322387425"/>
      <w:bookmarkStart w:id="355" w:name="_Toc129"/>
      <w:bookmarkEnd w:id="353"/>
      <w:bookmarkEnd w:id="354"/>
      <w:r>
        <w:rPr>
          <w:rtl w:val="true"/>
        </w:rPr>
        <w:t>ما حکم تعیین السورة</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تعیینها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ولو بنحو الارتکاز الحاصل من الاعتیاد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وجوبه، لکنّ الاعتیاد بسورة کافٍ فی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تعیینها عند قراءة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ولو ارتکازاً بحسب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التعیین ولو بنحو الإجمال، کالسورة الواقعة فی القرآن بعد السورة الفلانیّة ونحوها من 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التعیین ولو بنحو الإشارة الإجمالیّة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الوجوب ولو إجمالاً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تعیینها، نعم، یکفی التعیین الإجمالی الحاصل من الاعتیاد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ولو بنحو الإجمال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w:t>
      </w:r>
      <w:bookmarkStart w:id="356" w:name="pg13278_326454"/>
    </w:p>
    <w:p>
      <w:pPr>
        <w:pStyle w:val="BookText"/>
        <w:rPr/>
      </w:pPr>
      <w:bookmarkEnd w:id="356"/>
      <w:r>
        <w:rPr>
          <w:rFonts w:ascii="IRNazanin" w:hAnsi="IRNazanin" w:eastAsia="IRNazanin"/>
          <w:color w:val="111111"/>
          <w:sz w:val="28"/>
          <w:sz w:val="28"/>
          <w:szCs w:val="28"/>
          <w:rtl w:val="true"/>
          <w:lang w:bidi="fa-IR"/>
        </w:rPr>
        <w:t>الشروع فیها، وإن کان هو الأحوط</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عبدالهادی الشیرازی، الشاهرودی ، الشریعتمداری ، محمدرضا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بالارتکاز الناشئ من 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ولو ارتکازاً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ویکفی التعیین الإجمالی الارتکازی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عیّن البسملة لسورةٍ لم تکفِ لغیرها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الکوه کَمَرِی،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 بل لا یبعد جواز قراءة أیّة سورة شاء حینئذٍ ، وکذا الکلام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بناءً علی عدم الجزئیة مع التعیین لا تکون جزءً بعد صدق قراءة سورة کاملة علیها فی 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فلو عدل عنها وجب إعادة البسملة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840825_2322387425"/>
      <w:bookmarkStart w:id="358" w:name="_Toc130"/>
      <w:bookmarkEnd w:id="357"/>
      <w:r>
        <w:rPr>
          <w:rtl w:val="true"/>
        </w:rPr>
        <w:t>ما حکم تعیین البسملة للسورة</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البسملة لسورة ثمّ نسیها فلم یدرِ ما عیّن وجب إعادة البسملة</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کما مرّ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لم یعدّ فی النوافل لا شیء علیه؛ لصحة الاکتفاء فیها بتبعیض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لا توجب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وجبت سورة کاملة، وإلاّ فله الاکتفاء بما أتی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لأیّ سورة</w:t>
      </w:r>
    </w:p>
    <w:p>
      <w:pPr>
        <w:pStyle w:val="BookText"/>
        <w:rPr/>
      </w:pPr>
      <w:r>
        <w:rPr>
          <w:rFonts w:ascii="IRNazanin" w:hAnsi="IRNazanin" w:eastAsia="IRNazanin"/>
          <w:color w:val="111111"/>
          <w:sz w:val="28"/>
          <w:sz w:val="28"/>
          <w:szCs w:val="28"/>
          <w:rtl w:val="true"/>
          <w:lang w:bidi="fa-IR"/>
        </w:rPr>
        <w:t>أراد</w:t>
      </w:r>
      <w:r>
        <w:rPr>
          <w:rStyle w:val="FootnoteAnchor"/>
          <w:rtl w:val="true"/>
        </w:rPr>
        <w:footnoteReference w:id="452"/>
      </w:r>
      <w:r>
        <w:rPr>
          <w:rFonts w:ascii="IRNazanin" w:hAnsi="IRNazanin" w:eastAsia="IRNazanin"/>
          <w:color w:val="111111"/>
          <w:sz w:val="28"/>
          <w:sz w:val="28"/>
          <w:szCs w:val="28"/>
          <w:rtl w:val="true"/>
          <w:lang w:bidi="fa-IR"/>
        </w:rPr>
        <w:t>، ولو علم أ نّه عیّنها لإحدی السورتین من الجحد والتوحید ولم یدرِ أ نّه لأیّتهما أعاد البسملة</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إحداهما معیّناً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بقصد ما یقرؤه من إحداهما، والأولی أن لا یُعیدها ابتداءً، ویقرأ إحداهما بقصد القربة ثمّ یعیدها، ویقرأ الاُخری، ولا ینوی جزئیة واحد منهما بخصوصه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قراءة کلتا السورتین بلا بسملة، ویقصد جزئیة ما وقعت البسملة لها، والقربة المطلقة فی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لإعادة البسملة، بل مقتضی الاحتیاط الإتیان بکلتا السورتین؛ لتعیّن إحداهما بعد قراءة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بجواز التبعیض له الاکتفاء بما أتی به، وعلی القول بوجوب سورة کاملة الأظهر عدم جواز الاقتصار علی إتیان إحدی السورتین، وإن أعاد البسملة بناءً علی ما هو الحقّ من عدم جواز العدول من الجحد إلی التوحید، والعکس، وعلیه فیتعیّن علیه تحصیلاً للجزم بالامتثال أن یقرأ السورتین بقصد جزئیة ما عیّن البسملة لها واقعاً، من دون أن یفصل بینهما بالبسملة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وقرأ</w:t>
      </w:r>
    </w:p>
    <w:p>
      <w:pPr>
        <w:pStyle w:val="BookText"/>
        <w:rPr/>
      </w:pPr>
      <w:r>
        <w:rPr>
          <w:rFonts w:ascii="IRNazanin" w:hAnsi="IRNazanin" w:eastAsia="IRNazanin"/>
          <w:color w:val="111111"/>
          <w:sz w:val="28"/>
          <w:sz w:val="28"/>
          <w:szCs w:val="28"/>
          <w:rtl w:val="true"/>
          <w:lang w:bidi="fa-IR"/>
        </w:rPr>
        <w:t>إحداهما</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قراءة إحداهما مع هذه البسملة، ثمّ قراءة الاُخری مع بسملة لها احتیاطاً ورجاءً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قیل بجواز العدول من إحداهما إلی الاُخری، وإلاّ فیجب الجمع بینهما، إحداهما بقصد الجزئیّة، والاُخری بقصد القربة إن جاز القرآن، وإلاّ فالأظهر 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للإعادة مع العلم التفصیلی بعدم جزئیّتها للصلاة، والأحوط قراءة کلتا السورتین بقصد جزئیّة ما وقعت البسملة له من دون فصل بینهما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الإتیان بکلٍّ من السورتین رجاءً لإتمام ما شرع فیه بلا بسملة، والفصل بین البسملة وتمام السورة بمثل تلک السورة لا یضرّ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العدول من إحداها إلی الاُخری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هذا الحکم، بل یمنع، بناءً علی عدم جواز العدول من إحداهما إلی الاُخری، کما سیأتی منّا، ومنه قدس‌سره فی المسألة السادسة عشرة، فطریق التصحیح أن یأتی بإحدی السورتین بلا بسملة؛ لاحتمال أنّها هی السورة التی عیّنها منهما، ثم یأتی بعدها بالثانیة؛ لاحتمال أنّها هی المعیّنة، ویأتی معها بالبسملة؛ فإنّ الفصل بینها وبین البسملة الاُولی إذا کانت لها قد أخلّ بالموالاة ولو احتمالاً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 . . . . . . . . . . . . . . . . .</w:t>
      </w:r>
    </w:p>
    <w:p>
      <w:pPr>
        <w:pStyle w:val="BookText"/>
        <w:rPr/>
      </w:pPr>
      <w:r>
        <w:rPr>
          <w:rFonts w:ascii="IRNazanin" w:hAnsi="IRNazanin" w:eastAsia="IRNazanin"/>
          <w:color w:val="111111"/>
          <w:sz w:val="28"/>
          <w:sz w:val="28"/>
          <w:szCs w:val="28"/>
          <w:rtl w:val="true"/>
          <w:lang w:bidi="fa-IR"/>
        </w:rPr>
        <w:t>ولا یجوز قراءة غیرهما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بَسْمَلَ من غیر تعیین سورة فله أن یقرأ</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الأقوی لزوم التعیین، وکذا لزم فی صورة الشکّ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إعادتها بقصد سورة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مقتضی الاحتیاط اللازم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یعیدها معیّناً لها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یعید البسملة مع تعیین سورة لها،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بإعادة البسملة، وکذا لو شکّ فی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إعادة البسملة مع تعیین سورة لها، وکذلک فی صورة الشکّ فی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یکتفی بها، بل یعیدها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لزوم التعیین ولو بالإشارة الإجمالیّة ، فعلیه إعادة البسملة لأیّةِ سورةٍ عیّنها، وکذا الکلام فی صورة الشکّ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الأقوی وجوب التعیین، ومنه یظهر حکم ما فرّع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من إعادة البسملة،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یعید البسملة،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وجوب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اعتبار تعیّن السورة، ولکن الاحتیاط فی تعیّنها قبل الشروع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ولو شکّ فی أ نّه عیّنها لسورة معیّنة أو لا فکذلک، لکنّ الأحوط</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 الشاهرودی، أحمد الخونساری ، عبداللّه الشیرازی،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الصورة 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المیلانی، الآملی،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مرَّ من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التعیین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بانیاً من أوَّل الصلاة أو أوَّل الرکعة أن یقرأ سورة معیّنة فنسی وقرأ غیرها</w:t>
      </w:r>
      <w:r>
        <w:rPr>
          <w:rStyle w:val="FootnoteAnchor"/>
          <w:rtl w:val="true"/>
        </w:rPr>
        <w:footnoteReference w:id="458"/>
      </w:r>
      <w:r>
        <w:rPr>
          <w:rFonts w:ascii="IRNazanin" w:hAnsi="IRNazanin" w:eastAsia="IRNazanin"/>
          <w:color w:val="111111"/>
          <w:sz w:val="28"/>
          <w:sz w:val="28"/>
          <w:szCs w:val="28"/>
          <w:rtl w:val="true"/>
          <w:lang w:bidi="fa-IR"/>
        </w:rPr>
        <w:t>کفی</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سیما إذا کان ذلک من 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خصوصاً فی صورة عدم الاعتیاد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ولم یجب إعادة</w:t>
      </w:r>
    </w:p>
    <w:p>
      <w:pPr>
        <w:pStyle w:val="BookText"/>
        <w:rPr/>
      </w:pPr>
      <w:r>
        <w:rPr>
          <w:rFonts w:ascii="Amiri" w:hAnsi="Amiri" w:eastAsia="Amiri" w:cs="Amiri"/>
          <w:color w:val="111111"/>
          <w:sz w:val="28"/>
          <w:sz w:val="28"/>
          <w:szCs w:val="28"/>
          <w:rtl w:val="true"/>
          <w:lang w:bidi="ar-SA"/>
        </w:rPr>
        <w:t>السورة</w:t>
      </w:r>
      <w:r>
        <w:rPr>
          <w:rStyle w:val="FootnoteAnchor"/>
          <w:rtl w:val="true"/>
        </w:rPr>
        <w:footnoteReference w:id="460"/>
      </w:r>
      <w:r>
        <w:rPr>
          <w:rFonts w:ascii="IRNazanin" w:hAnsi="IRNazanin" w:eastAsia="IRNazanin"/>
          <w:color w:val="111111"/>
          <w:sz w:val="28"/>
          <w:sz w:val="28"/>
          <w:szCs w:val="28"/>
          <w:rtl w:val="true"/>
          <w:lang w:bidi="fa-IR"/>
        </w:rPr>
        <w:t>، وکذا لو کانت عادته سورة معیّنة فقرأ غیرها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أثناء سورة أ نّه هل عیّن البسملة لها أو لغیرها وقرأها نسیاناً بنی</w:t>
      </w:r>
      <w:r>
        <w:rPr>
          <w:rStyle w:val="FootnoteAnchor"/>
          <w:rtl w:val="true"/>
        </w:rPr>
        <w:footnoteReference w:id="462"/>
      </w:r>
      <w:r>
        <w:rPr>
          <w:rFonts w:ascii="Amiri" w:hAnsi="Amiri" w:eastAsia="Amiri" w:cs="Amiri"/>
          <w:color w:val="111111"/>
          <w:sz w:val="28"/>
          <w:sz w:val="28"/>
          <w:szCs w:val="28"/>
          <w:rtl w:val="true"/>
          <w:lang w:bidi="ar-SA"/>
        </w:rPr>
        <w:t>علی أ نّه</w:t>
      </w:r>
      <w:r>
        <w:rPr>
          <w:rStyle w:val="FootnoteAnchor"/>
          <w:rtl w:val="true"/>
        </w:rPr>
        <w:footnoteReference w:id="463"/>
      </w:r>
      <w:r>
        <w:rPr>
          <w:rFonts w:ascii="IRNazanin" w:hAnsi="IRNazanin" w:eastAsia="IRNazanin"/>
          <w:color w:val="111111"/>
          <w:sz w:val="28"/>
          <w:sz w:val="28"/>
          <w:szCs w:val="28"/>
          <w:rtl w:val="true"/>
          <w:lang w:bidi="fa-IR"/>
        </w:rPr>
        <w:t>لم</w:t>
      </w:r>
      <w:r>
        <w:rPr>
          <w:rStyle w:val="FootnoteAnchor"/>
          <w:rtl w:val="true"/>
        </w:rPr>
        <w:footnoteReference w:id="464"/>
      </w:r>
      <w:r>
        <w:rPr>
          <w:rFonts w:ascii="Amiri" w:hAnsi="Amiri" w:eastAsia="Amiri" w:cs="Amiri"/>
          <w:color w:val="111111"/>
          <w:sz w:val="28"/>
          <w:sz w:val="28"/>
          <w:szCs w:val="28"/>
          <w:rtl w:val="true"/>
          <w:lang w:bidi="ar-SA"/>
        </w:rPr>
        <w:t>یعیّن</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یبنی علی أنّه 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لهذا البناء؛ لوجوب التعیین الذی قلنا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جواز البناء علی أنّه عیّنها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علی الصحّة؛ لقاعدة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بنی علی أنّه عیّنها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بنی علی أنّه عیّن لها؛ إذ لا یکفی فی الصحّة مجرّد البناء علی أنّه لم یعیّن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3278_326460"/>
    </w:p>
    <w:p>
      <w:pPr>
        <w:pStyle w:val="Heading3"/>
        <w:numPr>
          <w:ilvl w:val="2"/>
          <w:numId w:val="1"/>
        </w:numPr>
        <w:rPr/>
      </w:pPr>
      <w:bookmarkStart w:id="360" w:name="__RefHeading___Toc1840827_2322387425"/>
      <w:bookmarkStart w:id="361" w:name="_Toc131"/>
      <w:bookmarkEnd w:id="359"/>
      <w:bookmarkEnd w:id="360"/>
      <w:r>
        <w:rPr>
          <w:rtl w:val="true"/>
        </w:rPr>
        <w:t>حکم العدول فی السور حال الصلاة</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من سورة إلی اُخری اختیاراً ما لم یبلغ</w:t>
      </w:r>
      <w:r>
        <w:rPr>
          <w:rStyle w:val="FootnoteAnchor"/>
          <w:rtl w:val="true"/>
        </w:rPr>
        <w:footnoteReference w:id="466"/>
      </w:r>
      <w:r>
        <w:rPr>
          <w:rFonts w:ascii="IRNazanin" w:hAnsi="IRNazanin" w:eastAsia="IRNazanin"/>
          <w:color w:val="111111"/>
          <w:sz w:val="28"/>
          <w:sz w:val="28"/>
          <w:szCs w:val="28"/>
          <w:rtl w:val="true"/>
          <w:lang w:bidi="fa-IR"/>
        </w:rPr>
        <w:t>النصف</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یتجاوز النصف 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الثلثین علی تردّدٍ فی ما عدا سور العزائم،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یتجاوز عن النصف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إذا بلغ النصف، وإنّما المنع إذا تجاوز النصف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بلغ النصف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یتجاوز النصف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یتجاوز عن النصف ، ثمّ المعیار فی التنصیف هل هو الکلمات، أو الحروف، أو الآیات؟ 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بلوغه فالأحوط وجوباً عدم العدول ما بینه وبین الثلثین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یبلغ الثلثین،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یبلغ الثلثین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التحدید محل تأمّل، بل لا یبعد جواز العدول بعد بلوغ النصف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الجحد والتوحید فلا یجوز العدول منهما إلی غیرهما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من إحداهما إلی الاُخری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بمجرّد الشروع فیهما ولو</w:t>
      </w:r>
    </w:p>
    <w:p>
      <w:pPr>
        <w:pStyle w:val="BookText"/>
        <w:rPr/>
      </w:pPr>
      <w:r>
        <w:rPr>
          <w:rFonts w:ascii="Amiri" w:hAnsi="Amiri" w:eastAsia="Amiri" w:cs="Amiri"/>
          <w:color w:val="111111"/>
          <w:sz w:val="28"/>
          <w:sz w:val="28"/>
          <w:szCs w:val="28"/>
          <w:rtl w:val="true"/>
          <w:lang w:bidi="ar-SA"/>
        </w:rPr>
        <w:t>بالبسملة</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البسملة لا یتعیّن کونها لسورة إلاّ بعد الشروع فی سورة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یجوز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ذلک فی مسائل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العدول من الجَحْد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المذکور یختصّ بالتوحید بحسب النصّ، ومقتضی إطلاق بعض الروایات شمول الحکم لصلاتَی الفجر والعصر، کما أنّ مقتضاه عدم التقیید بالنصف أو الثلثین، وطریق الاحتیاط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الجمعة والمنافقین فی خصوص یوم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بخصوص صلاة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حیث إنّه یستحبّ فی الظهر أو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فی جواز العدول علی صلاة الجمعة؛ لأنّه المتیقّن من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یقرأ فی الرکعة الاُولی الجمعة وفی الثانیة المنافقین، فإذا نسی وقرأ غیرهما حتّی الجحد والتوحید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یجوز العدول إلیهما مالم یبلغ النصف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یتجاوز، ولو تجاوز النصف فالأحوط عدم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ویحتمل هنا قویّاً جواز العدول مطلقاً وإن تجاوز النصف أو الثلثین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یتجاوزه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بلغه، بل ولو تجاوزه ما لم یفرغ من السورة، وهکذا فی سائر السور یجوز العدول منها إلیهما مطلقاً، ومع الشروع بالجَحْد والتوحید ولو عمداً یجوز العدول إلی الجمعة والمنافقین، وکلّ موردٍ جاز العدول وجب إعادة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یتجاوز النصف، أو ما لم یبلغ الثلثین، لکنّ الأحوط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یتجاوز النصف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ویحتمل هنا قویاً جواز العدول وإن تجاوز النصف أو الثلثین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شرع فی الجحد أو التوحید عمداً فلا یجوز العدول</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العدول إلیهما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 العدول فی صورة العمد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لیس إلزامیاً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الجمعة والمنافقین إلی غیرهما فی یوم الجمعة وإن لم یبلغ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471"/>
      </w:r>
      <w:r>
        <w:rPr>
          <w:rFonts w:ascii="IRNazanin" w:hAnsi="IRNazanin" w:eastAsia="IRNazanin"/>
          <w:color w:val="111111"/>
          <w:sz w:val="28"/>
          <w:sz w:val="28"/>
          <w:szCs w:val="28"/>
          <w:rtl w:val="true"/>
          <w:lang w:bidi="fa-IR"/>
        </w:rPr>
        <w:t>العدول من سورة إلی اُخری فی النوافل</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یشکل العدول فیها إذا کان من سورة التوحید أو الجحد؛ بناءً علی شمول أدلّة المنع فیهما للنوافل، والأحوط الإتیان بالمعدول إلیه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العدول فیها أیضاً بعد بلوغ النصف، بل مطلقاً فی الجَحْد والتوحید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بلغ النصف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بالمعدول إلیه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مع الضرورة العدول</w:t>
      </w:r>
      <w:r>
        <w:rPr>
          <w:rStyle w:val="FootnoteAnchor"/>
          <w:rtl w:val="true"/>
        </w:rPr>
        <w:footnoteReference w:id="473"/>
      </w:r>
      <w:r>
        <w:rPr>
          <w:rFonts w:ascii="IRNazanin" w:hAnsi="IRNazanin" w:eastAsia="IRNazanin"/>
          <w:color w:val="111111"/>
          <w:sz w:val="28"/>
          <w:sz w:val="28"/>
          <w:szCs w:val="28"/>
          <w:rtl w:val="true"/>
          <w:lang w:bidi="fa-IR"/>
        </w:rPr>
        <w:t>بعد بلوغ النصف حتّی فی الجحد والتوحید، کما إذا نسی بعض السورة</w:t>
      </w:r>
      <w:r>
        <w:rPr>
          <w:rStyle w:val="FootnoteAnchor"/>
          <w:rtl w:val="true"/>
        </w:rPr>
        <w:footnoteReference w:id="474"/>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خاف</w:t>
      </w:r>
      <w:r>
        <w:rPr>
          <w:rStyle w:val="FootnoteAnchor"/>
          <w:rtl w:val="true"/>
        </w:rPr>
        <w:footnoteReference w:id="475"/>
      </w:r>
      <w:r>
        <w:rPr>
          <w:rFonts w:ascii="IRNazanin" w:hAnsi="IRNazanin" w:eastAsia="IRNazanin"/>
          <w:color w:val="111111"/>
          <w:sz w:val="28"/>
          <w:sz w:val="28"/>
          <w:szCs w:val="28"/>
          <w:rtl w:val="true"/>
          <w:lang w:bidi="fa-IR"/>
        </w:rPr>
        <w:t>فوت الوقت بإتمامها، أو کان هناک مانع آخر، 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نذر</w:t>
      </w:r>
      <w:r>
        <w:rPr>
          <w:rStyle w:val="FootnoteAnchor"/>
          <w:rtl w:val="true"/>
        </w:rPr>
        <w:footnoteReference w:id="476"/>
      </w:r>
      <w:r>
        <w:rPr>
          <w:rFonts w:ascii="IRNazanin" w:hAnsi="IRNazanin" w:eastAsia="IRNazanin"/>
          <w:color w:val="111111"/>
          <w:sz w:val="28"/>
          <w:sz w:val="28"/>
          <w:szCs w:val="28"/>
          <w:rtl w:val="true"/>
          <w:lang w:bidi="fa-IR"/>
        </w:rPr>
        <w:t>أن یقرأ</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انحلال النذر حیث یتعذّر العدول لایخلو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علیه أن یُتمَّ ما بیده ویأتی بصلاة اُخری مع السورة المنذورة، إلاّ فی ضیق الوقت فیعدل إلی المنذورة حینئذٍ احتیاطاً لازماً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معیّنة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صلاته فنسی وقرأ غیرها فإنَّ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جواز العدول فی الصورتین تأمّل، بل الظاهر عدم جوازه وسقوط النذر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نظر من وجوه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والأحوط إتمام السورة رجاءً، ثمّ الإتیان بالمنذورة 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الجزم بالجواز فی غیر محلّه؛ إذ صحّة النذر تتوقّف علی رجحان المنذور فی الرتبة السابقة، والمفروض عدم جواز العدول، فلا یکون راجحاً، فلا یصحّ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العدول</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إن کان قد تعدّی محلّ العدول، أو کان ما شرع فیه الجحد والتوحید، والأقرب إتمام تلک السورة بنیّة القربة المطلقة، ثمّ قراءة المنذورة، والأحوط مع ذلک إعادة الصلاة بعد إتمامها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 العدول فی کِلتا الصورتین، والأحوط إعادة الصلاة مع السورة المنذورة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غیر صورة خوف فوات الوقت من موارد النذر وأخواته بعد ما تجاوز النصف، أو کان المشروع فیه الجحد والتوحید إتمام السورة رجاءً، ثمّ إعادة الصلاة بالسورة المنذورة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والأظهر جواز القطع وإعادة الصلاة مع السورة المنذورة، والأحوط أن تکون الإعادة بعد العدول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نذره أن یقرأ السورة المعیّنة لا غیرها، والأحوط إتمام السورة، ثمّ یأتی بعدها بالسورة المنذورة، ویقصد بإحداهما ما فی ذمّته، وبالثانیة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یُترک الاحتیاط بإعادة الصلاة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 الفرضین إتمام السورة رجاءً ، ثمّ الإتیان بالمنذورة 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بلوغ</w:t>
      </w:r>
      <w:bookmarkStart w:id="362" w:name="pg13278_326466"/>
    </w:p>
    <w:p>
      <w:pPr>
        <w:pStyle w:val="BookText"/>
        <w:rPr/>
      </w:pPr>
      <w:bookmarkEnd w:id="362"/>
      <w:r>
        <w:rPr>
          <w:rFonts w:ascii="IRNazanin" w:hAnsi="IRNazanin" w:eastAsia="IRNazanin"/>
          <w:color w:val="111111"/>
          <w:sz w:val="28"/>
          <w:sz w:val="28"/>
          <w:szCs w:val="28"/>
          <w:rtl w:val="true"/>
          <w:lang w:bidi="fa-IR"/>
        </w:rPr>
        <w:t>النصف</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 هاتین الصورتین إتمامها وإتیان السورة المنذورة بعدها بقصد القربة؛ لکون احتمال انحلال النذر فیهما قویاً 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الجواز بعد بلوغ النصف، وفی الجحد والتوحید مطلقاً، ولا حنث مع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قراءة المنذورة بعد إتمام ماشرع فیه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شرع فیه الجحد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التوحید</w:t>
      </w:r>
      <w:r>
        <w:rPr>
          <w:rFonts w:eastAsia="IRNazanin" w:cs="IRNazanin"/>
          <w:color w:val="111111"/>
          <w:sz w:val="28"/>
          <w:szCs w:val="28"/>
          <w:rtl w:val="true"/>
          <w:lang w:bidi="fa-IR"/>
        </w:rPr>
        <w:t>.</w:t>
      </w:r>
    </w:p>
    <w:p>
      <w:pPr>
        <w:pStyle w:val="Heading3"/>
        <w:numPr>
          <w:ilvl w:val="2"/>
          <w:numId w:val="1"/>
        </w:numPr>
        <w:rPr/>
      </w:pPr>
      <w:bookmarkStart w:id="363" w:name="__RefHeading___Toc1840829_2322387425"/>
      <w:bookmarkStart w:id="364" w:name="_Toc132"/>
      <w:bookmarkEnd w:id="363"/>
      <w:r>
        <w:rPr>
          <w:rtl w:val="true"/>
        </w:rPr>
        <w:t>حکم الجهر فی القراءة للرجل</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480"/>
      </w:r>
      <w:r>
        <w:rPr>
          <w:rFonts w:ascii="IRNazanin" w:hAnsi="IRNazanin" w:eastAsia="IRNazanin"/>
          <w:color w:val="111111"/>
          <w:sz w:val="28"/>
          <w:sz w:val="28"/>
          <w:szCs w:val="28"/>
          <w:rtl w:val="true"/>
          <w:lang w:bidi="fa-IR"/>
        </w:rPr>
        <w:t>علی الرجال الجهر بالقراءة فی الصبح والرکعتین الأوّلتین من المغرب والعشاء، ویجب الإخفات فی الظهر والعصر فی غیر یوم الجمعة، وأمّا فیه فیستحبّ</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جواز ترکه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صلاة</w:t>
      </w:r>
      <w:bookmarkStart w:id="365" w:name="pg13278_326467"/>
    </w:p>
    <w:p>
      <w:pPr>
        <w:pStyle w:val="BookText"/>
        <w:rPr/>
      </w:pPr>
      <w:bookmarkEnd w:id="365"/>
      <w:r>
        <w:rPr>
          <w:rFonts w:ascii="Amiri" w:hAnsi="Amiri" w:eastAsia="Amiri" w:cs="Amiri"/>
          <w:color w:val="111111"/>
          <w:sz w:val="28"/>
          <w:sz w:val="28"/>
          <w:szCs w:val="28"/>
          <w:rtl w:val="true"/>
          <w:lang w:bidi="ar-SA"/>
        </w:rPr>
        <w:t>الجمعة</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الأحوط فی ما لو لم نقل بأنّه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فیها أحوط إن لم یکن 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الجهر فی الجمعة، ولا یُترک الاحتیاط به فی صلاة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بالجهر فی صلاة الجمعة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فیهما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یُترک الاحتیاط بالجهر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فی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فلا یُترک الإخفات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ینبغی ترک الاحتیاط بالإخفات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النصوص یوجب الإشکال فی أصل مشروعیة الجهر، فلابدّ من رعایة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الإخفات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ینبغی ترک الاحتیاط فیها بالإخفات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840831_2322387425"/>
      <w:bookmarkStart w:id="367" w:name="_Toc133"/>
      <w:bookmarkEnd w:id="366"/>
      <w:r>
        <w:rPr>
          <w:rtl w:val="true"/>
        </w:rPr>
        <w:t>الجهر بالبسملة فی الظهرین</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483"/>
      </w:r>
      <w:r>
        <w:rPr>
          <w:rFonts w:ascii="IRNazanin" w:hAnsi="IRNazanin" w:eastAsia="IRNazanin"/>
          <w:color w:val="111111"/>
          <w:sz w:val="28"/>
          <w:sz w:val="28"/>
          <w:szCs w:val="28"/>
          <w:rtl w:val="true"/>
          <w:lang w:bidi="fa-IR"/>
        </w:rPr>
        <w:t>الجهر بالبسملة فی الظهرین للحمد والسورة</w:t>
      </w:r>
      <w:r>
        <w:rPr>
          <w:rFonts w:eastAsia="IRNazanin" w:cs="IRNazanin"/>
          <w:color w:val="111111"/>
          <w:sz w:val="28"/>
          <w:szCs w:val="28"/>
          <w:rtl w:val="true"/>
          <w:lang w:bidi="fa-IR"/>
        </w:rPr>
        <w:t>.</w:t>
      </w:r>
    </w:p>
    <w:p>
      <w:pPr>
        <w:pStyle w:val="Heading3"/>
        <w:numPr>
          <w:ilvl w:val="2"/>
          <w:numId w:val="1"/>
        </w:numPr>
        <w:rPr/>
      </w:pPr>
      <w:bookmarkStart w:id="368" w:name="__RefHeading___Toc1840833_2322387425"/>
      <w:bookmarkStart w:id="369" w:name="_Toc134"/>
      <w:bookmarkEnd w:id="368"/>
      <w:r>
        <w:rPr>
          <w:rtl w:val="true"/>
        </w:rPr>
        <w:t>حکم الجهر فی موضع الإخفات و بالعکس</w:t>
      </w:r>
      <w:bookmarkEnd w:id="3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جهر فی موضع الإخفات أو أخفت فی موضع الجهر عمداً بطلت الصلاة، وإن کان ناسیاً أو جاهلاً ولو بالحکم صحّت، سواء </w:t>
      </w:r>
    </w:p>
    <w:p>
      <w:pPr>
        <w:pStyle w:val="BookText"/>
        <w:rPr/>
      </w:pPr>
      <w:r>
        <w:rPr>
          <w:rFonts w:ascii="IRNazanin" w:hAnsi="IRNazanin" w:eastAsia="IRNazanin"/>
          <w:color w:val="111111"/>
          <w:sz w:val="28"/>
          <w:sz w:val="28"/>
          <w:szCs w:val="28"/>
          <w:rtl w:val="true"/>
          <w:lang w:bidi="fa-IR"/>
        </w:rPr>
        <w:t>کان الجاهل بالحکم متنبّهاً للسوءال</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المتنبّه للسؤال إشکال، فالأحوط إعادة الصلاة أو إعادة القراءة إن کان فی المحلّ، ولم یمنع عنه مانع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شموله للمنتبه المقصّر محلّ إشکال، وکذا لو کان جهله بالحکم ناشئاً من الجهل بحکم آخر، کما لو صلّی نیابةً عن المرأة فأخفت فی الجهریّة زاعماً أنّ علیه رعایة المنوب عنه، بل ذهب الأخ ـ 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المقصود به هو أخوه، الذی شارکه فی تدوین کتاب العروة الوثقی؛ باعتبارهما کانا من طلبة السید الیزدی رحمهم اللّه تعالی علی ما نقله بعض الأفاضل من آل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إلی عدم شموله للجاهل المقصّر مطلقاً، فتدور الجهة الوضعیّة مدار التکلیفیّة، ولکنّ ما ذهب إلیه الاُستاد قدس‌سره فی المتن وفاقاً للمشهور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یسأل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لا، لکنّ الشرط حصول قصد 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یری نفسه ممتثلاً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تارک السوءال متعمّداً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صورة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 تنبه الجاهل بالسؤال، والأولی الرد فی مورد هذا الاحتیاط ونظائره أن یأتی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370" w:name="pg13278_326469"/>
    </w:p>
    <w:p>
      <w:pPr>
        <w:pStyle w:val="BookText"/>
        <w:rPr/>
      </w:pPr>
      <w:bookmarkEnd w:id="370"/>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840835_2322387425"/>
      <w:bookmarkStart w:id="372" w:name="_Toc135"/>
      <w:bookmarkEnd w:id="371"/>
      <w:r>
        <w:rPr>
          <w:rtl w:val="true"/>
        </w:rPr>
        <w:t>حکم الناسی أو الجاهل للقراة قبل الرکوع</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الناسی أو الجاهل</w:t>
      </w:r>
      <w:r>
        <w:rPr>
          <w:rStyle w:val="FootnoteAnchor"/>
          <w:rtl w:val="true"/>
        </w:rPr>
        <w:footnoteReference w:id="485"/>
      </w:r>
      <w:r>
        <w:rPr>
          <w:rFonts w:ascii="IRNazanin" w:hAnsi="IRNazanin" w:eastAsia="IRNazanin"/>
          <w:color w:val="111111"/>
          <w:sz w:val="28"/>
          <w:sz w:val="28"/>
          <w:szCs w:val="28"/>
          <w:rtl w:val="true"/>
          <w:lang w:bidi="fa-IR"/>
        </w:rPr>
        <w:t>قبل الرکوع لا یجب علیه إعادة القراءة، بل وکذا لو تذکّر فی أثناء القراءة، حتّی لو قرأ آیة لا یجب إعادتها، لکنّ الأحوط</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خصوصاً إذا کان فی الأثناء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840837_2322387425"/>
      <w:bookmarkStart w:id="374" w:name="_Toc136"/>
      <w:bookmarkEnd w:id="373"/>
      <w:r>
        <w:rPr>
          <w:rtl w:val="true"/>
        </w:rPr>
        <w:t>صور الجهل بالحکم جهراً و إخفاتاً</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معذوریّة الجاهل بالحکم فی الجهر والإخفات بین أن یکون جاهلاً بوجوبهما، أو جاهلاً بمحلّهما، بأن علم إجمالاً أنّه یجب فی بعض الصلوات الجهر، وفی بعضها الإخفات؛ إلاّ أ نّه اشتبه علیه أنّ الصبح مثلاً جهریّة، والظهر إخفاتیّة، بل تخیّل العکس</w:t>
      </w:r>
      <w:r>
        <w:rPr>
          <w:rStyle w:val="FootnoteAnchor"/>
          <w:rtl w:val="true"/>
        </w:rPr>
        <w:footnoteReference w:id="487"/>
      </w:r>
      <w:r>
        <w:rPr>
          <w:rFonts w:ascii="IRNazanin" w:hAnsi="IRNazanin" w:eastAsia="IRNazanin"/>
          <w:color w:val="111111"/>
          <w:sz w:val="28"/>
          <w:sz w:val="28"/>
          <w:szCs w:val="28"/>
          <w:rtl w:val="true"/>
          <w:lang w:bidi="fa-IR"/>
        </w:rPr>
        <w:t>، أو کان جاهلاً بمعنی</w:t>
      </w:r>
      <w:r>
        <w:rPr>
          <w:rStyle w:val="FootnoteAnchor"/>
          <w:rtl w:val="true"/>
        </w:rPr>
        <w:footnoteReference w:id="488"/>
      </w:r>
      <w:r>
        <w:rPr>
          <w:rFonts w:ascii="IRNazanin" w:hAnsi="IRNazanin" w:eastAsia="IRNazanin"/>
          <w:color w:val="111111"/>
          <w:sz w:val="28"/>
          <w:sz w:val="28"/>
          <w:szCs w:val="28"/>
          <w:rtl w:val="true"/>
          <w:lang w:bidi="fa-IR"/>
        </w:rPr>
        <w:t>الجهر والإخفات فالأقوی</w:t>
      </w:r>
      <w:r>
        <w:rPr>
          <w:rStyle w:val="FootnoteAnchor"/>
          <w:rtl w:val="true"/>
        </w:rPr>
        <w:footnoteReference w:id="489"/>
      </w:r>
      <w:r>
        <w:rPr>
          <w:rFonts w:ascii="Amiri" w:hAnsi="Amiri" w:eastAsia="Amiri" w:cs="Amiri"/>
          <w:color w:val="111111"/>
          <w:sz w:val="28"/>
          <w:sz w:val="28"/>
          <w:szCs w:val="28"/>
          <w:rtl w:val="true"/>
          <w:lang w:bidi="ar-SA"/>
        </w:rPr>
        <w:t>معذوریّته</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معذوریة الجاهل بمعناهما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375" w:name="pg13278_326470"/>
    </w:p>
    <w:p>
      <w:pPr>
        <w:pStyle w:val="BookText"/>
        <w:rPr/>
      </w:pPr>
      <w:bookmarkEnd w:id="375"/>
      <w:r>
        <w:rPr>
          <w:rFonts w:ascii="IRNazanin" w:hAnsi="IRNazanin" w:eastAsia="IRNazanin"/>
          <w:color w:val="111111"/>
          <w:sz w:val="28"/>
          <w:sz w:val="28"/>
          <w:szCs w:val="28"/>
          <w:rtl w:val="true"/>
          <w:lang w:bidi="fa-IR"/>
        </w:rPr>
        <w:t>الصورتین، کما أنّ الأقوی</w:t>
      </w:r>
      <w:r>
        <w:rPr>
          <w:rStyle w:val="FootnoteAnchor"/>
          <w:rtl w:val="true"/>
        </w:rPr>
        <w:footnoteReference w:id="491"/>
      </w:r>
      <w:r>
        <w:rPr>
          <w:rFonts w:ascii="IRNazanin" w:hAnsi="IRNazanin" w:eastAsia="IRNazanin"/>
          <w:color w:val="111111"/>
          <w:sz w:val="28"/>
          <w:sz w:val="28"/>
          <w:szCs w:val="28"/>
          <w:rtl w:val="true"/>
          <w:lang w:bidi="fa-IR"/>
        </w:rPr>
        <w:t>معذوریّته إذا کان جاهلاً بأنّ المأموم یجب علیه</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وجب الإخفات لعارض خارج عن الصلاة کالخوف من عدوٍّ فلا معذوریّة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وجوب القراءة علیه، وإن کانت الصلاة جهریّة فجهر،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خصوصاً فی الصورتین الاولَتَین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وفی الصورتین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فی الصورة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الأوّلتین الإعادة</w:t>
      </w:r>
      <w:r>
        <w:rPr>
          <w:rFonts w:eastAsia="IRNazanin" w:cs="IRNazanin"/>
          <w:color w:val="111111"/>
          <w:sz w:val="28"/>
          <w:szCs w:val="28"/>
          <w:rtl w:val="true"/>
          <w:lang w:bidi="fa-IR"/>
        </w:rPr>
        <w:t>.</w:t>
      </w:r>
    </w:p>
    <w:p>
      <w:pPr>
        <w:pStyle w:val="Heading3"/>
        <w:numPr>
          <w:ilvl w:val="2"/>
          <w:numId w:val="1"/>
        </w:numPr>
        <w:rPr/>
      </w:pPr>
      <w:bookmarkStart w:id="376" w:name="__RefHeading___Toc1840839_2322387425"/>
      <w:bookmarkStart w:id="377" w:name="_Toc137"/>
      <w:bookmarkEnd w:id="376"/>
      <w:r>
        <w:rPr>
          <w:rtl w:val="true"/>
        </w:rPr>
        <w:t>سقوط الجهر عن النساء</w:t>
      </w:r>
      <w:bookmarkEnd w:id="37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الجهر</w:t>
      </w:r>
      <w:r>
        <w:rPr>
          <w:rStyle w:val="FootnoteAnchor"/>
          <w:rtl w:val="true"/>
        </w:rPr>
        <w:footnoteReference w:id="493"/>
      </w:r>
      <w:r>
        <w:rPr>
          <w:rFonts w:ascii="IRNazanin" w:hAnsi="IRNazanin" w:eastAsia="IRNazanin"/>
          <w:color w:val="111111"/>
          <w:sz w:val="28"/>
          <w:sz w:val="28"/>
          <w:szCs w:val="28"/>
          <w:rtl w:val="true"/>
          <w:lang w:bidi="fa-IR"/>
        </w:rPr>
        <w:t>علی النساء</w:t>
      </w:r>
      <w:r>
        <w:rPr>
          <w:rStyle w:val="FootnoteAnchor"/>
          <w:rtl w:val="true"/>
        </w:rPr>
        <w:footnoteReference w:id="494"/>
      </w:r>
      <w:r>
        <w:rPr>
          <w:rFonts w:ascii="Amiri" w:hAnsi="Amiri" w:eastAsia="Amiri" w:cs="Amiri"/>
          <w:color w:val="111111"/>
          <w:sz w:val="28"/>
          <w:sz w:val="28"/>
          <w:szCs w:val="28"/>
          <w:rtl w:val="true"/>
          <w:lang w:bidi="ar-SA"/>
        </w:rPr>
        <w:t>فی الصلوات الجهریّة، بل یتخیّرنَ</w:t>
      </w:r>
      <w:r>
        <w:rPr>
          <w:rStyle w:val="FootnoteAnchor"/>
          <w:rtl w:val="true"/>
        </w:rPr>
        <w:footnoteReference w:id="495"/>
      </w:r>
      <w:r>
        <w:rPr>
          <w:rFonts w:ascii="IRNazanin" w:hAnsi="IRNazanin" w:eastAsia="IRNazanin"/>
          <w:color w:val="111111"/>
          <w:sz w:val="28"/>
          <w:sz w:val="28"/>
          <w:szCs w:val="28"/>
          <w:rtl w:val="true"/>
          <w:lang w:bidi="fa-IR"/>
        </w:rPr>
        <w:t>بینه وبین الإخفات مع عدم سماع الأجنبیّ</w:t>
      </w:r>
      <w:r>
        <w:rPr>
          <w:rStyle w:val="FootnoteAnchor"/>
          <w:rtl w:val="true"/>
        </w:rPr>
        <w:footnoteReference w:id="496"/>
      </w:r>
      <w:r>
        <w:rPr>
          <w:rFonts w:ascii="Amiri" w:hAnsi="Amiri" w:eastAsia="Amiri" w:cs="Amiri"/>
          <w:color w:val="111111"/>
          <w:sz w:val="28"/>
          <w:sz w:val="28"/>
          <w:szCs w:val="28"/>
          <w:rtl w:val="true"/>
          <w:lang w:bidi="ar-SA"/>
        </w:rPr>
        <w:t>، وأمّا معه</w:t>
      </w:r>
      <w:r>
        <w:rPr>
          <w:rStyle w:val="FootnoteAnchor"/>
          <w:rtl w:val="true"/>
        </w:rPr>
        <w:footnoteReference w:id="497"/>
      </w:r>
      <w:bookmarkStart w:id="378" w:name="pg13278_326471"/>
    </w:p>
    <w:p>
      <w:pPr>
        <w:pStyle w:val="BookText"/>
        <w:rPr/>
      </w:pPr>
      <w:bookmarkEnd w:id="378"/>
      <w:r>
        <w:rPr>
          <w:rFonts w:ascii="IRNazanin" w:hAnsi="IRNazanin" w:eastAsia="IRNazanin"/>
          <w:color w:val="111111"/>
          <w:sz w:val="28"/>
          <w:sz w:val="28"/>
          <w:szCs w:val="28"/>
          <w:rtl w:val="true"/>
          <w:lang w:bidi="fa-IR"/>
        </w:rPr>
        <w:t>فالأحوط</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إخفاتهنَّ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تحریم فی إسماع المرأة صوتها للأجنبی إذا لم یکن بخضوع وریبة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ما إذا کان الإسماع محرّماً، کما إذا کان موجباً للریبة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وأمَّا فی الإخفاتیّة فیجب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علیهنَّ الإخفات کالرجال، ویُعذَرْنَ فی ما یُعذَرون فیه</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840841_2322387425"/>
      <w:bookmarkStart w:id="380" w:name="_Toc138"/>
      <w:bookmarkEnd w:id="379"/>
      <w:r>
        <w:rPr>
          <w:rtl w:val="true"/>
        </w:rPr>
        <w:t>مالمناط فی صدق الجهر و الإخفات</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w:t>
      </w:r>
      <w:r>
        <w:rPr>
          <w:rStyle w:val="FootnoteAnchor"/>
          <w:rtl w:val="true"/>
        </w:rPr>
        <w:footnoteReference w:id="499"/>
      </w:r>
      <w:r>
        <w:rPr>
          <w:rFonts w:ascii="IRNazanin" w:hAnsi="IRNazanin" w:eastAsia="IRNazanin"/>
          <w:color w:val="111111"/>
          <w:sz w:val="28"/>
          <w:sz w:val="28"/>
          <w:szCs w:val="28"/>
          <w:rtl w:val="true"/>
          <w:lang w:bidi="fa-IR"/>
        </w:rPr>
        <w:t>الجهر</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المدار علی الصدق العرفی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والإخفات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جوهر الصوت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الصدق العرفی، ولا یضرّ معه عدم ظهور جوهر الصوت فی الجهر کما فی المبحوح وشبهه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وعدمه، فیتحقّق الإخفات</w:t>
      </w:r>
      <w:r>
        <w:rPr>
          <w:rStyle w:val="FootnoteAnchor"/>
          <w:rtl w:val="true"/>
        </w:rPr>
        <w:footnoteReference w:id="501"/>
      </w:r>
      <w:r>
        <w:rPr>
          <w:rFonts w:ascii="IRNazanin" w:hAnsi="IRNazanin" w:eastAsia="IRNazanin"/>
          <w:color w:val="111111"/>
          <w:sz w:val="28"/>
          <w:sz w:val="28"/>
          <w:szCs w:val="28"/>
          <w:rtl w:val="true"/>
          <w:lang w:bidi="fa-IR"/>
        </w:rPr>
        <w:t>بعدم ظهور</w:t>
      </w:r>
      <w:r>
        <w:rPr>
          <w:rStyle w:val="FootnoteAnchor"/>
          <w:rtl w:val="true"/>
        </w:rPr>
        <w:footnoteReference w:id="502"/>
      </w:r>
      <w:r>
        <w:rPr>
          <w:rFonts w:ascii="IRNazanin" w:hAnsi="IRNazanin" w:eastAsia="IRNazanin"/>
          <w:color w:val="111111"/>
          <w:sz w:val="28"/>
          <w:sz w:val="28"/>
          <w:szCs w:val="28"/>
          <w:rtl w:val="true"/>
          <w:lang w:bidi="fa-IR"/>
        </w:rPr>
        <w:t>جوهره</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لا یکون عالیاً، ولو لم یظهر جوهر الصوت کالمبحوح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لم یظهر جوهر الصوت، ومع ذلک لا یکون إخفاتاً، کالمبحوح فلابدّ أن یقیّد بعدمه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الاکتفاء به إذا ظهر کالمبحوح الشدید البحّة، أمّا البحّة الخفیفة فالظاهر تحقّق الإخفات 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بجانبه قریباً أو بعیداً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اعتبار عدم سَماع البعید فی الإخفات، وسَماع القریب فی الجهر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مفرطاً خارجاً عن المعتاد فی الرفع الممکن فی الإخفات نظیر المبحوح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بالبعد غیر المتعارف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عدم سماع البعید فی الإخفات، وسماع القریب فی الجهر، کما هو المتعارف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اعتبار عدم سماع البعید فی 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3278_326473"/>
    </w:p>
    <w:p>
      <w:pPr>
        <w:pStyle w:val="Heading3"/>
        <w:numPr>
          <w:ilvl w:val="2"/>
          <w:numId w:val="1"/>
        </w:numPr>
        <w:rPr/>
      </w:pPr>
      <w:bookmarkStart w:id="382" w:name="__RefHeading___Toc1840843_2322387425"/>
      <w:bookmarkStart w:id="383" w:name="_Toc139"/>
      <w:bookmarkEnd w:id="381"/>
      <w:bookmarkEnd w:id="382"/>
      <w:r>
        <w:rPr>
          <w:rtl w:val="true"/>
        </w:rPr>
        <w:t>کیفیة سدق القراءة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w:t>
      </w:r>
      <w:r>
        <w:rPr>
          <w:rStyle w:val="FootnoteAnchor"/>
          <w:rtl w:val="true"/>
        </w:rPr>
        <w:footnoteReference w:id="504"/>
      </w:r>
      <w:r>
        <w:rPr>
          <w:rFonts w:ascii="IRNazanin" w:hAnsi="IRNazanin" w:eastAsia="IRNazanin"/>
          <w:color w:val="111111"/>
          <w:sz w:val="28"/>
          <w:sz w:val="28"/>
          <w:szCs w:val="28"/>
          <w:rtl w:val="true"/>
          <w:lang w:bidi="fa-IR"/>
        </w:rPr>
        <w:t>فی صدق القراءة قرآناً کان أو ذکراً أو دعاءً ما مرّ فی تکبیرة الإحرام</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ما هو المختار، ومنه یظهر النظر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سَماع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أن یکون بحیث یسمعه نفسه تحقیقاً أو تقدیراً، بأن کان أصمّ، أو کان هناک مانع من سماعه، ولا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مع صدق القراءة عرفاً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لو فرض الانفکاک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والفرض بعید التحقّق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کفایة ذلک لو فرض تحقّقه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ذلک فی صدق القراءة، نعم، لا یکفی فی الحکم بصحّة الصلاة؛ لوجود الأدلّة علی اعتبار سماع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بالصحّة، وإن کفی فی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یبعد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صحّ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أقرب</w:t>
      </w:r>
      <w:bookmarkStart w:id="384" w:name="pg13278_326474"/>
    </w:p>
    <w:p>
      <w:pPr>
        <w:pStyle w:val="BookText"/>
        <w:rPr/>
      </w:pPr>
      <w:bookmarkEnd w:id="384"/>
      <w:r>
        <w:rPr>
          <w:rFonts w:ascii="IRNazanin" w:hAnsi="IRNazanin" w:eastAsia="IRNazanin"/>
          <w:color w:val="111111"/>
          <w:sz w:val="28"/>
          <w:sz w:val="28"/>
          <w:szCs w:val="28"/>
          <w:rtl w:val="true"/>
          <w:lang w:bidi="fa-IR"/>
        </w:rPr>
        <w:t>إلیه من سمعه</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الاجتزاء به فی أداء الوظیفة وإن صدقت القراءة لو صحّ الفرض ولکنّ الشأن فی تحقّقه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385" w:name="__RefHeading___Toc1840845_2322387425"/>
      <w:bookmarkStart w:id="386" w:name="_Toc140"/>
      <w:bookmarkEnd w:id="385"/>
      <w:r>
        <w:rPr>
          <w:rtl w:val="true"/>
        </w:rPr>
        <w:t>حکم غیر الحافظ للقراءة</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من الجهر ما کان مفرطاً خارجاً عن المعتاد کالصیاح، فإن فعل فالظاهر البطلان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یکون حافظاً للحمد والسورة یجوز أن یقرأ فی المِصحف، بل یجوز ذلک للقادر</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له الترک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صدق القراءة الصلاتیة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فالأحوط الترک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أحوطه لزوم القراءة عن حفظ مع القدرة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یجوز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اتّباع من یلقّنه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وتقدیم بعض الأصحاب هذا علی القراءة من المِصحف 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 فآیة، لکنّ</w:t>
      </w:r>
      <w:bookmarkStart w:id="387" w:name="pg13278_326475"/>
    </w:p>
    <w:p>
      <w:pPr>
        <w:pStyle w:val="BookText"/>
        <w:rPr/>
      </w:pPr>
      <w:bookmarkEnd w:id="387"/>
      <w:r>
        <w:rPr>
          <w:rFonts w:ascii="IRNazanin" w:hAnsi="IRNazanin" w:eastAsia="IRNazanin"/>
          <w:color w:val="111111"/>
          <w:sz w:val="28"/>
          <w:sz w:val="28"/>
          <w:szCs w:val="28"/>
          <w:rtl w:val="true"/>
          <w:lang w:bidi="fa-IR"/>
        </w:rPr>
        <w:t>الأحوط</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 الحکیم ، المرعشی، الآملی، 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عدم القدرة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الحفظ وعلی الائتمام</w:t>
      </w:r>
      <w:r>
        <w:rPr>
          <w:rFonts w:eastAsia="IRNazanin" w:cs="IRNazanin"/>
          <w:color w:val="111111"/>
          <w:sz w:val="28"/>
          <w:szCs w:val="28"/>
          <w:rtl w:val="true"/>
          <w:lang w:bidi="fa-IR"/>
        </w:rPr>
        <w:t>.</w:t>
      </w:r>
    </w:p>
    <w:p>
      <w:pPr>
        <w:pStyle w:val="Heading3"/>
        <w:numPr>
          <w:ilvl w:val="2"/>
          <w:numId w:val="1"/>
        </w:numPr>
        <w:rPr/>
      </w:pPr>
      <w:bookmarkStart w:id="388" w:name="__RefHeading___Toc1840847_2322387425"/>
      <w:bookmarkStart w:id="389" w:name="_Toc141"/>
      <w:bookmarkEnd w:id="388"/>
      <w:r>
        <w:rPr>
          <w:rtl w:val="true"/>
        </w:rPr>
        <w:t>قراءة العاجز عن القراءة</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لسانه آفة لا یمکنه التلفّظ یقرأ فی نفسه ولو توهّماً</w:t>
      </w:r>
      <w:r>
        <w:rPr>
          <w:rStyle w:val="FootnoteAnchor"/>
          <w:rtl w:val="true"/>
        </w:rPr>
        <w:footnoteReference w:id="510"/>
      </w:r>
      <w:r>
        <w:rPr>
          <w:rFonts w:ascii="IRNazanin" w:hAnsi="IRNazanin" w:eastAsia="IRNazanin"/>
          <w:color w:val="111111"/>
          <w:sz w:val="28"/>
          <w:sz w:val="28"/>
          <w:szCs w:val="28"/>
          <w:rtl w:val="true"/>
          <w:lang w:bidi="fa-IR"/>
        </w:rPr>
        <w:t>، والأحوط</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وجوباً أن یاتمّ إذا کان ممکناً بلا عسرة، ومع عدم الإمکان أو کونه عُسراً یأتی بها کما یأتی بها الأخرس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الإشارة بالإصبع، کما فی الأخرس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وإشارته بإصبعه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الإشارة بإصبعه، کما فی خبر السکونی الموثّق علی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حکم الأخرس فی المسألة الآتیة علی الأحوط، فیحرّک لسانه ویُشیر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مع تحریک اللسان والإشارة بالإصبع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والإشارة بیده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یتوهّمه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840849_2322387425"/>
      <w:bookmarkStart w:id="391" w:name="_Toc142"/>
      <w:bookmarkEnd w:id="390"/>
      <w:r>
        <w:rPr>
          <w:rtl w:val="true"/>
        </w:rPr>
        <w:t>حکم قراءة الأخرس</w:t>
      </w:r>
      <w:bookmarkEnd w:id="39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w:t>
      </w:r>
      <w:r>
        <w:rPr>
          <w:rStyle w:val="FootnoteAnchor"/>
          <w:rtl w:val="true"/>
        </w:rPr>
        <w:footnoteReference w:id="512"/>
      </w:r>
      <w:r>
        <w:rPr>
          <w:rFonts w:ascii="Amiri" w:hAnsi="Amiri" w:eastAsia="Amiri" w:cs="Amiri"/>
          <w:color w:val="111111"/>
          <w:sz w:val="28"/>
          <w:sz w:val="28"/>
          <w:szCs w:val="28"/>
          <w:rtl w:val="true"/>
          <w:lang w:bidi="ar-SA"/>
        </w:rPr>
        <w:t>یحرّک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 . . . . . . . . . . . </w:t>
      </w:r>
      <w:bookmarkStart w:id="392" w:name="pg13278_326476"/>
    </w:p>
    <w:p>
      <w:pPr>
        <w:pStyle w:val="BookText"/>
        <w:rPr/>
      </w:pPr>
      <w:bookmarkEnd w:id="392"/>
      <w:r>
        <w:rPr>
          <w:rFonts w:ascii="IRNazanin" w:hAnsi="IRNazanin" w:eastAsia="IRNazanin"/>
          <w:color w:val="111111"/>
          <w:sz w:val="28"/>
          <w:sz w:val="28"/>
          <w:szCs w:val="28"/>
          <w:rtl w:val="true"/>
          <w:lang w:bidi="fa-IR"/>
        </w:rPr>
        <w:t>لسانه</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حقّه تحریک اللسان والإشارة بالإصبع، وعقد القلب للألفاظ بمعنی إخطار صورها مرتبةً، وهی الّتی یعبّر عن مثلها فی کلمات بعض المتکلّمین بالألفاظ المتخیّلة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بیده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کون الإشارة بالإصبع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بإصبعه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ألفاظ 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بقدرها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840851_2322387425"/>
      <w:bookmarkStart w:id="394" w:name="_Toc143"/>
      <w:bookmarkEnd w:id="393"/>
      <w:r>
        <w:rPr>
          <w:rtl w:val="true"/>
        </w:rPr>
        <w:t>فی وجوب تعلم القراءة</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یُحسن القراءة یجب</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تمکّن من تأدیة الصلاة الصحیحة بالائتمام أو بالتلقین من الغیر آیةً آیة لم یجب علیه التعلّم علی الأقوی، نعم، هو أحوط، وکذا فی سائر أجزاء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اللازم أداء الواجب ولو من غیر تعلّم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کان متمکّناً</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لم یکن متمکّناً منه، وإلاّ فله الاکتفاء به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الأحوط ذلک خوفاً من عدم الوصول إلی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الإئتمام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لوجوبه مع التمکّن من الصلاة الصحیحة بالائتمام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ادُّعی الإجماع علیه، وإلاّ فالظاهر عدم وجوبه مع التمکّن من الصلاة الصحیحة بالإئتمام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الأمر فی صورة التمکّن یکون واجباً تخییریاً، وفی صورة عدمه واجباً تعیینیّاً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یجب تعلّم سائر أجزاء الصلاة، فإن ضاق الوقت مع کونه قادراً علی التعلّم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395" w:name="pg13278_326478"/>
    </w:p>
    <w:p>
      <w:pPr>
        <w:pStyle w:val="BookText"/>
        <w:rPr/>
      </w:pPr>
      <w:bookmarkEnd w:id="395"/>
      <w:r>
        <w:rPr>
          <w:rFonts w:ascii="IRNazanin" w:hAnsi="IRNazanin" w:eastAsia="IRNazanin"/>
          <w:color w:val="111111"/>
          <w:sz w:val="28"/>
          <w:sz w:val="28"/>
          <w:szCs w:val="28"/>
          <w:rtl w:val="true"/>
          <w:lang w:bidi="fa-IR"/>
        </w:rPr>
        <w:t>الإئتمام</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الجمع بین الصلاة مع ما یتمکّن والقضاء مع عدم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منه الفتوی به فی فصل الجماعة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و کذا ما أفتی به الماتن فی صلاة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صحّة صلاته منفرداً علی النحو الآتی ، نعم، یجب عقلاً الائتمام علی من تهاون فی تعلّم القراءة مع القدرة علیه، دون مَن ضاق وقته عن تعلّمها لتأخّر إسلامه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تمکّن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فی ما إذا کان متمکّناً من التعلّم قبلا،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840853_2322387425"/>
      <w:bookmarkStart w:id="397" w:name="_Toc144"/>
      <w:bookmarkEnd w:id="396"/>
      <w:r>
        <w:rPr>
          <w:rtl w:val="true"/>
        </w:rPr>
        <w:t>حکم الائتمام مع العجز عن تعلم القراءة</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یقدر إلاّ علی الملحون أو تبدیل بعض الحروف ولا یستطیع أن یتعلّم أجزأه ذلک</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یُحسن منه مقداراً معتدّاً به، وإلاّ فالأحوط أن یضمّ إلی قراءة الحمد ملحوناً قراءة شیءٍ یُحسنه من سائر القرآن، وإلاّ فالتسبیح، علی تفصیل یأتی فی المسألة الآتیة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علیه الائتمام،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عدم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إلاّ أن یکون حرجیاً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الأخرس لا یجب علیه الائتمام</w:t>
      </w:r>
      <w:r>
        <w:rPr>
          <w:rFonts w:eastAsia="IRNazanin" w:cs="IRNazanin"/>
          <w:color w:val="111111"/>
          <w:sz w:val="28"/>
          <w:szCs w:val="28"/>
          <w:rtl w:val="true"/>
          <w:lang w:bidi="fa-IR"/>
        </w:rPr>
        <w:t>.</w:t>
      </w:r>
      <w:bookmarkStart w:id="398" w:name="pg13278_326479"/>
    </w:p>
    <w:p>
      <w:pPr>
        <w:pStyle w:val="Heading3"/>
        <w:numPr>
          <w:ilvl w:val="2"/>
          <w:numId w:val="1"/>
        </w:numPr>
        <w:rPr/>
      </w:pPr>
      <w:bookmarkStart w:id="399" w:name="__RefHeading___Toc1840855_2322387425"/>
      <w:bookmarkStart w:id="400" w:name="_Toc145"/>
      <w:bookmarkEnd w:id="398"/>
      <w:bookmarkEnd w:id="399"/>
      <w:r>
        <w:rPr>
          <w:rtl w:val="true"/>
        </w:rPr>
        <w:t>حکم من ضاق وقته عن التعلم</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التعلّم</w:t>
      </w:r>
      <w:r>
        <w:rPr>
          <w:rStyle w:val="FootnoteAnchor"/>
          <w:rtl w:val="true"/>
        </w:rPr>
        <w:footnoteReference w:id="519"/>
      </w:r>
      <w:r>
        <w:rPr>
          <w:rFonts w:ascii="IRNazanin" w:hAnsi="IRNazanin" w:eastAsia="IRNazanin"/>
          <w:color w:val="111111"/>
          <w:sz w:val="28"/>
          <w:sz w:val="28"/>
          <w:szCs w:val="28"/>
          <w:rtl w:val="true"/>
          <w:lang w:bidi="fa-IR"/>
        </w:rPr>
        <w:t>إذا ضاق وقته</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مقصّراً، وإلاّ فالأحوط الجمع بین الصلاة الاضطراریّة وقضائها تامّةً فی خارجه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یتمکّن من الائتمام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الفاتحة ما 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ما تعلّمه منها مقداراً معتدّاً به بحیث یصدق علیه قراءة القرآن عرفاً لم یجب ضمّ شیءٍ إلیه أصلاً، وإلاّ فالواجب أن یقرأ من سائر القرآن بهذا المقدار ، ومنه یظهر أنّ ما ذکره فی المتن مبنیّ علی الاحتیاط الاستحبابی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سائر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 وفی 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وعلی فرضه لا یجب تکرار ما یعلمه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عوض البقیّة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الخمینی ، الفانی،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لأنه لم یتم دلیل علی وجوب التعویض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بإتیانه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الأحسن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الأقوی عدم وجوبه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لزوم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إتیانه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یعلمه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فیه، وفی تعیین المقدار من القرآن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البقیّة، وإذا لم یعلم منها شیئاً قرأ من سائر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بعدد آیات الفاتحة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بمقدار صدق مسمّی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w:t>
      </w:r>
      <w:bookmarkStart w:id="401" w:name="pg13278_326481"/>
    </w:p>
    <w:p>
      <w:pPr>
        <w:pStyle w:val="BookText"/>
        <w:rPr/>
      </w:pPr>
      <w:bookmarkEnd w:id="401"/>
      <w:r>
        <w:rPr>
          <w:rFonts w:ascii="IRNazanin" w:hAnsi="IRNazanin" w:eastAsia="IRNazanin"/>
          <w:color w:val="111111"/>
          <w:sz w:val="28"/>
          <w:sz w:val="28"/>
          <w:szCs w:val="28"/>
          <w:rtl w:val="true"/>
          <w:lang w:bidi="fa-IR"/>
        </w:rPr>
        <w:t>حروفها</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یُحسن إلاّ الأقلّ ففی الاکتفاء به أو تکریره بقدرها أو التعویض عن الناقص بالذکر وجوه، أقواها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تقریباً بنظر العرف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الراجح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التوافق فی عدد الکلمات أو الآیات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کفایة المقدار العرفی ، وإن خالف الدِقِّی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02" w:name="__RefHeading___Toc1840857_2322387425"/>
      <w:bookmarkStart w:id="403" w:name="_Toc146"/>
      <w:bookmarkEnd w:id="402"/>
      <w:r>
        <w:rPr>
          <w:rtl w:val="true"/>
        </w:rPr>
        <w:t>حکم من لم یعلم شیئاً من القرآن</w:t>
      </w:r>
      <w:bookmarkEnd w:id="403"/>
    </w:p>
    <w:p>
      <w:pPr>
        <w:pStyle w:val="BookText"/>
        <w:rPr/>
      </w:pPr>
      <w:r>
        <w:rPr>
          <w:rFonts w:ascii="IRNazanin" w:hAnsi="IRNazanin" w:eastAsia="IRNazanin"/>
          <w:color w:val="111111"/>
          <w:sz w:val="28"/>
          <w:sz w:val="28"/>
          <w:szCs w:val="28"/>
          <w:rtl w:val="true"/>
          <w:lang w:bidi="fa-IR"/>
        </w:rPr>
        <w:t>وإن لم یعلم شیئاً من القرآن سبّح وکبّر</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کفایة التسبیح فقط، والأحوط الأولی ضمّ التکبیر وکون التسبیح بقدر الفاتحة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bookmarkStart w:id="404" w:name="pg13278_326482"/>
    </w:p>
    <w:p>
      <w:pPr>
        <w:pStyle w:val="BookText"/>
        <w:rPr/>
      </w:pPr>
      <w:bookmarkEnd w:id="404"/>
      <w:r>
        <w:rPr>
          <w:rFonts w:ascii="IRNazanin" w:hAnsi="IRNazanin" w:eastAsia="IRNazanin"/>
          <w:color w:val="111111"/>
          <w:sz w:val="28"/>
          <w:sz w:val="28"/>
          <w:szCs w:val="28"/>
          <w:rtl w:val="true"/>
          <w:lang w:bidi="fa-IR"/>
        </w:rPr>
        <w:t>بقدرها</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مطلق الذکر بقدر المسمّی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فیجوز الاکتفاء بمطلق الذکر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لا حول ولا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بالتسبیحات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مفردها تسبیحة، وحیث إنّ التسبیح مصدر عام و التسبیحة مصدر للمرة والمرات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بقدرها ویجب تعلّم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ولکنّ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وجوب البدل لها فی ضیق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خلاف الاحتیاط، فالأحوط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840859_2322387425"/>
      <w:bookmarkStart w:id="406" w:name="_Toc147"/>
      <w:bookmarkEnd w:id="405"/>
      <w:r>
        <w:rPr>
          <w:rtl w:val="true"/>
        </w:rPr>
        <w:t>حکم أخذ الدجرة علی تعلیم الصلاة</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 وإن کان الأقوی الجواز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bookmarkStart w:id="407" w:name="pg13278_326483"/>
    </w:p>
    <w:p>
      <w:pPr>
        <w:pStyle w:val="BookText"/>
        <w:rPr/>
      </w:pPr>
      <w:bookmarkEnd w:id="407"/>
      <w:r>
        <w:rPr>
          <w:rFonts w:ascii="IRNazanin" w:hAnsi="IRNazanin" w:eastAsia="IRNazanin"/>
          <w:color w:val="111111"/>
          <w:sz w:val="28"/>
          <w:sz w:val="28"/>
          <w:szCs w:val="28"/>
          <w:rtl w:val="true"/>
          <w:lang w:bidi="fa-IR"/>
        </w:rPr>
        <w:t>أخذ</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لاحترام العمل الغیر المنافی مع وجوبه أحیاناً، مع عدم ثبوت مجّانیته من الشرع، وهو الأصل فی کلّیة الأعمال، واجبة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الحکم هو المشتهر شهرةً عظیمة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 وفی 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تعلیم الحمد والسورة، بل وکذا علی تعلیم سائر الأجزاء الواجبة من الصلاة، والظاهر جواز أخذها علی تعلیم المستحبّات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تأمّل؛ لأنه لو کان المستحب من الشعائر الدینیة أو کان ترک تعلیمه یوجب نسیانه وتعطیله فی الأمور الدینیة فجواز أخذ الأجرة فیه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840861_2322387425"/>
      <w:bookmarkStart w:id="409" w:name="_Toc148"/>
      <w:bookmarkEnd w:id="408"/>
      <w:r>
        <w:rPr>
          <w:rtl w:val="true"/>
        </w:rPr>
        <w:t>حکم الترتیب والموالاة فی القراءة</w:t>
      </w:r>
      <w:bookmarkEnd w:id="40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الترتیب بین آیات الحمد والسورة وبین کلماتها وحروفها، وکذا الموالاة</w:t>
      </w:r>
      <w:r>
        <w:rPr>
          <w:rStyle w:val="FootnoteAnchor"/>
          <w:rtl w:val="true"/>
        </w:rPr>
        <w:footnoteReference w:id="527"/>
      </w:r>
      <w:r>
        <w:rPr>
          <w:rFonts w:ascii="IRNazanin" w:hAnsi="IRNazanin" w:eastAsia="IRNazanin"/>
          <w:color w:val="111111"/>
          <w:sz w:val="28"/>
          <w:sz w:val="28"/>
          <w:szCs w:val="28"/>
          <w:rtl w:val="true"/>
          <w:lang w:bidi="fa-IR"/>
        </w:rPr>
        <w:t xml:space="preserve">، فلو </w:t>
      </w:r>
      <w:bookmarkStart w:id="410" w:name="pg13278_326484"/>
    </w:p>
    <w:p>
      <w:pPr>
        <w:pStyle w:val="BookText"/>
        <w:rPr/>
      </w:pPr>
      <w:bookmarkEnd w:id="410"/>
      <w:r>
        <w:rPr>
          <w:rFonts w:ascii="Amiri" w:hAnsi="Amiri" w:eastAsia="Amiri" w:cs="Amiri"/>
          <w:color w:val="111111"/>
          <w:sz w:val="28"/>
          <w:sz w:val="28"/>
          <w:szCs w:val="28"/>
          <w:rtl w:val="true"/>
          <w:lang w:bidi="ar-SA"/>
        </w:rPr>
        <w:t>أخلّ</w:t>
      </w:r>
      <w:r>
        <w:rPr>
          <w:rStyle w:val="FootnoteAnchor"/>
          <w:rtl w:val="true"/>
        </w:rPr>
        <w:footnoteReference w:id="528"/>
      </w:r>
      <w:r>
        <w:rPr>
          <w:rFonts w:ascii="IRNazanin" w:hAnsi="IRNazanin" w:eastAsia="IRNazanin"/>
          <w:color w:val="111111"/>
          <w:sz w:val="28"/>
          <w:sz w:val="28"/>
          <w:szCs w:val="28"/>
          <w:rtl w:val="true"/>
          <w:lang w:bidi="fa-IR"/>
        </w:rPr>
        <w:t>بشیءٍ من ذلک عمداً بطلت صلاته</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أخلّ به سهواً أعاد الجملة التی وقع الخلل فیها 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وفی صورة النسیان أو السهو أو الغفلة لا تبطل الصلاة لو استأنف الکلمة المخلّة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1840863_2322387425"/>
      <w:bookmarkStart w:id="412" w:name="_Toc149"/>
      <w:bookmarkEnd w:id="411"/>
      <w:r>
        <w:rPr>
          <w:rtl w:val="true"/>
        </w:rPr>
        <w:t>الإخلال بالکلمات و الحروف و الحرکات</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أخلّ بشیءٍ من الکلمات أو الحروف، أو بدّل حرفاً</w:t>
      </w:r>
      <w:r>
        <w:rPr>
          <w:rStyle w:val="FootnoteAnchor"/>
          <w:rtl w:val="true"/>
        </w:rPr>
        <w:footnoteReference w:id="530"/>
      </w:r>
      <w:r>
        <w:rPr>
          <w:rFonts w:ascii="IRNazanin" w:hAnsi="IRNazanin" w:eastAsia="IRNazanin"/>
          <w:color w:val="111111"/>
          <w:sz w:val="28"/>
          <w:sz w:val="28"/>
          <w:szCs w:val="28"/>
          <w:rtl w:val="true"/>
          <w:lang w:bidi="fa-IR"/>
        </w:rPr>
        <w:t>بحرف</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التبدیل مغیّراً للمعنی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الضاد بالظاء أو العکس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تلک اللفظة، فلابدّ من إعادتها بإعادة الصلاة إن کانت عمدیّة، وإعادتها فقط إن لم تکن عمدیّة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تلک الکلمة، فلابدّ من استئنافها إن لم یکن ذلک عن عمد، وتستأنف الصلاة إن کان عن عمد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بطلت قراءة تلک الکلمة أو الجملة التی أخلّ بها، وإذا کان الإخلال عن عَمدٍ بطلت الصلاة؛ للزیادة العمدیّة، وإن کان سهواً أو نسیاناً وکان فی المحلّ استأنف ما أخلّ به، فإن هو لم یستأنِف بطلت الصلاة؛ للنقیصة العَمدیة، وإن لم یتذکّر حتّی تجاوز المحلّ ودخل فی الرکن أتمّ صلاته ولا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تلک الکلمة فقط ، فیعیدها ، وذلک 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أخلّ بشیء منها عمداً لا سهواً ولا نسیاناً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أخلّ بحرکة</w:t>
      </w:r>
      <w:r>
        <w:rPr>
          <w:rStyle w:val="FootnoteAnchor"/>
          <w:rtl w:val="true"/>
        </w:rPr>
        <w:footnoteReference w:id="532"/>
      </w:r>
      <w:r>
        <w:rPr>
          <w:rFonts w:ascii="Amiri" w:hAnsi="Amiri" w:eastAsia="Amiri" w:cs="Amiri"/>
          <w:color w:val="111111"/>
          <w:sz w:val="28"/>
          <w:sz w:val="28"/>
          <w:szCs w:val="28"/>
          <w:rtl w:val="true"/>
          <w:lang w:bidi="ar-SA"/>
        </w:rPr>
        <w:t>بناءٍ أو إعرابٍ</w:t>
      </w:r>
      <w:r>
        <w:rPr>
          <w:rStyle w:val="FootnoteAnchor"/>
          <w:rtl w:val="true"/>
        </w:rPr>
        <w:footnoteReference w:id="533"/>
      </w:r>
      <w:r>
        <w:rPr>
          <w:rFonts w:ascii="Amiri" w:hAnsi="Amiri" w:eastAsia="Amiri" w:cs="Amiri"/>
          <w:color w:val="111111"/>
          <w:sz w:val="28"/>
          <w:sz w:val="28"/>
          <w:szCs w:val="28"/>
          <w:rtl w:val="true"/>
          <w:lang w:bidi="ar-SA"/>
        </w:rPr>
        <w:t>أو مدٍّ واجبٍ</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لزوم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بل لا یبعد خلافه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الوجوب تأمّل، بل منع، والمناط تأدیة الحروف علی الوجه الدائر فی الألسن العربیة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استلزم ترکه سقوط حرفین من الکلمة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البطلان بترکه، والأحوط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ما یتوقّف أداء الکلمة صحیحة علیه، مثل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فی غیره فالأحوط المراعاة، والأقوی کفایة صحّة الکلمة فی عرف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وجوبه تأمّل، ولکنّه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أنّ المدّ الواجب لا یوجب خروجه عن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الأحوط ، والأقوی عدم لزوم مراعاته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تشدیدٍ</w:t>
      </w:r>
      <w:r>
        <w:rPr>
          <w:rStyle w:val="FootnoteAnchor"/>
          <w:rtl w:val="true"/>
        </w:rPr>
        <w:footnoteReference w:id="535"/>
      </w:r>
      <w:r>
        <w:rPr>
          <w:rFonts w:ascii="Amiri" w:hAnsi="Amiri" w:eastAsia="Amiri" w:cs="Amiri"/>
          <w:color w:val="111111"/>
          <w:sz w:val="28"/>
          <w:sz w:val="28"/>
          <w:szCs w:val="28"/>
          <w:rtl w:val="true"/>
          <w:lang w:bidi="ar-SA"/>
        </w:rPr>
        <w:t>أو سکونٍ</w:t>
      </w:r>
      <w:r>
        <w:rPr>
          <w:rStyle w:val="FootnoteAnchor"/>
          <w:rtl w:val="true"/>
        </w:rPr>
        <w:footnoteReference w:id="536"/>
      </w:r>
      <w:r>
        <w:rPr>
          <w:rFonts w:ascii="IRNazanin" w:hAnsi="IRNazanin" w:eastAsia="IRNazanin"/>
          <w:color w:val="111111"/>
          <w:sz w:val="28"/>
          <w:sz w:val="28"/>
          <w:szCs w:val="28"/>
          <w:rtl w:val="true"/>
          <w:lang w:bidi="fa-IR"/>
        </w:rPr>
        <w:t>لازم</w:t>
      </w:r>
      <w:r>
        <w:rPr>
          <w:rStyle w:val="FootnoteAnchor"/>
          <w:rtl w:val="true"/>
        </w:rPr>
        <w:footnoteReference w:id="537"/>
      </w:r>
      <w:r>
        <w:rPr>
          <w:rFonts w:ascii="IRNazanin" w:hAnsi="IRNazanin" w:eastAsia="IRNazanin"/>
          <w:color w:val="111111"/>
          <w:sz w:val="28"/>
          <w:sz w:val="28"/>
          <w:szCs w:val="28"/>
          <w:rtl w:val="true"/>
          <w:lang w:bidi="fa-IR"/>
        </w:rPr>
        <w:t>، وکذا لو أخرج</w:t>
      </w:r>
      <w:r>
        <w:rPr>
          <w:rStyle w:val="FootnoteAnchor"/>
          <w:rtl w:val="true"/>
        </w:rPr>
        <w:footnoteReference w:id="538"/>
      </w:r>
      <w:r>
        <w:rPr>
          <w:rFonts w:ascii="IRNazanin" w:hAnsi="IRNazanin" w:eastAsia="IRNazanin"/>
          <w:color w:val="111111"/>
          <w:sz w:val="28"/>
          <w:sz w:val="28"/>
          <w:szCs w:val="28"/>
          <w:rtl w:val="true"/>
          <w:lang w:bidi="fa-IR"/>
        </w:rPr>
        <w:t>حرفاً من غیر مخرجه بحیث یخرج عن صدق ذلک الحرف فی عرف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539"/>
      </w:r>
      <w:r>
        <w:rPr>
          <w:rFonts w:ascii="IRNazanin" w:hAnsi="IRNazanin" w:eastAsia="IRNazanin"/>
          <w:color w:val="111111"/>
          <w:sz w:val="28"/>
          <w:sz w:val="28"/>
          <w:szCs w:val="28"/>
          <w:rtl w:val="true"/>
          <w:lang w:bidi="fa-IR"/>
        </w:rPr>
        <w:t>حذف همزة الوصل فی الدرج</w:t>
      </w:r>
      <w:r>
        <w:rPr>
          <w:rStyle w:val="FootnoteAnchor"/>
          <w:rtl w:val="true"/>
        </w:rPr>
        <w:footnoteReference w:id="540"/>
      </w:r>
      <w:r>
        <w:rPr>
          <w:rFonts w:ascii="IRNazanin" w:hAnsi="IRNazanin" w:eastAsia="IRNazanin"/>
          <w:color w:val="111111"/>
          <w:sz w:val="28"/>
          <w:sz w:val="28"/>
          <w:szCs w:val="28"/>
          <w:rtl w:val="true"/>
          <w:lang w:bidi="fa-IR"/>
        </w:rPr>
        <w:t>، مثل همزة اللّه والرحمن والرحیم واهدنا ونحو ذلک، فلو أثبتها بطلت</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تلک الکلمة، والکلام فی إعادتها واستئنافها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القراءة، أمّا الصلاة فالحکم فیها هو ما بینّاه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أنّه مجرّد احتیاط ، ولا تبطل الصلاة بذلک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یجب</w:t>
      </w:r>
      <w:bookmarkStart w:id="413" w:name="pg13278_326487"/>
    </w:p>
    <w:p>
      <w:pPr>
        <w:pStyle w:val="BookText"/>
        <w:rPr/>
      </w:pPr>
      <w:bookmarkEnd w:id="413"/>
      <w:r>
        <w:rPr>
          <w:rFonts w:ascii="IRNazanin" w:hAnsi="IRNazanin" w:eastAsia="IRNazanin"/>
          <w:color w:val="111111"/>
          <w:sz w:val="28"/>
          <w:sz w:val="28"/>
          <w:szCs w:val="28"/>
          <w:rtl w:val="true"/>
          <w:lang w:bidi="fa-IR"/>
        </w:rPr>
        <w:t>إثبات همزة القطع کهمزة أنعمت، فلو حذفها حین الوصل بطلت</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القراءة، أمّا الصلاة فالحکم فیها هو ما بینّاه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هذا عن عمد، فلو کان عن سهو وتذکر قبل تجاوز المحل یجب علیه التدارک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840865_2322387425"/>
      <w:bookmarkStart w:id="415" w:name="_Toc150"/>
      <w:bookmarkEnd w:id="414"/>
      <w:r>
        <w:rPr>
          <w:rtl w:val="true"/>
        </w:rPr>
        <w:t>حکم الوقف بالحرکة و الوصل بالسکون</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لزوم مراعاتهما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 وکذا فی المسألة التالیة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الوقف بالحرکة، أمّا الوصل بالسکون فالظاهر جوازه ما لم یحصل به إخلال فی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لزوم مراعاتهما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والوصل بالسکون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جوازه؛ لعدم مخالفته اللغة العربیة ووقوعه فی محاوراتهم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 وإن کان الأقوی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رعایة هذا الاحتیاط، والأظهر جوازهما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الوصل بالسکون فی فواصل الآیات لا یخلو من قوّة کالوقف بالحرکة، وإن کان الاحوط استحباباً ترکهما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3278_326488"/>
    </w:p>
    <w:p>
      <w:pPr>
        <w:pStyle w:val="Heading3"/>
        <w:numPr>
          <w:ilvl w:val="2"/>
          <w:numId w:val="1"/>
        </w:numPr>
        <w:rPr/>
      </w:pPr>
      <w:bookmarkStart w:id="417" w:name="__RefHeading___Toc1840867_2322387425"/>
      <w:bookmarkStart w:id="418" w:name="_Toc151"/>
      <w:bookmarkEnd w:id="416"/>
      <w:bookmarkEnd w:id="417"/>
      <w:r>
        <w:rPr>
          <w:rtl w:val="true"/>
        </w:rPr>
        <w:t>مراعاة مخارج الحروف</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یعلم</w:t>
      </w:r>
      <w:r>
        <w:rPr>
          <w:rStyle w:val="FootnoteAnchor"/>
          <w:rtl w:val="true"/>
        </w:rPr>
        <w:footnoteReference w:id="544"/>
      </w:r>
      <w:r>
        <w:rPr>
          <w:rFonts w:ascii="IRNazanin" w:hAnsi="IRNazanin" w:eastAsia="IRNazanin"/>
          <w:color w:val="111111"/>
          <w:sz w:val="28"/>
          <w:sz w:val="28"/>
          <w:szCs w:val="28"/>
          <w:rtl w:val="true"/>
          <w:lang w:bidi="fa-IR"/>
        </w:rPr>
        <w:t>حرکة آخر الکلمة</w:t>
      </w:r>
      <w:r>
        <w:rPr>
          <w:rStyle w:val="FootnoteAnchor"/>
          <w:rtl w:val="true"/>
        </w:rPr>
        <w:footnoteReference w:id="545"/>
      </w:r>
      <w:r>
        <w:rPr>
          <w:rFonts w:ascii="IRNazanin" w:hAnsi="IRNazanin" w:eastAsia="IRNazanin"/>
          <w:color w:val="111111"/>
          <w:sz w:val="28"/>
          <w:sz w:val="28"/>
          <w:szCs w:val="28"/>
          <w:rtl w:val="true"/>
          <w:lang w:bidi="fa-IR"/>
        </w:rPr>
        <w:t xml:space="preserve">إذا أراد أن یقرأها بالوصل بما بعدها، مثلاً إذا أراد أن لا یقف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546"/>
      </w:r>
      <w:r>
        <w:rPr>
          <w:rFonts w:ascii="IRNazanin" w:hAnsi="IRNazanin" w:eastAsia="IRNazanin"/>
          <w:color w:val="111111"/>
          <w:sz w:val="28"/>
          <w:sz w:val="28"/>
          <w:szCs w:val="28"/>
          <w:rtl w:val="true"/>
          <w:lang w:bidi="fa-IR"/>
        </w:rPr>
        <w:t>أن یعلم أنّ النون مفتوح، وهکذا، نعم إذا کان یقف علی کلّ آیة لا یجب علیه أن یعلم حرکة آخر الکلمة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أن یعرف مخارج الحروف</w:t>
      </w:r>
      <w:r>
        <w:rPr>
          <w:rStyle w:val="FootnoteAnchor"/>
          <w:rtl w:val="true"/>
        </w:rPr>
        <w:footnoteReference w:id="547"/>
      </w:r>
      <w:r>
        <w:rPr>
          <w:rFonts w:ascii="IRNazanin" w:hAnsi="IRNazanin" w:eastAsia="IRNazanin"/>
          <w:color w:val="111111"/>
          <w:sz w:val="28"/>
          <w:sz w:val="28"/>
          <w:szCs w:val="28"/>
          <w:rtl w:val="true"/>
          <w:lang w:bidi="fa-IR"/>
        </w:rPr>
        <w:t>علی طبق ما ذکره علماء التجوید، بل یکفی إخراجها</w:t>
      </w:r>
      <w:r>
        <w:rPr>
          <w:rStyle w:val="FootnoteAnchor"/>
          <w:rtl w:val="true"/>
        </w:rPr>
        <w:footnoteReference w:id="548"/>
      </w:r>
      <w:r>
        <w:rPr>
          <w:rFonts w:ascii="IRNazanin" w:hAnsi="IRNazanin" w:eastAsia="IRNazanin"/>
          <w:color w:val="111111"/>
          <w:sz w:val="28"/>
          <w:sz w:val="28"/>
          <w:szCs w:val="28"/>
          <w:rtl w:val="true"/>
          <w:lang w:bidi="fa-IR"/>
        </w:rPr>
        <w:t>منها وإن لم یلتفت إلیها، بل لا یلزم</w:t>
      </w:r>
      <w:r>
        <w:rPr>
          <w:rStyle w:val="FootnoteAnchor"/>
          <w:rtl w:val="true"/>
        </w:rPr>
        <w:footnoteReference w:id="549"/>
      </w:r>
      <w:r>
        <w:rPr>
          <w:rFonts w:ascii="IRNazanin" w:hAnsi="IRNazanin" w:eastAsia="IRNazanin"/>
          <w:color w:val="111111"/>
          <w:sz w:val="28"/>
          <w:sz w:val="28"/>
          <w:szCs w:val="28"/>
          <w:rtl w:val="true"/>
          <w:lang w:bidi="fa-IR"/>
        </w:rPr>
        <w:t>إخراج الحرف من تلک المخارج، بل المدار صدق التلفّظ</w:t>
      </w:r>
      <w:r>
        <w:rPr>
          <w:rStyle w:val="FootnoteAnchor"/>
          <w:rtl w:val="true"/>
        </w:rPr>
        <w:footnoteReference w:id="550"/>
      </w:r>
      <w:r>
        <w:rPr>
          <w:rFonts w:ascii="IRNazanin" w:hAnsi="IRNazanin" w:eastAsia="IRNazanin"/>
          <w:color w:val="111111"/>
          <w:sz w:val="28"/>
          <w:sz w:val="28"/>
          <w:szCs w:val="28"/>
          <w:rtl w:val="true"/>
          <w:lang w:bidi="fa-IR"/>
        </w:rPr>
        <w:t>بذلک الحرف وإن خرج</w:t>
      </w:r>
      <w:r>
        <w:rPr>
          <w:rStyle w:val="FootnoteAnchor"/>
          <w:rtl w:val="true"/>
        </w:rPr>
        <w:footnoteReference w:id="551"/>
      </w:r>
      <w:r>
        <w:rPr>
          <w:rFonts w:ascii="IRNazanin" w:hAnsi="IRNazanin" w:eastAsia="IRNazanin"/>
          <w:color w:val="111111"/>
          <w:sz w:val="28"/>
          <w:sz w:val="28"/>
          <w:szCs w:val="28"/>
          <w:rtl w:val="true"/>
          <w:lang w:bidi="fa-IR"/>
        </w:rPr>
        <w:t xml:space="preserve">من غیر </w:t>
      </w:r>
      <w:bookmarkStart w:id="419" w:name="pg13278_326489"/>
    </w:p>
    <w:p>
      <w:pPr>
        <w:pStyle w:val="BookText"/>
        <w:rPr/>
      </w:pPr>
      <w:bookmarkEnd w:id="419"/>
      <w:r>
        <w:rPr>
          <w:rFonts w:ascii="IRNazanin" w:hAnsi="IRNazanin" w:eastAsia="IRNazanin"/>
          <w:color w:val="111111"/>
          <w:sz w:val="28"/>
          <w:sz w:val="28"/>
          <w:szCs w:val="28"/>
          <w:rtl w:val="true"/>
          <w:lang w:bidi="fa-IR"/>
        </w:rPr>
        <w:t>المخرج</w:t>
      </w:r>
      <w:r>
        <w:rPr>
          <w:rStyle w:val="FootnoteAnchor"/>
          <w:rtl w:val="true"/>
        </w:rPr>
        <w:footnoteReference w:id="552"/>
      </w:r>
      <w:r>
        <w:rPr>
          <w:rFonts w:ascii="IRNazanin" w:hAnsi="IRNazanin" w:eastAsia="IRNazanin"/>
          <w:color w:val="111111"/>
          <w:sz w:val="28"/>
          <w:sz w:val="28"/>
          <w:szCs w:val="28"/>
          <w:rtl w:val="true"/>
          <w:lang w:bidi="fa-IR"/>
        </w:rPr>
        <w:t>الذی عیّنوه، مثلاً إذا نطق بالضاد أو الظاء علی القاعدة</w:t>
      </w:r>
      <w:r>
        <w:rPr>
          <w:rStyle w:val="FootnoteAnchor"/>
          <w:rtl w:val="true"/>
        </w:rPr>
        <w:footnoteReference w:id="553"/>
      </w:r>
      <w:r>
        <w:rPr>
          <w:rFonts w:ascii="IRNazanin" w:hAnsi="IRNazanin" w:eastAsia="IRNazanin"/>
          <w:color w:val="111111"/>
          <w:sz w:val="28"/>
          <w:sz w:val="28"/>
          <w:szCs w:val="28"/>
          <w:rtl w:val="true"/>
          <w:lang w:bidi="fa-IR"/>
        </w:rPr>
        <w:t>لکن لا بما ذکروه</w:t>
      </w:r>
      <w:r>
        <w:rPr>
          <w:rStyle w:val="FootnoteAnchor"/>
          <w:rtl w:val="true"/>
        </w:rPr>
        <w:footnoteReference w:id="554"/>
      </w:r>
      <w:r>
        <w:rPr>
          <w:rFonts w:ascii="IRNazanin" w:hAnsi="IRNazanin" w:eastAsia="IRNazanin"/>
          <w:color w:val="111111"/>
          <w:sz w:val="28"/>
          <w:sz w:val="28"/>
          <w:szCs w:val="28"/>
          <w:rtl w:val="true"/>
          <w:lang w:bidi="fa-IR"/>
        </w:rPr>
        <w:t>من وجوب جعل طرف اللسان من الجانب الأیمن أو الأیسر علی الأضراس العلیا صحّ، فالمناط الصدق فی عرف العرب، وهکذا فی سائر الحروف، فما ذکره علماء التجوید مبنیّ علی الغالب</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الغالب بحسب لهجتهم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420" w:name="__RefHeading___Toc1840869_2322387425"/>
      <w:bookmarkStart w:id="421" w:name="_Toc152"/>
      <w:bookmarkEnd w:id="420"/>
      <w:r>
        <w:rPr>
          <w:rtl w:val="true"/>
        </w:rPr>
        <w:t>المد الواجب و مورده</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الواجب</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المعبّر عنه عند علماء التجوید بالمدّ المتّصل تارةً، والمدّ اللازم اُ خری، وهو الذی اجتمع سببه وحرفه فی کلمةٍ واحدة، وقد تقدّم أنّ الأحوط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الأقوی عدم وجوب المدّ فیه ما لم تتوقّف علیه إقامة الکلمة، ولکن لا یُترک الاحتیاط فیه، ولا سیّما فی الفرض الأخیر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المذکور فی غیر الصورة الأخیرة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واجب عند العرف فی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لازم المراعاة عندهم لعل مد الصوت فی بعض الحروف علی طبق طبیعة النطق بذلک، وأمّا عند المتشرعین لم یثبت وجوب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المحسنات فی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مصطلح أهل التجوید ، وقد مرّ الکلام فیه آنفاً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عدم وجوبه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فی ما إذا</w:t>
      </w:r>
    </w:p>
    <w:p>
      <w:pPr>
        <w:pStyle w:val="BookText"/>
        <w:rPr/>
      </w:pPr>
      <w:r>
        <w:rPr>
          <w:rFonts w:ascii="IRNazanin" w:hAnsi="IRNazanin" w:eastAsia="IRNazanin"/>
          <w:color w:val="111111"/>
          <w:sz w:val="28"/>
          <w:sz w:val="28"/>
          <w:szCs w:val="28"/>
          <w:rtl w:val="true"/>
          <w:lang w:bidi="fa-IR"/>
        </w:rPr>
        <w:t>کان</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فی کلمة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المیلانی، السیستانی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أحد حروف المدّ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وهی الواو المضموم ما قبلها، والیاء المکسور ما قبلها، والألف المفتوح ما قبلها، وبعدها همزة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وکونهما فی کلمة واحدة، ومع ذلک وجوبه بحیث یوجب ترکه البطلان مشکل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اجتمعا فی کلمة واحدة ، والمدّ مطلقاً حتّی ما ذکره الماتن قدس‌سره لیس بواجب شرعاً علی الظاهر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وکانتا فی کلمة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وکانتا فی کلمة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لف و نشر غیر مرتب فی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بعد أحدها سکون 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خصوصاً إذا کان</w:t>
      </w:r>
    </w:p>
    <w:p>
      <w:pPr>
        <w:pStyle w:val="BookText"/>
        <w:rPr/>
      </w:pPr>
      <w:r>
        <w:rPr>
          <w:rFonts w:ascii="Amiri" w:hAnsi="Amiri" w:eastAsia="Amiri" w:cs="Amiri"/>
          <w:color w:val="111111"/>
          <w:sz w:val="28"/>
          <w:sz w:val="28"/>
          <w:szCs w:val="28"/>
          <w:rtl w:val="true"/>
          <w:lang w:bidi="ar-SA"/>
        </w:rPr>
        <w:t>مدغَماً</w:t>
      </w:r>
      <w:r>
        <w:rPr>
          <w:rStyle w:val="FootnoteAnchor"/>
          <w:rtl w:val="true"/>
        </w:rPr>
        <w:footnoteReference w:id="558"/>
      </w:r>
      <w:r>
        <w:rPr>
          <w:rFonts w:ascii="IRNazanin" w:hAnsi="IRNazanin" w:eastAsia="IRNazanin"/>
          <w:color w:val="111111"/>
          <w:sz w:val="28"/>
          <w:sz w:val="28"/>
          <w:szCs w:val="28"/>
          <w:rtl w:val="true"/>
          <w:lang w:bidi="fa-IR"/>
        </w:rPr>
        <w:t>فی حرف آخر مثل الضالّین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مدّ فی مقام وجوبه أو فی غیره أزید من المتعارف لا یبطل</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شائبة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خرجت الکلمة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کونها تلک الکلمة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المدّ</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التعدّی عن المتعارف نقیصةً وزیادة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ألِفَین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أداء الحرف علی الوجه الصحیح، وإن کان المدّ بأقلّ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النحو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مقدار أداء الکلمة علی الوجه الصحیح، کما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وأکمله إلی أربع ألِفات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ما ذکروه، فالمدّ من الموضوعات العرفیة، فیکفی الصدق العرفی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یضرّ الزائد ما لم یُخرج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الکلمة عن الصدق</w:t>
      </w:r>
      <w:r>
        <w:rPr>
          <w:rFonts w:eastAsia="IRNazanin" w:cs="IRNazanin"/>
          <w:color w:val="111111"/>
          <w:sz w:val="28"/>
          <w:szCs w:val="28"/>
          <w:rtl w:val="true"/>
          <w:lang w:bidi="fa-IR"/>
        </w:rPr>
        <w:t>.</w:t>
      </w:r>
      <w:bookmarkStart w:id="422" w:name="pg13278_326492"/>
    </w:p>
    <w:p>
      <w:pPr>
        <w:pStyle w:val="Heading3"/>
        <w:numPr>
          <w:ilvl w:val="2"/>
          <w:numId w:val="1"/>
        </w:numPr>
        <w:rPr/>
      </w:pPr>
      <w:bookmarkStart w:id="423" w:name="__RefHeading___Toc1840871_2322387425"/>
      <w:bookmarkStart w:id="424" w:name="_Toc153"/>
      <w:bookmarkEnd w:id="422"/>
      <w:bookmarkEnd w:id="423"/>
      <w:r>
        <w:rPr>
          <w:rtl w:val="true"/>
        </w:rPr>
        <w:t>حکم الفصل بین حروف الکلمة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فصل</w:t>
      </w:r>
      <w:r>
        <w:rPr>
          <w:rStyle w:val="FootnoteAnchor"/>
          <w:rtl w:val="true"/>
        </w:rPr>
        <w:footnoteReference w:id="561"/>
      </w:r>
      <w:r>
        <w:rPr>
          <w:rFonts w:ascii="IRNazanin" w:hAnsi="IRNazanin" w:eastAsia="IRNazanin"/>
          <w:color w:val="111111"/>
          <w:sz w:val="28"/>
          <w:sz w:val="28"/>
          <w:szCs w:val="28"/>
          <w:rtl w:val="true"/>
          <w:lang w:bidi="fa-IR"/>
        </w:rPr>
        <w:t>بین حروف کلمة واحدة اختیاراً أو اضطراراً بحیث خرجت عن الصدق بطلت</w:t>
      </w:r>
      <w:r>
        <w:rPr>
          <w:rStyle w:val="FootnoteAnchor"/>
          <w:rtl w:val="true"/>
        </w:rPr>
        <w:footnoteReference w:id="562"/>
      </w:r>
      <w:r>
        <w:rPr>
          <w:rFonts w:ascii="IRNazanin" w:hAnsi="IRNazanin" w:eastAsia="IRNazanin"/>
          <w:color w:val="111111"/>
          <w:sz w:val="28"/>
          <w:sz w:val="28"/>
          <w:szCs w:val="28"/>
          <w:rtl w:val="true"/>
          <w:lang w:bidi="fa-IR"/>
        </w:rPr>
        <w:t>، ومع العمد</w:t>
      </w:r>
      <w:r>
        <w:rPr>
          <w:rStyle w:val="FootnoteAnchor"/>
          <w:rtl w:val="true"/>
        </w:rPr>
        <w:footnoteReference w:id="563"/>
      </w:r>
      <w:r>
        <w:rPr>
          <w:rFonts w:ascii="IRNazanin" w:hAnsi="IRNazanin" w:eastAsia="IRNazanin"/>
          <w:color w:val="111111"/>
          <w:sz w:val="28"/>
          <w:sz w:val="28"/>
          <w:szCs w:val="28"/>
          <w:rtl w:val="true"/>
          <w:lang w:bidi="fa-IR"/>
        </w:rPr>
        <w:t>أبطلت</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اکتفی بها، أو قصد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بَدا له فی أثناء الکلمة أن لا یُتمّها فاستأنفها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قاصداً لهذا التفریق من الأوّل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من الأوّل قاصداً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وجوباً ، وإذا أعادها کان الاحتیاط غیر لازم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یختصّ بصورة التعمّد من أوّل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 قصده ذلک من أول الأمر لا یبعد القول بعدم الإبطال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إذا حصل الفصل عن سهو بطلت الکلمة فیجب استئنافها، وإذا حصل عن عمد فإنّه یوجب بطلان الصلاة، والاحوط إعادة الکلمة وإتمام الصلاة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1840873_2322387425"/>
      <w:bookmarkStart w:id="426" w:name="_Toc154"/>
      <w:bookmarkEnd w:id="425"/>
      <w:r>
        <w:rPr>
          <w:rtl w:val="true"/>
        </w:rPr>
        <w:t>انقطاع النفس أثناء القراءة</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أعرب آخر الکلمة بقصد الوصل بما بعده فانقطع نَفَسُهُ فحصل الوقف بالحرکة فالأحوط</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رجاءً لا بقصد الجزئیة؛ حذراً من الزیادة العمدیة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عدم الوجوب لا یخلو من قوّة، بل عدم لزوم مراعاة الوقف بالحرکة والوصل بالسکون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إعادتها</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کان ذِکراً أو قرآناً، وإلاّ أعاد معها ما یکون به ذِکراً تامّاً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مهدی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لزومها تأمّل،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الاکتفاء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لا یضر بالصحة عرفاً، فإعادتها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لزومها، وإن قلنا بعدم جواز الوقف بالحرکة فی ما إذا لم یکن مریداً للوصل بما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یکن الفصل کثیراً اکتفی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انقطع نَفَسُهُ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الوصل بالألف واللام وحذف الألف هل یجب إعادة الألف واللام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المستقیم، أو یکفی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الأحوط</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 أمثال المقام الإتیان بالجملة التامّة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مع رعایة الاحتیاط الآتی فیه وفی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 وکذا الاحتیاطات التالیة فی هذه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وأحوط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إن کان قرأها موصولةً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w:t>
      </w:r>
      <w:r>
        <w:rPr>
          <w:rStyle w:val="FootnoteAnchor"/>
          <w:rtl w:val="true"/>
        </w:rPr>
        <w:footnoteReference w:id="568"/>
      </w:r>
      <w:r>
        <w:rPr>
          <w:rFonts w:ascii="IRNazanin" w:hAnsi="IRNazanin" w:eastAsia="IRNazanin"/>
          <w:color w:val="111111"/>
          <w:sz w:val="28"/>
          <w:sz w:val="28"/>
          <w:szCs w:val="28"/>
          <w:rtl w:val="true"/>
          <w:lang w:bidi="fa-IR"/>
        </w:rPr>
        <w:t>الصراط</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إن کان قرأها موصولةً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یلزم الاحتیاط بإعادة الموصوف أو المضاف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قوّة،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صار مدخول الألف واللام غلطاً، کأن صار مستقیم غلطاً، فإذا أراد أن یعیده فالأحوط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أنّه لا یخلو من قوّة، وأنّ الأحوط 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 واللام أیضاً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المستقیم، ولا یکتفی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لم یصحّ المضاف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أشبهه فی شدّة الارتباط بما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الجارّ والمجرور یعید الجارّ إذا أعاد المجرور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427" w:name="pg13278_326495"/>
    </w:p>
    <w:p>
      <w:pPr>
        <w:pStyle w:val="BookText"/>
        <w:rPr/>
      </w:pPr>
      <w:bookmarkEnd w:id="427"/>
      <w:r>
        <w:rPr>
          <w:rFonts w:ascii="IRNazanin" w:hAnsi="IRNazanin" w:eastAsia="IRNazanin"/>
          <w:color w:val="111111"/>
          <w:sz w:val="28"/>
          <w:sz w:val="28"/>
          <w:szCs w:val="28"/>
          <w:rtl w:val="true"/>
          <w:lang w:bidi="fa-IR"/>
        </w:rPr>
        <w:t>المضاف</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إعادة حرف الجرِّإذا لم‌یصحَّ المجرور، بل الإعادة فیها لاتخلو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وکذا فی الجارِّ والمجرور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فإذا لم یصحّ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أن یعید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428" w:name="__RefHeading___Toc1840875_2322387425"/>
      <w:bookmarkStart w:id="429" w:name="_Toc155"/>
      <w:bookmarkEnd w:id="428"/>
      <w:r>
        <w:rPr>
          <w:rtl w:val="true"/>
        </w:rPr>
        <w:t>مواضع الإدغام</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اجتمع فی کلمة واحدة</w:t>
      </w:r>
      <w:r>
        <w:rPr>
          <w:rStyle w:val="FootnoteAnchor"/>
          <w:rtl w:val="true"/>
        </w:rPr>
        <w:footnoteReference w:id="571"/>
      </w:r>
      <w:r>
        <w:rPr>
          <w:rFonts w:ascii="IRNazanin" w:hAnsi="IRNazanin" w:eastAsia="IRNazanin"/>
          <w:color w:val="111111"/>
          <w:sz w:val="28"/>
          <w:sz w:val="28"/>
          <w:szCs w:val="28"/>
          <w:rtl w:val="true"/>
          <w:lang w:bidi="fa-IR"/>
        </w:rPr>
        <w:t>مثلان واجب</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فی ما ثبت فیه جواز القراءة بوجهین،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یَرتَدِدْ مِنْکُم عَنْ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سواء کانا متحرّکَین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اجتمع مثلان فی کلمة واحدة وکانا ساکنین وجب الإدغام، وکذا إذا کانا متحرّکین وکانا فی آخر الکلمة کما فی المثال، وأمّا إذا کانا فی وسط الکلمة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الإدغام بلا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کالمذکورین،</w:t>
      </w:r>
      <w:bookmarkStart w:id="430" w:name="pg13278_326496"/>
    </w:p>
    <w:p>
      <w:pPr>
        <w:pStyle w:val="BookText"/>
        <w:rPr/>
      </w:pPr>
      <w:bookmarkEnd w:id="430"/>
      <w:r>
        <w:rPr>
          <w:rFonts w:ascii="Amiri" w:hAnsi="Amiri" w:eastAsia="Amiri" w:cs="Amiri"/>
          <w:color w:val="111111"/>
          <w:sz w:val="28"/>
          <w:sz w:val="28"/>
          <w:szCs w:val="28"/>
          <w:rtl w:val="true"/>
          <w:lang w:bidi="ar-SA"/>
        </w:rPr>
        <w:t>أو ساکنَین</w:t>
      </w:r>
      <w:r>
        <w:rPr>
          <w:rStyle w:val="FootnoteAnchor"/>
          <w:rtl w:val="true"/>
        </w:rPr>
        <w:footnoteReference w:id="573"/>
      </w:r>
      <w:r>
        <w:rPr>
          <w:rFonts w:ascii="IRNazanin" w:hAnsi="IRNazanin" w:eastAsia="IRNazanin"/>
          <w:color w:val="111111"/>
          <w:sz w:val="28"/>
          <w:sz w:val="28"/>
          <w:szCs w:val="28"/>
          <w:rtl w:val="true"/>
          <w:lang w:bidi="fa-IR"/>
        </w:rPr>
        <w:t>کمصدرهما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سواء کانا فی کلمتین أم فی کلمة واحدة، مع عدم طروء الالتباس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الإدغام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الحکیم، أحمد الخونساری ، جمال الدین الگلپایگانی ، الإصطهباناتی ، الرفیعی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بترک الغُنّة مع الواو والیاء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الإدغام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أصل الإدغام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بعد النون الساکنة أو التنوین أحد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الغنّة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 ما عدا اللام والراء، ولا معها فیهما،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سیّما الغُنّة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وجوبه</w:t>
      </w:r>
      <w:r>
        <w:rPr>
          <w:rFonts w:eastAsia="IRNazanin" w:cs="IRNazanin"/>
          <w:color w:val="111111"/>
          <w:sz w:val="28"/>
          <w:szCs w:val="28"/>
          <w:rtl w:val="true"/>
          <w:lang w:bidi="fa-IR"/>
        </w:rPr>
        <w:t>.</w:t>
      </w:r>
    </w:p>
    <w:p>
      <w:pPr>
        <w:pStyle w:val="Heading3"/>
        <w:numPr>
          <w:ilvl w:val="2"/>
          <w:numId w:val="1"/>
        </w:numPr>
        <w:rPr/>
      </w:pPr>
      <w:bookmarkStart w:id="431" w:name="__RefHeading___Toc1840877_2322387425"/>
      <w:bookmarkStart w:id="432" w:name="_Toc156"/>
      <w:bookmarkEnd w:id="431"/>
      <w:r>
        <w:rPr>
          <w:rtl w:val="true"/>
        </w:rPr>
        <w:t>القراءة بإحدی القراءات السبع</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البروجردی، أحمد الخونساری، 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والأحوط من بینها عندی قراءة عاصم بن أبی النَّجُود الکوفی، الذی أخذ القرآن عن أبی عبدالرحمان السَّلَمی، وهو عن مولانا أمیرالمؤمنین علیه‌السلام ، ولترجیح قراءته وجوه لیس المقام محلاًّ لذکرها، ودونها قراءة اُبَیِّ بن کعب المقروءة علی أحد الصادقین علیهماالسلام ودونها قراءة نافع المدنی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باختیار ما هو المتعارف وما جرت علیه السیرة فی قراءة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الاقتصار علی النحو المتعارف بین 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الأنسب، وأنسب منه اختیار ما هو المتعارف منها فی زماننا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p>
    <w:p>
      <w:pPr>
        <w:pStyle w:val="BookText"/>
        <w:rPr/>
      </w:pPr>
      <w:r>
        <w:rPr>
          <w:rFonts w:ascii="Amiri" w:hAnsi="Amiri" w:eastAsia="Amiri" w:cs="Amiri"/>
          <w:color w:val="111111"/>
          <w:sz w:val="28"/>
          <w:sz w:val="28"/>
          <w:szCs w:val="28"/>
          <w:rtl w:val="true"/>
          <w:lang w:bidi="ar-SA"/>
        </w:rPr>
        <w:t>القراءة</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الاقتصار علی القراءة المتعارفة التی جرت السیرة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بإحدی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القراءات السبعة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ترک قراءة أبی جعفر القَعقاع والحَضرمی والبَزّار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أن یختار ما یتداوله غالب المسلمین من هذه القراءات، وإن لم یتعیّن ذلک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الأظهر عدم جواز القراءة علی النهج العربی إذا کانت مخالفة للقراءات المتعارفة عند الناس، سیّما فی ما یتعلّق بالکلمات والحروف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577"/>
      </w:r>
      <w:r>
        <w:rPr>
          <w:rFonts w:ascii="IRNazanin" w:hAnsi="IRNazanin" w:eastAsia="IRNazanin"/>
          <w:color w:val="111111"/>
          <w:sz w:val="28"/>
          <w:sz w:val="28"/>
          <w:szCs w:val="28"/>
          <w:rtl w:val="true"/>
          <w:lang w:bidi="fa-IR"/>
        </w:rPr>
        <w:t>عدم وجوبها</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الملاک فی القراءة إحراز النهج العربی سواء کانت القراءة توافقها أو تخالفها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القراءة لموافقة القراءات السبعة لأنها مشهورة بین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اللازم إحراز موافقة القراءة لإحدی القراءات المتداولة فی عصر الأئمة علیهم‌السلام ، وحیث لا یمکن إحرازها فلا یُترک الاحتیاط بالقراءة علی إحدی القراءات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النهج العربی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ظاهر؛ فإنّ الواجب إنّما هو قراءة القرآن بخصوصه، لا ما تصدق علیه القراءة العربیّة الصحیحة، نعم، الظاهر جواز الاکتفاء بکلّ قراءة متعارفة عند الناس ولو کانت من غیر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بل یمنع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یجوز التعدّی عن القراءآت التی کانت متداولة فی عصر الأئمة علیهم‌السلام فی ما یتعلّق بالکلمات والحروف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مخالفة</w:t>
      </w:r>
      <w:bookmarkStart w:id="433" w:name="pg13278_326499"/>
    </w:p>
    <w:p>
      <w:pPr>
        <w:pStyle w:val="BookText"/>
        <w:rPr/>
      </w:pPr>
      <w:bookmarkEnd w:id="433"/>
      <w:r>
        <w:rPr>
          <w:rFonts w:ascii="IRNazanin" w:hAnsi="IRNazanin" w:eastAsia="IRNazanin"/>
          <w:color w:val="111111"/>
          <w:sz w:val="28"/>
          <w:sz w:val="28"/>
          <w:szCs w:val="28"/>
          <w:rtl w:val="true"/>
          <w:lang w:bidi="fa-IR"/>
        </w:rPr>
        <w:t>لهم</w:t>
      </w:r>
      <w:r>
        <w:rPr>
          <w:rStyle w:val="FootnoteAnchor"/>
          <w:rtl w:val="true"/>
        </w:rPr>
        <w:footnoteReference w:id="579"/>
      </w:r>
      <w:r>
        <w:rPr>
          <w:rFonts w:ascii="IRNazanin" w:hAnsi="IRNazanin" w:eastAsia="IRNazanin"/>
          <w:color w:val="111111"/>
          <w:sz w:val="28"/>
          <w:sz w:val="28"/>
          <w:szCs w:val="28"/>
          <w:rtl w:val="true"/>
          <w:lang w:bidi="fa-IR"/>
        </w:rPr>
        <w:t>فی حرکة بنیة أو إعراب</w:t>
      </w:r>
      <w:r>
        <w:rPr>
          <w:rFonts w:eastAsia="IRNazanin" w:cs="IRNazanin"/>
          <w:color w:val="111111"/>
          <w:sz w:val="28"/>
          <w:szCs w:val="28"/>
          <w:rtl w:val="true"/>
          <w:lang w:bidi="fa-IR"/>
        </w:rPr>
        <w:t>.</w:t>
      </w:r>
    </w:p>
    <w:p>
      <w:pPr>
        <w:pStyle w:val="Heading3"/>
        <w:numPr>
          <w:ilvl w:val="2"/>
          <w:numId w:val="1"/>
        </w:numPr>
        <w:rPr/>
      </w:pPr>
      <w:bookmarkStart w:id="434" w:name="__RefHeading___Toc1840879_2322387425"/>
      <w:bookmarkStart w:id="435" w:name="_Toc157"/>
      <w:bookmarkEnd w:id="434"/>
      <w:r>
        <w:rPr>
          <w:rtl w:val="true"/>
        </w:rPr>
        <w:t>الحروف الشمسیة و القمریة</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إدغام اللام</w:t>
      </w:r>
      <w:r>
        <w:rPr>
          <w:rStyle w:val="FootnoteAnchor"/>
          <w:rtl w:val="true"/>
        </w:rPr>
        <w:footnoteReference w:id="580"/>
      </w:r>
      <w:r>
        <w:rPr>
          <w:rFonts w:ascii="IRNazanin" w:hAnsi="IRNazanin" w:eastAsia="IRNazanin"/>
          <w:color w:val="111111"/>
          <w:sz w:val="28"/>
          <w:sz w:val="28"/>
          <w:szCs w:val="28"/>
          <w:rtl w:val="true"/>
          <w:lang w:bidi="fa-IR"/>
        </w:rPr>
        <w:t>من الألف واللام فی أربعة عشر حرفاً،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التاء والثاء والدال والذال والراء والزاء والسین والشین والصاد والضاد والطاء والظاء واللام والنون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وإظهارها فی بقیّة الحروف، فتقول فی اللّه</w:t>
      </w:r>
      <w:r>
        <w:rPr>
          <w:rStyle w:val="FootnoteAnchor"/>
          <w:rtl w:val="true"/>
        </w:rPr>
        <w:footnoteReference w:id="581"/>
      </w:r>
      <w:r>
        <w:rPr>
          <w:rFonts w:ascii="IRNazanin" w:hAnsi="IRNazanin" w:eastAsia="IRNazanin"/>
          <w:color w:val="111111"/>
          <w:sz w:val="28"/>
          <w:sz w:val="28"/>
          <w:szCs w:val="28"/>
          <w:rtl w:val="true"/>
          <w:lang w:bidi="fa-IR"/>
        </w:rPr>
        <w:t>والرحمن والرحیم والصراط والضالّین مثلاً بالإدغام، وفی الحمد والعالمین والمستقیم ونحوها بالإظهار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 . . . . . . . .</w:t>
      </w:r>
      <w:bookmarkStart w:id="436" w:name="pg13278_326500"/>
    </w:p>
    <w:p>
      <w:pPr>
        <w:pStyle w:val="BookText"/>
        <w:rPr/>
      </w:pPr>
      <w:bookmarkEnd w:id="436"/>
      <w:r>
        <w:rPr>
          <w:rFonts w:ascii="IRNazanin" w:hAnsi="IRNazanin" w:eastAsia="IRNazanin"/>
          <w:color w:val="111111"/>
          <w:sz w:val="28"/>
          <w:sz w:val="28"/>
          <w:szCs w:val="28"/>
          <w:rtl w:val="true"/>
          <w:lang w:bidi="fa-IR"/>
        </w:rPr>
        <w:t>الإدغام</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بِکِتَابِی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ویُدرِکْکُمْ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اجتمع المثلان فی کلمتین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کون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ساکناً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کونه من حروف المدّ، وإلاّ فلا یجوز الإدغام،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یُوسُفَ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وجوبه</w:t>
      </w:r>
      <w:r>
        <w:rPr>
          <w:rFonts w:eastAsia="IRNazanin" w:cs="IRNazanin"/>
          <w:color w:val="111111"/>
          <w:sz w:val="28"/>
          <w:szCs w:val="28"/>
          <w:rtl w:val="true"/>
          <w:lang w:bidi="fa-IR"/>
        </w:rPr>
        <w:t>.</w:t>
      </w:r>
    </w:p>
    <w:p>
      <w:pPr>
        <w:pStyle w:val="Heading3"/>
        <w:numPr>
          <w:ilvl w:val="2"/>
          <w:numId w:val="1"/>
        </w:numPr>
        <w:rPr/>
      </w:pPr>
      <w:bookmarkStart w:id="437" w:name="__RefHeading___Toc1840881_2322387425"/>
      <w:bookmarkStart w:id="438" w:name="_Toc158"/>
      <w:bookmarkEnd w:id="437"/>
      <w:r>
        <w:rPr>
          <w:rtl w:val="true"/>
        </w:rPr>
        <w:t>فروع فی ما یرتبط فی المقام</w:t>
      </w:r>
      <w:bookmarkEnd w:id="43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ما ذکره علماء التجوید من المحسّنات، کالإمالة </w:t>
      </w:r>
    </w:p>
    <w:p>
      <w:pPr>
        <w:pStyle w:val="BookText"/>
        <w:rPr/>
      </w:pPr>
      <w:r>
        <w:rPr>
          <w:rFonts w:ascii="IRNazanin" w:hAnsi="IRNazanin" w:eastAsia="IRNazanin"/>
          <w:color w:val="111111"/>
          <w:sz w:val="28"/>
          <w:sz w:val="28"/>
          <w:szCs w:val="28"/>
          <w:rtl w:val="true"/>
          <w:lang w:bidi="fa-IR"/>
        </w:rPr>
        <w:t>والإشباع والتفخیم والترقیق ونحو ذلک، بل والإدغام</w:t>
      </w:r>
      <w:r>
        <w:rPr>
          <w:rStyle w:val="FootnoteAnchor"/>
          <w:rtl w:val="true"/>
        </w:rPr>
        <w:footnoteReference w:id="584"/>
      </w:r>
      <w:r>
        <w:rPr>
          <w:rFonts w:ascii="IRNazanin" w:hAnsi="IRNazanin" w:eastAsia="IRNazanin"/>
          <w:color w:val="111111"/>
          <w:sz w:val="28"/>
          <w:sz w:val="28"/>
          <w:szCs w:val="28"/>
          <w:rtl w:val="true"/>
          <w:lang w:bidi="fa-IR"/>
        </w:rPr>
        <w:t>غیر ما ذکرنا، وإن کان متابعتهم أحسن</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إشکال، بل الأحوط ترک متابعتهم فی مثل الإدغام الکبیر، وهو إدراج الحرف المتحرّک بعد إسکانه فی حرف مماثل له مع کونهما فی کلمتین، کإدغام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فی مقاربٍ له ولو فی کلمة واحدة، کإدغام القاف فی الکاف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فی کلّ ما ذکروه، بل الأحوط الأولی ترک بعض ما ذکره بعضهم ممّا یوجب البشاعة والمَجاجَة فی القراءة، کما لا یخفی علی من تتبّع کلماتهم فی کتب التجوید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عمرو الدانی وکتب السَفاقِسی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الأحوط الاُولی فی ما هو من قبیل الإدغام الصغیر، کإدغام الذال فی الظاء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والدال فی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وتاء التأنیت الساکنة فی</w:t>
      </w:r>
    </w:p>
    <w:p>
      <w:pPr>
        <w:pStyle w:val="BookText"/>
        <w:rPr/>
      </w:pPr>
      <w:r>
        <w:rPr>
          <w:rFonts w:ascii="IRNazanin" w:hAnsi="IRNazanin" w:eastAsia="IRNazanin"/>
          <w:color w:val="111111"/>
          <w:sz w:val="28"/>
          <w:sz w:val="28"/>
          <w:szCs w:val="28"/>
          <w:rtl w:val="true"/>
          <w:lang w:bidi="fa-IR"/>
        </w:rPr>
        <w:t xml:space="preserve">الطاء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والطاء فی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الإدغام الکبیر کإدغام الکاف أو القاف فی الکاف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وإدغام المیم فی المیم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فجوازه محلّ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کثیر من الموارد، لا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مراعاة</w:t>
      </w:r>
      <w:r>
        <w:rPr>
          <w:rStyle w:val="FootnoteAnchor"/>
          <w:rtl w:val="true"/>
        </w:rPr>
        <w:footnoteReference w:id="586"/>
      </w:r>
      <w:r>
        <w:rPr>
          <w:rFonts w:ascii="IRNazanin" w:hAnsi="IRNazanin" w:eastAsia="IRNazanin"/>
          <w:color w:val="111111"/>
          <w:sz w:val="28"/>
          <w:sz w:val="28"/>
          <w:szCs w:val="28"/>
          <w:rtl w:val="true"/>
          <w:lang w:bidi="fa-IR"/>
        </w:rPr>
        <w:t>ما ذکروه من إظهار التنوین والنون الساکنة إذا کان بعدهما أحد حروف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الحاء، الخاء، العین، الغین، الهاء، القاف،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کتب التجوید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وقلبهما</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فی ما إذا</w:t>
      </w:r>
      <w:r>
        <w:rPr>
          <w:rStyle w:val="FootnoteAnchor"/>
          <w:rtl w:val="true"/>
        </w:rPr>
        <w:footnoteReference w:id="588"/>
      </w:r>
      <w:r>
        <w:rPr>
          <w:rFonts w:ascii="IRNazanin" w:hAnsi="IRNazanin" w:eastAsia="IRNazanin"/>
          <w:color w:val="111111"/>
          <w:sz w:val="28"/>
          <w:sz w:val="28"/>
          <w:szCs w:val="28"/>
          <w:rtl w:val="true"/>
          <w:lang w:bidi="fa-IR"/>
        </w:rPr>
        <w:t>کان بعدهما حرف الباء، وإدغامهما</w:t>
      </w:r>
      <w:r>
        <w:rPr>
          <w:rStyle w:val="FootnoteAnchor"/>
          <w:rtl w:val="true"/>
        </w:rPr>
        <w:footnoteReference w:id="589"/>
      </w:r>
      <w:r>
        <w:rPr>
          <w:rFonts w:ascii="Amiri" w:hAnsi="Amiri" w:eastAsia="Amiri" w:cs="Amiri"/>
          <w:color w:val="111111"/>
          <w:sz w:val="28"/>
          <w:sz w:val="28"/>
          <w:szCs w:val="28"/>
          <w:rtl w:val="true"/>
          <w:lang w:bidi="ar-SA"/>
        </w:rPr>
        <w:t xml:space="preserve">إذا کان بعدهما أحد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وإخفائهما</w:t>
      </w:r>
      <w:r>
        <w:rPr>
          <w:rStyle w:val="FootnoteAnchor"/>
          <w:rtl w:val="true"/>
        </w:rPr>
        <w:footnoteReference w:id="590"/>
      </w:r>
      <w:r>
        <w:rPr>
          <w:rFonts w:ascii="IRNazanin" w:hAnsi="IRNazanin" w:eastAsia="IRNazanin"/>
          <w:color w:val="111111"/>
          <w:sz w:val="28"/>
          <w:sz w:val="28"/>
          <w:szCs w:val="28"/>
          <w:rtl w:val="true"/>
          <w:lang w:bidi="fa-IR"/>
        </w:rPr>
        <w:t>إذا کان بعدهما بقیّة الحروف، لکن لا یجب شیء</w:t>
      </w:r>
      <w:r>
        <w:rPr>
          <w:rStyle w:val="FootnoteAnchor"/>
          <w:rtl w:val="true"/>
        </w:rPr>
        <w:footnoteReference w:id="591"/>
      </w:r>
      <w:r>
        <w:rPr>
          <w:rFonts w:ascii="IRNazanin" w:hAnsi="IRNazanin" w:eastAsia="IRNazanin"/>
          <w:color w:val="111111"/>
          <w:sz w:val="28"/>
          <w:sz w:val="28"/>
          <w:szCs w:val="28"/>
          <w:rtl w:val="true"/>
          <w:lang w:bidi="fa-IR"/>
        </w:rPr>
        <w:t>من ذلک حتّی الإدغام</w:t>
      </w:r>
      <w:r>
        <w:rPr>
          <w:rStyle w:val="FootnoteAnchor"/>
          <w:rtl w:val="true"/>
        </w:rPr>
        <w:footnoteReference w:id="592"/>
      </w:r>
      <w:r>
        <w:rPr>
          <w:rFonts w:ascii="IRNazanin" w:hAnsi="IRNazanin" w:eastAsia="IRNazanin"/>
          <w:color w:val="111111"/>
          <w:sz w:val="28"/>
          <w:sz w:val="28"/>
          <w:szCs w:val="28"/>
          <w:rtl w:val="true"/>
          <w:lang w:bidi="fa-IR"/>
        </w:rPr>
        <w:t>فی یرملون</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لزوم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وجوب الاحتیاط فیه، وأنّه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لزوم الاحتیاط فیه؛ لبناء الخبراء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لزوم الاحتیاط فی هذا الإدغام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التأمّل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الاحتیاط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یمیّز</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لعنوان هذه المسألة، بل لا ثمرة له غیر تولید الوسوسة، ولا مُحصّل لما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الحمد سبعَ کلمات مهملات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الکلمات، ولا یقرأ بحیث یتولّد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موجباً لإثارة الوَسواس، وإلاّ فالأرجح ترک مراعاته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تولیدها ناشئاً عن الوصل بین الکلمتین مع الإخلال بالموالاة المعتبرة بین الحروف فی إحداهما أو کلتیهما، فهذا یضر بصحّة القراءة مطلقاً ، وأمّا إذا کان ناشئاً عن الفصل بین حروف الکلمة الاُولی أو الثانیة أو هما معاً بما لا یقدح فی الموالاة مع الوصل بین نفس الکلمتین بحیث أوجب اجتماع الفصل والوصل المذکورین تولّد الکلمة المهملة فهذا محلّ إ شکال؛ للشکّ فی صدق الکلمتین فی هذه الحالة ، وأمّا إذا کان ناشئاً عن کیفیة النطق بالکلمتین بأن أوصَلَ بینهما ونطق بآخر الاُولی وأوّل الثانیة أو تمامها بکیفیة واحدة قوةً أو ضعفاً مغایرة لکیفیة النطق بسائر الحروف فمثل هذا وإن لم یکن مخلاًّ بالصحة إلاّ أنّ الأولی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الکلمتین کلمة مهملة</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ذکر کهذه المسألة التی توجب الوسوسة فی القراءة لأهل الوسواس، حیث أنّ العلماء من العرب یقرؤون علی النحو المتعارف عند أهل اللسان ولا یعتنون بشیء من هذه التدقیقات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یتولّد لفظ دُلِلْ، أو تولّد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هِرَبْ، وهکذا فی مالک یوم الدین تولّد کِیَوْ، هکذا فی بقیّة الکلمات،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الحمد سبع</w:t>
      </w:r>
    </w:p>
    <w:p>
      <w:pPr>
        <w:pStyle w:val="BookText"/>
        <w:rPr/>
      </w:pPr>
      <w:r>
        <w:rPr>
          <w:rFonts w:ascii="Amiri" w:hAnsi="Amiri" w:eastAsia="Amiri" w:cs="Amiri"/>
          <w:color w:val="111111"/>
          <w:sz w:val="28"/>
          <w:sz w:val="28"/>
          <w:szCs w:val="28"/>
          <w:rtl w:val="true"/>
          <w:lang w:bidi="ar-SA"/>
        </w:rPr>
        <w:t>کلمات مهملات، وهی دِلَلْ، وهِرَبْ، وکِیَوْ وکِنَعْ، وکنس، وتع، وبع</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اللّه‌ُ الصمدُ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بحذف</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الحذف المذکور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التنوین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الإشکال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 البجنوردی،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نظر 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 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الشاهرودی ، الأراکی،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والأحوط عدم الحذف، وأحوط منه 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محلّ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عدم جوازه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إسقاط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خلاف الاحتیاط، وإلاّ ففی غایة الإشکال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جوازه، وما نقل عن بعض القرّاء کأبی عمرو مرجوح مُعَرض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والأحوط أن لا یقرأ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أحد</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هذه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عدم الحذف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أَحَدُنِ اللّه‌ُ الصَمَدُ، بأن یکسر نون التنوین، وعلیه ینبغی أن یرقّق اللام من اللّه، وأمّا علی الأوّل فینبغی تفخیمه کما هو القاعدة الکلّیة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تفخیمه إذا کان قبله مفتوحاً أو مضموماً، وترقیقه إذا کان مکسوراً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یـجـوز</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المشهور المتداول فی کلٍّ من الکلمتین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المسألة فی 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 .</w:t>
      </w:r>
    </w:p>
    <w:p>
      <w:pPr>
        <w:pStyle w:val="BookText"/>
        <w:rPr/>
      </w:pPr>
      <w:r>
        <w:rPr>
          <w:rFonts w:ascii="Amiri" w:hAnsi="Amiri" w:eastAsia="Amiri" w:cs="Amiri"/>
          <w:color w:val="111111"/>
          <w:sz w:val="28"/>
          <w:sz w:val="28"/>
          <w:szCs w:val="28"/>
          <w:rtl w:val="true"/>
          <w:lang w:bidi="ar-SA"/>
        </w:rPr>
        <w:t>قراءة</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 التخییر بینهما ابتدائیّاً، وکذا الکلام فی قراءة الصِراط بالصاد والسِین، فیختار أیّهما شاء فی جمیع صلواته، بل الحکم کذلک فی جمیع موارد اختلاف القراءات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بل الأقوی اختیار قراءة مالک، کما هو المرویّ عن بعض القرّاء، والوجوه الّتی استند إلیها واعتمد علیها العلاّمة الحجّة الآیة اُستاذ أساتیذنا شیخ الشریعة الإصفهانی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إنارة الحالک فی ترجیح المَلِکِ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فی غیره کلّها مدخولة مردودة، وأکثرها اعتباریّة محضة، والتفصیل موکول إلی محلّه، ویتلوه فی الضَعف الجمع بینهما فی الصلاة، کما کان علیه عمل بعض أساتیذنا، وکتابة تلک الکلمة فی بعض المصاحف القدیمة کما ادّعاه جار اللّه وغیره لا یقوم شاهداً؛ إذ رسم الکتابة فی أسماء الفاعلین کان کذلک غالباً، فلیراجع الخطوط القدیمة، فتری فیها الحارث والقاسم والضآلّین والقالین کتبت الحَرث والقَسم والضلین والقلین، وذلک واضحٌ لمن سبر وجاس خلال تلک الدِیار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لا یُترک الاحتیاط 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الصِراط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اختیار الصاد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اختیار القراءة الاُولی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الاقتصار علی المشهور المتداول فیهما، وفی المسألة الآتیة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بالصاد</w:t>
      </w:r>
    </w:p>
    <w:p>
      <w:pPr>
        <w:pStyle w:val="BookText"/>
        <w:rPr/>
      </w:pPr>
      <w:r>
        <w:rPr>
          <w:rFonts w:ascii="IRNazanin" w:hAnsi="IRNazanin" w:eastAsia="IRNazanin"/>
          <w:color w:val="111111"/>
          <w:sz w:val="28"/>
          <w:sz w:val="28"/>
          <w:szCs w:val="28"/>
          <w:rtl w:val="true"/>
          <w:lang w:bidi="fa-IR"/>
        </w:rPr>
        <w:t>والسین</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القراءة بالصاد أفصح وأحوط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القراءة بالصاد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الصاد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القراءة بالصاد، وإن لا یبعد جواز ما ذکر، والأولی الأحوط قراءة الحمد والتوحید علی النحو المعروف بین عامّة الناس والمکتوب فی المِصحَف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فیه اختیار الصاد، ثمّ علی التخییر فهل هو استمراریّ، أو ابتدائی؟ فیه إشکال، واحتمال کونه ابتدائیاً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الاحتیاط القراءة بالصاد، والقراءة بالسین مخالفة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هو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السِراط المستقیم، وسِراط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الاُولی، ثمّ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وبالهمزة،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بسکون الفاء وبالهمزة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بسکون الفاء وبالواو،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الأخیرة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یدرِ إعراب</w:t>
      </w:r>
      <w:r>
        <w:rPr>
          <w:rStyle w:val="FootnoteAnchor"/>
          <w:rtl w:val="true"/>
        </w:rPr>
        <w:footnoteReference w:id="605"/>
      </w:r>
      <w:r>
        <w:rPr>
          <w:rFonts w:ascii="IRNazanin" w:hAnsi="IRNazanin" w:eastAsia="IRNazanin"/>
          <w:color w:val="111111"/>
          <w:sz w:val="28"/>
          <w:sz w:val="28"/>
          <w:szCs w:val="28"/>
          <w:rtl w:val="true"/>
          <w:lang w:bidi="fa-IR"/>
        </w:rPr>
        <w:t>کلمة أو بناءها أو بعض حروفها أ نّه الصاد مثلاً أو السین أو نحو ذلک یجب علیه أن یتعلّم</w:t>
      </w:r>
      <w:r>
        <w:rPr>
          <w:rStyle w:val="FootnoteAnchor"/>
          <w:rtl w:val="true"/>
        </w:rPr>
        <w:footnoteReference w:id="606"/>
      </w:r>
      <w:r>
        <w:rPr>
          <w:rFonts w:ascii="IRNazanin" w:hAnsi="IRNazanin" w:eastAsia="IRNazanin"/>
          <w:color w:val="111111"/>
          <w:sz w:val="28"/>
          <w:sz w:val="28"/>
          <w:szCs w:val="28"/>
          <w:rtl w:val="true"/>
          <w:lang w:bidi="fa-IR"/>
        </w:rPr>
        <w:t>، ولا یجوز له</w:t>
      </w:r>
      <w:r>
        <w:rPr>
          <w:rStyle w:val="FootnoteAnchor"/>
          <w:rtl w:val="true"/>
        </w:rPr>
        <w:footnoteReference w:id="607"/>
      </w:r>
      <w:r>
        <w:rPr>
          <w:rFonts w:ascii="IRNazanin" w:hAnsi="IRNazanin" w:eastAsia="IRNazanin"/>
          <w:color w:val="111111"/>
          <w:sz w:val="28"/>
          <w:sz w:val="28"/>
          <w:szCs w:val="28"/>
          <w:rtl w:val="true"/>
          <w:lang w:bidi="fa-IR"/>
        </w:rPr>
        <w:t>أن یکرّرها بالوجهین</w:t>
      </w:r>
      <w:r>
        <w:rPr>
          <w:rStyle w:val="FootnoteAnchor"/>
          <w:rtl w:val="true"/>
        </w:rPr>
        <w:footnoteReference w:id="6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منع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أحد الوجهین متقرّباً به لاحتماله، فإذا استبان له أنّه مطابق للواقع صحّت صلاته، وإن تبیّن له أنّه غلط أعاد الصلاة، کما سیأتی فی المسألة الخامسة عشرة من فصل مستحبّات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له معنیً صحیح علی کلٍّ من القراءتین وکان یصدق علی کلٍّ منهما الدعاء أو الذِکر؛ إذ غیر القرآن حینئذٍ لا یکون ملحقاً بکلام الآدمیّین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إطلاقه منع واضح؛ فإنّ مطلق الغلط لا یُخرجها عن عنوان القرآن والذِکر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الغلط من الوجهین</w:t>
      </w:r>
      <w:r>
        <w:rPr>
          <w:rStyle w:val="FootnoteAnchor"/>
          <w:rtl w:val="true"/>
        </w:rPr>
        <w:footnoteReference w:id="609"/>
      </w:r>
      <w:r>
        <w:rPr>
          <w:rFonts w:ascii="IRNazanin" w:hAnsi="IRNazanin" w:eastAsia="IRNazanin"/>
          <w:color w:val="111111"/>
          <w:sz w:val="28"/>
          <w:sz w:val="28"/>
          <w:szCs w:val="28"/>
          <w:rtl w:val="true"/>
          <w:lang w:bidi="fa-IR"/>
        </w:rPr>
        <w:t>ملحق</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لحوقه به إشکال؛ لاحتمال انصراف الکلام الآدمی عن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الآدمیّین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علی إطلاقه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التعلیل علیل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الحکم مقبول، ولکن تعلیل الماتن قدس‌سره بما ذکره محل تأمّل، لأن الغلط لا یوجب بطلان الصلاة إلاّ أن ینطبق علیه عنوان الزیادة العمدیّة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کون الکلمة علی الوجه الکذائیّ من حیث الإعراب أو البناء أو مخرج الحرف فصلّی مدّةً علی تلک الکیفیّة، ثمّ تبیّن له کونه غلطاً فالأحوط</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بل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مع التقصیر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القضاء</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کان جهله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إذا تبیّن بعد الصلاة فالأقوی الإعادة أو القضاء، وأمّا إذا تبیّن فی الأثناء قبل مضیِّ محلّه فالأقوی إعادة الکلمة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یکون اعتقاده قصوریاً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بل القوة فی الإعادة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3278_326511"/>
    </w:p>
    <w:p>
      <w:pPr>
        <w:pStyle w:val="Heading2"/>
        <w:numPr>
          <w:ilvl w:val="1"/>
          <w:numId w:val="1"/>
        </w:numPr>
        <w:rPr/>
      </w:pPr>
      <w:bookmarkStart w:id="440" w:name="__RefHeading___Toc1840883_2322387425"/>
      <w:bookmarkStart w:id="441" w:name="_Toc159"/>
      <w:bookmarkEnd w:id="439"/>
      <w:bookmarkEnd w:id="440"/>
      <w:r>
        <w:rPr>
          <w:rtl w:val="true"/>
        </w:rPr>
        <w:t>فصل التخییر بین القراءة والتسبیحات فی الرکعات الأخیرة</w:t>
      </w:r>
      <w:bookmarkEnd w:id="441"/>
    </w:p>
    <w:p>
      <w:pPr>
        <w:pStyle w:val="Heading3"/>
        <w:numPr>
          <w:ilvl w:val="2"/>
          <w:numId w:val="1"/>
        </w:numPr>
        <w:rPr/>
      </w:pPr>
      <w:bookmarkStart w:id="442" w:name="__RefHeading___Toc1840885_2322387425"/>
      <w:bookmarkStart w:id="443" w:name="_Toc160"/>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فی الرکعة الثالثة من المغرب والأخیرتین من الظهرین والعشاء یتخیّر</w:t>
      </w:r>
      <w:r>
        <w:rPr>
          <w:rStyle w:val="FootnoteAnchor"/>
          <w:rtl w:val="true"/>
        </w:rPr>
        <w:footnoteReference w:id="613"/>
      </w:r>
      <w:r>
        <w:rPr>
          <w:rFonts w:ascii="IRNazanin" w:hAnsi="IRNazanin" w:eastAsia="IRNazanin"/>
          <w:color w:val="111111"/>
          <w:sz w:val="28"/>
          <w:sz w:val="28"/>
          <w:szCs w:val="28"/>
          <w:rtl w:val="true"/>
          <w:lang w:bidi="fa-IR"/>
        </w:rPr>
        <w:t>بین قراءة الحمد أو التسبیحات الأربع</w:t>
      </w:r>
      <w:r>
        <w:rPr>
          <w:rStyle w:val="FootnoteAnchor"/>
          <w:rtl w:val="true"/>
        </w:rPr>
        <w:footnoteReference w:id="614"/>
      </w:r>
      <w:r>
        <w:rPr>
          <w:rFonts w:ascii="Amiri" w:hAnsi="Amiri" w:eastAsia="Amiri" w:cs="Amiri"/>
          <w:color w:val="111111"/>
          <w:sz w:val="28"/>
          <w:sz w:val="28"/>
          <w:szCs w:val="28"/>
          <w:rtl w:val="true"/>
          <w:lang w:bidi="ar-SA"/>
        </w:rPr>
        <w:t>،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والأقوی إجزاء المرّة</w:t>
      </w:r>
      <w:r>
        <w:rPr>
          <w:rStyle w:val="FootnoteAnchor"/>
          <w:rtl w:val="true"/>
        </w:rPr>
        <w:footnoteReference w:id="615"/>
      </w:r>
      <w:r>
        <w:rPr>
          <w:rFonts w:ascii="IRNazanin" w:hAnsi="IRNazanin" w:eastAsia="IRNazanin"/>
          <w:color w:val="111111"/>
          <w:sz w:val="28"/>
          <w:sz w:val="28"/>
          <w:szCs w:val="28"/>
          <w:rtl w:val="true"/>
          <w:lang w:bidi="fa-IR"/>
        </w:rPr>
        <w:t>، والأحوط</w:t>
      </w:r>
      <w:r>
        <w:rPr>
          <w:rStyle w:val="FootnoteAnchor"/>
          <w:rtl w:val="true"/>
        </w:rPr>
        <w:footnoteReference w:id="616"/>
      </w:r>
      <w:r>
        <w:rPr>
          <w:rFonts w:ascii="IRNazanin" w:hAnsi="IRNazanin" w:eastAsia="IRNazanin"/>
          <w:color w:val="111111"/>
          <w:sz w:val="28"/>
          <w:sz w:val="28"/>
          <w:szCs w:val="28"/>
          <w:rtl w:val="true"/>
          <w:lang w:bidi="fa-IR"/>
        </w:rPr>
        <w:t>الثلاث</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سواء کان المصلّی إماماً أم مأموماً، مسبوقاً أو منفرداً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والأولی إضافة الاستغفار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إلیها ولو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یستطیع یأتی بالممکن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 وإلاّ أتی بالذِکر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444" w:name="pg13278_326512"/>
    </w:p>
    <w:p>
      <w:pPr>
        <w:pStyle w:val="BookText"/>
        <w:rPr/>
      </w:pPr>
      <w:bookmarkEnd w:id="444"/>
      <w:r>
        <w:rPr>
          <w:rFonts w:ascii="IRNazanin" w:hAnsi="IRNazanin" w:eastAsia="IRNazanin"/>
          <w:color w:val="111111"/>
          <w:sz w:val="28"/>
          <w:sz w:val="28"/>
          <w:szCs w:val="28"/>
          <w:rtl w:val="true"/>
          <w:lang w:bidi="fa-IR"/>
        </w:rPr>
        <w:t>المطلق</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 حسن القمّی ،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قادراً علی قراءة الحمد تعیّنت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لتعذّر العدل الآخر من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840887_2322387425"/>
      <w:bookmarkStart w:id="446" w:name="_Toc161"/>
      <w:bookmarkEnd w:id="445"/>
      <w:r>
        <w:rPr>
          <w:rtl w:val="true"/>
        </w:rPr>
        <w:t>حکم من نسی الحمد فی الرکعتین الولتین</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الحمد فی الرکعتین الاُولتَین فالأحوط اختیار قراءته</w:t>
      </w:r>
      <w:r>
        <w:rPr>
          <w:rStyle w:val="FootnoteAnchor"/>
          <w:rtl w:val="true"/>
        </w:rPr>
        <w:footnoteReference w:id="619"/>
      </w:r>
      <w:r>
        <w:rPr>
          <w:rFonts w:ascii="IRNazanin" w:hAnsi="IRNazanin" w:eastAsia="IRNazanin"/>
          <w:color w:val="111111"/>
          <w:sz w:val="28"/>
          <w:sz w:val="28"/>
          <w:szCs w:val="28"/>
          <w:rtl w:val="true"/>
          <w:lang w:bidi="fa-IR"/>
        </w:rPr>
        <w:t>فی الأخیرتین، لکنّ الأقوی</w:t>
      </w:r>
      <w:r>
        <w:rPr>
          <w:rStyle w:val="FootnoteAnchor"/>
          <w:rtl w:val="true"/>
        </w:rPr>
        <w:footnoteReference w:id="620"/>
      </w:r>
      <w:r>
        <w:rPr>
          <w:rFonts w:ascii="IRNazanin" w:hAnsi="IRNazanin" w:eastAsia="IRNazanin"/>
          <w:color w:val="111111"/>
          <w:sz w:val="28"/>
          <w:sz w:val="28"/>
          <w:szCs w:val="28"/>
          <w:rtl w:val="true"/>
          <w:lang w:bidi="fa-IR"/>
        </w:rPr>
        <w:t>بقاء التخییر</w:t>
      </w:r>
      <w:r>
        <w:rPr>
          <w:rStyle w:val="FootnoteAnchor"/>
          <w:rtl w:val="true"/>
        </w:rPr>
        <w:footnoteReference w:id="621"/>
      </w:r>
      <w:r>
        <w:rPr>
          <w:rFonts w:ascii="IRNazanin" w:hAnsi="IRNazanin" w:eastAsia="IRNazanin"/>
          <w:color w:val="111111"/>
          <w:sz w:val="28"/>
          <w:sz w:val="28"/>
          <w:szCs w:val="28"/>
          <w:rtl w:val="true"/>
          <w:lang w:bidi="fa-IR"/>
        </w:rPr>
        <w:t>بینه وبین التسبیحات</w:t>
      </w:r>
      <w:r>
        <w:rPr>
          <w:rFonts w:eastAsia="IRNazanin" w:cs="IRNazanin"/>
          <w:color w:val="111111"/>
          <w:sz w:val="28"/>
          <w:szCs w:val="28"/>
          <w:rtl w:val="true"/>
          <w:lang w:bidi="fa-IR"/>
        </w:rPr>
        <w:t>.</w:t>
      </w:r>
    </w:p>
    <w:p>
      <w:pPr>
        <w:pStyle w:val="Heading3"/>
        <w:numPr>
          <w:ilvl w:val="2"/>
          <w:numId w:val="1"/>
        </w:numPr>
        <w:rPr/>
      </w:pPr>
      <w:bookmarkStart w:id="447" w:name="__RefHeading___Toc1840889_2322387425"/>
      <w:bookmarkStart w:id="448" w:name="_Toc162"/>
      <w:bookmarkEnd w:id="447"/>
      <w:r>
        <w:rPr>
          <w:rtl w:val="true"/>
        </w:rPr>
        <w:t>أفضلیة التسبیحات علی القراءة</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کون</w:t>
      </w:r>
      <w:r>
        <w:rPr>
          <w:rStyle w:val="FootnoteAnchor"/>
          <w:rtl w:val="true"/>
        </w:rPr>
        <w:footnoteReference w:id="622"/>
      </w:r>
      <w:r>
        <w:rPr>
          <w:rFonts w:ascii="IRNazanin" w:hAnsi="IRNazanin" w:eastAsia="IRNazanin"/>
          <w:color w:val="111111"/>
          <w:sz w:val="28"/>
          <w:sz w:val="28"/>
          <w:szCs w:val="28"/>
          <w:rtl w:val="true"/>
          <w:lang w:bidi="fa-IR"/>
        </w:rPr>
        <w:t>التسبیحات أفضل</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یحتمل أفضلیة القراءة فی بعض الموارد، کما لو نسیها فی الأوّلتین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أفضلیّة الحمد للإمام، والتسبیح للمأموم، والتخییر للمنفرد لا یخلو من القوة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الأفضل للإمام القراءة، وللمأموم التسبیح، وهما للمنفرد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والأظهر أفضلیّة التسبیح فی حقّ المأموم، سیّما فی الصلوات الجهریّة والقراءة فی حقّ الإمام، سیّما لو کان مأمومه مسبوقاً، والتخییر فی حقّ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ثبوت الأفضلیّة فی الإمام والمنفرد إشکال، نعم، هو أفضل للمأموم فی الصلوات الإخفاتیّة من القراءة، وأمّا فی الصلوات الجهریّة فالأحوط له وجوباً اختیار التسبیح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یطرأ ما یوجب أفضلیة القراءة، کعنوان المداراة فی ما إذا کان إماماً لقوم یرون لزوم القراءة فی کلّ رکعة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قراءة الحمد فی الأخیرتین</w:t>
      </w:r>
      <w:r>
        <w:rPr>
          <w:rStyle w:val="FootnoteAnchor"/>
          <w:rtl w:val="true"/>
        </w:rPr>
        <w:footnoteReference w:id="624"/>
      </w:r>
      <w:r>
        <w:rPr>
          <w:rFonts w:ascii="IRNazanin" w:hAnsi="IRNazanin" w:eastAsia="IRNazanin"/>
          <w:color w:val="111111"/>
          <w:sz w:val="28"/>
          <w:sz w:val="28"/>
          <w:szCs w:val="28"/>
          <w:rtl w:val="true"/>
          <w:lang w:bidi="fa-IR"/>
        </w:rPr>
        <w:t>، سواء کان</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والأفضل للإمام القراءة، وللمأموم التسبیح، والمنفرد مخیَّر بین القراءة والتسبیح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منفرداً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إماماً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فیهما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الأفضل للإمام القراءة، وللمنفرد هما سواء، وللمأموم التسبیح فی الإخفاتیة، وفی الجهریة الأحوط له اختیار 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کون الأفضل للإمام التسبیحات إشکال ، بل منع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449" w:name="pg13278_326514"/>
    </w:p>
    <w:p>
      <w:pPr>
        <w:pStyle w:val="BookText"/>
        <w:rPr/>
      </w:pPr>
      <w:bookmarkEnd w:id="449"/>
      <w:r>
        <w:rPr>
          <w:rFonts w:ascii="Amiri" w:hAnsi="Amiri" w:eastAsia="Amiri" w:cs="Amiri"/>
          <w:color w:val="111111"/>
          <w:sz w:val="28"/>
          <w:sz w:val="28"/>
          <w:szCs w:val="28"/>
          <w:rtl w:val="true"/>
          <w:lang w:bidi="ar-SA"/>
        </w:rPr>
        <w:t>أو مأموماً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840891_2322387425"/>
      <w:bookmarkStart w:id="451" w:name="_Toc163"/>
      <w:bookmarkEnd w:id="450"/>
      <w:r>
        <w:rPr>
          <w:rtl w:val="true"/>
        </w:rPr>
        <w:t>حکم القراءة فی الأخیرتین</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یقرأ فی إحدی الأخیرتین الحمد، وفی الاُخری التسبیحات، فلا یلزم اتّحادهما فی ذلک</w:t>
      </w:r>
      <w:r>
        <w:rPr>
          <w:rFonts w:eastAsia="IRNazanin" w:cs="IRNazanin"/>
          <w:color w:val="111111"/>
          <w:sz w:val="28"/>
          <w:szCs w:val="28"/>
          <w:rtl w:val="true"/>
          <w:lang w:bidi="fa-IR"/>
        </w:rPr>
        <w:t>.</w:t>
      </w:r>
    </w:p>
    <w:p>
      <w:pPr>
        <w:pStyle w:val="Heading3"/>
        <w:numPr>
          <w:ilvl w:val="2"/>
          <w:numId w:val="1"/>
        </w:numPr>
        <w:rPr/>
      </w:pPr>
      <w:bookmarkStart w:id="452" w:name="__RefHeading___Toc1840893_2322387425"/>
      <w:bookmarkStart w:id="453" w:name="_Toc164"/>
      <w:bookmarkEnd w:id="452"/>
      <w:r>
        <w:rPr>
          <w:rtl w:val="true"/>
        </w:rPr>
        <w:t>حکم الإخفات فی الأخیرتین</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627"/>
      </w:r>
      <w:r>
        <w:rPr>
          <w:rFonts w:ascii="IRNazanin" w:hAnsi="IRNazanin" w:eastAsia="IRNazanin"/>
          <w:color w:val="111111"/>
          <w:sz w:val="28"/>
          <w:sz w:val="28"/>
          <w:szCs w:val="28"/>
          <w:rtl w:val="true"/>
          <w:lang w:bidi="fa-IR"/>
        </w:rPr>
        <w:t>فیهما</w:t>
      </w:r>
      <w:r>
        <w:rPr>
          <w:rStyle w:val="FootnoteAnchor"/>
          <w:rtl w:val="true"/>
        </w:rPr>
        <w:footnoteReference w:id="628"/>
      </w:r>
      <w:r>
        <w:rPr>
          <w:rFonts w:ascii="IRNazanin" w:hAnsi="IRNazanin" w:eastAsia="IRNazanin"/>
          <w:color w:val="111111"/>
          <w:sz w:val="28"/>
          <w:sz w:val="28"/>
          <w:szCs w:val="28"/>
          <w:rtl w:val="true"/>
          <w:lang w:bidi="fa-IR"/>
        </w:rPr>
        <w:t>الإخفات</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قرأ الحمد أو التسبیحات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إذا قرأ الحمد 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الجهر بالبسملة علی الأقوی، وإن کان الإخفات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حسین القمّی، محمّدتقی الخونساری، صدرالدین الصدر، جمال الدین الگلپایگانی ، الإصطهباناتی ، البروجردی، الشاهرودی ، المیلانی ، أحمد الخونساری، عبداللّه الشیرازی، الفانی ، الخمینی ، المرعشی، الآملی، السبزواری ، الأراکی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مراعاة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 خصوصاً للمأموم والمنفرد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3278_326515"/>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أجهر عمداً بطلت</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صلاته، وأمّا إذا أجهر جهلاً أو نسیاناً 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یجب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تذکّر قبل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تقدّم من الاحتیاط فی الفصل السابق المسألة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یجری فی المقام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840895_2322387425"/>
      <w:bookmarkStart w:id="456" w:name="_Toc165"/>
      <w:bookmarkEnd w:id="455"/>
      <w:r>
        <w:rPr>
          <w:rtl w:val="true"/>
        </w:rPr>
        <w:t>العدول من القراءة إلی التسبیح و بالعکس</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عازماً من أوّل الصلاة علی قراءة الحمد یجوز له أن یعدل عنها إلی التسبیحات، وکذا العکس، بل یجوز</w:t>
      </w:r>
      <w:r>
        <w:rPr>
          <w:rStyle w:val="FootnoteAnchor"/>
          <w:rtl w:val="true"/>
        </w:rPr>
        <w:footnoteReference w:id="631"/>
      </w:r>
      <w:r>
        <w:rPr>
          <w:rFonts w:ascii="IRNazanin" w:hAnsi="IRNazanin" w:eastAsia="IRNazanin"/>
          <w:color w:val="111111"/>
          <w:sz w:val="28"/>
          <w:sz w:val="28"/>
          <w:szCs w:val="28"/>
          <w:rtl w:val="true"/>
          <w:lang w:bidi="fa-IR"/>
        </w:rPr>
        <w:t>العدول</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الجواز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عدم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أثناء أحدهما إلی الآخر،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یُترک الاحتیاط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الحکیم، أحمد الخونساری، الفانی، الخمینی،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البجنوردی، زین الدین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w:t>
      </w:r>
      <w:r>
        <w:rPr>
          <w:rStyle w:val="FootnoteAnchor"/>
          <w:rtl w:val="true"/>
        </w:rPr>
        <w:footnoteReference w:id="633"/>
      </w:r>
      <w:r>
        <w:rPr>
          <w:rFonts w:ascii="IRNazanin" w:hAnsi="IRNazanin" w:eastAsia="IRNazanin"/>
          <w:color w:val="111111"/>
          <w:sz w:val="28"/>
          <w:sz w:val="28"/>
          <w:szCs w:val="28"/>
          <w:rtl w:val="true"/>
          <w:lang w:bidi="fa-IR"/>
        </w:rPr>
        <w:t>الحمد فسبق لسانه إلی التسبیحات فالأحوط</w:t>
      </w:r>
      <w:r>
        <w:rPr>
          <w:rStyle w:val="FootnoteAnchor"/>
          <w:rtl w:val="true"/>
        </w:rPr>
        <w:footnoteReference w:id="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فی ما إذا لم یکن ناشئاً عن قصد الإتیان بالصلاة ولو ارتکازاً، وإلاّ فالأظهر الصحّة، ولا یضرّ بها سبق قصد الإتیان بالفاتحة، ومنه یظهر الحال فی ما سیأتی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ما إذا لم یتحقّق القصد منه إلی عنوان التسبیح ولو علی وجه الارتکاز، وکذا فی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 . . . . . . . .</w:t>
      </w:r>
    </w:p>
    <w:p>
      <w:pPr>
        <w:pStyle w:val="BookText"/>
        <w:rPr/>
      </w:pPr>
      <w:r>
        <w:rPr>
          <w:rFonts w:ascii="IRNazanin" w:hAnsi="IRNazanin" w:eastAsia="IRNazanin"/>
          <w:color w:val="111111"/>
          <w:sz w:val="28"/>
          <w:sz w:val="28"/>
          <w:szCs w:val="28"/>
          <w:rtl w:val="true"/>
          <w:lang w:bidi="fa-IR"/>
        </w:rPr>
        <w:t>الاجتزاء</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والأقوی الاجتزاء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الصورة المفروضة فی المقام إذا أتی بما هو الوظیفة متقرّباً إلی اللّه صحّت صلاته ، فلهُ الجری علی ما سبق به لسانه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لم یتحقّق القصد منه ولو ارتکازاً إلی عنوان التسبیحات، وإلاّ فالأقوی هو الصحّة، وکذا فی العکس وفی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یبعد الاجتزاء به إذا لم یکن علی نحو التقیید؛ لأنّه من قبیل الخطأ فی التطبیق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وکذا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مراده صورة تحقّق القصد إلی ما أتی به، وإن کان قاصداً غیره سابقاً فالأظهر الاجتزاء به، وإن کان مراده صورة صدوره عن غیر قصدٍ إلیه فالأظهر عدم الاجتزاء به، و به یظهر الحکم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بعد حصول قصد الامتثال ولو ارتکازاً وهو کافٍ من الامتثال فحینئذٍ لا یجب علیه سجدتی السهو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العکس، نعم، لو فعل ذلک غافلاً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غیر 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من غیر أن یسبق منه القصد إلی خصوص أحدهما، والاجتزاء حینئذٍ إنّما هو فیما کان ملتفتاً إلی ما یأتی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بالقصد المنفیّ هو القصد السابق، لا المقارن بالتسبیح، وإلاّ لما کان للاجتزاء مساغ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غیر قصدٍ 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457" w:name="pg13278_326518"/>
    </w:p>
    <w:p>
      <w:pPr>
        <w:pStyle w:val="BookText"/>
        <w:rPr/>
      </w:pPr>
      <w:bookmarkEnd w:id="457"/>
      <w:r>
        <w:rPr>
          <w:rFonts w:ascii="IRNazanin" w:hAnsi="IRNazanin" w:eastAsia="IRNazanin"/>
          <w:color w:val="111111"/>
          <w:sz w:val="28"/>
          <w:sz w:val="28"/>
          <w:szCs w:val="28"/>
          <w:rtl w:val="true"/>
          <w:lang w:bidi="fa-IR"/>
        </w:rPr>
        <w:t>إلی أحدهما</w:t>
      </w:r>
      <w:r>
        <w:rPr>
          <w:rStyle w:val="FootnoteAnchor"/>
          <w:rtl w:val="true"/>
        </w:rPr>
        <w:footnoteReference w:id="6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وقع من التسبیح أو الحمد لا بُدّ أن یکون مقصوداً به الصلاة ولو ارتکازاً،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 غیر قصدٍ 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سابقاً،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غیر قصد تفصیلی، وأمّا القصد الإجمالی الارتکازی إلی أحدهما فلابدّ منه، وإلاّ لم تصحّ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سیّما فی صورة کون المنسبق إلیه علی خلاف عادته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الاجتزاء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خلل فی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الاجتزاء به کالفرع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عازماً علی خلافه، وکان ناویاً له ولو بنحو الإجمال والتردید ولو ارتکازاً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من عادته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إتمام ما شرع به بقصد القربة المطلقة، ثمّ استئناف أحدهما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الصورة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840897_2322387425"/>
      <w:bookmarkStart w:id="459" w:name="_Toc166"/>
      <w:bookmarkEnd w:id="458"/>
      <w:r>
        <w:rPr>
          <w:rtl w:val="true"/>
        </w:rPr>
        <w:t>قراءة الحمد بتخیل أنه فی الاولیین</w:t>
      </w:r>
      <w:bookmarkEnd w:id="45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الحمد بتخیّل أ نّه فی إحدی الأوَّلَتَین فذکر أ نّه فی </w:t>
      </w:r>
    </w:p>
    <w:p>
      <w:pPr>
        <w:pStyle w:val="BookText"/>
        <w:rPr/>
      </w:pPr>
      <w:r>
        <w:rPr>
          <w:rFonts w:ascii="IRNazanin" w:hAnsi="IRNazanin" w:eastAsia="IRNazanin"/>
          <w:color w:val="111111"/>
          <w:sz w:val="28"/>
          <w:sz w:val="28"/>
          <w:szCs w:val="28"/>
          <w:rtl w:val="true"/>
          <w:lang w:bidi="fa-IR"/>
        </w:rPr>
        <w:t>إحدی الأخیرتین فالظاهر الاجتزاء</w:t>
      </w:r>
      <w:r>
        <w:rPr>
          <w:rStyle w:val="FootnoteAnchor"/>
          <w:rtl w:val="true"/>
        </w:rPr>
        <w:footnoteReference w:id="6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مبناه قدس‌سره بأن یأتی به بقصد امتثال الأمر الفعلیّ الواقعی وکان الخطأ فی التطبیق، وکان ذلک بنحو الداعی، لا علی نحو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به الأمر الواقعی المتوجّه إلیه، وکذا فی ما بعده، أمّا إذا قصد ما تخیّله بنحو التقیید فالظاهر البطلان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عازماً علی خلافه وبقی علی عزمه، وإلاّ فالأحوط الإعادة، أو التسبیحات، وکذا فی العکس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لاستلزامه الإخلال بالنیّة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یلزم الإعادة أو قراءة التسبیحات وإن کان قبل الرکوع، کما أنّ الظاهر أنّ العکس کذلک، فإذا قرأ الحمد بتخیّل أ نّه فی إحدی الأخیرتین ثمّ تبیّن أ نّه فی إحدی الأوّلتین لا یجب علیه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نعم، لو قرأ التسبیحات ثمّ تذکّر قبل الرکوع أ نّه فی إحدی الأوّلَتَین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قراءة الحمد وسجود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الکوه کَمَرِی، الإصطهباناتی، الشاهرودی، محمدرضا الگلپایگانی، محمد الشیرازی،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وکذلک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لزیادتها، وکذا لنقیصتها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وکذا فی المسألة التالیة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بوجوبه لکلّ زیادة، وسیأتی، وکذا الکلام فی 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الأولی هنا، وفی المسألة الآتیة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استحباباً؛ لعدم ثبوت سجدتَی السهو فی کلِّ زیادة سهویّة علی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w:t>
      </w:r>
      <w:bookmarkStart w:id="460" w:name="pg13278_326520"/>
    </w:p>
    <w:p>
      <w:pPr>
        <w:pStyle w:val="BookText"/>
        <w:rPr/>
      </w:pPr>
      <w:bookmarkEnd w:id="460"/>
      <w:r>
        <w:rPr>
          <w:rFonts w:ascii="Amiri" w:hAnsi="Amiri" w:eastAsia="Amiri" w:cs="Amiri"/>
          <w:color w:val="111111"/>
          <w:sz w:val="28"/>
          <w:sz w:val="28"/>
          <w:szCs w:val="28"/>
          <w:rtl w:val="true"/>
          <w:lang w:bidi="ar-SA"/>
        </w:rPr>
        <w:t>الصلاة</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یجب سجود السهو وإن کان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لزیادة التسبیحات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وجوبه لکلّ زیادة أو نقیصة، کما فی الفرع الآتی، وسیأتی فی الخلل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وجوبها لکلّ زیادة ونقیصة، وسیأتی ما هو المختار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840899_2322387425"/>
      <w:bookmarkStart w:id="462" w:name="_Toc167"/>
      <w:bookmarkEnd w:id="461"/>
      <w:r>
        <w:rPr>
          <w:rtl w:val="true"/>
        </w:rPr>
        <w:t>حکم نسیان القراءة و التسبیحات قبل الرکوع</w:t>
      </w:r>
      <w:bookmarkEnd w:id="46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القراءة والتسبیحات وتذکّر بعد الوصول إلی حدّ الرکوع صحّت</w:t>
      </w:r>
      <w:r>
        <w:rPr>
          <w:rStyle w:val="FootnoteAnchor"/>
          <w:rtl w:val="true"/>
        </w:rPr>
        <w:footnoteReference w:id="639"/>
      </w:r>
      <w:r>
        <w:rPr>
          <w:rFonts w:ascii="IRNazanin" w:hAnsi="IRNazanin" w:eastAsia="IRNazanin"/>
          <w:color w:val="111111"/>
          <w:sz w:val="28"/>
          <w:sz w:val="28"/>
          <w:szCs w:val="28"/>
          <w:rtl w:val="true"/>
          <w:lang w:bidi="fa-IR"/>
        </w:rPr>
        <w:t xml:space="preserve">صلاته، </w:t>
      </w:r>
      <w:bookmarkStart w:id="463" w:name="pg13278_326521"/>
    </w:p>
    <w:p>
      <w:pPr>
        <w:pStyle w:val="BookText"/>
        <w:rPr/>
      </w:pPr>
      <w:bookmarkEnd w:id="463"/>
      <w:r>
        <w:rPr>
          <w:rFonts w:ascii="IRNazanin" w:hAnsi="IRNazanin" w:eastAsia="IRNazanin"/>
          <w:color w:val="111111"/>
          <w:sz w:val="28"/>
          <w:sz w:val="28"/>
          <w:szCs w:val="28"/>
          <w:rtl w:val="true"/>
          <w:lang w:bidi="fa-IR"/>
        </w:rPr>
        <w:t>وعلیه</w:t>
      </w:r>
      <w:r>
        <w:rPr>
          <w:rStyle w:val="FootnoteAnchor"/>
          <w:rtl w:val="true"/>
        </w:rPr>
        <w:footnoteReference w:id="640"/>
      </w:r>
      <w:r>
        <w:rPr>
          <w:rFonts w:ascii="IRNazanin" w:hAnsi="IRNazanin" w:eastAsia="IRNazanin"/>
          <w:color w:val="111111"/>
          <w:sz w:val="28"/>
          <w:sz w:val="28"/>
          <w:szCs w:val="28"/>
          <w:rtl w:val="true"/>
          <w:lang w:bidi="fa-IR"/>
        </w:rPr>
        <w:t>سجدتا السهو</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القول بوجوبهما لکلّ نقیصةٍ حتّی القراءة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الراجح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للنقیصة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الکوه کَمَرِی ، جمال الدین الگلپایگانی،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نظائره، فلا تغفل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المبنی،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تذکّر قبل ذلک وجب الرجوع</w:t>
      </w:r>
      <w:r>
        <w:rPr>
          <w:rFonts w:eastAsia="IRNazanin" w:cs="IRNazanin"/>
          <w:color w:val="111111"/>
          <w:sz w:val="28"/>
          <w:szCs w:val="28"/>
          <w:rtl w:val="true"/>
          <w:lang w:bidi="fa-IR"/>
        </w:rPr>
        <w:t>.</w:t>
      </w:r>
    </w:p>
    <w:p>
      <w:pPr>
        <w:pStyle w:val="Heading3"/>
        <w:numPr>
          <w:ilvl w:val="2"/>
          <w:numId w:val="1"/>
        </w:numPr>
        <w:rPr/>
      </w:pPr>
      <w:bookmarkStart w:id="464" w:name="__RefHeading___Toc1840901_2322387425"/>
      <w:bookmarkStart w:id="465" w:name="_Toc168"/>
      <w:bookmarkEnd w:id="464"/>
      <w:r>
        <w:rPr>
          <w:rtl w:val="true"/>
        </w:rPr>
        <w:t>الشک فی التسبیح بعد الهوی للرکوع</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قراءتهما بعد الهویّ</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ما تقدّم حکم الهویّ، فالأقوی الرجوع والقراءة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یعتن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الرجوع والقراءة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الوصول إلی حدّ الرکوع الأحوط الرجوع والإتیان بالمشکوک بقصد القربة المطلقة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یرجع ویقرؤهما لو التفت فی أوّل مرتبة الهویّ بنیّة القربة المطلقة علی الأحوط، أمّا لو التفت قُبیل الوصول إلی حدّ الرکوع فالأحوط الرجوع إلی القیام والإتیان بهما بقصد القربة المطلقة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الاعتناء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مبناه قدس‌سره من شمول التجاوز للمقدّمات، وفیه منع، فعلیه الأقوی الاعتناء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یتمّ علی القول بتمامیة قاعدة التجاوز، وأمّا علی ما سلکناه من عدم الدلیل علیها علی نحوالإطلاق فیشکل الأمر فی المقام ونظائره،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لزوم الاعتناء إن کان قبل الدخول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دخل فی الاستغفار وشک لم یعتنِ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اعتبار الدخول إلی الغیر مطلق سواء کان الغیر من الواجب أو من المندوب و سواء کان من الأجزاء أو المقدمات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قبل</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بها رجاءً إن کان قبل الوصول إلی حدّه، وکذا لو دخل فی 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 هذه الصورة العود والتدارک بقصد القربة المطلقة، وکذلک بعد الاستغفار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یعتنی فی هذه الصورة، فیرجع ویأتی بالتسبیحات والحمد بقصد القربة علی الأحوط، وکذا لو دخل فی الاستغفار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فی هذه الصورة، أحوطه العود والتدارک بقصد القربة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یرجع ویأتی بالقراءة أو التسبیحات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 . . . . . . . .</w:t>
      </w:r>
    </w:p>
    <w:p>
      <w:pPr>
        <w:pStyle w:val="BookText"/>
        <w:rPr/>
      </w:pPr>
      <w:r>
        <w:rPr>
          <w:rFonts w:ascii="Amiri" w:hAnsi="Amiri" w:eastAsia="Amiri" w:cs="Amiri"/>
          <w:color w:val="111111"/>
          <w:sz w:val="28"/>
          <w:sz w:val="28"/>
          <w:szCs w:val="28"/>
          <w:rtl w:val="true"/>
          <w:lang w:bidi="ar-SA"/>
        </w:rPr>
        <w:t>حدّه</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وفی صورة الدخول فی الاستغفار الإتیان بأحدهما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العود فی هذا الفرض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بالرجوع والإتیان بهما بقصد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الاستغفار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الاعتناء، إلاّ أن یکون الاستغفار بعد التسبیح معتاداً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رجوعه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الإتیان بها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یقرأهما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3278_326524"/>
    </w:p>
    <w:p>
      <w:pPr>
        <w:pStyle w:val="Heading3"/>
        <w:numPr>
          <w:ilvl w:val="2"/>
          <w:numId w:val="1"/>
        </w:numPr>
        <w:rPr/>
      </w:pPr>
      <w:bookmarkStart w:id="467" w:name="__RefHeading___Toc1840903_2322387425"/>
      <w:bookmarkStart w:id="468" w:name="_Toc169"/>
      <w:bookmarkEnd w:id="466"/>
      <w:bookmarkEnd w:id="467"/>
      <w:r>
        <w:rPr>
          <w:rtl w:val="true"/>
        </w:rPr>
        <w:t>فی حکم زیادة التسبیحات علی الثلاث</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بزیادة التسبیحات علی الثلاث إذا لم یکن بقصد الورود، بل کان بقصد الذِکر المطلق</w:t>
      </w:r>
      <w:r>
        <w:rPr>
          <w:rFonts w:eastAsia="IRNazanin" w:cs="IRNazanin"/>
          <w:color w:val="111111"/>
          <w:sz w:val="28"/>
          <w:szCs w:val="28"/>
          <w:rtl w:val="true"/>
          <w:lang w:bidi="fa-IR"/>
        </w:rPr>
        <w:t>.</w:t>
      </w:r>
    </w:p>
    <w:p>
      <w:pPr>
        <w:pStyle w:val="Heading3"/>
        <w:numPr>
          <w:ilvl w:val="2"/>
          <w:numId w:val="1"/>
        </w:numPr>
        <w:rPr/>
      </w:pPr>
      <w:bookmarkStart w:id="469" w:name="__RefHeading___Toc1840905_2322387425"/>
      <w:bookmarkStart w:id="470" w:name="_Toc170"/>
      <w:bookmarkEnd w:id="469"/>
      <w:r>
        <w:rPr>
          <w:rtl w:val="true"/>
        </w:rPr>
        <w:t>قصد القربة فی التسبیحات</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بالتسبیحات ثلاث مرّاتٍ فالأحوط</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جواز قصد الوجوب فی الاُولی علی جمیع التقادیر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یقصد 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جواز قصد الوجوب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المراد بقصد الوجوب هو قصده بالإضافة إلی الأخیرتین أو المجموع فالأمر کما أفاده قدس‌سره ، وإن کان المراد به هو قصده بالإضافة إلی مجموع الصلاة فلا مانع منه؛ فإنّ الأجزاء المستحبة دخیلة فی تحقّق أفضل أفراد الواجب لا أنّها خارجة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والندب، حیث إنّه 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الظاهر، وإن کان للاحتمال الثانی وجه وجیه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والأخیرتین علی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الاستحباب</w:t>
      </w:r>
      <w:r>
        <w:rPr>
          <w:rStyle w:val="FootnoteAnchor"/>
          <w:rtl w:val="true"/>
        </w:rPr>
        <w:footnoteReference w:id="646"/>
      </w:r>
      <w:r>
        <w:rPr>
          <w:rFonts w:ascii="IRNazanin" w:hAnsi="IRNazanin" w:eastAsia="IRNazanin"/>
          <w:color w:val="111111"/>
          <w:sz w:val="28"/>
          <w:sz w:val="28"/>
          <w:szCs w:val="28"/>
          <w:rtl w:val="true"/>
          <w:lang w:bidi="fa-IR"/>
        </w:rPr>
        <w:t>، ویحتمل أن یکون</w:t>
      </w:r>
      <w:r>
        <w:rPr>
          <w:rStyle w:val="FootnoteAnchor"/>
          <w:rtl w:val="true"/>
        </w:rPr>
        <w:footnoteReference w:id="647"/>
      </w:r>
      <w:r>
        <w:rPr>
          <w:rFonts w:ascii="IRNazanin" w:hAnsi="IRNazanin" w:eastAsia="IRNazanin"/>
          <w:color w:val="111111"/>
          <w:sz w:val="28"/>
          <w:sz w:val="28"/>
          <w:szCs w:val="28"/>
          <w:rtl w:val="true"/>
          <w:lang w:bidi="fa-IR"/>
        </w:rPr>
        <w:t>المجموع من حیث المجموع واجباً، فیکون من باب التخییر بین الإتیان بالواحدة والثلاث، ویحتمل أن یکون الواجب أیّاً منها</w:t>
      </w:r>
      <w:r>
        <w:rPr>
          <w:rStyle w:val="FootnoteAnchor"/>
          <w:rtl w:val="true"/>
        </w:rPr>
        <w:footnoteReference w:id="648"/>
      </w:r>
      <w:r>
        <w:rPr>
          <w:rFonts w:ascii="IRNazanin" w:hAnsi="IRNazanin" w:eastAsia="IRNazanin"/>
          <w:color w:val="111111"/>
          <w:sz w:val="28"/>
          <w:sz w:val="28"/>
          <w:szCs w:val="28"/>
          <w:rtl w:val="true"/>
          <w:lang w:bidi="fa-IR"/>
        </w:rPr>
        <w:t>شاء</w:t>
      </w:r>
      <w:r>
        <w:rPr>
          <w:rStyle w:val="FootnoteAnchor"/>
          <w:rtl w:val="true"/>
        </w:rPr>
        <w:footnoteReference w:id="649"/>
      </w:r>
      <w:r>
        <w:rPr>
          <w:rFonts w:ascii="Amiri" w:hAnsi="Amiri" w:eastAsia="Amiri" w:cs="Amiri"/>
          <w:color w:val="111111"/>
          <w:sz w:val="28"/>
          <w:sz w:val="28"/>
          <w:szCs w:val="28"/>
          <w:rtl w:val="true"/>
          <w:lang w:bidi="ar-SA"/>
        </w:rPr>
        <w:t>مخیّراً بین الثلاث، فحیث إنّ الوجوه</w:t>
      </w:r>
      <w:r>
        <w:rPr>
          <w:rStyle w:val="FootnoteAnchor"/>
          <w:rtl w:val="true"/>
        </w:rPr>
        <w:footnoteReference w:id="650"/>
      </w:r>
      <w:r>
        <w:rPr>
          <w:rFonts w:ascii="Amiri" w:hAnsi="Amiri" w:eastAsia="Amiri" w:cs="Amiri"/>
          <w:color w:val="111111"/>
          <w:sz w:val="28"/>
          <w:sz w:val="28"/>
          <w:szCs w:val="28"/>
          <w:rtl w:val="true"/>
          <w:lang w:bidi="ar-SA"/>
        </w:rPr>
        <w:t>متعدّدة</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الوجه الأوّل، وأمّا الوجه الأخیر فضعیف غایته، والوجه الثانی فغیر صحیح علی احتمال، وبعید علی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قصد 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اقتصر علی المرّة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أن یقصد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قصد القربة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الأخبار فی کلمات المرّة أیضاً مختلفة، فقصد الوجوب بتمامها خلاف الاحتیاط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الوجوب فیها وصفاً علی خلاف الاحتیاط أیضاً، لما تقدم من احتمال وجوب الأقل منها، نعم قصده فیها فی الجملة لا یخالف الاحتیاط وکذا قصده فی الجملة فی المرة الأولی إذا أتی بها 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3278_326527"/>
    </w:p>
    <w:p>
      <w:pPr>
        <w:pStyle w:val="Heading2"/>
        <w:numPr>
          <w:ilvl w:val="1"/>
          <w:numId w:val="1"/>
        </w:numPr>
        <w:rPr/>
      </w:pPr>
      <w:bookmarkStart w:id="472" w:name="__RefHeading___Toc1840907_2322387425"/>
      <w:bookmarkStart w:id="473" w:name="_Toc171"/>
      <w:bookmarkEnd w:id="471"/>
      <w:bookmarkEnd w:id="472"/>
      <w:r>
        <w:rPr>
          <w:rtl w:val="true"/>
        </w:rPr>
        <w:t>فصل فی مستحبّات القراءة</w:t>
      </w:r>
      <w:bookmarkEnd w:id="473"/>
    </w:p>
    <w:p>
      <w:pPr>
        <w:pStyle w:val="Heading3"/>
        <w:numPr>
          <w:ilvl w:val="2"/>
          <w:numId w:val="1"/>
        </w:numPr>
        <w:rPr/>
      </w:pPr>
      <w:bookmarkStart w:id="474" w:name="__RefHeading___Toc1840909_2322387425"/>
      <w:bookmarkStart w:id="475" w:name="_Toc172"/>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أکثر ممّا ذکره، ولکنّ الأکثر ممّا ذکره وما لم یذکره لا مستند له یعتدّ به، فرعایتها فعلاً أو ترکاً بقصد الرجاء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476" w:name="__RefHeading___Toc1840911_2322387425"/>
      <w:bookmarkStart w:id="477" w:name="_Toc173"/>
      <w:bookmarkEnd w:id="476"/>
      <w:r>
        <w:rPr>
          <w:rtl w:val="true"/>
        </w:rPr>
        <w:t>الأول</w:t>
      </w:r>
      <w:r>
        <w:rPr>
          <w:rtl w:val="true"/>
        </w:rPr>
        <w:t xml:space="preserve">: </w:t>
      </w:r>
      <w:r>
        <w:rPr>
          <w:rtl w:val="true"/>
        </w:rPr>
        <w:t>الاستعاذة</w:t>
      </w:r>
      <w:bookmarkEnd w:id="4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الاستعاذة قبل الشروع فی القراءة فی الرکعة الاُولی،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w:t>
      </w:r>
      <w:r>
        <w:rPr>
          <w:rStyle w:val="FootnoteAnchor"/>
          <w:rtl w:val="true"/>
        </w:rPr>
        <w:footnoteReference w:id="654"/>
      </w:r>
      <w:r>
        <w:rPr>
          <w:rFonts w:ascii="IRNazanin" w:hAnsi="IRNazanin" w:eastAsia="IRNazanin"/>
          <w:color w:val="111111"/>
          <w:sz w:val="28"/>
          <w:sz w:val="28"/>
          <w:szCs w:val="28"/>
          <w:rtl w:val="true"/>
          <w:lang w:bidi="fa-IR"/>
        </w:rPr>
        <w:t>باللّه السمیع العلیم</w:t>
      </w:r>
      <w:r>
        <w:rPr>
          <w:rStyle w:val="FootnoteAnchor"/>
          <w:rtl w:val="true"/>
        </w:rPr>
        <w:footnoteReference w:id="655"/>
      </w:r>
      <w:r>
        <w:rPr>
          <w:rFonts w:ascii="IRNazanin" w:hAnsi="IRNazanin" w:eastAsia="IRNazanin"/>
          <w:color w:val="111111"/>
          <w:sz w:val="28"/>
          <w:sz w:val="28"/>
          <w:szCs w:val="28"/>
          <w:rtl w:val="true"/>
          <w:lang w:bidi="fa-IR"/>
        </w:rPr>
        <w:t>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یکون بالإخفات</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840913_2322387425"/>
      <w:bookmarkStart w:id="479" w:name="_Toc174"/>
      <w:bookmarkEnd w:id="478"/>
      <w:r>
        <w:rPr>
          <w:rtl w:val="true"/>
        </w:rPr>
        <w:t>الثانی</w:t>
      </w:r>
      <w:r>
        <w:rPr>
          <w:rtl w:val="true"/>
        </w:rPr>
        <w:t xml:space="preserve">: </w:t>
      </w:r>
      <w:r>
        <w:rPr>
          <w:rtl w:val="true"/>
        </w:rPr>
        <w:t>الجهر بالبسملة</w:t>
      </w:r>
      <w:bookmarkEnd w:id="47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بالبسملة</w:t>
      </w:r>
      <w:r>
        <w:rPr>
          <w:rStyle w:val="FootnoteAnchor"/>
          <w:rtl w:val="true"/>
        </w:rPr>
        <w:footnoteReference w:id="657"/>
      </w:r>
      <w:r>
        <w:rPr>
          <w:rFonts w:ascii="IRNazanin" w:hAnsi="IRNazanin" w:eastAsia="IRNazanin"/>
          <w:color w:val="111111"/>
          <w:sz w:val="28"/>
          <w:sz w:val="28"/>
          <w:szCs w:val="28"/>
          <w:rtl w:val="true"/>
          <w:lang w:bidi="fa-IR"/>
        </w:rPr>
        <w:t>فی الإخفاتیّة، وکذا فی الرکعتین</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التأمّل فی استحبابه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الأخیرتین</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فیهما الإخفات، وکذا خلف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الأحوط الإخفات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وفی تالیتها إ شکال، فلا یُترک الاحتیاط بالإخفات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الإخفات بها فیهما، وکذا خلف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فیها وبعدها الاخفات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بالإخفات بها فیهما، وکذا خلف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فیهما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الإمام مشکل، والأحوط لو لم یکن الأقوی الإخفات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الاحتیاط فیهما بالإخفات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الإخفات فیها، وکذا خلف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الجهر فیهما، من غیر فرقٍ بین الإمام والمأموم والمنفرد، وإن کان الأقوی رجحان الجهر بها فی حقّ الإمام سیّما فی المغرب، کما تقدّم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الإخفات فیهما،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قرأ الحمد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الإجهار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خلف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الجهر للمأموم حتی بالبسملة، سواء کان مسبوقاً فوجبت علیه الحمد فی الاُولَیَین، أو غیر مسبوق ولکن اختارها فی الأخیرتین؛ لانصراف أخبار استحباب الجهر بالبسملة عن المأموم، فیبقی ما دلّ علی وجوب الإخفات علیه علی عمومه، مع أ نّه إذا سقط الجهر فی موارد وجوبه رعایةً لاحترام الإمام فسقوطه فی موارد ندبه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الإخفات فیه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الإخفات، وکذا فی الرکعتین الأخیرتین،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الإخفات بالبسملة فیها لا یخلو من قوة، والأحوط ذلک فی الرکعتین الأخیرتین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الإخفات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الجهر بالبسملة فیها فضلاً عن استحبابها 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 إجهار المأموم بها فضلاً عن استحبابه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الاحتیاط بترک الجهر فیها خلف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480" w:name="pg13278_326529"/>
    </w:p>
    <w:p>
      <w:pPr>
        <w:pStyle w:val="BookText"/>
        <w:rPr/>
      </w:pPr>
      <w:bookmarkEnd w:id="480"/>
      <w:r>
        <w:rPr>
          <w:rFonts w:ascii="IRNazanin" w:hAnsi="IRNazanin" w:eastAsia="IRNazanin"/>
          <w:color w:val="111111"/>
          <w:sz w:val="28"/>
          <w:sz w:val="28"/>
          <w:szCs w:val="28"/>
          <w:rtl w:val="true"/>
          <w:lang w:bidi="fa-IR"/>
        </w:rPr>
        <w:t>حتّی فی الجهریّة، وأمّا فی الجهریّة فیجب الإجهار بها علی الإمام والمنفرد</w:t>
      </w:r>
      <w:r>
        <w:rPr>
          <w:rFonts w:eastAsia="IRNazanin" w:cs="IRNazanin"/>
          <w:color w:val="111111"/>
          <w:sz w:val="28"/>
          <w:szCs w:val="28"/>
          <w:rtl w:val="true"/>
          <w:lang w:bidi="fa-IR"/>
        </w:rPr>
        <w:t>.</w:t>
      </w:r>
    </w:p>
    <w:p>
      <w:pPr>
        <w:pStyle w:val="Heading3"/>
        <w:numPr>
          <w:ilvl w:val="2"/>
          <w:numId w:val="1"/>
        </w:numPr>
        <w:rPr/>
      </w:pPr>
      <w:bookmarkStart w:id="481" w:name="__RefHeading___Toc1840915_2322387425"/>
      <w:bookmarkStart w:id="482" w:name="_Toc175"/>
      <w:bookmarkEnd w:id="481"/>
      <w:r>
        <w:rPr>
          <w:rtl w:val="true"/>
        </w:rPr>
        <w:t>الثالث</w:t>
      </w:r>
      <w:r>
        <w:rPr>
          <w:rtl w:val="true"/>
        </w:rPr>
        <w:t xml:space="preserve">: </w:t>
      </w:r>
      <w:r>
        <w:rPr>
          <w:rtl w:val="true"/>
        </w:rPr>
        <w:t>الترتیل</w:t>
      </w:r>
      <w:bookmarkEnd w:id="4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الترتیل</w:t>
      </w:r>
      <w:r>
        <w:rPr>
          <w:rStyle w:val="FootnoteAnchor"/>
          <w:rtl w:val="true"/>
        </w:rPr>
        <w:footnoteReference w:id="660"/>
      </w:r>
      <w:r>
        <w:rPr>
          <w:rFonts w:ascii="IRNazanin" w:hAnsi="IRNazanin" w:eastAsia="IRNazanin"/>
          <w:color w:val="111111"/>
          <w:sz w:val="28"/>
          <w:sz w:val="28"/>
          <w:szCs w:val="28"/>
          <w:rtl w:val="true"/>
          <w:lang w:bidi="fa-IR"/>
        </w:rPr>
        <w:t>، أی التأنّی فی القراءة</w:t>
      </w:r>
      <w:r>
        <w:rPr>
          <w:rStyle w:val="FootnoteAnchor"/>
          <w:rtl w:val="true"/>
        </w:rPr>
        <w:footnoteReference w:id="661"/>
      </w:r>
      <w:r>
        <w:rPr>
          <w:rFonts w:ascii="IRNazanin" w:hAnsi="IRNazanin" w:eastAsia="IRNazanin"/>
          <w:color w:val="111111"/>
          <w:sz w:val="28"/>
          <w:sz w:val="28"/>
          <w:szCs w:val="28"/>
          <w:rtl w:val="true"/>
          <w:lang w:bidi="fa-IR"/>
        </w:rPr>
        <w:t xml:space="preserve">وتبیین </w:t>
      </w:r>
      <w:bookmarkStart w:id="483" w:name="pg13278_326530"/>
    </w:p>
    <w:p>
      <w:pPr>
        <w:pStyle w:val="BookText"/>
        <w:rPr/>
      </w:pPr>
      <w:bookmarkEnd w:id="483"/>
      <w:r>
        <w:rPr>
          <w:rFonts w:ascii="IRNazanin" w:hAnsi="IRNazanin" w:eastAsia="IRNazanin"/>
          <w:color w:val="111111"/>
          <w:sz w:val="28"/>
          <w:sz w:val="28"/>
          <w:szCs w:val="28"/>
          <w:rtl w:val="true"/>
          <w:lang w:bidi="fa-IR"/>
        </w:rPr>
        <w:t>الحروف</w:t>
      </w:r>
      <w:r>
        <w:rPr>
          <w:rStyle w:val="FootnoteAnchor"/>
          <w:rtl w:val="true"/>
        </w:rPr>
        <w:footnoteReference w:id="662"/>
      </w:r>
      <w:r>
        <w:rPr>
          <w:rFonts w:ascii="IRNazanin" w:hAnsi="IRNazanin" w:eastAsia="IRNazanin"/>
          <w:color w:val="111111"/>
          <w:sz w:val="28"/>
          <w:sz w:val="28"/>
          <w:szCs w:val="28"/>
          <w:rtl w:val="true"/>
          <w:lang w:bidi="fa-IR"/>
        </w:rPr>
        <w:t>علی وجه یتمکّن السامع</w:t>
      </w:r>
      <w:r>
        <w:rPr>
          <w:rStyle w:val="FootnoteAnchor"/>
          <w:rtl w:val="true"/>
        </w:rPr>
        <w:footnoteReference w:id="663"/>
      </w:r>
      <w:r>
        <w:rPr>
          <w:rFonts w:ascii="Amiri" w:hAnsi="Amiri" w:eastAsia="Amiri" w:cs="Amiri"/>
          <w:color w:val="111111"/>
          <w:sz w:val="28"/>
          <w:sz w:val="28"/>
          <w:szCs w:val="28"/>
          <w:rtl w:val="true"/>
          <w:lang w:bidi="ar-SA"/>
        </w:rPr>
        <w:t>من عدّها</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840917_2322387425"/>
      <w:bookmarkStart w:id="485" w:name="_Toc176"/>
      <w:bookmarkEnd w:id="484"/>
      <w:r>
        <w:rPr>
          <w:rtl w:val="true"/>
        </w:rPr>
        <w:t>الرابع</w:t>
      </w:r>
      <w:r>
        <w:rPr>
          <w:rtl w:val="true"/>
        </w:rPr>
        <w:t xml:space="preserve">: </w:t>
      </w:r>
      <w:r>
        <w:rPr>
          <w:rtl w:val="true"/>
        </w:rPr>
        <w:t>تحسین الصوت</w:t>
      </w:r>
      <w:bookmarkEnd w:id="48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الصوت بلاغِناء</w:t>
      </w:r>
      <w:r>
        <w:rPr>
          <w:rFonts w:eastAsia="IRNazanin" w:cs="IRNazanin"/>
          <w:color w:val="111111"/>
          <w:sz w:val="28"/>
          <w:szCs w:val="28"/>
          <w:rtl w:val="true"/>
          <w:lang w:bidi="fa-IR"/>
        </w:rPr>
        <w:t>.</w:t>
      </w:r>
    </w:p>
    <w:p>
      <w:pPr>
        <w:pStyle w:val="Heading3"/>
        <w:numPr>
          <w:ilvl w:val="2"/>
          <w:numId w:val="1"/>
        </w:numPr>
        <w:rPr/>
      </w:pPr>
      <w:bookmarkStart w:id="486" w:name="__RefHeading___Toc1840919_2322387425"/>
      <w:bookmarkStart w:id="487" w:name="_Toc177"/>
      <w:bookmarkEnd w:id="486"/>
      <w:r>
        <w:rPr>
          <w:rtl w:val="true"/>
        </w:rPr>
        <w:t>الخامس</w:t>
      </w:r>
      <w:r>
        <w:rPr>
          <w:rtl w:val="true"/>
        </w:rPr>
        <w:t xml:space="preserve">: </w:t>
      </w:r>
      <w:r>
        <w:rPr>
          <w:rtl w:val="true"/>
        </w:rPr>
        <w:t>الوقف علی فواصل الآیات</w:t>
      </w:r>
      <w:bookmarkEnd w:id="48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w:t>
      </w:r>
      <w:r>
        <w:rPr>
          <w:rStyle w:val="FootnoteAnchor"/>
          <w:rtl w:val="true"/>
        </w:rPr>
        <w:footnoteReference w:id="664"/>
      </w:r>
      <w:r>
        <w:rPr>
          <w:rFonts w:ascii="IRNazanin" w:hAnsi="IRNazanin" w:eastAsia="IRNazanin"/>
          <w:color w:val="111111"/>
          <w:sz w:val="28"/>
          <w:sz w:val="28"/>
          <w:szCs w:val="28"/>
          <w:rtl w:val="true"/>
          <w:lang w:bidi="fa-IR"/>
        </w:rPr>
        <w:t>علی فواصل الآیات</w:t>
      </w:r>
      <w:r>
        <w:rPr>
          <w:rFonts w:eastAsia="IRNazanin" w:cs="IRNazanin"/>
          <w:color w:val="111111"/>
          <w:sz w:val="28"/>
          <w:szCs w:val="28"/>
          <w:rtl w:val="true"/>
          <w:lang w:bidi="fa-IR"/>
        </w:rPr>
        <w:t>.</w:t>
      </w:r>
    </w:p>
    <w:p>
      <w:pPr>
        <w:pStyle w:val="Heading3"/>
        <w:numPr>
          <w:ilvl w:val="2"/>
          <w:numId w:val="1"/>
        </w:numPr>
        <w:rPr/>
      </w:pPr>
      <w:bookmarkStart w:id="488" w:name="__RefHeading___Toc1840921_2322387425"/>
      <w:bookmarkStart w:id="489" w:name="_Toc178"/>
      <w:bookmarkEnd w:id="488"/>
      <w:r>
        <w:rPr>
          <w:rtl w:val="true"/>
        </w:rPr>
        <w:t>السادس</w:t>
      </w:r>
      <w:r>
        <w:rPr>
          <w:rtl w:val="true"/>
        </w:rPr>
        <w:t xml:space="preserve">: </w:t>
      </w:r>
      <w:r>
        <w:rPr>
          <w:rtl w:val="true"/>
        </w:rPr>
        <w:t>ملاحظة المعانی و الاتعاظ بها</w:t>
      </w:r>
      <w:bookmarkEnd w:id="48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Style w:val="FootnoteAnchor"/>
          <w:rtl w:val="true"/>
        </w:rPr>
        <w:footnoteReference w:id="665"/>
      </w:r>
      <w:r>
        <w:rPr>
          <w:rFonts w:ascii="IRNazanin" w:hAnsi="IRNazanin" w:eastAsia="IRNazanin"/>
          <w:color w:val="111111"/>
          <w:sz w:val="28"/>
          <w:sz w:val="28"/>
          <w:szCs w:val="28"/>
          <w:rtl w:val="true"/>
          <w:lang w:bidi="fa-IR"/>
        </w:rPr>
        <w:t>معانی ما یقرأ والاتّعاظ بها</w:t>
      </w:r>
      <w:r>
        <w:rPr>
          <w:rFonts w:eastAsia="IRNazanin" w:cs="IRNazanin"/>
          <w:color w:val="111111"/>
          <w:sz w:val="28"/>
          <w:szCs w:val="28"/>
          <w:rtl w:val="true"/>
          <w:lang w:bidi="fa-IR"/>
        </w:rPr>
        <w:t>.</w:t>
      </w:r>
    </w:p>
    <w:p>
      <w:pPr>
        <w:pStyle w:val="Heading3"/>
        <w:numPr>
          <w:ilvl w:val="2"/>
          <w:numId w:val="1"/>
        </w:numPr>
        <w:rPr/>
      </w:pPr>
      <w:bookmarkStart w:id="490" w:name="__RefHeading___Toc1840923_2322387425"/>
      <w:bookmarkStart w:id="491" w:name="_Toc179"/>
      <w:bookmarkEnd w:id="490"/>
      <w:r>
        <w:rPr>
          <w:rtl w:val="true"/>
        </w:rPr>
        <w:t>السابع</w:t>
      </w:r>
      <w:r>
        <w:rPr>
          <w:rtl w:val="true"/>
        </w:rPr>
        <w:t xml:space="preserve">: </w:t>
      </w:r>
      <w:r>
        <w:rPr>
          <w:rtl w:val="true"/>
        </w:rPr>
        <w:t>السؤال عند آیة النعمة و النقمة بما یناسبهما</w:t>
      </w:r>
      <w:bookmarkEnd w:id="49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w:t>
      </w:r>
      <w:r>
        <w:rPr>
          <w:rStyle w:val="FootnoteAnchor"/>
          <w:rtl w:val="true"/>
        </w:rPr>
        <w:footnoteReference w:id="666"/>
      </w:r>
      <w:r>
        <w:rPr>
          <w:rFonts w:ascii="IRNazanin" w:hAnsi="IRNazanin" w:eastAsia="IRNazanin"/>
          <w:color w:val="111111"/>
          <w:sz w:val="28"/>
          <w:sz w:val="28"/>
          <w:szCs w:val="28"/>
          <w:rtl w:val="true"/>
          <w:lang w:bidi="fa-IR"/>
        </w:rPr>
        <w:t>اللّه عند آیة النعمة أو النقمة ما یناسب کلاًّ منهما</w:t>
      </w:r>
      <w:r>
        <w:rPr>
          <w:rFonts w:eastAsia="IRNazanin" w:cs="IRNazanin"/>
          <w:color w:val="111111"/>
          <w:sz w:val="28"/>
          <w:szCs w:val="28"/>
          <w:rtl w:val="true"/>
          <w:lang w:bidi="fa-IR"/>
        </w:rPr>
        <w:t>.</w:t>
      </w:r>
    </w:p>
    <w:p>
      <w:pPr>
        <w:pStyle w:val="Heading3"/>
        <w:numPr>
          <w:ilvl w:val="2"/>
          <w:numId w:val="1"/>
        </w:numPr>
        <w:rPr/>
      </w:pPr>
      <w:bookmarkStart w:id="492" w:name="__RefHeading___Toc1840925_2322387425"/>
      <w:bookmarkStart w:id="493" w:name="_Toc180"/>
      <w:bookmarkEnd w:id="492"/>
      <w:r>
        <w:rPr>
          <w:rtl w:val="true"/>
        </w:rPr>
        <w:t>الثامن</w:t>
      </w:r>
      <w:r>
        <w:rPr>
          <w:rtl w:val="true"/>
        </w:rPr>
        <w:t xml:space="preserve">: </w:t>
      </w:r>
      <w:r>
        <w:rPr>
          <w:rtl w:val="true"/>
        </w:rPr>
        <w:t>السکتة بین الحمد و السورة، و کذا بعد السورة</w:t>
      </w:r>
      <w:bookmarkEnd w:id="49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السکتة</w:t>
      </w:r>
      <w:r>
        <w:rPr>
          <w:rStyle w:val="FootnoteAnchor"/>
          <w:rtl w:val="true"/>
        </w:rPr>
        <w:footnoteReference w:id="667"/>
      </w:r>
      <w:r>
        <w:rPr>
          <w:rFonts w:ascii="IRNazanin" w:hAnsi="IRNazanin" w:eastAsia="IRNazanin"/>
          <w:color w:val="111111"/>
          <w:sz w:val="28"/>
          <w:sz w:val="28"/>
          <w:szCs w:val="28"/>
          <w:rtl w:val="true"/>
          <w:lang w:bidi="fa-IR"/>
        </w:rPr>
        <w:t>بین الحمد والسورة</w:t>
      </w:r>
      <w:r>
        <w:rPr>
          <w:rStyle w:val="FootnoteAnchor"/>
          <w:rtl w:val="true"/>
        </w:rPr>
        <w:footnoteReference w:id="668"/>
      </w:r>
      <w:r>
        <w:rPr>
          <w:rFonts w:ascii="IRNazanin" w:hAnsi="IRNazanin" w:eastAsia="IRNazanin"/>
          <w:color w:val="111111"/>
          <w:sz w:val="28"/>
          <w:sz w:val="28"/>
          <w:szCs w:val="28"/>
          <w:rtl w:val="true"/>
          <w:lang w:bidi="fa-IR"/>
        </w:rPr>
        <w:t xml:space="preserve">، وکذا بعد الفراغ منها بینها </w:t>
      </w:r>
      <w:bookmarkStart w:id="494" w:name="pg13278_326531"/>
    </w:p>
    <w:p>
      <w:pPr>
        <w:pStyle w:val="BookText"/>
        <w:rPr/>
      </w:pPr>
      <w:bookmarkEnd w:id="494"/>
      <w:r>
        <w:rPr>
          <w:rFonts w:ascii="IRNazanin" w:hAnsi="IRNazanin" w:eastAsia="IRNazanin"/>
          <w:color w:val="111111"/>
          <w:sz w:val="28"/>
          <w:sz w:val="28"/>
          <w:szCs w:val="28"/>
          <w:rtl w:val="true"/>
          <w:lang w:bidi="fa-IR"/>
        </w:rPr>
        <w:t>وبین القنوت أو تکبیر الرکوع</w:t>
      </w:r>
      <w:r>
        <w:rPr>
          <w:rFonts w:eastAsia="IRNazanin" w:cs="IRNazanin"/>
          <w:color w:val="111111"/>
          <w:sz w:val="28"/>
          <w:szCs w:val="28"/>
          <w:rtl w:val="true"/>
          <w:lang w:bidi="fa-IR"/>
        </w:rPr>
        <w:t>.</w:t>
      </w:r>
    </w:p>
    <w:p>
      <w:pPr>
        <w:pStyle w:val="Heading3"/>
        <w:numPr>
          <w:ilvl w:val="2"/>
          <w:numId w:val="1"/>
        </w:numPr>
        <w:rPr/>
      </w:pPr>
      <w:bookmarkStart w:id="495" w:name="__RefHeading___Toc1840927_2322387425"/>
      <w:bookmarkStart w:id="496" w:name="_Toc181"/>
      <w:bookmarkEnd w:id="495"/>
      <w:r>
        <w:rPr>
          <w:rtl w:val="true"/>
        </w:rPr>
        <w:t>التاسع</w:t>
      </w:r>
      <w:r>
        <w:rPr>
          <w:rtl w:val="true"/>
        </w:rPr>
        <w:t xml:space="preserve">: </w:t>
      </w:r>
      <w:r>
        <w:rPr>
          <w:rtl w:val="true"/>
        </w:rPr>
        <w:t>قراءة المأثور بعد التوحید و الفاتحة</w:t>
      </w:r>
      <w:bookmarkEnd w:id="496"/>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بعد قراءة سورة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أو مرّتین</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نظفر بروایة المرّة، لکن لا بأس بها بعنوان مطلق الذکر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ثلاثاً،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وأن یقول بعد فراغ الإمام من الحمد إذا کان مأموماً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وکذا بعد فراغ نفسه إن کان منفرداً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840929_2322387425"/>
      <w:bookmarkStart w:id="498" w:name="_Toc182"/>
      <w:bookmarkEnd w:id="497"/>
      <w:r>
        <w:rPr>
          <w:rtl w:val="true"/>
        </w:rPr>
        <w:t>العاشر</w:t>
      </w:r>
      <w:r>
        <w:rPr>
          <w:rtl w:val="true"/>
        </w:rPr>
        <w:t xml:space="preserve">: </w:t>
      </w:r>
      <w:r>
        <w:rPr>
          <w:rtl w:val="true"/>
        </w:rPr>
        <w:t>قراءة بعض السور المخصوصة فی بعض الصلوات</w:t>
      </w:r>
      <w:bookmarkEnd w:id="49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بعض السور المخصوصة</w:t>
      </w:r>
      <w:r>
        <w:rPr>
          <w:rStyle w:val="FootnoteAnchor"/>
          <w:rtl w:val="true"/>
        </w:rPr>
        <w:footnoteReference w:id="670"/>
      </w:r>
      <w:r>
        <w:rPr>
          <w:rFonts w:ascii="IRNazanin" w:hAnsi="IRNazanin" w:eastAsia="IRNazanin"/>
          <w:color w:val="111111"/>
          <w:sz w:val="28"/>
          <w:sz w:val="28"/>
          <w:szCs w:val="28"/>
          <w:rtl w:val="true"/>
          <w:lang w:bidi="fa-IR"/>
        </w:rPr>
        <w:t xml:space="preserve">فی بعض الصلوات، کقراءة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Style w:val="FootnoteAnchor"/>
          <w:rtl w:val="true"/>
        </w:rPr>
        <w:footnoteReference w:id="671"/>
      </w:r>
      <w:r>
        <w:rPr>
          <w:rFonts w:ascii="Amiri" w:hAnsi="Amiri" w:eastAsia="Amiri" w:cs="Amiri"/>
          <w:color w:val="111111"/>
          <w:sz w:val="28"/>
          <w:sz w:val="28"/>
          <w:szCs w:val="28"/>
          <w:rtl w:val="true"/>
          <w:lang w:bidi="ar-SA"/>
        </w:rPr>
        <w:t>یَتساءَلُون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وأشباهها فی صلاة الصبح،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ونحوهما فی الظهر والعشاء،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ألهیکُمُ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العصر والمغرب، وقراءة سورة الجمعة فی الرکعة الاُولی، والمنافقین فی الثانیة فی الظهر</w:t>
      </w:r>
      <w:r>
        <w:rPr>
          <w:rStyle w:val="FootnoteAnchor"/>
          <w:rtl w:val="true"/>
        </w:rPr>
        <w:footnoteReference w:id="672"/>
      </w:r>
      <w:r>
        <w:rPr>
          <w:rFonts w:ascii="IRNazanin" w:hAnsi="IRNazanin" w:eastAsia="IRNazanin"/>
          <w:color w:val="111111"/>
          <w:sz w:val="28"/>
          <w:sz w:val="28"/>
          <w:szCs w:val="28"/>
          <w:rtl w:val="true"/>
          <w:lang w:bidi="fa-IR"/>
        </w:rPr>
        <w:t>والعصر من یوم الجمعة، وکذا فی صبح یوم الجمعة، أو یقرأ فیها فی الاُولی الجمعة، والتوحید فی الثانیة، وکذا فی العشاء</w:t>
      </w:r>
      <w:r>
        <w:rPr>
          <w:rStyle w:val="FootnoteAnchor"/>
          <w:rtl w:val="true"/>
        </w:rPr>
        <w:footnoteReference w:id="673"/>
      </w:r>
      <w:r>
        <w:rPr>
          <w:rFonts w:ascii="IRNazanin" w:hAnsi="IRNazanin" w:eastAsia="IRNazanin"/>
          <w:color w:val="111111"/>
          <w:sz w:val="28"/>
          <w:sz w:val="28"/>
          <w:szCs w:val="28"/>
          <w:rtl w:val="true"/>
          <w:lang w:bidi="fa-IR"/>
        </w:rPr>
        <w:t xml:space="preserve">فی لیلة </w:t>
      </w:r>
      <w:bookmarkStart w:id="499" w:name="pg13278_326532"/>
    </w:p>
    <w:p>
      <w:pPr>
        <w:pStyle w:val="BookText"/>
        <w:rPr/>
      </w:pPr>
      <w:bookmarkEnd w:id="499"/>
      <w:r>
        <w:rPr>
          <w:rFonts w:ascii="Amiri" w:hAnsi="Amiri" w:eastAsia="Amiri" w:cs="Amiri"/>
          <w:color w:val="111111"/>
          <w:sz w:val="28"/>
          <w:sz w:val="28"/>
          <w:szCs w:val="28"/>
          <w:rtl w:val="true"/>
          <w:lang w:bidi="ar-SA"/>
        </w:rPr>
        <w:t>الجمعة</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اختیار الجمعة فی الاُولی من العشاءین، والأعلی فی الثانیة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یقرأ الأعلی فی الرکعة الثانیة من 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یقرأ فی الاُولی الجمعة، وفی الثانیة‌المنافقین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الثانیة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مغربها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الجمعة فی الاُولی، والتوحید فی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840931_2322387425"/>
      <w:bookmarkStart w:id="501" w:name="_Toc183"/>
      <w:bookmarkEnd w:id="500"/>
      <w:r>
        <w:rPr>
          <w:rtl w:val="true"/>
        </w:rPr>
        <w:t>استحباب قراءة بعض السور فی صلاة</w:t>
      </w:r>
      <w:bookmarkEnd w:id="501"/>
    </w:p>
    <w:p>
      <w:pPr>
        <w:pStyle w:val="BookText"/>
        <w:rPr/>
      </w:pPr>
      <w:r>
        <w:rPr>
          <w:rFonts w:ascii="Amiri" w:hAnsi="Amiri" w:eastAsia="Amiri" w:cs="Amiri"/>
          <w:color w:val="111111"/>
          <w:sz w:val="28"/>
          <w:sz w:val="28"/>
          <w:szCs w:val="28"/>
          <w:rtl w:val="true"/>
          <w:lang w:bidi="ar-SA"/>
        </w:rPr>
        <w:t>ویُستحبّ فی کلّ</w:t>
      </w:r>
      <w:r>
        <w:rPr>
          <w:rStyle w:val="FootnoteAnchor"/>
          <w:rtl w:val="true"/>
        </w:rPr>
        <w:footnoteReference w:id="675"/>
      </w:r>
      <w:r>
        <w:rPr>
          <w:rFonts w:ascii="IRNazanin" w:hAnsi="IRNazanin" w:eastAsia="IRNazanin"/>
          <w:color w:val="111111"/>
          <w:sz w:val="28"/>
          <w:sz w:val="28"/>
          <w:szCs w:val="28"/>
          <w:rtl w:val="true"/>
          <w:lang w:bidi="fa-IR"/>
        </w:rPr>
        <w:t xml:space="preserve">صلاةٍ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والتوحید فی الثانیة، بل لو عدل عن غیرهما إ لیهما لِما فیهما من الفضل اُ عطی أ جر السورة الّتی عدل عنها، مضافاً إلی أجرهما، بل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تزکو صلاةٌ إلاّ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فی صلاة الصبح من الاثنین والخمیس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w:t>
      </w:r>
    </w:p>
    <w:p>
      <w:pPr>
        <w:pStyle w:val="Heading3"/>
        <w:numPr>
          <w:ilvl w:val="2"/>
          <w:numId w:val="1"/>
        </w:numPr>
        <w:rPr/>
      </w:pPr>
      <w:bookmarkStart w:id="502" w:name="__RefHeading___Toc1840933_2322387425"/>
      <w:bookmarkStart w:id="503" w:name="_Toc184"/>
      <w:bookmarkEnd w:id="502"/>
      <w:r>
        <w:rPr>
          <w:rtl w:val="true"/>
        </w:rPr>
        <w:t>کراهة ترک سورة التوحید فی جمیع الفرائض</w:t>
      </w:r>
      <w:bookmarkEnd w:id="50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w:t>
      </w:r>
      <w:r>
        <w:rPr>
          <w:rStyle w:val="FootnoteAnchor"/>
          <w:rtl w:val="true"/>
        </w:rPr>
        <w:footnoteReference w:id="676"/>
      </w:r>
      <w:r>
        <w:rPr>
          <w:rFonts w:ascii="IRNazanin" w:hAnsi="IRNazanin" w:eastAsia="IRNazanin"/>
          <w:color w:val="111111"/>
          <w:sz w:val="28"/>
          <w:sz w:val="28"/>
          <w:szCs w:val="28"/>
          <w:rtl w:val="true"/>
          <w:lang w:bidi="fa-IR"/>
        </w:rPr>
        <w:t>ترک سورة التوحید فی جمیع الفرائض الخمسة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504" w:name="pg13278_326533"/>
    </w:p>
    <w:p>
      <w:pPr>
        <w:pStyle w:val="Heading3"/>
        <w:numPr>
          <w:ilvl w:val="2"/>
          <w:numId w:val="1"/>
        </w:numPr>
        <w:rPr/>
      </w:pPr>
      <w:bookmarkStart w:id="505" w:name="__RefHeading___Toc1840935_2322387425"/>
      <w:bookmarkStart w:id="506" w:name="_Toc185"/>
      <w:bookmarkEnd w:id="504"/>
      <w:bookmarkEnd w:id="505"/>
      <w:r>
        <w:rPr>
          <w:rtl w:val="true"/>
        </w:rPr>
        <w:t>کراهة قراءة التوحید بنفس واحد، و کذا الحمد</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قراءة التوحید بنَفَسٍ واحد</w:t>
      </w:r>
      <w:r>
        <w:rPr>
          <w:rStyle w:val="FootnoteAnchor"/>
          <w:rtl w:val="true"/>
        </w:rPr>
        <w:footnoteReference w:id="678"/>
      </w:r>
      <w:r>
        <w:rPr>
          <w:rFonts w:ascii="IRNazanin" w:hAnsi="IRNazanin" w:eastAsia="IRNazanin"/>
          <w:color w:val="111111"/>
          <w:sz w:val="28"/>
          <w:sz w:val="28"/>
          <w:szCs w:val="28"/>
          <w:rtl w:val="true"/>
          <w:lang w:bidi="fa-IR"/>
        </w:rPr>
        <w:t>، وکذا قراءة الحمد والسورة</w:t>
      </w:r>
      <w:r>
        <w:rPr>
          <w:rStyle w:val="FootnoteAnchor"/>
          <w:rtl w:val="true"/>
        </w:rPr>
        <w:footnoteReference w:id="679"/>
      </w:r>
      <w:r>
        <w:rPr>
          <w:rFonts w:ascii="Amiri" w:hAnsi="Amiri" w:eastAsia="Amiri" w:cs="Amiri"/>
          <w:color w:val="111111"/>
          <w:sz w:val="28"/>
          <w:sz w:val="28"/>
          <w:szCs w:val="28"/>
          <w:rtl w:val="true"/>
          <w:lang w:bidi="ar-SA"/>
        </w:rPr>
        <w:t>بنَفَس واحد</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840937_2322387425"/>
      <w:bookmarkStart w:id="508" w:name="_Toc186"/>
      <w:bookmarkEnd w:id="507"/>
      <w:r>
        <w:rPr>
          <w:rtl w:val="true"/>
        </w:rPr>
        <w:t>کراهة قراءة سورة واحدة فی الکعتین إلا التوحید</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یقرأ سورة واحدة فی الرکعتین إلاّ سورة التوحید</w:t>
      </w:r>
      <w:r>
        <w:rPr>
          <w:rFonts w:eastAsia="IRNazanin" w:cs="IRNazanin"/>
          <w:color w:val="111111"/>
          <w:sz w:val="28"/>
          <w:szCs w:val="28"/>
          <w:rtl w:val="true"/>
          <w:lang w:bidi="fa-IR"/>
        </w:rPr>
        <w:t>.</w:t>
      </w:r>
    </w:p>
    <w:p>
      <w:pPr>
        <w:pStyle w:val="Heading3"/>
        <w:numPr>
          <w:ilvl w:val="2"/>
          <w:numId w:val="1"/>
        </w:numPr>
        <w:rPr/>
      </w:pPr>
      <w:bookmarkStart w:id="509" w:name="__RefHeading___Toc1840939_2322387425"/>
      <w:bookmarkStart w:id="510" w:name="_Toc187"/>
      <w:bookmarkEnd w:id="509"/>
      <w:r>
        <w:rPr>
          <w:rtl w:val="true"/>
        </w:rPr>
        <w:t>جواز تکرار الآیة فی الفریضة و غیرها و البکاء</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تکرار الآیة فی الفریضة وغیرها، والبکاء</w:t>
      </w:r>
      <w:r>
        <w:rPr>
          <w:rStyle w:val="FootnoteAnchor"/>
          <w:rtl w:val="true"/>
        </w:rPr>
        <w:footnoteReference w:id="680"/>
      </w:r>
      <w:r>
        <w:rPr>
          <w:rFonts w:ascii="IRNazanin" w:hAnsi="IRNazanin" w:eastAsia="IRNazanin"/>
          <w:color w:val="111111"/>
          <w:sz w:val="28"/>
          <w:sz w:val="28"/>
          <w:szCs w:val="28"/>
          <w:rtl w:val="true"/>
          <w:lang w:bidi="fa-IR"/>
        </w:rPr>
        <w:t>،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الحسین علیهماالسلام 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یکرّرها حتّی یکاد أن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القراءة فی الصلاة،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عن موسی بن جعفر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یصلّی، له أن یقرأ فی الفریضة فتمرّ الآیة فیها التخویف فیبکی ویردّد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یردِّد القرآن ماشاء</w:t>
      </w:r>
      <w:r>
        <w:rPr>
          <w:rStyle w:val="FootnoteAnchor"/>
          <w:rtl w:val="true"/>
        </w:rPr>
        <w:footnoteReference w:id="681"/>
      </w:r>
      <w:r>
        <w:rPr>
          <w:rFonts w:ascii="IRNazanin" w:hAnsi="IRNazanin" w:eastAsia="IRNazanin"/>
          <w:color w:val="111111"/>
          <w:sz w:val="28"/>
          <w:sz w:val="28"/>
          <w:szCs w:val="28"/>
          <w:rtl w:val="true"/>
          <w:lang w:bidi="fa-IR"/>
        </w:rPr>
        <w:t>، وإن جاءه البکاء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القراءة فی الصلاة،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11" w:name="__RefHeading___Toc1840941_2322387425"/>
      <w:bookmarkStart w:id="512" w:name="_Toc188"/>
      <w:bookmarkEnd w:id="511"/>
      <w:r>
        <w:rPr>
          <w:rtl w:val="true"/>
        </w:rPr>
        <w:t>استحباب إعادة الجمعة أو الظهر فی یوم الجمعة إذا لم یقرأهما</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682"/>
      </w:r>
      <w:r>
        <w:rPr>
          <w:rFonts w:ascii="Amiri" w:hAnsi="Amiri" w:eastAsia="Amiri" w:cs="Amiri"/>
          <w:color w:val="111111"/>
          <w:sz w:val="28"/>
          <w:sz w:val="28"/>
          <w:szCs w:val="28"/>
          <w:rtl w:val="true"/>
          <w:lang w:bidi="ar-SA"/>
        </w:rPr>
        <w:t>إعادة الجمعة</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الجمعة لا یخلو من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الجمعة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الجمعة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إعادة الجمعة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الجمعة محلّ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الظهر فی یوم الجمعة إذا</w:t>
      </w:r>
      <w:bookmarkStart w:id="513" w:name="pg13278_326534"/>
    </w:p>
    <w:p>
      <w:pPr>
        <w:pStyle w:val="BookText"/>
        <w:rPr/>
      </w:pPr>
      <w:bookmarkEnd w:id="513"/>
      <w:r>
        <w:rPr>
          <w:rFonts w:ascii="IRNazanin" w:hAnsi="IRNazanin" w:eastAsia="IRNazanin"/>
          <w:color w:val="111111"/>
          <w:sz w:val="28"/>
          <w:sz w:val="28"/>
          <w:szCs w:val="28"/>
          <w:rtl w:val="true"/>
          <w:lang w:bidi="fa-IR"/>
        </w:rPr>
        <w:t>صلاّهما فقرأ غیر الجمعة والمنافقین، أو نقل</w:t>
      </w:r>
      <w:r>
        <w:rPr>
          <w:rStyle w:val="FootnoteAnchor"/>
          <w:rtl w:val="true"/>
        </w:rPr>
        <w:footnoteReference w:id="684"/>
      </w:r>
      <w:r>
        <w:rPr>
          <w:rFonts w:ascii="IRNazanin" w:hAnsi="IRNazanin" w:eastAsia="IRNazanin"/>
          <w:color w:val="111111"/>
          <w:sz w:val="28"/>
          <w:sz w:val="28"/>
          <w:szCs w:val="28"/>
          <w:rtl w:val="true"/>
          <w:lang w:bidi="fa-IR"/>
        </w:rPr>
        <w:t>النیّة إلی النفل</w:t>
      </w:r>
      <w:r>
        <w:rPr>
          <w:rStyle w:val="FootnoteAnchor"/>
          <w:rtl w:val="true"/>
        </w:rPr>
        <w:footnoteReference w:id="685"/>
      </w:r>
      <w:r>
        <w:rPr>
          <w:rFonts w:ascii="IRNazanin" w:hAnsi="IRNazanin" w:eastAsia="IRNazanin"/>
          <w:color w:val="111111"/>
          <w:sz w:val="28"/>
          <w:sz w:val="28"/>
          <w:szCs w:val="28"/>
          <w:rtl w:val="true"/>
          <w:lang w:bidi="fa-IR"/>
        </w:rPr>
        <w:t>إذا کان فی الأثناء، وإتمام رکعتین ثمّ استئناف الفرض بالسورتین</w:t>
      </w:r>
      <w:r>
        <w:rPr>
          <w:rFonts w:eastAsia="IRNazanin" w:cs="IRNazanin"/>
          <w:color w:val="111111"/>
          <w:sz w:val="28"/>
          <w:szCs w:val="28"/>
          <w:rtl w:val="true"/>
          <w:lang w:bidi="fa-IR"/>
        </w:rPr>
        <w:t>.</w:t>
      </w:r>
    </w:p>
    <w:p>
      <w:pPr>
        <w:pStyle w:val="Heading3"/>
        <w:numPr>
          <w:ilvl w:val="2"/>
          <w:numId w:val="1"/>
        </w:numPr>
        <w:rPr/>
      </w:pPr>
      <w:bookmarkStart w:id="514" w:name="__RefHeading___Toc1840943_2322387425"/>
      <w:bookmarkStart w:id="515" w:name="_Toc189"/>
      <w:bookmarkEnd w:id="514"/>
      <w:r>
        <w:rPr>
          <w:rtl w:val="true"/>
        </w:rPr>
        <w:t>قراءة المعوذتین فی الصلاة</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قراءة المعوّذتین فی الصلاة، وهما من القرآن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840945_2322387425"/>
      <w:bookmarkStart w:id="517" w:name="_Toc190"/>
      <w:bookmarkEnd w:id="516"/>
      <w:r>
        <w:rPr>
          <w:rtl w:val="true"/>
        </w:rPr>
        <w:t>عدد آیات الحمد و التوحید</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سبع آیات، والتوحید أربع آیات</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لعلّها مع البسملة خمس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بناءً علی جزئیة البسملة خمس آیات، بل عند بعضٍ ستّ آیات، وورد فی بعض الروایات أنّها ثلاث آیات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خمس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کالمکّیّ والشامیّ خمس آیات، وفی روایة أبی هارون المکفوف أنّها ثلاث آیات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الشریعتمداری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خمس؛ لأنّ البسملة جزء وآیة من کلّ سورةٍ إلاّ البراءة، وخبر المکفوف ضعیف سنداً ومجمل مفاداً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أنّها خمس آیات؛ بناءً علی عدم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واحدة بل آیتین، وإلیه ذهب الکثیر من الأصحاب، لا أربع کما هو مختار الماتن وجَمعٍ، ولا ثلاث آیات کما فی روایة أبی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خمس آیات عند معظم الإمامیّة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خمس علی الأصحّ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أنّها خمس، لکون البسملة آیة ، بل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أعظم آیةٍ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لعلّها مع البسملة خمس آیات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خمس آیات عند الإمامیة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بعض خمس آیات، وفی روایة ثلاث آیات، والصحیح خمس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آیتین فتکون سِتّ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خمس آیات؛ لجزئیة البسملة فیها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ویحتمل الخمس والثلاث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3278_326535"/>
    </w:p>
    <w:p>
      <w:pPr>
        <w:pStyle w:val="Heading3"/>
        <w:numPr>
          <w:ilvl w:val="2"/>
          <w:numId w:val="1"/>
        </w:numPr>
        <w:rPr/>
      </w:pPr>
      <w:bookmarkStart w:id="519" w:name="__RefHeading___Toc1840947_2322387425"/>
      <w:bookmarkStart w:id="520" w:name="_Toc191"/>
      <w:bookmarkEnd w:id="518"/>
      <w:bookmarkEnd w:id="519"/>
      <w:r>
        <w:rPr>
          <w:rtl w:val="true"/>
        </w:rPr>
        <w:t>قصد الإنشاء و القرآن حین القراءة</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والأحوط الترک فی جمیع صور هذه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خلافه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محصّل لهذا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الأولی والأحوط أن یکون قصد المعانی مقارناً لقصد القراءة، لا أن ینشئها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استحالة اجتماع قصدَی الإنشاء وحکایة الألفاظ المنزّلة عرضاً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إلقاء المراد وتفهیم المقصود بألفاظ القرآن؛ إذ هو أمر خارج عن مرحلة الاستعمال والإنشاء، ومع ذلک کلّه الأحوط عدم قصد الإنشاء فی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bookmarkStart w:id="521" w:name="pg13278_326536"/>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القرآنیّة أیضاً، بأن یکون قاصداً للخطاب</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فالحکایة والخطاب لیسا فی عرض واحد ، بل یقرأ القرآن ویحکی عنه ویرید بما یقرأ الخطاب مثلاً ، والظاهر أنّ إرادة ذلک لیست علی سبیل مجرّد الجواز ، بل هی الفرد الکامل من القراءة المشتملة علی مثل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وکذا فی سائر الآیات، فیجوز إنشاء الحمد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وإنشاء المدح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وإنشاء طلب الهدایة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ینافی قصد القرآنیّة 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 من الامتناع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استعمال اللفظ الواحد فی المعنی المتعدّد مستقلاًّ وهو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من جهة عدم المحذور فی جعل اللفظ دالاًّ علی المعنی باعتبار، وعلی المعنی الآخر باعتبار آخر ولو 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840949_2322387425"/>
      <w:bookmarkStart w:id="523" w:name="_Toc192"/>
      <w:bookmarkEnd w:id="522"/>
      <w:r>
        <w:rPr>
          <w:rtl w:val="true"/>
        </w:rPr>
        <w:t>الاستقرار حال القراءة</w:t>
      </w:r>
      <w:bookmarkEnd w:id="52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690"/>
      </w:r>
      <w:r>
        <w:rPr>
          <w:rFonts w:ascii="IRNazanin" w:hAnsi="IRNazanin" w:eastAsia="IRNazanin"/>
          <w:color w:val="111111"/>
          <w:sz w:val="28"/>
          <w:sz w:val="28"/>
          <w:szCs w:val="28"/>
          <w:rtl w:val="true"/>
          <w:lang w:bidi="fa-IR"/>
        </w:rPr>
        <w:t xml:space="preserve">أ نّه یجب کون القراءة وسائر الأذکار حال </w:t>
      </w:r>
      <w:bookmarkStart w:id="524" w:name="pg13278_326537"/>
    </w:p>
    <w:p>
      <w:pPr>
        <w:pStyle w:val="BookText"/>
        <w:rPr/>
      </w:pPr>
      <w:bookmarkEnd w:id="524"/>
      <w:r>
        <w:rPr>
          <w:rFonts w:ascii="IRNazanin" w:hAnsi="IRNazanin" w:eastAsia="IRNazanin"/>
          <w:color w:val="111111"/>
          <w:sz w:val="28"/>
          <w:sz w:val="28"/>
          <w:szCs w:val="28"/>
          <w:rtl w:val="true"/>
          <w:lang w:bidi="fa-IR"/>
        </w:rPr>
        <w:t>الاستقرار</w:t>
      </w:r>
      <w:r>
        <w:rPr>
          <w:rStyle w:val="FootnoteAnchor"/>
          <w:rtl w:val="true"/>
        </w:rPr>
        <w:footnoteReference w:id="691"/>
      </w:r>
      <w:r>
        <w:rPr>
          <w:rFonts w:ascii="IRNazanin" w:hAnsi="IRNazanin" w:eastAsia="IRNazanin"/>
          <w:color w:val="111111"/>
          <w:sz w:val="28"/>
          <w:sz w:val="28"/>
          <w:szCs w:val="28"/>
          <w:rtl w:val="true"/>
          <w:lang w:bidi="fa-IR"/>
        </w:rPr>
        <w:t>، فلو أراد حال القراءة التقدّم أو التأخّر قلیلاً أو الحرکة إلی أحد الجانبین أو أن ینحنی لأخذ شیء من الأرض أو نحو ذلک یجب أن یسکت حال الحرکة، وبعد الاستقرار یشرع فی قراءته، لکن مثل تحریک الید أو أصابع الرِجلین لا یضرّ، وإن کان الأولی بل الأحوط ترکه</w:t>
      </w:r>
      <w:r>
        <w:rPr>
          <w:rStyle w:val="FootnoteAnchor"/>
          <w:rtl w:val="true"/>
        </w:rPr>
        <w:footnoteReference w:id="692"/>
      </w:r>
      <w:r>
        <w:rPr>
          <w:rFonts w:ascii="Amiri" w:hAnsi="Amiri" w:eastAsia="Amiri" w:cs="Amiri"/>
          <w:color w:val="111111"/>
          <w:sz w:val="28"/>
          <w:sz w:val="28"/>
          <w:szCs w:val="28"/>
          <w:rtl w:val="true"/>
          <w:lang w:bidi="ar-SA"/>
        </w:rPr>
        <w:t>أیضاً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1840951_2322387425"/>
      <w:bookmarkStart w:id="526" w:name="_Toc193"/>
      <w:bookmarkEnd w:id="525"/>
      <w:r>
        <w:rPr>
          <w:rtl w:val="true"/>
        </w:rPr>
        <w:t>استحباب الصلاة علی النبی عند سماع اسمه حین القراءة</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اسم النبیّ صلی‌الله‌علیه‌و‌آله فی أثناء القراءة یجوز بل یستحبّ أن یصلّی علیه</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بالکیفیة المعروفة المشتملة علی الصلاة علی الآل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ینافی الموالاة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المعتبرة فی أفعال الصلاة، وأمّا الموالاة المعتبرة فی القراءة فلا ریب فی تنافیه إیّاها، فالأحوط بل الأقوی فی الصلاة علیه صلی‌الله‌علیه‌و‌آله وجواب السلام الترک فی حال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أنّه لا ینافی الموالاة المعتبرة فی صحّة الصلاة، وإذا نافی الموالاة فی الآیة أعادها، کمّا إذا وقعت بین المضاف والمضاف إلیه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غیر القراءة من أقوال الصلاة، ومثله الحکم فی ردّ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سائر مواضع الصلاة، کما أ نّه إذا سلّم علیه مَن یجب ردّ سلامه یجب، ولا ینافی</w:t>
      </w:r>
      <w:r>
        <w:rPr>
          <w:rFonts w:eastAsia="IRNazanin" w:cs="IRNazanin"/>
          <w:color w:val="111111"/>
          <w:sz w:val="28"/>
          <w:szCs w:val="28"/>
          <w:rtl w:val="true"/>
          <w:lang w:bidi="fa-IR"/>
        </w:rPr>
        <w:t>.</w:t>
      </w:r>
      <w:bookmarkStart w:id="527" w:name="pg13278_326538"/>
    </w:p>
    <w:p>
      <w:pPr>
        <w:pStyle w:val="Heading3"/>
        <w:numPr>
          <w:ilvl w:val="2"/>
          <w:numId w:val="1"/>
        </w:numPr>
        <w:rPr/>
      </w:pPr>
      <w:bookmarkStart w:id="528" w:name="__RefHeading___Toc1840953_2322387425"/>
      <w:bookmarkStart w:id="529" w:name="_Toc194"/>
      <w:bookmarkEnd w:id="527"/>
      <w:bookmarkEnd w:id="528"/>
      <w:r>
        <w:rPr>
          <w:rtl w:val="true"/>
        </w:rPr>
        <w:t>حکم القراءة فی الحرکة القهریة</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w:t>
      </w:r>
      <w:r>
        <w:rPr>
          <w:rStyle w:val="FootnoteAnchor"/>
          <w:rtl w:val="true"/>
        </w:rPr>
        <w:footnoteReference w:id="695"/>
      </w:r>
      <w:r>
        <w:rPr>
          <w:rFonts w:ascii="IRNazanin" w:hAnsi="IRNazanin" w:eastAsia="IRNazanin"/>
          <w:color w:val="111111"/>
          <w:sz w:val="28"/>
          <w:sz w:val="28"/>
          <w:szCs w:val="28"/>
          <w:rtl w:val="true"/>
          <w:lang w:bidi="fa-IR"/>
        </w:rPr>
        <w:t>حال القراءة قهراً بحیث خرج عن الاستقرار فالأحوط</w:t>
      </w:r>
      <w:r>
        <w:rPr>
          <w:rStyle w:val="FootnoteAnchor"/>
          <w:rtl w:val="true"/>
        </w:rPr>
        <w:footnoteReference w:id="696"/>
      </w:r>
      <w:r>
        <w:rPr>
          <w:rFonts w:ascii="Amiri" w:hAnsi="Amiri" w:eastAsia="Amiri" w:cs="Amiri"/>
          <w:color w:val="111111"/>
          <w:sz w:val="28"/>
          <w:sz w:val="28"/>
          <w:szCs w:val="28"/>
          <w:rtl w:val="true"/>
          <w:lang w:bidi="ar-SA"/>
        </w:rPr>
        <w:t>إعادة</w:t>
      </w:r>
      <w:r>
        <w:rPr>
          <w:rStyle w:val="FootnoteAnchor"/>
          <w:rtl w:val="true"/>
        </w:rPr>
        <w:footnoteReference w:id="697"/>
      </w:r>
      <w:r>
        <w:rPr>
          <w:rFonts w:ascii="IRNazanin" w:hAnsi="IRNazanin" w:eastAsia="IRNazanin"/>
          <w:color w:val="111111"/>
          <w:sz w:val="28"/>
          <w:sz w:val="28"/>
          <w:szCs w:val="28"/>
          <w:rtl w:val="true"/>
          <w:lang w:bidi="fa-IR"/>
        </w:rPr>
        <w:t>ما قرأه</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الحالة</w:t>
      </w:r>
      <w:r>
        <w:rPr>
          <w:rFonts w:eastAsia="IRNazanin" w:cs="IRNazanin"/>
          <w:color w:val="111111"/>
          <w:sz w:val="28"/>
          <w:szCs w:val="28"/>
          <w:rtl w:val="true"/>
          <w:lang w:bidi="fa-IR"/>
        </w:rPr>
        <w:t>.</w:t>
      </w:r>
    </w:p>
    <w:p>
      <w:pPr>
        <w:pStyle w:val="Heading3"/>
        <w:numPr>
          <w:ilvl w:val="2"/>
          <w:numId w:val="1"/>
        </w:numPr>
        <w:rPr/>
      </w:pPr>
      <w:bookmarkStart w:id="530" w:name="__RefHeading___Toc1840955_2322387425"/>
      <w:bookmarkStart w:id="531" w:name="_Toc195"/>
      <w:bookmarkEnd w:id="530"/>
      <w:r>
        <w:rPr>
          <w:rtl w:val="true"/>
        </w:rPr>
        <w:t>حکم الشک فی صحة قراءة آیة أو کلمة</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صحّة قراءة آیة أو کلمة یجب</w:t>
      </w:r>
      <w:r>
        <w:rPr>
          <w:rStyle w:val="FootnoteAnchor"/>
          <w:rtl w:val="true"/>
        </w:rPr>
        <w:footnoteReference w:id="699"/>
      </w:r>
      <w:r>
        <w:rPr>
          <w:rFonts w:ascii="IRNazanin" w:hAnsi="IRNazanin" w:eastAsia="IRNazanin"/>
          <w:color w:val="111111"/>
          <w:sz w:val="28"/>
          <w:sz w:val="28"/>
          <w:szCs w:val="28"/>
          <w:rtl w:val="true"/>
          <w:lang w:bidi="fa-IR"/>
        </w:rPr>
        <w:t>إعادتها</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الراجح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إعادتها إذا کان الشکّ بعد الفراغ منها نظر، والأحوط إعادتها بقصد الاحتیاط، کما فی صورة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وسیأتی منه قدس‌سره اختیار عدم وجوب الإعادة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 المسألة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باب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مختار الماتن قدس‌سره عدم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الوجوب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w:t>
      </w:r>
      <w:r>
        <w:rPr>
          <w:rFonts w:eastAsia="IRNazanin" w:cs="IRNazanin"/>
          <w:color w:val="111111"/>
          <w:sz w:val="28"/>
          <w:szCs w:val="28"/>
          <w:rtl w:val="true"/>
          <w:lang w:bidi="fa-IR"/>
        </w:rPr>
        <w:t>. . . . . . . . . . . . . . .</w:t>
      </w:r>
      <w:bookmarkStart w:id="532" w:name="pg13278_326539"/>
    </w:p>
    <w:p>
      <w:pPr>
        <w:pStyle w:val="BookText"/>
        <w:rPr/>
      </w:pPr>
      <w:bookmarkEnd w:id="532"/>
      <w:r>
        <w:rPr>
          <w:rFonts w:ascii="IRNazanin" w:hAnsi="IRNazanin" w:eastAsia="IRNazanin"/>
          <w:color w:val="111111"/>
          <w:sz w:val="28"/>
          <w:sz w:val="28"/>
          <w:szCs w:val="28"/>
          <w:rtl w:val="true"/>
          <w:lang w:bidi="fa-IR"/>
        </w:rPr>
        <w:t>یتجاوز</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کان الشکّ أثناء القراءة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یجب إذا کان الشکّ بعد الفراغ من تلک الآیة أو الکلمة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ویجوز بقصد الاحتیاط مع التجاوز، ولا بأس بتکرارها مع تکرّر الشکِّ ما لم یکن عن وسوسة، ومعه 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أعاد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1840957_2322387425"/>
      <w:bookmarkStart w:id="534" w:name="_Toc196"/>
      <w:bookmarkEnd w:id="533"/>
      <w:r>
        <w:rPr>
          <w:rtl w:val="true"/>
        </w:rPr>
        <w:t>الاقتصار علی تسبیحة واحدة عند الضیق</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ضیق الوقت یجب الاقتصار</w:t>
      </w:r>
      <w:r>
        <w:rPr>
          <w:rStyle w:val="FootnoteAnchor"/>
          <w:rtl w:val="true"/>
        </w:rPr>
        <w:footnoteReference w:id="702"/>
      </w:r>
      <w:r>
        <w:rPr>
          <w:rFonts w:ascii="IRNazanin" w:hAnsi="IRNazanin" w:eastAsia="IRNazanin"/>
          <w:color w:val="111111"/>
          <w:sz w:val="28"/>
          <w:sz w:val="28"/>
          <w:szCs w:val="28"/>
          <w:rtl w:val="true"/>
          <w:lang w:bidi="fa-IR"/>
        </w:rPr>
        <w:t>علی المرّة فی التسبیحات الأربعة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840959_2322387425"/>
      <w:bookmarkStart w:id="536" w:name="_Toc197"/>
      <w:bookmarkEnd w:id="535"/>
      <w:r>
        <w:rPr>
          <w:rtl w:val="true"/>
        </w:rPr>
        <w:t>بعض فروع القراءة</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ترک الإشباع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فی إشباع کسر الهمزة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بلا إشباعه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عدم ترک الإشباع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الاعتماد علی مثل هذه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الإشباع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حرکة کلمة أو مخرج حروفها لا یجوز</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 الحکم مبنیّ علی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یقرأ بالوجهین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مافی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فرض العلم ببطلان أحدهما، بل مع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حوله فی المسألة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الکلام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لو اختار أحد الوجهین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البناء علی 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کان باطلاً لابأس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الأحوط إعادتها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المحافظة علی ذلک، ولا اعتناء بالمسامحة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 یجب قراءته جهراً أن یحافظ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الإجهار فی جمیع الکلمات حتّی أواخر الآیات، بل جمیع حروفها،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الاغتفار فی الکلمة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بُعدٌ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المقدار الجاری فیه العادة علی إخفاتها نوعاً من حروف أواخر الکلم أمکن إدراجها فی فحاوی الإطلاقات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خصوصاً فی الکلمة الأخیرة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الحکیم،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الاغتفار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بعید 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الاغتفار فی الکلمة، والأحوط بل الأقوی عدمه فی الحرف أیضاً عند الوصل، نعم، لا یخلو الاغتفار فی أواخر الکلمات عند الوقف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الاغتفار بعید، وعلی الفرض، تخصیصُه بالکلمة الأخیرة أبعد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یخلو من بُعد ولا سیّما فی الکلمة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یبعد غایته فی الکلمة، وأدناهُ فی الحرف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 ولا سیّما فی الکلمة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بل الأقوی حتّی فی الحرف الأخیر فضلاً عن الکلمة الأخیرة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یعلم 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یبعد ذلک فی صورة العمد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 فلا یُترک الاحتیاط فی الکلمة الأخیرة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الاغتفار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غایة البعد بالإضافة إلی الکلمة الأخیرة ، بل وبالنسبة إلی الحرف الأخیر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الإخفات</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تأمّل، بل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الاغتفار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الکلمة الأخیرة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والأظهر المحافظة علی الإجهار 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الآیة فضلاً عن حرف آخرها</w:t>
      </w:r>
      <w:r>
        <w:rPr>
          <w:rFonts w:eastAsia="IRNazanin" w:cs="IRNazanin"/>
          <w:color w:val="111111"/>
          <w:sz w:val="28"/>
          <w:szCs w:val="28"/>
          <w:rtl w:val="true"/>
          <w:lang w:bidi="fa-IR"/>
        </w:rPr>
        <w:t>.</w:t>
      </w:r>
      <w:bookmarkStart w:id="537" w:name="pg13278_326543"/>
    </w:p>
    <w:p>
      <w:pPr>
        <w:pStyle w:val="Heading2"/>
        <w:numPr>
          <w:ilvl w:val="1"/>
          <w:numId w:val="1"/>
        </w:numPr>
        <w:rPr/>
      </w:pPr>
      <w:bookmarkStart w:id="538" w:name="__RefHeading___Toc1840961_2322387425"/>
      <w:bookmarkStart w:id="539" w:name="_Toc198"/>
      <w:bookmarkEnd w:id="537"/>
      <w:bookmarkEnd w:id="538"/>
      <w:r>
        <w:rPr>
          <w:rtl w:val="true"/>
        </w:rPr>
        <w:t>فصل فی الرکوع</w:t>
      </w:r>
      <w:bookmarkEnd w:id="539"/>
    </w:p>
    <w:p>
      <w:pPr>
        <w:pStyle w:val="Heading3"/>
        <w:numPr>
          <w:ilvl w:val="2"/>
          <w:numId w:val="1"/>
        </w:numPr>
        <w:rPr/>
      </w:pPr>
      <w:bookmarkStart w:id="540" w:name="__RefHeading___Toc1840963_2322387425"/>
      <w:bookmarkStart w:id="541" w:name="_Toc199"/>
      <w:bookmarkEnd w:id="540"/>
      <w:r>
        <w:rPr>
          <w:rtl w:val="true"/>
        </w:rPr>
        <w:t>حکم الرکوع فی الصلاة</w:t>
      </w:r>
      <w:bookmarkEnd w:id="541"/>
    </w:p>
    <w:p>
      <w:pPr>
        <w:pStyle w:val="BookText"/>
        <w:rPr/>
      </w:pPr>
      <w:r>
        <w:rPr>
          <w:rFonts w:ascii="IRNazanin" w:hAnsi="IRNazanin" w:eastAsia="IRNazanin"/>
          <w:color w:val="111111"/>
          <w:sz w:val="28"/>
          <w:sz w:val="28"/>
          <w:szCs w:val="28"/>
          <w:rtl w:val="true"/>
          <w:lang w:bidi="fa-IR"/>
        </w:rPr>
        <w:t>یجب فی کلّ رکعة من الفرائض والنوافل رکوع واحد، إلاّ فی صلاة الآیات ففی کلٍّ من رکعتَیها خمسُ رکوعات،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رکن تبطل الصلاة بترکه، عمداً کان أو سهواً، وکذا بزیادته</w:t>
      </w:r>
      <w:r>
        <w:rPr>
          <w:rStyle w:val="FootnoteAnchor"/>
          <w:rtl w:val="true"/>
        </w:rPr>
        <w:footnoteReference w:id="708"/>
      </w:r>
      <w:r>
        <w:rPr>
          <w:rFonts w:ascii="IRNazanin" w:hAnsi="IRNazanin" w:eastAsia="IRNazanin"/>
          <w:color w:val="111111"/>
          <w:sz w:val="28"/>
          <w:sz w:val="28"/>
          <w:szCs w:val="28"/>
          <w:rtl w:val="true"/>
          <w:lang w:bidi="fa-IR"/>
        </w:rPr>
        <w:t>فی الفریضة، إلاّ فی صلاة الجماعة</w:t>
      </w:r>
      <w:r>
        <w:rPr>
          <w:rStyle w:val="FootnoteAnchor"/>
          <w:rtl w:val="true"/>
        </w:rPr>
        <w:footnoteReference w:id="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أحکام الجماعة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النوافل فلا تبطل زیادة الرکن فیها سهواً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تضرّ بقصد المتابعة</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840965_2322387425"/>
      <w:bookmarkStart w:id="543" w:name="_Toc200"/>
      <w:bookmarkEnd w:id="542"/>
      <w:r>
        <w:rPr>
          <w:rtl w:val="true"/>
        </w:rPr>
        <w:t>واجبات الرکوع</w:t>
      </w:r>
      <w:bookmarkEnd w:id="543"/>
    </w:p>
    <w:p>
      <w:pPr>
        <w:pStyle w:val="BookText"/>
        <w:rPr/>
      </w:pPr>
      <w:r>
        <w:rPr>
          <w:rFonts w:ascii="IRNazanin" w:hAnsi="IRNazanin" w:eastAsia="IRNazanin"/>
          <w:color w:val="111111"/>
          <w:sz w:val="28"/>
          <w:sz w:val="28"/>
          <w:szCs w:val="28"/>
          <w:rtl w:val="true"/>
          <w:lang w:bidi="fa-IR"/>
        </w:rPr>
        <w:t>وواجباته اُمور</w:t>
      </w:r>
      <w:r>
        <w:rPr>
          <w:rFonts w:eastAsia="IRNazanin" w:cs="IRNazanin"/>
          <w:color w:val="111111"/>
          <w:sz w:val="28"/>
          <w:szCs w:val="28"/>
          <w:rtl w:val="true"/>
          <w:lang w:bidi="fa-IR"/>
        </w:rPr>
        <w:t>:</w:t>
      </w:r>
    </w:p>
    <w:p>
      <w:pPr>
        <w:pStyle w:val="Heading3"/>
        <w:numPr>
          <w:ilvl w:val="2"/>
          <w:numId w:val="1"/>
        </w:numPr>
        <w:rPr/>
      </w:pPr>
      <w:bookmarkStart w:id="544" w:name="__RefHeading___Toc1840967_2322387425"/>
      <w:bookmarkStart w:id="545" w:name="_Toc201"/>
      <w:bookmarkEnd w:id="544"/>
      <w:r>
        <w:rPr>
          <w:rtl w:val="true"/>
        </w:rPr>
        <w:t>الأول</w:t>
      </w:r>
      <w:r>
        <w:rPr>
          <w:rtl w:val="true"/>
        </w:rPr>
        <w:t xml:space="preserve">: </w:t>
      </w:r>
      <w:r>
        <w:rPr>
          <w:rtl w:val="true"/>
        </w:rPr>
        <w:t>الانحناء</w:t>
      </w:r>
      <w:bookmarkEnd w:id="545"/>
    </w:p>
    <w:p>
      <w:p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علی الوجه المتعارف</w:t>
      </w:r>
      <w:r>
        <w:rPr>
          <w:rStyle w:val="FootnoteAnchor"/>
          <w:rtl w:val="true"/>
        </w:rPr>
        <w:footnoteReference w:id="711"/>
      </w:r>
      <w:r>
        <w:rPr>
          <w:rFonts w:ascii="IRNazanin" w:hAnsi="IRNazanin" w:eastAsia="IRNazanin"/>
          <w:color w:val="111111"/>
          <w:sz w:val="28"/>
          <w:sz w:val="28"/>
          <w:szCs w:val="28"/>
          <w:rtl w:val="true"/>
          <w:lang w:bidi="fa-IR"/>
        </w:rPr>
        <w:t>بمقدارٍ تصل یداه إلی رکبتیه، وصولاً لو أراد</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شیء منهما علیهما لوضعه، ویکفی وصول</w:t>
      </w:r>
    </w:p>
    <w:p>
      <w:pPr>
        <w:pStyle w:val="BookText"/>
        <w:rPr/>
      </w:pPr>
      <w:r>
        <w:rPr>
          <w:rFonts w:ascii="IRNazanin" w:hAnsi="IRNazanin" w:eastAsia="IRNazanin"/>
          <w:color w:val="111111"/>
          <w:sz w:val="28"/>
          <w:sz w:val="28"/>
          <w:szCs w:val="28"/>
          <w:rtl w:val="true"/>
          <w:lang w:bidi="fa-IR"/>
        </w:rPr>
        <w:t>مجموع أطراف الأصابع</w:t>
      </w:r>
      <w:r>
        <w:rPr>
          <w:rStyle w:val="FootnoteAnchor"/>
          <w:rtl w:val="true"/>
        </w:rPr>
        <w:footnoteReference w:id="713"/>
      </w:r>
      <w:r>
        <w:rPr>
          <w:rFonts w:ascii="Amiri" w:hAnsi="Amiri" w:eastAsia="Amiri" w:cs="Amiri"/>
          <w:color w:val="111111"/>
          <w:sz w:val="28"/>
          <w:sz w:val="28"/>
          <w:szCs w:val="28"/>
          <w:rtl w:val="true"/>
          <w:lang w:bidi="ar-SA"/>
        </w:rPr>
        <w:t>الّتی منها</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وصول أطراف ما عدا الإبهام منها فی وجه قویّ، بل لا یکاد یتحقّق حفظ الطرفیّة معها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الإبهام علی الوجه المذکور، والأحوط الانحناء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لعلّه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بمقدار إمکان وصول الراحة إلیها، فلا یکفی مسمّی الانحناء، ولا الانحناء علی غیر الوجه المتعارف بأن ینحنی علی أحد جانبیه، أو یخفض کَفَلَیه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الکَفَلُ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رِدْفُ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12/128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رکبتیه،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المستوی الخلقة کطویل الیدین أو قصیرهما یرجع إلی المستوی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المطلوب مرتبة مخصوصة من الانحناء، والتحدید بالوصول إلی الرکبتین طریق إلیها من دون موضوعیّة، ثمّ الرجوع إلیه فی صورة عدم استلزامه محذوراً من العسر وأخواته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بأس باختلاف أفراد المُستَوِینَ خلقةً، فلکلٍّ حکم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الرجوع إلی المتوسّط منهم أقرب، وإن کان الرجوع إلی الأقلّ انحناءً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کفایة الرجوع إلی مقدار انحناء أقلّ المتعارف خلقةً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علی مقدار انحناء المتوسّط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یدیه</w:t>
      </w:r>
      <w:bookmarkStart w:id="546" w:name="pg13278_326545"/>
    </w:p>
    <w:p>
      <w:pPr>
        <w:pStyle w:val="BookText"/>
        <w:rPr/>
      </w:pPr>
      <w:bookmarkEnd w:id="546"/>
      <w:r>
        <w:rPr>
          <w:rFonts w:ascii="IRNazanin" w:hAnsi="IRNazanin" w:eastAsia="IRNazanin"/>
          <w:color w:val="111111"/>
          <w:sz w:val="28"/>
          <w:sz w:val="28"/>
          <w:szCs w:val="28"/>
          <w:rtl w:val="true"/>
          <w:lang w:bidi="fa-IR"/>
        </w:rPr>
        <w:t>ورکبتیه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1840969_2322387425"/>
      <w:bookmarkStart w:id="548" w:name="_Toc202"/>
      <w:bookmarkEnd w:id="547"/>
      <w:r>
        <w:rPr>
          <w:rtl w:val="true"/>
        </w:rPr>
        <w:t>الثانی</w:t>
      </w:r>
      <w:r>
        <w:rPr>
          <w:rtl w:val="true"/>
        </w:rPr>
        <w:t xml:space="preserve">: </w:t>
      </w:r>
      <w:r>
        <w:rPr>
          <w:rtl w:val="true"/>
        </w:rPr>
        <w:t>الذکر</w:t>
      </w:r>
      <w:bookmarkEnd w:id="54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والأحوط</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مهدی الشیرازی،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وإن کُنّا رجّحنا کفایة مطلق الذکر فی حاشیة الوسیلة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 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التسبیح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یجزی مطلق الذکر، والأحوط اختیار التسبیح، ویجوز الجمع بین التسبیحة الکبری وبین غیرها من الأذکار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أفراده، مخیّراً بین الثلاث من الصغری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التسبیحة الکبری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وبحمده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w:t>
      </w:r>
      <w:bookmarkStart w:id="549" w:name="pg13278_326546"/>
    </w:p>
    <w:p>
      <w:pPr>
        <w:pStyle w:val="BookText"/>
        <w:rPr/>
      </w:pPr>
      <w:bookmarkEnd w:id="549"/>
      <w:r>
        <w:rPr>
          <w:rFonts w:ascii="IRNazanin" w:hAnsi="IRNazanin" w:eastAsia="IRNazanin"/>
          <w:color w:val="111111"/>
          <w:sz w:val="28"/>
          <w:sz w:val="28"/>
          <w:szCs w:val="28"/>
          <w:rtl w:val="true"/>
          <w:lang w:bidi="fa-IR"/>
        </w:rPr>
        <w:t>الأقوی</w:t>
      </w:r>
      <w:r>
        <w:rPr>
          <w:rStyle w:val="FootnoteAnchor"/>
          <w:rtl w:val="true"/>
        </w:rPr>
        <w:footnoteReference w:id="717"/>
      </w:r>
      <w:r>
        <w:rPr>
          <w:rFonts w:ascii="IRNazanin" w:hAnsi="IRNazanin" w:eastAsia="IRNazanin"/>
          <w:color w:val="111111"/>
          <w:sz w:val="28"/>
          <w:sz w:val="28"/>
          <w:szCs w:val="28"/>
          <w:rtl w:val="true"/>
          <w:lang w:bidi="fa-IR"/>
        </w:rPr>
        <w:t>کفایة</w:t>
      </w:r>
      <w:r>
        <w:rPr>
          <w:rStyle w:val="FootnoteAnchor"/>
          <w:rtl w:val="true"/>
        </w:rPr>
        <w:footnoteReference w:id="718"/>
      </w:r>
      <w:r>
        <w:rPr>
          <w:rFonts w:ascii="IRNazanin" w:hAnsi="IRNazanin" w:eastAsia="IRNazanin"/>
          <w:color w:val="111111"/>
          <w:sz w:val="28"/>
          <w:sz w:val="28"/>
          <w:szCs w:val="28"/>
          <w:rtl w:val="true"/>
          <w:lang w:bidi="fa-IR"/>
        </w:rPr>
        <w:t>مطلق الذکر من التسبیح أو التحمید أو التهلیل أو التکبیر، بل وغیرها بشرط</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الاشتراط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بقدر الثلاث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أحوط، وعدمه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الصغریات، فیجزی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أو نحو ذلک</w:t>
      </w:r>
      <w:r>
        <w:rPr>
          <w:rFonts w:eastAsia="IRNazanin" w:cs="IRNazanin"/>
          <w:color w:val="111111"/>
          <w:sz w:val="28"/>
          <w:szCs w:val="28"/>
          <w:rtl w:val="true"/>
          <w:lang w:bidi="fa-IR"/>
        </w:rPr>
        <w:t>.</w:t>
      </w:r>
    </w:p>
    <w:p>
      <w:pPr>
        <w:pStyle w:val="Heading3"/>
        <w:numPr>
          <w:ilvl w:val="2"/>
          <w:numId w:val="1"/>
        </w:numPr>
        <w:rPr/>
      </w:pPr>
      <w:bookmarkStart w:id="550" w:name="__RefHeading___Toc1840971_2322387425"/>
      <w:bookmarkStart w:id="551" w:name="_Toc203"/>
      <w:bookmarkEnd w:id="550"/>
      <w:r>
        <w:rPr>
          <w:rtl w:val="true"/>
        </w:rPr>
        <w:t>الثالث</w:t>
      </w:r>
      <w:r>
        <w:rPr>
          <w:rtl w:val="true"/>
        </w:rPr>
        <w:t xml:space="preserve">: </w:t>
      </w:r>
      <w:r>
        <w:rPr>
          <w:rtl w:val="true"/>
        </w:rPr>
        <w:t>الطمأمنینة</w:t>
      </w:r>
      <w:bookmarkEnd w:id="55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بمعنی المکث بمقدار الذکر الواجب مقدّمة للإتیان به ، وأمّا بمعنی استقرار بدن المصلّی فهو معتبر فی نفس الرکوع، فلا یجوز الإخلال به ما لم یتحرّک لرفع الرأس منه ولو فی حال عدم الاشتغال بالذکر الواجب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الذکر الواجب، بل الأحوط ذلک فی</w:t>
      </w:r>
      <w:bookmarkStart w:id="552" w:name="pg13278_326547"/>
    </w:p>
    <w:p>
      <w:pPr>
        <w:pStyle w:val="BookText"/>
        <w:rPr/>
      </w:pPr>
      <w:bookmarkEnd w:id="552"/>
      <w:r>
        <w:rPr>
          <w:rFonts w:ascii="IRNazanin" w:hAnsi="IRNazanin" w:eastAsia="IRNazanin"/>
          <w:color w:val="111111"/>
          <w:sz w:val="28"/>
          <w:sz w:val="28"/>
          <w:szCs w:val="28"/>
          <w:rtl w:val="true"/>
          <w:lang w:bidi="fa-IR"/>
        </w:rPr>
        <w:t>الذکر المندوب</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وجوب الطمأنینة فی تمام أفعال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جاء به بقصد الخصوصیّة، فلو ترکها عمداً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الذکر الواجب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بترک الطمأنینة فی الذکر المندوب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ترک الطمأنینة فی الذکر الواجب عامداً بطلت صلاته، وإذا ترکها فی الذکر المندوب عامداً أثِم ولم تبطل صلاته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فی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الأصحّ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 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ترکها فیه أصلاً ولو سهواً، بل وکذلک إذا ترکها فی الذکر الواجب</w:t>
      </w:r>
      <w:r>
        <w:rPr>
          <w:rFonts w:eastAsia="IRNazanin" w:cs="IRNazanin"/>
          <w:color w:val="111111"/>
          <w:sz w:val="28"/>
          <w:szCs w:val="28"/>
          <w:rtl w:val="true"/>
          <w:lang w:bidi="fa-IR"/>
        </w:rPr>
        <w:t>.</w:t>
      </w:r>
    </w:p>
    <w:p>
      <w:pPr>
        <w:pStyle w:val="Heading3"/>
        <w:numPr>
          <w:ilvl w:val="2"/>
          <w:numId w:val="1"/>
        </w:numPr>
        <w:rPr/>
      </w:pPr>
      <w:bookmarkStart w:id="553" w:name="__RefHeading___Toc1840973_2322387425"/>
      <w:bookmarkStart w:id="554" w:name="_Toc204"/>
      <w:bookmarkEnd w:id="553"/>
      <w:r>
        <w:rPr>
          <w:rtl w:val="true"/>
        </w:rPr>
        <w:t>الرابع</w:t>
      </w:r>
      <w:r>
        <w:rPr>
          <w:rtl w:val="true"/>
        </w:rPr>
        <w:t xml:space="preserve">: </w:t>
      </w:r>
      <w:r>
        <w:rPr>
          <w:rtl w:val="true"/>
        </w:rPr>
        <w:t>الانتصاب بعد الرکوع</w:t>
      </w:r>
      <w:bookmarkEnd w:id="55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Style w:val="FootnoteAnchor"/>
          <w:rtl w:val="true"/>
        </w:rPr>
        <w:footnoteReference w:id="722"/>
      </w:r>
      <w:r>
        <w:rPr>
          <w:rFonts w:ascii="IRNazanin" w:hAnsi="IRNazanin" w:eastAsia="IRNazanin"/>
          <w:color w:val="111111"/>
          <w:sz w:val="28"/>
          <w:sz w:val="28"/>
          <w:szCs w:val="28"/>
          <w:rtl w:val="true"/>
          <w:lang w:bidi="fa-IR"/>
        </w:rPr>
        <w:t xml:space="preserve">الرأس منه حتّی ینتصب قائماً، فلو سجد قبل ذلک </w:t>
      </w:r>
      <w:bookmarkStart w:id="555" w:name="pg13278_326548"/>
    </w:p>
    <w:p>
      <w:pPr>
        <w:pStyle w:val="BookText"/>
        <w:rPr/>
      </w:pPr>
      <w:bookmarkEnd w:id="555"/>
      <w:r>
        <w:rPr>
          <w:rFonts w:ascii="Amiri" w:hAnsi="Amiri" w:eastAsia="Amiri" w:cs="Amiri"/>
          <w:color w:val="111111"/>
          <w:sz w:val="28"/>
          <w:sz w:val="28"/>
          <w:szCs w:val="28"/>
          <w:rtl w:val="true"/>
          <w:lang w:bidi="ar-SA"/>
        </w:rPr>
        <w:t>عامداً بطلت</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الذکر الواجب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Heading3"/>
        <w:numPr>
          <w:ilvl w:val="2"/>
          <w:numId w:val="1"/>
        </w:numPr>
        <w:rPr/>
      </w:pPr>
      <w:bookmarkStart w:id="556" w:name="__RefHeading___Toc1840975_2322387425"/>
      <w:bookmarkStart w:id="557" w:name="_Toc205"/>
      <w:bookmarkEnd w:id="556"/>
      <w:r>
        <w:rPr>
          <w:rtl w:val="true"/>
        </w:rPr>
        <w:t>الخامس الطمأنینة حا القیام من الرکوع</w:t>
      </w:r>
      <w:bookmarkEnd w:id="55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القیام بعد الرفع، فَتَرکُها عمداً مبطل للصلاة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840977_2322387425"/>
      <w:bookmarkStart w:id="559" w:name="_Toc206"/>
      <w:bookmarkEnd w:id="558"/>
      <w:r>
        <w:rPr>
          <w:rtl w:val="true"/>
        </w:rPr>
        <w:t>عدم وجوب وضع الیدین علی الرکبتین</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ینبغی ترک الاحتیاط بوضعهما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الجزم بعدم الوجوب شائبة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هو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وضعهما علیهما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هو الأحوط،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ترکه؛ لظهور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الرکوع،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بوضع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الترک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الرکبتین حال</w:t>
      </w:r>
      <w:bookmarkStart w:id="560" w:name="pg13278_326549"/>
    </w:p>
    <w:p>
      <w:pPr>
        <w:pStyle w:val="BookText"/>
        <w:rPr/>
      </w:pPr>
      <w:bookmarkEnd w:id="560"/>
      <w:r>
        <w:rPr>
          <w:rFonts w:ascii="IRNazanin" w:hAnsi="IRNazanin" w:eastAsia="IRNazanin"/>
          <w:color w:val="111111"/>
          <w:sz w:val="28"/>
          <w:sz w:val="28"/>
          <w:szCs w:val="28"/>
          <w:rtl w:val="true"/>
          <w:lang w:bidi="fa-IR"/>
        </w:rPr>
        <w:t>الرکوع</w:t>
      </w:r>
      <w:r>
        <w:rPr>
          <w:rStyle w:val="FootnoteAnchor"/>
          <w:rtl w:val="true"/>
        </w:rPr>
        <w:footnoteReference w:id="726"/>
      </w:r>
      <w:r>
        <w:rPr>
          <w:rFonts w:ascii="IRNazanin" w:hAnsi="IRNazanin" w:eastAsia="IRNazanin"/>
          <w:color w:val="111111"/>
          <w:sz w:val="28"/>
          <w:sz w:val="28"/>
          <w:szCs w:val="28"/>
          <w:rtl w:val="true"/>
          <w:lang w:bidi="fa-IR"/>
        </w:rPr>
        <w:t>، بل یکفی الانحناء بمقدار إمکان الوضع، کما مرّ</w:t>
      </w:r>
      <w:r>
        <w:rPr>
          <w:rFonts w:eastAsia="IRNazanin" w:cs="IRNazanin"/>
          <w:color w:val="111111"/>
          <w:sz w:val="28"/>
          <w:szCs w:val="28"/>
          <w:rtl w:val="true"/>
          <w:lang w:bidi="fa-IR"/>
        </w:rPr>
        <w:t>.</w:t>
      </w:r>
    </w:p>
    <w:p>
      <w:pPr>
        <w:pStyle w:val="Heading3"/>
        <w:numPr>
          <w:ilvl w:val="2"/>
          <w:numId w:val="1"/>
        </w:numPr>
        <w:rPr/>
      </w:pPr>
      <w:bookmarkStart w:id="561" w:name="__RefHeading___Toc1840979_2322387425"/>
      <w:bookmarkStart w:id="562" w:name="_Toc207"/>
      <w:bookmarkEnd w:id="561"/>
      <w:r>
        <w:rPr>
          <w:rtl w:val="true"/>
        </w:rPr>
        <w:t>العجز عن الانحناء للرکوع</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الانحناء علی الوجه المذکور ولو بالاعتماد علی شیء أتی</w:t>
      </w:r>
      <w:r>
        <w:rPr>
          <w:rStyle w:val="FootnoteAnchor"/>
          <w:rtl w:val="true"/>
        </w:rPr>
        <w:footnoteReference w:id="727"/>
      </w:r>
      <w:r>
        <w:rPr>
          <w:rFonts w:ascii="IRNazanin" w:hAnsi="IRNazanin" w:eastAsia="IRNazanin"/>
          <w:color w:val="111111"/>
          <w:sz w:val="28"/>
          <w:sz w:val="28"/>
          <w:szCs w:val="28"/>
          <w:rtl w:val="true"/>
          <w:lang w:bidi="fa-IR"/>
        </w:rPr>
        <w:t>بالقدر الممکن</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فالأحوط تکرار الصلاة بالنحوین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الإیماء قائماً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ویومئ معه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مع الإیماء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إن لم یتمکّن من الرکوع جالساً یتعیّن علیه الإیماء للرکوع، ولا یجب الانحناء الممکن، وإن تمکّن منه یتخیّر بین الإیماء قائماً والرکوع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بما یصدق علیه الرکوع عرفاً ، وإن لم یتمکّن منه تعیّن الإیماء قائماً بدلاً عنه، سواء تمکّن من الانحناء قلیلاً أم لا ، ولا تصل النوبة إلی الرکوع الجلوسی مع التمکّن من الإیماء قائماً مطلقاً، ومنه یظهر النظر فی بعض 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ینتقل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الجلوس،</w:t>
      </w:r>
    </w:p>
    <w:p>
      <w:pPr>
        <w:pStyle w:val="BookText"/>
        <w:rPr/>
      </w:pPr>
      <w:r>
        <w:rPr>
          <w:rFonts w:ascii="Amiri" w:hAnsi="Amiri" w:eastAsia="Amiri" w:cs="Amiri"/>
          <w:color w:val="111111"/>
          <w:sz w:val="28"/>
          <w:sz w:val="28"/>
          <w:szCs w:val="28"/>
          <w:rtl w:val="true"/>
          <w:lang w:bidi="ar-SA"/>
        </w:rPr>
        <w:t>وإن تمکّن</w:t>
      </w:r>
      <w:r>
        <w:rPr>
          <w:rStyle w:val="FootnoteAnchor"/>
          <w:rtl w:val="true"/>
        </w:rPr>
        <w:footnoteReference w:id="729"/>
      </w:r>
      <w:r>
        <w:rPr>
          <w:rFonts w:ascii="IRNazanin" w:hAnsi="IRNazanin" w:eastAsia="IRNazanin"/>
          <w:color w:val="111111"/>
          <w:sz w:val="28"/>
          <w:sz w:val="28"/>
          <w:szCs w:val="28"/>
          <w:rtl w:val="true"/>
          <w:lang w:bidi="fa-IR"/>
        </w:rPr>
        <w:t>من الرکوع</w:t>
      </w:r>
      <w:r>
        <w:rPr>
          <w:rStyle w:val="FootnoteAnchor"/>
          <w:rtl w:val="true"/>
        </w:rPr>
        <w:footnoteReference w:id="730"/>
      </w:r>
      <w:r>
        <w:rPr>
          <w:rFonts w:ascii="IRNazanin" w:hAnsi="IRNazanin" w:eastAsia="IRNazanin"/>
          <w:color w:val="111111"/>
          <w:sz w:val="28"/>
          <w:sz w:val="28"/>
          <w:szCs w:val="28"/>
          <w:rtl w:val="true"/>
          <w:lang w:bidi="fa-IR"/>
        </w:rPr>
        <w:t>منه، وإن لم یتمکّن من الانحناء أصلاً وتمکّن منه</w:t>
      </w:r>
      <w:r>
        <w:rPr>
          <w:rStyle w:val="FootnoteAnchor"/>
          <w:rtl w:val="true"/>
        </w:rPr>
        <w:footnoteReference w:id="731"/>
      </w:r>
      <w:r>
        <w:rPr>
          <w:rFonts w:ascii="Amiri" w:hAnsi="Amiri" w:eastAsia="Amiri" w:cs="Amiri"/>
          <w:color w:val="111111"/>
          <w:sz w:val="28"/>
          <w:sz w:val="28"/>
          <w:szCs w:val="28"/>
          <w:rtl w:val="true"/>
          <w:lang w:bidi="ar-SA"/>
        </w:rPr>
        <w:t>جالساً</w:t>
      </w:r>
      <w:r>
        <w:rPr>
          <w:rStyle w:val="FootnoteAnchor"/>
          <w:rtl w:val="true"/>
        </w:rPr>
        <w:footnoteReference w:id="732"/>
      </w:r>
      <w:r>
        <w:rPr>
          <w:rFonts w:ascii="IRNazanin" w:hAnsi="IRNazanin" w:eastAsia="IRNazanin"/>
          <w:color w:val="111111"/>
          <w:sz w:val="28"/>
          <w:sz w:val="28"/>
          <w:szCs w:val="28"/>
          <w:rtl w:val="true"/>
          <w:lang w:bidi="fa-IR"/>
        </w:rPr>
        <w:t>أتی به</w:t>
      </w:r>
      <w:r>
        <w:rPr>
          <w:rStyle w:val="FootnoteAnchor"/>
          <w:rtl w:val="true"/>
        </w:rPr>
        <w:footnoteReference w:id="733"/>
      </w:r>
      <w:r>
        <w:rPr>
          <w:rFonts w:ascii="Amiri" w:hAnsi="Amiri" w:eastAsia="Amiri" w:cs="Amiri"/>
          <w:color w:val="111111"/>
          <w:sz w:val="28"/>
          <w:sz w:val="28"/>
          <w:szCs w:val="28"/>
          <w:rtl w:val="true"/>
          <w:lang w:bidi="ar-SA"/>
        </w:rPr>
        <w:t>جالساً</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وجوب الإیماء قائماً، والأحوط تکرار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أنّ مقتضی الاحتیاط أن یأتی بصلاة اُخری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الصلاة الواحدة مع الإیماء کافیة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بالإیماء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کفایتها بلا حاجة إلی الصلاة جالساً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قائماً، وإن لم یتمکّن منه جالساً أیضاً أومأ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وهو قائم برأسه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أمکن، وإلاّ فبالعینین تغمیضاً له، وفتحاً للرفع منه، وإن لم</w:t>
      </w:r>
      <w:bookmarkStart w:id="563" w:name="pg13278_326551"/>
    </w:p>
    <w:p>
      <w:pPr>
        <w:pStyle w:val="BookText"/>
        <w:rPr/>
      </w:pPr>
      <w:bookmarkEnd w:id="563"/>
      <w:r>
        <w:rPr>
          <w:rFonts w:ascii="IRNazanin" w:hAnsi="IRNazanin" w:eastAsia="IRNazanin"/>
          <w:color w:val="111111"/>
          <w:sz w:val="28"/>
          <w:sz w:val="28"/>
          <w:szCs w:val="28"/>
          <w:rtl w:val="true"/>
          <w:lang w:bidi="fa-IR"/>
        </w:rPr>
        <w:t>یتمکّن من ذلک أیضاً نواه بقلبه</w:t>
      </w:r>
      <w:r>
        <w:rPr>
          <w:rStyle w:val="FootnoteAnchor"/>
          <w:rtl w:val="true"/>
        </w:rPr>
        <w:footnoteReference w:id="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إلیه بیده أو نحوها مع ذلک علی الأحوط، ولو کان متمکّناً من الإیماء جالساً فالأحوط الجمع بین الکیفیّتین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وأتی بالذکر 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1840981_2322387425"/>
      <w:bookmarkStart w:id="565" w:name="_Toc208"/>
      <w:bookmarkEnd w:id="564"/>
      <w:r>
        <w:rPr>
          <w:rtl w:val="true"/>
        </w:rPr>
        <w:t>حکم الرکوع جالساً مع الانحناء و قائماً مومئاً</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الرکوع جالساً مع الانحناء فی الجملة وقائماً مومئاً لا یبعد</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تقدیم الأوّل، لکن لا یُترک الاحتیاط بالتکرار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تقدیم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الأظهر، ورعایة 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3278_326552"/>
    </w:p>
    <w:p>
      <w:pPr>
        <w:pStyle w:val="Heading3"/>
        <w:numPr>
          <w:ilvl w:val="2"/>
          <w:numId w:val="1"/>
        </w:numPr>
        <w:rPr/>
      </w:pPr>
      <w:bookmarkStart w:id="567" w:name="__RefHeading___Toc1840983_2322387425"/>
      <w:bookmarkStart w:id="568" w:name="_Toc209"/>
      <w:bookmarkEnd w:id="566"/>
      <w:bookmarkEnd w:id="567"/>
      <w:r>
        <w:rPr>
          <w:rtl w:val="true"/>
        </w:rPr>
        <w:t>التمکن من الرکوع الاختیاری بعد العجز</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بالرکوع جالساً</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الکلّی فی أمثال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ورفع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حصل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التمکّن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القیام 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لا یجوز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إعادته قائماً، بل لا یجب علیه 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للسجود خصوصاً إذا کان بعد السمعلة،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وقد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 محمد الشیرازی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ویوءتی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تُترک الاحتیاطات فی هذه المسألة مع جمیع ما ذکر، ثمّ إعادة الصلاة مع سعة الوقت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إعادته بعد إتمامه بالانحناء الغیر</w:t>
      </w:r>
    </w:p>
    <w:p>
      <w:pPr>
        <w:pStyle w:val="BookText"/>
        <w:rPr/>
      </w:pPr>
      <w:r>
        <w:rPr>
          <w:rFonts w:ascii="Amiri" w:hAnsi="Amiri" w:eastAsia="Amiri" w:cs="Amiri"/>
          <w:color w:val="111111"/>
          <w:sz w:val="28"/>
          <w:sz w:val="28"/>
          <w:szCs w:val="28"/>
          <w:rtl w:val="true"/>
          <w:lang w:bidi="ar-SA"/>
        </w:rPr>
        <w:t>التامّ</w:t>
      </w:r>
      <w:r>
        <w:rPr>
          <w:rStyle w:val="FootnoteAnchor"/>
          <w:rtl w:val="true"/>
        </w:rPr>
        <w:footnoteReference w:id="738"/>
      </w:r>
      <w:r>
        <w:rPr>
          <w:rFonts w:ascii="IRNazanin" w:hAnsi="IRNazanin" w:eastAsia="IRNazanin"/>
          <w:color w:val="111111"/>
          <w:sz w:val="28"/>
          <w:sz w:val="28"/>
          <w:szCs w:val="28"/>
          <w:rtl w:val="true"/>
          <w:lang w:bidi="fa-IR"/>
        </w:rPr>
        <w:t>، وأمّا لو حصل له التمکّن فی أثناء الرکوع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تمام الذکر الواجب یجتزئ به</w:t>
      </w:r>
      <w:r>
        <w:rPr>
          <w:rStyle w:val="FootnoteAnchor"/>
          <w:rtl w:val="true"/>
        </w:rPr>
        <w:footnoteReference w:id="739"/>
      </w:r>
      <w:r>
        <w:rPr>
          <w:rFonts w:ascii="IRNazanin" w:hAnsi="IRNazanin" w:eastAsia="IRNazanin"/>
          <w:color w:val="111111"/>
          <w:sz w:val="28"/>
          <w:sz w:val="28"/>
          <w:szCs w:val="28"/>
          <w:rtl w:val="true"/>
          <w:lang w:bidi="fa-IR"/>
        </w:rPr>
        <w:t>، لکن یجب علیه الانتصاب</w:t>
      </w:r>
      <w:r>
        <w:rPr>
          <w:rStyle w:val="FootnoteAnchor"/>
          <w:rtl w:val="true"/>
        </w:rPr>
        <w:footnoteReference w:id="740"/>
      </w:r>
      <w:r>
        <w:rPr>
          <w:rFonts w:ascii="IRNazanin" w:hAnsi="IRNazanin" w:eastAsia="IRNazanin"/>
          <w:color w:val="111111"/>
          <w:sz w:val="28"/>
          <w:sz w:val="28"/>
          <w:szCs w:val="28"/>
          <w:rtl w:val="true"/>
          <w:lang w:bidi="fa-IR"/>
        </w:rPr>
        <w:t>للقیام بعد الرفع، وإن حصل قبل الشروع فیه أو قبل تمام الذکر یجب علیه أن یقوم منحنیاً</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بالذکر رجاءً، ثمّ القیام منحنیاً إلی حدّ الرکوع وإعادة الذکر رجاءً، وکذا الکلام فی الصورة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بالذکر أو إتمامه فی تلک الحالة رجاءً، ثمّ القیام منحنیاً إلی حدّ الرکوع القیامی، وإعادة الذکر، کما فی المتن، لکن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إتیان الذکر رجاءً فی الرکوع وما یأتی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حدّ الرکوع القیامی، ثمّ إتمام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بالذکر فی کِلتا الحالَتَین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والقیام بعده، والأحوط</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ذلک</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حاجة إلی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ملزم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الاکتفاء بذلک غیر بعید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یخلو وجوبها من قوّة فی فروض هذه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سعة الوقت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حصل فی أثناء الرکوع بالانحناء الغیر التامّ أو فی أثناء الرکوع الإیمائیّ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الاکتفاء بالأوّل، وعدم لزوم 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بالنسبة إلی الانحناء إلی حدّ الرکوع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خصوصاً فی الانحناء الغیر التامّ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الانحناء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ولا تجب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حدّ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فی جمیع هذه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بلا حاجة إلی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وإعادة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مراعاتها فی هذه الفروض المذکورة فی هذه المسألة مع سعة الوقت، ومع الضیق یقتصر علی إعادة الجزء إن لم یلزم محذور زیادة الرکن، وإن لزم فالأحوط الإتمام والقضاء، کما تقدّم فی مبحث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تُترک الإعادة فی جمیع الفروض المذکورة فی هذه المسألة مع سعة الوقت، ومع الضیق یُقتصر علی إعادة الجزء إن لم یلزم محذور زیادة الرکن، وإن لزم فالأحوط الإتمام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إعادة الصلاة فی الفرض الأول مع ضیق الوقت، وعلیه الإعادة فی الفرض الثانی، سواء انحنی إلی حدّ الرکوع بعد الرکوع الإیمائیّ أم لا، وسواء کانت الإعادة فی الوقت أم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3278_326555"/>
    </w:p>
    <w:p>
      <w:pPr>
        <w:pStyle w:val="Heading3"/>
        <w:numPr>
          <w:ilvl w:val="2"/>
          <w:numId w:val="1"/>
        </w:numPr>
        <w:rPr/>
      </w:pPr>
      <w:bookmarkStart w:id="570" w:name="__RefHeading___Toc1840985_2322387425"/>
      <w:bookmarkStart w:id="571" w:name="_Toc210"/>
      <w:bookmarkEnd w:id="569"/>
      <w:bookmarkEnd w:id="570"/>
      <w:r>
        <w:rPr>
          <w:rtl w:val="true"/>
        </w:rPr>
        <w:t>زیادة الرکوع الجلوسی أو الإیمائی</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الرکوع الجلوسیّ والإیمائیّ</w:t>
      </w:r>
      <w:r>
        <w:rPr>
          <w:rStyle w:val="FootnoteAnchor"/>
          <w:rtl w:val="true"/>
        </w:rPr>
        <w:footnoteReference w:id="743"/>
      </w:r>
      <w:r>
        <w:rPr>
          <w:rFonts w:ascii="Amiri" w:hAnsi="Amiri" w:eastAsia="Amiri" w:cs="Amiri"/>
          <w:color w:val="111111"/>
          <w:sz w:val="28"/>
          <w:sz w:val="28"/>
          <w:szCs w:val="28"/>
          <w:rtl w:val="true"/>
          <w:lang w:bidi="ar-SA"/>
        </w:rPr>
        <w:t>مبطلة</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بالبطلان بالزیادة أو النقیصة مبنیّ علی الاحتیاط؛ فإنّ بَدَلَ الرکوع ـ أی الإیماء أو النیّة القلبیة ـ لا یکون مصداقاً للرکوع، لا لغةً ولا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کنقیصته</w:t>
      </w:r>
      <w:r>
        <w:rPr>
          <w:rFonts w:eastAsia="IRNazanin" w:cs="IRNazanin"/>
          <w:color w:val="111111"/>
          <w:sz w:val="28"/>
          <w:szCs w:val="28"/>
          <w:rtl w:val="true"/>
          <w:lang w:bidi="fa-IR"/>
        </w:rPr>
        <w:t>.</w:t>
      </w:r>
    </w:p>
    <w:p>
      <w:pPr>
        <w:pStyle w:val="Heading3"/>
        <w:numPr>
          <w:ilvl w:val="2"/>
          <w:numId w:val="1"/>
        </w:numPr>
        <w:rPr/>
      </w:pPr>
      <w:bookmarkStart w:id="572" w:name="__RefHeading___Toc1840987_2322387425"/>
      <w:bookmarkStart w:id="573" w:name="_Toc211"/>
      <w:bookmarkEnd w:id="572"/>
      <w:r>
        <w:rPr>
          <w:rtl w:val="true"/>
        </w:rPr>
        <w:t>حکم من کان کالراکع خلقة أو بالعارض</w:t>
      </w:r>
      <w:bookmarkEnd w:id="57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کالراکع خلقةً أو 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تمکّن من الانتصاب</w:t>
      </w:r>
      <w:r>
        <w:rPr>
          <w:rStyle w:val="FootnoteAnchor"/>
          <w:rtl w:val="true"/>
        </w:rPr>
        <w:footnoteReference w:id="745"/>
      </w:r>
      <w:r>
        <w:rPr>
          <w:rFonts w:ascii="IRNazanin" w:hAnsi="IRNazanin" w:eastAsia="IRNazanin"/>
          <w:color w:val="111111"/>
          <w:sz w:val="28"/>
          <w:sz w:val="28"/>
          <w:szCs w:val="28"/>
          <w:rtl w:val="true"/>
          <w:lang w:bidi="fa-IR"/>
        </w:rPr>
        <w:t>ولو بالاعتماد علی شیءٍ وجب علیه ذلک لتحصیل القیام الواجب حال القراءة</w:t>
      </w:r>
      <w:r>
        <w:rPr>
          <w:rStyle w:val="FootnoteAnchor"/>
          <w:rtl w:val="true"/>
        </w:rPr>
        <w:footnoteReference w:id="746"/>
      </w:r>
      <w:r>
        <w:rPr>
          <w:rFonts w:ascii="IRNazanin" w:hAnsi="IRNazanin" w:eastAsia="IRNazanin"/>
          <w:color w:val="111111"/>
          <w:sz w:val="28"/>
          <w:sz w:val="28"/>
          <w:szCs w:val="28"/>
          <w:rtl w:val="true"/>
          <w:lang w:bidi="fa-IR"/>
        </w:rPr>
        <w:t>وللرکوع</w:t>
      </w:r>
      <w:r>
        <w:rPr>
          <w:rStyle w:val="FootnoteAnchor"/>
          <w:rtl w:val="true"/>
        </w:rPr>
        <w:footnoteReference w:id="747"/>
      </w:r>
      <w:r>
        <w:rPr>
          <w:rFonts w:ascii="IRNazanin" w:hAnsi="IRNazanin" w:eastAsia="IRNazanin"/>
          <w:color w:val="111111"/>
          <w:sz w:val="28"/>
          <w:sz w:val="28"/>
          <w:szCs w:val="28"/>
          <w:rtl w:val="true"/>
          <w:lang w:bidi="fa-IR"/>
        </w:rPr>
        <w:t xml:space="preserve">، وإلاّ فللرکوع فقط، فیقوم </w:t>
      </w:r>
    </w:p>
    <w:p>
      <w:pPr>
        <w:pStyle w:val="BookText"/>
        <w:rPr/>
      </w:pPr>
      <w:r>
        <w:rPr>
          <w:rFonts w:ascii="IRNazanin" w:hAnsi="IRNazanin" w:eastAsia="IRNazanin"/>
          <w:color w:val="111111"/>
          <w:sz w:val="28"/>
          <w:sz w:val="28"/>
          <w:szCs w:val="28"/>
          <w:rtl w:val="true"/>
          <w:lang w:bidi="fa-IR"/>
        </w:rPr>
        <w:t>وینحنی، وإن لم یتمکّن من ذلک لکن تمکّن من الانتصاب فی الجملة فکذلک</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بما ذکر مشکل، ومقتضی الاحتیاط الجمع بینه وبین الإیماء، کما أنّ الأمر کذلک بالنسبة إلی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وإن لم یتمکّن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تمکّن من الانحناء أزید من المقدار الحاصل بحیث لا یخرج عن حدّ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بینه وبین الإیماء، مع قصده ما هو الرکوع فی علم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کفایة الإیماء حینئذٍ، وإن کان الجمع بینه وبین ما فی المتن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لزوم الإیماء حینئذٍ والاجتزاء به، والأحوط ضمّ ما فی المتن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یجب، ویتعیّن علیه الإیماء، کالصورة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یتمکّن من الزیادة أو کان علی أقصی مراتب الرکوع بحیث لو انحنی أزید خرج عن حدّه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الاجتزاء بإتیانه علی حاله، مع قصد جزمیّة بقائه علی هذه الحالة، وعدم إعدامها بإحداث حالة اُخری من قعود وغیره فی صلاته؛ إذ یکفی هذا المقدار من الاختیاریّة فی وقوع العمل جزءاً للصلاة بلا احتیاجٍ إلی الاختیار فی إحداثه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التمکّن من حالة اُخری غیر هذه الحالة یجب علیه الإیماء؛ لخروج انحنائه حینئذٍ عن الاختیاریّة، فلا تصلح حینئذٍ للجزئیّة للعبادة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قصده من البقاء علی هذه الحالة، والإیماء ما هو الرکوع منهما فی علم اللّه، وکذا الکلام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یتمکّن من الرکوع جالساً، وإلاّ فالأحوط تکرار الصلاة، ومع الدوران لا یبعد تقدیم الرکوع من جلوس علی الإیماء والغمض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الإیماء</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الاُولی فیه وفی 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له الانحناء لو 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یکفیه قصد الرکوع علی حالته، وإن کان ما ذکره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ینحنی یسیراً فإنّ ذلک رکوع مثله، والأحوط له الإیماء، ویقصد الرکوع بأحدهما ما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یمکن فبالعینین له تغمیضاً، وللرفع منه فتحاً، وإلاّ فینوی به قلباً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ما مرّ فی التعلیق علی المسألة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w:t>
      </w:r>
      <w:bookmarkStart w:id="574" w:name="pg13278_326558"/>
    </w:p>
    <w:p>
      <w:pPr>
        <w:pStyle w:val="BookText"/>
        <w:rPr/>
      </w:pPr>
      <w:bookmarkEnd w:id="574"/>
      <w:r>
        <w:rPr>
          <w:rFonts w:ascii="IRNazanin" w:hAnsi="IRNazanin" w:eastAsia="IRNazanin"/>
          <w:color w:val="111111"/>
          <w:sz w:val="28"/>
          <w:sz w:val="28"/>
          <w:szCs w:val="28"/>
          <w:rtl w:val="true"/>
          <w:lang w:bidi="fa-IR"/>
        </w:rPr>
        <w:t>بالذکر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840989_2322387425"/>
      <w:bookmarkStart w:id="576" w:name="_Toc212"/>
      <w:bookmarkEnd w:id="575"/>
      <w:r>
        <w:rPr>
          <w:rtl w:val="true"/>
        </w:rPr>
        <w:t>اعتبار قصد الرکوع فی الانحناء</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الانحناء أن یکون بقصد الرکوع ولو إجمالاً بالبقاء علی نیّته فی أوّل الصلاة بأن لا ینوی الخلاف، فلو انحنی بقصد وضع شیء علی الأرض أو رفعه أو قتل عقرب أو حیّة أو نحو ذلک لا یکفی فی جعله</w:t>
      </w:r>
      <w:r>
        <w:rPr>
          <w:rStyle w:val="FootnoteAnchor"/>
          <w:rtl w:val="true"/>
        </w:rPr>
        <w:footnoteReference w:id="751"/>
      </w:r>
      <w:r>
        <w:rPr>
          <w:rFonts w:ascii="IRNazanin" w:hAnsi="IRNazanin" w:eastAsia="IRNazanin"/>
          <w:color w:val="111111"/>
          <w:sz w:val="28"/>
          <w:sz w:val="28"/>
          <w:szCs w:val="28"/>
          <w:rtl w:val="true"/>
          <w:lang w:bidi="fa-IR"/>
        </w:rPr>
        <w:t>رکوعاً، بل لابدّ من القیام، ثمّ الانحناء</w:t>
      </w:r>
      <w:r>
        <w:rPr>
          <w:rStyle w:val="FootnoteAnchor"/>
          <w:rtl w:val="true"/>
        </w:rPr>
        <w:footnoteReference w:id="752"/>
      </w:r>
      <w:r>
        <w:rPr>
          <w:rFonts w:ascii="IRNazanin" w:hAnsi="IRNazanin" w:eastAsia="IRNazanin"/>
          <w:color w:val="111111"/>
          <w:sz w:val="28"/>
          <w:sz w:val="28"/>
          <w:szCs w:val="28"/>
          <w:rtl w:val="true"/>
          <w:lang w:bidi="fa-IR"/>
        </w:rPr>
        <w:t>للرکوع، ولا یلزم</w:t>
      </w:r>
      <w:r>
        <w:rPr>
          <w:rStyle w:val="FootnoteAnchor"/>
          <w:rtl w:val="true"/>
        </w:rPr>
        <w:footnoteReference w:id="753"/>
      </w:r>
      <w:r>
        <w:rPr>
          <w:rFonts w:ascii="IRNazanin" w:hAnsi="IRNazanin" w:eastAsia="IRNazanin"/>
          <w:color w:val="111111"/>
          <w:sz w:val="28"/>
          <w:sz w:val="28"/>
          <w:szCs w:val="28"/>
          <w:rtl w:val="true"/>
          <w:lang w:bidi="fa-IR"/>
        </w:rPr>
        <w:t>منه زیادة الرکن</w:t>
      </w:r>
      <w:r>
        <w:rPr>
          <w:rFonts w:eastAsia="IRNazanin" w:cs="IRNazanin"/>
          <w:color w:val="111111"/>
          <w:sz w:val="28"/>
          <w:szCs w:val="28"/>
          <w:rtl w:val="true"/>
          <w:lang w:bidi="fa-IR"/>
        </w:rPr>
        <w:t>.</w:t>
      </w:r>
    </w:p>
    <w:p>
      <w:pPr>
        <w:pStyle w:val="Heading3"/>
        <w:numPr>
          <w:ilvl w:val="2"/>
          <w:numId w:val="1"/>
        </w:numPr>
        <w:rPr/>
      </w:pPr>
      <w:bookmarkStart w:id="577" w:name="__RefHeading___Toc1840991_2322387425"/>
      <w:bookmarkStart w:id="578" w:name="_Toc213"/>
      <w:bookmarkEnd w:id="577"/>
      <w:r>
        <w:rPr>
          <w:rtl w:val="true"/>
        </w:rPr>
        <w:t>حکم الناسی للرکوع قبل السجود</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الرکوع فهوی إلی السجود وتذکّر قبل وضع جبهته علی الأرض رجع إلی القیام</w:t>
      </w:r>
      <w:r>
        <w:rPr>
          <w:rStyle w:val="FootnoteAnchor"/>
          <w:rtl w:val="true"/>
        </w:rPr>
        <w:footnoteReference w:id="754"/>
      </w:r>
      <w:r>
        <w:rPr>
          <w:rFonts w:ascii="IRNazanin" w:hAnsi="IRNazanin" w:eastAsia="IRNazanin"/>
          <w:color w:val="111111"/>
          <w:sz w:val="28"/>
          <w:sz w:val="28"/>
          <w:szCs w:val="28"/>
          <w:rtl w:val="true"/>
          <w:lang w:bidi="fa-IR"/>
        </w:rPr>
        <w:t>ثمّ رکع، ولا یکفی أن یقوم منحنیاً إلی حدّ الرکوع من دون أن ینتصب، وکذا</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تذکّر بعد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بطلان الصلاة بنسیان الرکوع والدخول فی السجدة الاُولی، والاحتیاط بما یذکره هو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البطلان فی هذه الصورة وتالیتها لا یخلو من قوّة، فلا یُترک ما فی المتن من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بعد</w:t>
      </w:r>
    </w:p>
    <w:p>
      <w:pPr>
        <w:pStyle w:val="BookText"/>
        <w:rPr/>
      </w:pPr>
      <w:r>
        <w:rPr>
          <w:rFonts w:ascii="IRNazanin" w:hAnsi="IRNazanin" w:eastAsia="IRNazanin"/>
          <w:color w:val="111111"/>
          <w:sz w:val="28"/>
          <w:sz w:val="28"/>
          <w:szCs w:val="28"/>
          <w:rtl w:val="true"/>
          <w:lang w:bidi="fa-IR"/>
        </w:rPr>
        <w:t>رفع</w:t>
      </w:r>
      <w:r>
        <w:rPr>
          <w:rStyle w:val="FootnoteAnchor"/>
          <w:rtl w:val="true"/>
        </w:rPr>
        <w:footnoteReference w:id="756"/>
      </w:r>
      <w:r>
        <w:rPr>
          <w:rFonts w:ascii="IRNazanin" w:hAnsi="IRNazanin" w:eastAsia="IRNazanin"/>
          <w:color w:val="111111"/>
          <w:sz w:val="28"/>
          <w:sz w:val="28"/>
          <w:szCs w:val="28"/>
          <w:rtl w:val="true"/>
          <w:lang w:bidi="fa-IR"/>
        </w:rPr>
        <w:t>الرأس من السجدة الاُولی قبل الدخول فی الثانیة</w:t>
      </w:r>
      <w:r>
        <w:rPr>
          <w:rStyle w:val="FootnoteAnchor"/>
          <w:rtl w:val="true"/>
        </w:rPr>
        <w:footnoteReference w:id="757"/>
      </w:r>
      <w:r>
        <w:rPr>
          <w:rFonts w:ascii="IRNazanin" w:hAnsi="IRNazanin" w:eastAsia="IRNazanin"/>
          <w:color w:val="111111"/>
          <w:sz w:val="28"/>
          <w:sz w:val="28"/>
          <w:szCs w:val="28"/>
          <w:rtl w:val="true"/>
          <w:lang w:bidi="fa-IR"/>
        </w:rPr>
        <w:t>علی الأقوی</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العود ثمّ الإعادة، وسجدتَی السهو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بطلان الصلاة فی کِلتا الصورتین، وکفایة الإعادة، ولکنّ مراعاة الاحتیاط بالإتمام ثمّ الإعادة أولی فلا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العود ثمّ الإعادة، وسجود السهو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سیأتی ـ إن شاء اللّه ـ فی المسألة الرابعة عشرة من فصل الخلل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 الخمینی، الآملی، تقیّ القمّی،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إعادة الصلاة أیضاً</w:t>
      </w:r>
    </w:p>
    <w:p>
      <w:pPr>
        <w:pStyle w:val="BookText"/>
        <w:rPr/>
      </w:pPr>
      <w:r>
        <w:rPr>
          <w:rFonts w:ascii="IRNazanin" w:hAnsi="IRNazanin" w:eastAsia="IRNazanin"/>
          <w:color w:val="111111"/>
          <w:sz w:val="28"/>
          <w:sz w:val="28"/>
          <w:szCs w:val="28"/>
          <w:rtl w:val="true"/>
          <w:lang w:bidi="fa-IR"/>
        </w:rPr>
        <w:t>بعد إتمامها، وإتیان سجدتَی السهو</w:t>
      </w:r>
      <w:r>
        <w:rPr>
          <w:rStyle w:val="FootnoteAnchor"/>
          <w:rtl w:val="true"/>
        </w:rPr>
        <w:footnoteReference w:id="759"/>
      </w:r>
      <w:r>
        <w:rPr>
          <w:rFonts w:ascii="IRNazanin" w:hAnsi="IRNazanin" w:eastAsia="IRNazanin"/>
          <w:color w:val="111111"/>
          <w:sz w:val="28"/>
          <w:sz w:val="28"/>
          <w:szCs w:val="28"/>
          <w:rtl w:val="true"/>
          <w:lang w:bidi="fa-IR"/>
        </w:rPr>
        <w:t>لزیادة السجدة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انحنی بقصد الرکوع فنسی فی الأثناء وهوی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النسیان قبل الوصول إلی حدّ الرکوع انتصب قائماً</w:t>
      </w:r>
      <w:r>
        <w:rPr>
          <w:rStyle w:val="FootnoteAnchor"/>
          <w:rtl w:val="true"/>
        </w:rPr>
        <w:footnoteReference w:id="760"/>
      </w:r>
      <w:r>
        <w:rPr>
          <w:rFonts w:ascii="Amiri" w:hAnsi="Amiri" w:eastAsia="Amiri" w:cs="Amiri"/>
          <w:color w:val="111111"/>
          <w:sz w:val="28"/>
          <w:sz w:val="28"/>
          <w:szCs w:val="28"/>
          <w:rtl w:val="true"/>
          <w:lang w:bidi="ar-SA"/>
        </w:rPr>
        <w:t>ثمّ رکع</w:t>
      </w:r>
      <w:r>
        <w:rPr>
          <w:rStyle w:val="FootnoteAnchor"/>
          <w:rtl w:val="true"/>
        </w:rPr>
        <w:footnoteReference w:id="761"/>
      </w:r>
      <w:r>
        <w:rPr>
          <w:rFonts w:ascii="IRNazanin" w:hAnsi="IRNazanin" w:eastAsia="IRNazanin"/>
          <w:color w:val="111111"/>
          <w:sz w:val="28"/>
          <w:sz w:val="28"/>
          <w:szCs w:val="28"/>
          <w:rtl w:val="true"/>
          <w:lang w:bidi="fa-IR"/>
        </w:rPr>
        <w:t>، ولا یکفی الانتصاب إلی الحدّ الذی عرض له النسیان ثمّ الرکوع، وإن کان بعد الوصول إلی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یخرج عن حدّه وجب علیه البقاء</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لحصول الرکوع وإمکان تدارک الذکر، وعدم قادحیّة الفاصل فی حال النسیان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والإتیان بالذکر، وإن خرج عن حدّه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کفایة إتمامها بالوجه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بعد</w:t>
      </w:r>
    </w:p>
    <w:p>
      <w:pPr>
        <w:pStyle w:val="BookText"/>
        <w:rPr/>
      </w:pPr>
      <w:r>
        <w:rPr>
          <w:rFonts w:ascii="IRNazanin" w:hAnsi="IRNazanin" w:eastAsia="IRNazanin"/>
          <w:color w:val="111111"/>
          <w:sz w:val="28"/>
          <w:sz w:val="28"/>
          <w:szCs w:val="28"/>
          <w:rtl w:val="true"/>
          <w:lang w:bidi="fa-IR"/>
        </w:rPr>
        <w:t>إتمامها</w:t>
      </w:r>
      <w:r>
        <w:rPr>
          <w:rStyle w:val="FootnoteAnchor"/>
          <w:rtl w:val="true"/>
        </w:rPr>
        <w:footnoteReference w:id="763"/>
      </w:r>
      <w:r>
        <w:rPr>
          <w:rFonts w:ascii="IRNazanin" w:hAnsi="IRNazanin" w:eastAsia="IRNazanin"/>
          <w:color w:val="111111"/>
          <w:sz w:val="28"/>
          <w:sz w:val="28"/>
          <w:szCs w:val="28"/>
          <w:rtl w:val="true"/>
          <w:lang w:bidi="fa-IR"/>
        </w:rPr>
        <w:t>بأحد الوجهین</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هو المتعیّن، ویحتمل وجه ثالث،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منحنیاً إلی حدّ الراکع، فیطمئنّ ویأتی بالذکر، ثمّ یرفع رأسه منتصباً ویهوی للسجود؛ إذ علی تقدیر کونه نسیاناً للرکوع لا یتعیّن الأوّل؛ لاحتمال أنّ تدارک المنسیّ یحصل بذلک؛ نظراً لمساعدة العرف علی إلغاء ما صدر منه سهواً أو قهراً، ولا یسند إلیه عقلاً، حیث لم یقع بإرادته، فمتی عاد منحنیاً للحدّ الذی عرضه النسیان کفی فی تحقّق الرکوع الاختیاری، ولکنّ أقوی الوجوه هو الأوّل، ولا یلزمه زیادة القیام المتّصل بالرکوع؛ إذ الفرض أنّ القیام الأوّل لم یتّصل بالرکوع، فلا یحسب من الصلاة إلاّ الثانی وهو الرکن، أمّا احتمال أ نّه رکع ونسی الذکر والطمأنینة فهو أضعف الوجوه؛ إذ لا یکفی فی صدق الرکوع وصوله إلی حدّ الراکع؛ ولذا لا یقال لمن هوی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رکع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وجوه متصوّرة اُخَر،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إلی حدّ الرکوع وإتمام الذکر، وسیأتی ما هو المختار من تلک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وجه آخر غیر بعید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وقف بعد وصوله إلی حدّ الرکوع آناً ما فاللازم هو السجود بلا انتصاب ؛ لأنّ مرجعه إلی نسیان رفع الرأس من الرکوع، وهو غیر قادح ، فلا یحتاج إلی الإعادة أیضاً ، وإذا لم یقف فاللازم العود إلی القیام ثمّ الهویّ للرکوع ، والأحوط الإعادة بعد الإتمام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العود إلی 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الهَوِیّ للرکوع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القیام</w:t>
      </w:r>
      <w:r>
        <w:rPr>
          <w:rStyle w:val="FootnoteAnchor"/>
          <w:rtl w:val="true"/>
        </w:rPr>
        <w:footnoteReference w:id="765"/>
      </w:r>
      <w:r>
        <w:rPr>
          <w:rFonts w:ascii="IRNazanin" w:hAnsi="IRNazanin" w:eastAsia="IRNazanin"/>
          <w:color w:val="111111"/>
          <w:sz w:val="28"/>
          <w:sz w:val="28"/>
          <w:szCs w:val="28"/>
          <w:rtl w:val="true"/>
          <w:lang w:bidi="fa-IR"/>
        </w:rPr>
        <w:t>بقصد الرفع</w:t>
      </w:r>
      <w:r>
        <w:rPr>
          <w:rStyle w:val="FootnoteAnchor"/>
          <w:rtl w:val="true"/>
        </w:rPr>
        <w:footnoteReference w:id="766"/>
      </w:r>
      <w:r>
        <w:rPr>
          <w:rFonts w:ascii="IRNazanin" w:hAnsi="IRNazanin" w:eastAsia="IRNazanin"/>
          <w:color w:val="111111"/>
          <w:sz w:val="28"/>
          <w:sz w:val="28"/>
          <w:szCs w:val="28"/>
          <w:rtl w:val="true"/>
          <w:lang w:bidi="fa-IR"/>
        </w:rPr>
        <w:t>منه</w:t>
      </w:r>
      <w:r>
        <w:rPr>
          <w:rStyle w:val="FootnoteAnchor"/>
          <w:rtl w:val="true"/>
        </w:rPr>
        <w:footnoteReference w:id="767"/>
      </w:r>
      <w:r>
        <w:rPr>
          <w:rFonts w:ascii="IRNazanin" w:hAnsi="IRNazanin" w:eastAsia="IRNazanin"/>
          <w:color w:val="111111"/>
          <w:sz w:val="28"/>
          <w:sz w:val="28"/>
          <w:szCs w:val="28"/>
          <w:rtl w:val="true"/>
          <w:lang w:bidi="fa-IR"/>
        </w:rPr>
        <w:t>ثمّ الهَوِیّ للسجود؛ وذلک لاحتمال کون الفرض من باب نسیان الرکوع</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فیعود إلی القیام، ثمّ یرکع ویتمّ صلاته، والأحوط استحباباً إعادة الصلاة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فیتعیّن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من 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وصل إلی حدّ الرکوع بنیّة الرکوع ثمّ اعتراه النسیان فهوی إلی السجود فقد حصل منه الرکوع آناً ما، ولکنّه نسی الطمأنینة والذکر، فعلیه أن ینتصب بقصد رفع رأسه من رکوعه ثمّ یهوی إلی السجود ویتمّ صلاته، ولا إعادة علیه، وأمّا إذا اقترن النسیان مع وصوله إلی حدّ الرکوع فمعناه عدم تحقّق الرکوع منه، فعلیه أن ینتصب لیرکع ویتمّ رکوعه وصلاته، ولا إعادة علیه کذلک، أمّا الاحتیاط فهو حسن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نسیان</w:t>
      </w:r>
    </w:p>
    <w:p>
      <w:pPr>
        <w:pStyle w:val="BookText"/>
        <w:rPr/>
      </w:pPr>
      <w:r>
        <w:rPr>
          <w:rFonts w:ascii="IRNazanin" w:hAnsi="IRNazanin" w:eastAsia="IRNazanin"/>
          <w:color w:val="111111"/>
          <w:sz w:val="28"/>
          <w:sz w:val="28"/>
          <w:szCs w:val="28"/>
          <w:rtl w:val="true"/>
          <w:lang w:bidi="fa-IR"/>
        </w:rPr>
        <w:t>الذکر</w:t>
      </w:r>
      <w:r>
        <w:rPr>
          <w:rStyle w:val="FootnoteAnchor"/>
          <w:rtl w:val="true"/>
        </w:rPr>
        <w:footnoteReference w:id="7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الظاهر فی مفروض المقام، فیکون نظیر ما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ویحتمل العود منحنیاً إلی حدّ الرکوع، والإتیان بالذکر مطمئنّاً وإتمام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والطمأنینة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الرکوع بعد تحقّقه، وعلیه فیتعیّن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لأنّ المنسیّ هو الذکر والطمأنینة دون نفس الرکوع، کما هو المفروض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 لحصول الرکوع بالوصول الی حدّه، خصوصاً فی ما إذا استقرّ آناً ما فی ذلک الحدّ، وحینئذٍ لایحتاج إلی الإعادة، نعم، إذا لم یحصل استقرار فی ذلک الحدّ أصلاً فالأحوط الإعادة بعد الإتمام بالقیام بقصد الرفع منه، ثمّ الهویّ للسجود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یختار الثانی مع إعادة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79" w:name="pg13278_326564"/>
    </w:p>
    <w:p>
      <w:pPr>
        <w:pStyle w:val="BookText"/>
        <w:rPr/>
      </w:pPr>
      <w:bookmarkEnd w:id="579"/>
      <w:r>
        <w:rPr>
          <w:rFonts w:ascii="IRNazanin" w:hAnsi="IRNazanin" w:eastAsia="IRNazanin"/>
          <w:color w:val="111111"/>
          <w:sz w:val="28"/>
          <w:sz w:val="28"/>
          <w:szCs w:val="28"/>
          <w:rtl w:val="true"/>
          <w:lang w:bidi="fa-IR"/>
        </w:rPr>
        <w:t>فالأحوط</w:t>
      </w:r>
      <w:r>
        <w:rPr>
          <w:rStyle w:val="FootnoteAnchor"/>
          <w:rtl w:val="true"/>
        </w:rPr>
        <w:footnoteReference w:id="770"/>
      </w:r>
      <w:r>
        <w:rPr>
          <w:rFonts w:ascii="Amiri" w:hAnsi="Amiri" w:eastAsia="Amiri" w:cs="Amiri"/>
          <w:color w:val="111111"/>
          <w:sz w:val="28"/>
          <w:sz w:val="28"/>
          <w:szCs w:val="28"/>
          <w:rtl w:val="true"/>
          <w:lang w:bidi="ar-SA"/>
        </w:rPr>
        <w:t>أن یُتمّها بأحد الوجهین</w:t>
      </w:r>
      <w:r>
        <w:rPr>
          <w:rStyle w:val="FootnoteAnchor"/>
          <w:rtl w:val="true"/>
        </w:rPr>
        <w:footnoteReference w:id="7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الوجه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بالوجه الثانی، ویسجد للسهو لأجل نسیان الذکر بناءً علی وجوبه لکلّ نقیصة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استقرّ آناً ما بعد وصول حدّ الرکوع أجزأه الثانی، وإلاّ أجزأه الأوّل، ولو أنّه انحنی بقصد الرکوع علی تقدیر الحاجة إلیه ونوی عدم الرکوع علی تقدیر عدم الحاجة إلیه اجتزأ بذلک وتخلّص عن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وجه ثالث، وهو العود إلی حدّ الرکوع والإتیان بالذکر مطمئنّاً، ووجه رابع هو السجود بلا انتصاب، والأقوی هو الوجه الرابع إذا عرض النسیان بعد وقوفه فی حدّ الرکوع آناً ما بلا احتیاج إلی الإعادة، وإن کانت أ حوط، وأمّا مع عدم الوقوف فلا یُترک الاحتیاط برفع الرأس ثمّ الهویّ إلی السجود، وإ تمام الصلاة وإ 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یعیدها</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840993_2322387425"/>
      <w:bookmarkStart w:id="581" w:name="_Toc214"/>
      <w:bookmarkEnd w:id="580"/>
      <w:r>
        <w:rPr>
          <w:rtl w:val="true"/>
        </w:rPr>
        <w:t>حد الانحناء فی رکوع المرأة</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العلماء</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یکفی</w:t>
      </w:r>
      <w:r>
        <w:rPr>
          <w:rStyle w:val="FootnoteAnchor"/>
          <w:rtl w:val="true"/>
        </w:rPr>
        <w:footnoteReference w:id="773"/>
      </w:r>
      <w:r>
        <w:rPr>
          <w:rFonts w:ascii="IRNazanin" w:hAnsi="IRNazanin" w:eastAsia="IRNazanin"/>
          <w:color w:val="111111"/>
          <w:sz w:val="28"/>
          <w:sz w:val="28"/>
          <w:szCs w:val="28"/>
          <w:rtl w:val="true"/>
          <w:lang w:bidi="fa-IR"/>
        </w:rPr>
        <w:t>فی رکوع المرأة</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الانحناء بمقدار یمکن معه إیصال یدیها إلی فخذیها فوق رکبتیها، بل قیل باستحباب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82" w:name="pg13278_326565"/>
    </w:p>
    <w:p>
      <w:pPr>
        <w:pStyle w:val="BookText"/>
        <w:rPr/>
      </w:pPr>
      <w:bookmarkEnd w:id="582"/>
      <w:r>
        <w:rPr>
          <w:rFonts w:ascii="IRNazanin" w:hAnsi="IRNazanin" w:eastAsia="IRNazanin"/>
          <w:color w:val="111111"/>
          <w:sz w:val="28"/>
          <w:sz w:val="28"/>
          <w:szCs w:val="28"/>
          <w:rtl w:val="true"/>
          <w:lang w:bidi="fa-IR"/>
        </w:rPr>
        <w:t>والأحوط</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کالرجل فی المقدار الواجب من الانحناء، نعم، الأولی لها عدم الزیادة فی الانحناء؛ لئلاّ ترتفع عجیزتها</w:t>
      </w:r>
      <w:r>
        <w:rPr>
          <w:rFonts w:eastAsia="IRNazanin" w:cs="IRNazanin"/>
          <w:color w:val="111111"/>
          <w:sz w:val="28"/>
          <w:szCs w:val="28"/>
          <w:rtl w:val="true"/>
          <w:lang w:bidi="fa-IR"/>
        </w:rPr>
        <w:t>.</w:t>
      </w:r>
    </w:p>
    <w:p>
      <w:pPr>
        <w:pStyle w:val="Heading3"/>
        <w:numPr>
          <w:ilvl w:val="2"/>
          <w:numId w:val="1"/>
        </w:numPr>
        <w:rPr/>
      </w:pPr>
      <w:bookmarkStart w:id="583" w:name="__RefHeading___Toc1840995_2322387425"/>
      <w:bookmarkStart w:id="584" w:name="_Toc215"/>
      <w:bookmarkEnd w:id="583"/>
      <w:r>
        <w:rPr>
          <w:rtl w:val="true"/>
        </w:rPr>
        <w:t>فی ما یکتفی به من الذکر فی الرکوع</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ذکر الرکوع التسبیحة الکبری مرّة واحدة‌کما مرّ، وأمّا الصغری إذا اختارها فالأقوی</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الخمینی ،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کفایة الواحدة، والتکرار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تکرارها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ثلاثاً،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التکرار ثلاثاً، کما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مطلق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کفایة مطلق الذکر، وأنّ الأحوط الاقتصار علی التسبیحة الکبری أو الصغری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التسبیحة أیضاً الثلاث، وإن کان کلّ</w:t>
      </w:r>
      <w:bookmarkStart w:id="585" w:name="pg13278_326566"/>
    </w:p>
    <w:p>
      <w:pPr>
        <w:pStyle w:val="BookText"/>
        <w:rPr/>
      </w:pPr>
      <w:bookmarkEnd w:id="585"/>
      <w:r>
        <w:rPr>
          <w:rFonts w:ascii="IRNazanin" w:hAnsi="IRNazanin" w:eastAsia="IRNazanin"/>
          <w:color w:val="111111"/>
          <w:sz w:val="28"/>
          <w:sz w:val="28"/>
          <w:szCs w:val="28"/>
          <w:rtl w:val="true"/>
          <w:lang w:bidi="fa-IR"/>
        </w:rPr>
        <w:t>واحد منه بقدر الثلاث من الصغری، ویجوز الزیادة علی الثلاث</w:t>
      </w:r>
      <w:r>
        <w:rPr>
          <w:rStyle w:val="FootnoteAnchor"/>
          <w:rtl w:val="true"/>
        </w:rPr>
        <w:footnoteReference w:id="777"/>
      </w:r>
      <w:r>
        <w:rPr>
          <w:rFonts w:ascii="IRNazanin" w:hAnsi="IRNazanin" w:eastAsia="IRNazanin"/>
          <w:color w:val="111111"/>
          <w:sz w:val="28"/>
          <w:sz w:val="28"/>
          <w:szCs w:val="28"/>
          <w:rtl w:val="true"/>
          <w:lang w:bidi="fa-IR"/>
        </w:rPr>
        <w:t>ولو بقصد الخصوصیّة</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باب استحباب إطالة التسبیح فی الرکوع والسجود علی الخصوص، لا من باب مطلق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والجزئیّة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بقصد القربة المطلقة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بقصد القربة المطلقة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والأولی أن یختم علی وَتر، کالثلاث والخمس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والسبع، وهکذا، وقد سُمع من الصادق ـ صلوات اللّه علیه ـ ستّون تسبیحة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رکوعه وسجوده</w:t>
      </w:r>
      <w:r>
        <w:rPr>
          <w:rFonts w:eastAsia="IRNazanin" w:cs="IRNazanin"/>
          <w:color w:val="111111"/>
          <w:sz w:val="28"/>
          <w:szCs w:val="28"/>
          <w:rtl w:val="true"/>
          <w:lang w:bidi="fa-IR"/>
        </w:rPr>
        <w:t>.</w:t>
      </w:r>
    </w:p>
    <w:p>
      <w:pPr>
        <w:pStyle w:val="Heading3"/>
        <w:numPr>
          <w:ilvl w:val="2"/>
          <w:numId w:val="1"/>
        </w:numPr>
        <w:rPr/>
      </w:pPr>
      <w:bookmarkStart w:id="586" w:name="__RefHeading___Toc1840997_2322387425"/>
      <w:bookmarkStart w:id="587" w:name="_Toc216"/>
      <w:bookmarkEnd w:id="586"/>
      <w:r>
        <w:rPr>
          <w:rtl w:val="true"/>
        </w:rPr>
        <w:t>زیادة الذکر علی المرة</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بالذکر أزید من مرّة لا یجب</w:t>
      </w:r>
      <w:r>
        <w:rPr>
          <w:rStyle w:val="FootnoteAnchor"/>
          <w:rtl w:val="true"/>
        </w:rPr>
        <w:footnoteReference w:id="779"/>
      </w:r>
      <w:r>
        <w:rPr>
          <w:rFonts w:ascii="IRNazanin" w:hAnsi="IRNazanin" w:eastAsia="IRNazanin"/>
          <w:color w:val="111111"/>
          <w:sz w:val="28"/>
          <w:sz w:val="28"/>
          <w:szCs w:val="28"/>
          <w:rtl w:val="true"/>
          <w:lang w:bidi="fa-IR"/>
        </w:rPr>
        <w:t>تعیین الـواجـب منه</w:t>
      </w:r>
      <w:r>
        <w:rPr>
          <w:rStyle w:val="FootnoteAnchor"/>
          <w:rtl w:val="true"/>
        </w:rPr>
        <w:footnoteReference w:id="7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یجب قصد الوجوب والندب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الواجب هو أوّل المصداق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 . .</w:t>
      </w:r>
    </w:p>
    <w:p>
      <w:pPr>
        <w:pStyle w:val="BookText"/>
        <w:rPr/>
      </w:pPr>
      <w:r>
        <w:rPr>
          <w:rFonts w:ascii="IRNazanin" w:hAnsi="IRNazanin" w:eastAsia="IRNazanin"/>
          <w:color w:val="111111"/>
          <w:sz w:val="28"/>
          <w:sz w:val="28"/>
          <w:szCs w:val="28"/>
          <w:rtl w:val="true"/>
          <w:lang w:bidi="fa-IR"/>
        </w:rPr>
        <w:t>بل الأحوط عدمه</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جوازه، بل الظاهر تعیّن قصد الوجوب فی الذکر الأول، والاحتمال الثانی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الوجوب فی الذکر الأول فی الجملة لا یخالف الاحتیاط علی کلّ 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 إذا عیّنه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اتّصافه بالوجوب بخصوصه؛ لانحصار الأمر فی الآخرین، بناءً علی التحقیق من عدم اختلاف حقیقة الواجب منه والمستحبّ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بقصد الوجوب فی الذکر الأوّل، وقد مرّ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الأوّل؛ 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 الواجب هو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هو أظهر الاحتمالات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الأظهر، ولا ینافیه الالتزام باستحباب المجموع أیضاً، کما تقدّم نظیره، بل هذا هو الأوفق بالأدلّة فی المقام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احتمال کون 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فیکون من باب التخییر بین المرّة والثلاث والخمس مثلاً</w:t>
      </w:r>
      <w:r>
        <w:rPr>
          <w:rFonts w:eastAsia="IRNazanin" w:cs="IRNazanin"/>
          <w:color w:val="111111"/>
          <w:sz w:val="28"/>
          <w:szCs w:val="28"/>
          <w:rtl w:val="true"/>
          <w:lang w:bidi="fa-IR"/>
        </w:rPr>
        <w:t>.</w:t>
      </w:r>
      <w:bookmarkStart w:id="588" w:name="pg13278_326568"/>
    </w:p>
    <w:p>
      <w:pPr>
        <w:pStyle w:val="Heading3"/>
        <w:numPr>
          <w:ilvl w:val="2"/>
          <w:numId w:val="1"/>
        </w:numPr>
        <w:rPr/>
      </w:pPr>
      <w:bookmarkStart w:id="589" w:name="__RefHeading___Toc1840999_2322387425"/>
      <w:bookmarkStart w:id="590" w:name="_Toc217"/>
      <w:bookmarkEnd w:id="588"/>
      <w:bookmarkEnd w:id="589"/>
      <w:r>
        <w:rPr>
          <w:rtl w:val="true"/>
        </w:rPr>
        <w:t>کفایة التسبیحة الصغری</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حال الضرورة</w:t>
      </w:r>
      <w:r>
        <w:rPr>
          <w:rStyle w:val="FootnoteAnchor"/>
          <w:rtl w:val="true"/>
        </w:rPr>
        <w:footnoteReference w:id="782"/>
      </w:r>
      <w:r>
        <w:rPr>
          <w:rFonts w:ascii="IRNazanin" w:hAnsi="IRNazanin" w:eastAsia="IRNazanin"/>
          <w:color w:val="111111"/>
          <w:sz w:val="28"/>
          <w:sz w:val="28"/>
          <w:szCs w:val="28"/>
          <w:rtl w:val="true"/>
          <w:lang w:bidi="fa-IR"/>
        </w:rPr>
        <w:t>وضیق الوقت</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تسریة الجواز من مورد النصّ إلی ضیق الوقت مشکل، والمناط غیر منقّح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الصغری مرّة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فیجزی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841001_2322387425"/>
      <w:bookmarkStart w:id="592" w:name="_Toc218"/>
      <w:bookmarkEnd w:id="591"/>
      <w:r>
        <w:rPr>
          <w:rtl w:val="true"/>
        </w:rPr>
        <w:t>عدم جواز الشروع فی الذکر قبل الرکوع و الاطمئنان</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الشروع فی الذکر قبل الوصول إلی حدّ الرکوع، وکذا بعد الوصول وقبل الاطمئنان</w:t>
      </w:r>
      <w:r>
        <w:rPr>
          <w:rStyle w:val="FootnoteAnchor"/>
          <w:rtl w:val="true"/>
        </w:rPr>
        <w:footnoteReference w:id="784"/>
      </w:r>
      <w:r>
        <w:rPr>
          <w:rFonts w:ascii="IRNazanin" w:hAnsi="IRNazanin" w:eastAsia="IRNazanin"/>
          <w:color w:val="111111"/>
          <w:sz w:val="28"/>
          <w:sz w:val="28"/>
          <w:szCs w:val="28"/>
          <w:rtl w:val="true"/>
          <w:lang w:bidi="fa-IR"/>
        </w:rPr>
        <w:t>والاستقرار، ولا النهوض قبل تمامه والإتمام حال الحرکة للنهوض، فلو أتی به کذلک بطل، وإن کان بحرف واحد منه، ویجب إعادته</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لعدم تمامیّة دلیل اشتراط الذکر بالطمأنینة، بل المحتمل اشتراطها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ویأتی به بقصد الاحتیاط والقربة، کما سیأتی منّا ومنه قدس‌سره فی المسألة الثامنة عشرة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شرع فی الذکر قبل الاطمئنان سهواً فلا دلیل علی وجوب إعادته؛ إذ المتیقّن من دلیل اعتبار الطمأنینة ـ وهو الإجماع ـ وجوبه فی الصلاة، لا اشتراط الذکر بها، فمحلّ الطمأنینة فائت سهواً فلا تجب إعادته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بقصد القربة المطلقة، کما سیأتی فی بحث الخلل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الأظهر عدم وجوب الإعادة إذا أتی به سهواً فی حال عدم الاستقرار، نعم، لو أخلّ بالاستقرار المعتبر فی نفس الرکوع متعمّداً بطلت صلاته، علی ما تقدّم، ولا تُجدیه إعادة الذکر، ومنه یظهر حکم 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یخرج عن حدّ الرکوع</w:t>
      </w:r>
      <w:r>
        <w:rPr>
          <w:rStyle w:val="FootnoteAnchor"/>
          <w:rtl w:val="true"/>
        </w:rPr>
        <w:footnoteReference w:id="786"/>
      </w:r>
      <w:r>
        <w:rPr>
          <w:rFonts w:ascii="Amiri" w:hAnsi="Amiri" w:eastAsia="Amiri" w:cs="Amiri"/>
          <w:color w:val="111111"/>
          <w:sz w:val="28"/>
          <w:sz w:val="28"/>
          <w:szCs w:val="28"/>
          <w:rtl w:val="true"/>
          <w:lang w:bidi="ar-SA"/>
        </w:rPr>
        <w:t>، وبطلت الصلاة</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 الحکم مبنیّ علی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الإعادة بعد الإتمام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بالذکر ثانیاً مع الاستقرار،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الإتیان به ثانیاً مع الاستقرار وإعادة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البطلان بصورة العمد مبنیّ علی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الأثناء، وقد مرّ النقاش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أتی به ثانیاً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الصحّة إذا أتی به ثانیاً مع الاستقرار حتّی لو أتی به بقصد الجزئیّة، نعم، لو لم یمکن تدارکه کما لو أتمّه ناهضاً بطلت مع العمد، وصحّت مع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البطلان فی فرض الإتیان به ثانیاً، فالأظهر صحّة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حینئذٍ، فلا یُترک الاحتیاط بالإتمام ثمّ الإعادة، وکذا فی ما سبق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الاستقرار، إلاّ</w:t>
      </w:r>
      <w:bookmarkStart w:id="593" w:name="pg13278_326570"/>
    </w:p>
    <w:p>
      <w:pPr>
        <w:pStyle w:val="BookText"/>
        <w:rPr/>
      </w:pPr>
      <w:bookmarkEnd w:id="593"/>
      <w:r>
        <w:rPr>
          <w:rFonts w:ascii="IRNazanin" w:hAnsi="IRNazanin" w:eastAsia="IRNazanin"/>
          <w:color w:val="111111"/>
          <w:sz w:val="28"/>
          <w:sz w:val="28"/>
          <w:szCs w:val="28"/>
          <w:rtl w:val="true"/>
          <w:lang w:bidi="fa-IR"/>
        </w:rPr>
        <w:t>إذا</w:t>
      </w:r>
      <w:r>
        <w:rPr>
          <w:rStyle w:val="FootnoteAnchor"/>
          <w:rtl w:val="true"/>
        </w:rPr>
        <w:footnoteReference w:id="788"/>
      </w:r>
      <w:r>
        <w:rPr>
          <w:rFonts w:ascii="IRNazanin" w:hAnsi="IRNazanin" w:eastAsia="IRNazanin"/>
          <w:color w:val="111111"/>
          <w:sz w:val="28"/>
          <w:sz w:val="28"/>
          <w:szCs w:val="28"/>
          <w:rtl w:val="true"/>
          <w:lang w:bidi="fa-IR"/>
        </w:rPr>
        <w:t>لم یکن ما أتی به حال عدم الاستقرار بقصد الجزئیّة، بل بقصد الذکر المطلق</w:t>
      </w:r>
      <w:r>
        <w:rPr>
          <w:rFonts w:eastAsia="IRNazanin" w:cs="IRNazanin"/>
          <w:color w:val="111111"/>
          <w:sz w:val="28"/>
          <w:szCs w:val="28"/>
          <w:rtl w:val="true"/>
          <w:lang w:bidi="fa-IR"/>
        </w:rPr>
        <w:t>.</w:t>
      </w:r>
    </w:p>
    <w:p>
      <w:pPr>
        <w:pStyle w:val="Heading3"/>
        <w:numPr>
          <w:ilvl w:val="2"/>
          <w:numId w:val="1"/>
        </w:numPr>
        <w:rPr/>
      </w:pPr>
      <w:bookmarkStart w:id="594" w:name="__RefHeading___Toc1841003_2322387425"/>
      <w:bookmarkStart w:id="595" w:name="_Toc219"/>
      <w:bookmarkEnd w:id="594"/>
      <w:r>
        <w:rPr>
          <w:rtl w:val="true"/>
        </w:rPr>
        <w:t>سقوط الطمأنینة عن العاجز</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یتمکّن من الطمأنینة لمرض أو غیره سقطت</w:t>
      </w:r>
      <w:r>
        <w:rPr>
          <w:rStyle w:val="FootnoteAnchor"/>
          <w:rtl w:val="true"/>
        </w:rPr>
        <w:footnoteReference w:id="789"/>
      </w:r>
      <w:r>
        <w:rPr>
          <w:rFonts w:ascii="IRNazanin" w:hAnsi="IRNazanin" w:eastAsia="IRNazanin"/>
          <w:color w:val="111111"/>
          <w:sz w:val="28"/>
          <w:sz w:val="28"/>
          <w:szCs w:val="28"/>
          <w:rtl w:val="true"/>
          <w:lang w:bidi="fa-IR"/>
        </w:rPr>
        <w:t>، لکن یجب علیه إکمال الذکر الواجب قبل الخروج عن مسمّی الرکوع، وإذا لم یتمکّن من البقاء فی حدّ الرکوع إلی تمام الذکر</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ولو مع الاقتصار علی تسبیحة صغری ، والأظهر حینئذٍ سقوطه، وإن کان الأحوط الإتیان بما فی المتن بقصد القربة المطلقة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الإتمام حال النهوض بقصد القربة المطلقة والرجاء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یأتی بالذکر رجاءً، ولعلّ الثانی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یجوز له الاکتفاء بتسبیحة صغری مرّةً واحدةً، وإن لم یتمکّن من ذلک أیضاً لا یبعد سقوطه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الوصول أو</w:t>
      </w:r>
      <w:bookmarkStart w:id="596" w:name="pg13278_326571"/>
    </w:p>
    <w:p>
      <w:pPr>
        <w:pStyle w:val="BookText"/>
        <w:rPr/>
      </w:pPr>
      <w:bookmarkEnd w:id="596"/>
      <w:r>
        <w:rPr>
          <w:rFonts w:ascii="IRNazanin" w:hAnsi="IRNazanin" w:eastAsia="IRNazanin"/>
          <w:color w:val="111111"/>
          <w:sz w:val="28"/>
          <w:sz w:val="28"/>
          <w:szCs w:val="28"/>
          <w:rtl w:val="true"/>
          <w:lang w:bidi="fa-IR"/>
        </w:rPr>
        <w:t>الإتمام</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المتعیّن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الوجه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یتعیّن ذلک، والأقوی أن یختار ثلاث تسبیحات إن تمکّن من شیء منها مع البقاء فی حدّ الرکوع، فیأتی به ثمّ یتمّها حال النهوض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والأحوط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841005_2322387425"/>
      <w:bookmarkStart w:id="598" w:name="_Toc220"/>
      <w:bookmarkEnd w:id="597"/>
      <w:r>
        <w:rPr>
          <w:rtl w:val="true"/>
        </w:rPr>
        <w:t>حکم ترک الطمأنینة فی الرکوع</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الطمأنینة فی الرکوع أصلاً بأن لم یبقَ فی حدّه، بل رفع رأسه بمجرّد الوصول سهواً فالأحوط</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عبداللّه الشیرازی،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لعدم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لاحتمال توقّف صدق الرکوع علی الطمأنینة فی الجملة،</w:t>
      </w:r>
      <w:bookmarkStart w:id="599" w:name="pg13278_326572"/>
    </w:p>
    <w:p>
      <w:pPr>
        <w:pStyle w:val="BookText"/>
        <w:rPr/>
      </w:pPr>
      <w:bookmarkEnd w:id="599"/>
      <w:r>
        <w:rPr>
          <w:rFonts w:ascii="Amiri" w:hAnsi="Amiri" w:eastAsia="Amiri" w:cs="Amiri"/>
          <w:color w:val="111111"/>
          <w:sz w:val="28"/>
          <w:sz w:val="28"/>
          <w:szCs w:val="28"/>
          <w:rtl w:val="true"/>
          <w:lang w:bidi="ar-SA"/>
        </w:rPr>
        <w:t>لکنّ الأقوی</w:t>
      </w:r>
      <w:r>
        <w:rPr>
          <w:rStyle w:val="FootnoteAnchor"/>
          <w:rtl w:val="true"/>
        </w:rPr>
        <w:footnoteReference w:id="793"/>
      </w:r>
      <w:r>
        <w:rPr>
          <w:rFonts w:ascii="Amiri" w:hAnsi="Amiri" w:eastAsia="Amiri" w:cs="Amiri"/>
          <w:color w:val="111111"/>
          <w:sz w:val="28"/>
          <w:sz w:val="28"/>
          <w:szCs w:val="28"/>
          <w:rtl w:val="true"/>
          <w:lang w:bidi="ar-SA"/>
        </w:rPr>
        <w:t>الصحّة</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ما أفاده هنا لا یلائم ما مرّ من احتمال اعتبار الطمأنینة وانتهاء الانحناء الی المرتبة المخصوصة فی مفهوم الرکوع، ولکنّ کلامَه قابل للتوجیه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صدق الرکوع عرفاً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841007_2322387425"/>
      <w:bookmarkStart w:id="601" w:name="_Toc221"/>
      <w:bookmarkEnd w:id="600"/>
      <w:r>
        <w:rPr>
          <w:rtl w:val="true"/>
        </w:rPr>
        <w:t>فی الجمع بین التسبیحة الصغری و الکبری</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الجمع</w:t>
      </w:r>
      <w:r>
        <w:rPr>
          <w:rStyle w:val="FootnoteAnchor"/>
          <w:rtl w:val="true"/>
        </w:rPr>
        <w:footnoteReference w:id="795"/>
      </w:r>
      <w:r>
        <w:rPr>
          <w:rFonts w:ascii="IRNazanin" w:hAnsi="IRNazanin" w:eastAsia="IRNazanin"/>
          <w:color w:val="111111"/>
          <w:sz w:val="28"/>
          <w:sz w:val="28"/>
          <w:szCs w:val="28"/>
          <w:rtl w:val="true"/>
          <w:lang w:bidi="fa-IR"/>
        </w:rPr>
        <w:t>بین التسبیحة الکبری والصغری، وکذا بینهما وبین غیرهما من الأذکار</w:t>
      </w:r>
      <w:r>
        <w:rPr>
          <w:rFonts w:eastAsia="IRNazanin" w:cs="IRNazanin"/>
          <w:color w:val="111111"/>
          <w:sz w:val="28"/>
          <w:szCs w:val="28"/>
          <w:rtl w:val="true"/>
          <w:lang w:bidi="fa-IR"/>
        </w:rPr>
        <w:t>.</w:t>
      </w:r>
    </w:p>
    <w:p>
      <w:pPr>
        <w:pStyle w:val="Heading3"/>
        <w:numPr>
          <w:ilvl w:val="2"/>
          <w:numId w:val="1"/>
        </w:numPr>
        <w:rPr/>
      </w:pPr>
      <w:bookmarkStart w:id="602" w:name="__RefHeading___Toc1841009_2322387425"/>
      <w:bookmarkStart w:id="603" w:name="_Toc222"/>
      <w:bookmarkEnd w:id="602"/>
      <w:r>
        <w:rPr>
          <w:rtl w:val="true"/>
        </w:rPr>
        <w:t>العدول من التسبیحة الصغری إلی الکبری، و بالعکس</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فی التسبیح بقصد الصغری یجوز له أن یعدل</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الأثناء إلی الکبری، مثلاً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 وذکر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وکذا العکس، وکذا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الصغری، ثمّ ضمّ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w:t>
      </w:r>
    </w:p>
    <w:p>
      <w:pPr>
        <w:pStyle w:val="Heading3"/>
        <w:numPr>
          <w:ilvl w:val="2"/>
          <w:numId w:val="1"/>
        </w:numPr>
        <w:rPr/>
      </w:pPr>
      <w:bookmarkStart w:id="604" w:name="__RefHeading___Toc1841011_2322387425"/>
      <w:bookmarkStart w:id="605" w:name="_Toc223"/>
      <w:bookmarkEnd w:id="604"/>
      <w:r>
        <w:rPr>
          <w:rtl w:val="true"/>
        </w:rPr>
        <w:t>شرائط ذکر الرکوع</w:t>
      </w:r>
      <w:bookmarkEnd w:id="60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ذکر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والموالاة</w:t>
      </w:r>
      <w:r>
        <w:rPr>
          <w:rStyle w:val="FootnoteAnchor"/>
          <w:rtl w:val="true"/>
        </w:rPr>
        <w:footnoteReference w:id="797"/>
      </w:r>
      <w:r>
        <w:rPr>
          <w:rFonts w:ascii="IRNazanin" w:hAnsi="IRNazanin" w:eastAsia="IRNazanin"/>
          <w:color w:val="111111"/>
          <w:sz w:val="28"/>
          <w:sz w:val="28"/>
          <w:szCs w:val="28"/>
          <w:rtl w:val="true"/>
          <w:lang w:bidi="fa-IR"/>
        </w:rPr>
        <w:t xml:space="preserve">، وأداء </w:t>
      </w:r>
    </w:p>
    <w:p>
      <w:pPr>
        <w:pStyle w:val="BookText"/>
        <w:rPr/>
      </w:pPr>
      <w:r>
        <w:rPr>
          <w:rFonts w:ascii="IRNazanin" w:hAnsi="IRNazanin" w:eastAsia="IRNazanin"/>
          <w:color w:val="111111"/>
          <w:sz w:val="28"/>
          <w:sz w:val="28"/>
          <w:szCs w:val="28"/>
          <w:rtl w:val="true"/>
          <w:lang w:bidi="fa-IR"/>
        </w:rPr>
        <w:t>الحروف من مخارجها الطبیعیّة</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فی القراءة کفایة الصدق العرفی فی أمثال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المخالفة فی الحرکات الإعرابیّة والبنائیّة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العظیم</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أن یقرأ بإشباع کسر</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الإشباع بالمعنی المعروف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یاء المتکلّم وحذفها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فیصیر الیاء محذوفاً حینئذٍ غالباً، ولا بأس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وعدم إشباعه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بحذف یاء المتکلّم، والأحوط الإشباع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بإظهار یاء المتکلّم وإسقاطها، ولکنّ جواز الإسقاط هنا محلّ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3278_326574"/>
    </w:p>
    <w:p>
      <w:pPr>
        <w:pStyle w:val="Heading3"/>
        <w:numPr>
          <w:ilvl w:val="2"/>
          <w:numId w:val="1"/>
        </w:numPr>
        <w:rPr/>
      </w:pPr>
      <w:bookmarkStart w:id="607" w:name="__RefHeading___Toc1841013_2322387425"/>
      <w:bookmarkStart w:id="608" w:name="_Toc224"/>
      <w:bookmarkEnd w:id="606"/>
      <w:bookmarkEnd w:id="607"/>
      <w:r>
        <w:rPr>
          <w:rtl w:val="true"/>
        </w:rPr>
        <w:t>التحرک قهراً فی حال الذکر</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فی حال الذکر الواجب بسبب قهریّ بحیث خرج عن الاستقرار</w:t>
      </w:r>
      <w:r>
        <w:rPr>
          <w:rStyle w:val="FootnoteAnchor"/>
          <w:rtl w:val="true"/>
        </w:rPr>
        <w:footnoteReference w:id="801"/>
      </w:r>
      <w:r>
        <w:rPr>
          <w:rFonts w:ascii="IRNazanin" w:hAnsi="IRNazanin" w:eastAsia="IRNazanin"/>
          <w:color w:val="111111"/>
          <w:sz w:val="28"/>
          <w:sz w:val="28"/>
          <w:szCs w:val="28"/>
          <w:rtl w:val="true"/>
          <w:lang w:bidi="fa-IR"/>
        </w:rPr>
        <w:t>وجب إعادته</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بالذکر فی تلک الحال عامداً بطلت صلاته، وإذا أتی به ساهیاً أو مقهوراً فالأحوط إعادته، ویأتی به بقصد الاحتیاط والقربة، وقد تقدّم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تحرّک ساهیاً أو بسببٍ قهریٍّ فالأحوط وجوباً إعادة الذکر مطمئنّاً إن أمکن، وإلاّ صحّت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عدم وجوبها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الذکر المندوب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بالحرکة الیسیرة التی لا تنافی صدق الاستقرار، وکذا بحرکة أصابع الید أو الرِجل</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الاحتیاط فی حرکة أصابع الرجل أو رفعها خصوصاً بأ جمعها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البدن مستقرّاً</w:t>
      </w:r>
      <w:r>
        <w:rPr>
          <w:rFonts w:eastAsia="IRNazanin" w:cs="IRNazanin"/>
          <w:color w:val="111111"/>
          <w:sz w:val="28"/>
          <w:szCs w:val="28"/>
          <w:rtl w:val="true"/>
          <w:lang w:bidi="fa-IR"/>
        </w:rPr>
        <w:t>.</w:t>
      </w:r>
    </w:p>
    <w:p>
      <w:pPr>
        <w:pStyle w:val="Heading3"/>
        <w:numPr>
          <w:ilvl w:val="2"/>
          <w:numId w:val="1"/>
        </w:numPr>
        <w:rPr/>
      </w:pPr>
      <w:bookmarkStart w:id="609" w:name="__RefHeading___Toc1841015_2322387425"/>
      <w:bookmarkStart w:id="610" w:name="_Toc225"/>
      <w:bookmarkEnd w:id="609"/>
      <w:r>
        <w:rPr>
          <w:rtl w:val="true"/>
        </w:rPr>
        <w:t>حکم التنقل بین مراتب الانحناء</w:t>
      </w:r>
      <w:bookmarkEnd w:id="61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فی الانحناء إلی أوّل حدّ الرکوع فاستقرَّ وأتی بالذکر، أو لم یأتِ به ثمّ انحنی أزید بحیث وصل إلی آخر الحدّ لا بأس به</w:t>
      </w:r>
      <w:r>
        <w:rPr>
          <w:rStyle w:val="FootnoteAnchor"/>
          <w:rtl w:val="true"/>
        </w:rPr>
        <w:footnoteReference w:id="804"/>
      </w:r>
      <w:r>
        <w:rPr>
          <w:rFonts w:ascii="IRNazanin" w:hAnsi="IRNazanin" w:eastAsia="IRNazanin"/>
          <w:color w:val="111111"/>
          <w:sz w:val="28"/>
          <w:sz w:val="28"/>
          <w:szCs w:val="28"/>
          <w:rtl w:val="true"/>
          <w:lang w:bidi="fa-IR"/>
        </w:rPr>
        <w:t xml:space="preserve">، وکذا العکس، ولا یُعدّ من زیادة الرکوع، بخلاف ما إذا وصل إلی </w:t>
      </w:r>
      <w:bookmarkStart w:id="611" w:name="pg13278_326575"/>
    </w:p>
    <w:p>
      <w:pPr>
        <w:pStyle w:val="BookText"/>
        <w:rPr/>
      </w:pPr>
      <w:bookmarkEnd w:id="611"/>
      <w:r>
        <w:rPr>
          <w:rFonts w:ascii="Amiri" w:hAnsi="Amiri" w:eastAsia="Amiri" w:cs="Amiri"/>
          <w:color w:val="111111"/>
          <w:sz w:val="28"/>
          <w:sz w:val="28"/>
          <w:szCs w:val="28"/>
          <w:rtl w:val="true"/>
          <w:lang w:bidi="ar-SA"/>
        </w:rPr>
        <w:t>أقصی الحدّ ثمّ نزل أزید ثمّ رجع فإنّه</w:t>
      </w:r>
      <w:r>
        <w:rPr>
          <w:rStyle w:val="FootnoteAnchor"/>
          <w:rtl w:val="true"/>
        </w:rPr>
        <w:footnoteReference w:id="805"/>
      </w:r>
      <w:r>
        <w:rPr>
          <w:rFonts w:ascii="IRNazanin" w:hAnsi="IRNazanin" w:eastAsia="IRNazanin"/>
          <w:color w:val="111111"/>
          <w:sz w:val="28"/>
          <w:sz w:val="28"/>
          <w:szCs w:val="28"/>
          <w:rtl w:val="true"/>
          <w:lang w:bidi="fa-IR"/>
        </w:rPr>
        <w:t>یوجب زیادته</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فیه، والاحتیاط سبیل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إیجابه للزیادة إشکال، بل العدم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رجع بقصد الرکوع ثانیاً، وإلاّ ففی إیجابه الزیادة إشکال، 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إن قصد الرکوع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زیادةً منع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هذا من زیادة الرکوع، نعم، لو فعله عمداً بطلت الصلاة؛ من ناحیة عدم اتّصال القیام بعد الرکوع به، ومن ناحیة الإخلال بالذکر إذا کان قبل إتمامه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إیجابه الزیادة نظر و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الزیادة ممنوعة، ولکنّ الإشکال المتقدّم جارٍ هنا أیضاً، مضافاً إلی استلزامه الإخلال برفع الرأس عن الرکوع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فما دام فی حدِّه یُعدّ رکوعاً واحداً وإن تبدّلت الدرجات منه</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841017_2322387425"/>
      <w:bookmarkStart w:id="613" w:name="_Toc226"/>
      <w:bookmarkEnd w:id="612"/>
      <w:r>
        <w:rPr>
          <w:rtl w:val="true"/>
        </w:rPr>
        <w:t xml:space="preserve">الشک فی لفط </w:t>
      </w:r>
      <w:r>
        <w:rPr>
          <w:rtl w:val="true"/>
        </w:rPr>
        <w:t>«</w:t>
      </w:r>
      <w:r>
        <w:rPr>
          <w:rtl w:val="true"/>
        </w:rPr>
        <w:t>العظیم</w:t>
      </w:r>
      <w:r>
        <w:rPr>
          <w:rtl w:val="true"/>
        </w:rPr>
        <w:t>»</w:t>
      </w:r>
      <w:bookmarkEnd w:id="61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 نّه بالضاد أو بالظاء یجب</w:t>
      </w:r>
      <w:r>
        <w:rPr>
          <w:rStyle w:val="FootnoteAnchor"/>
          <w:rtl w:val="true"/>
        </w:rPr>
        <w:footnoteReference w:id="807"/>
      </w:r>
      <w:r>
        <w:rPr>
          <w:rFonts w:ascii="IRNazanin" w:hAnsi="IRNazanin" w:eastAsia="IRNazanin"/>
          <w:color w:val="111111"/>
          <w:sz w:val="28"/>
          <w:sz w:val="28"/>
          <w:szCs w:val="28"/>
          <w:rtl w:val="true"/>
          <w:lang w:bidi="fa-IR"/>
        </w:rPr>
        <w:t xml:space="preserve">علیه ترک </w:t>
      </w:r>
    </w:p>
    <w:p>
      <w:pPr>
        <w:pStyle w:val="BookText"/>
        <w:rPr/>
      </w:pPr>
      <w:r>
        <w:rPr>
          <w:rFonts w:ascii="IRNazanin" w:hAnsi="IRNazanin" w:eastAsia="IRNazanin"/>
          <w:color w:val="111111"/>
          <w:sz w:val="28"/>
          <w:sz w:val="28"/>
          <w:szCs w:val="28"/>
          <w:rtl w:val="true"/>
          <w:lang w:bidi="fa-IR"/>
        </w:rPr>
        <w:t>الکبری</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أراد الإتیان بأحد المحتملین علی أنّه هو المطلوب، وأمّا لو أراد الإتیان به بعنوان رجاء الصحّة فلا محذور فیه لو تبیّن أنّه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والإتیان بالصغری ثلاثاً أو غیرها من الأذکار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الإشکال فی کفایتها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الجواز، وقد مرّ أنّه خلاف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سائر الأذکار، ولزوم الاقتصار علی 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لاحتمال انصراف الکلام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کذافی الأصل، والظاهر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أن یقرأ بالوجهین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جواز قراءة النصب بقصد الوظیفة، وعدم کفایته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أنّ العظیم بالکسر أو بالفتح یتعیّن علیه أن یقف علیه، ولا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قراءته وصلاً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بوجوه ثلاثة بجعل العظیم خبراً لمبتدأ محذوف، أی هو العظیم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بالوجهین؛</w:t>
      </w:r>
      <w:bookmarkStart w:id="614" w:name="pg13278_326577"/>
    </w:p>
    <w:p>
      <w:pPr>
        <w:pStyle w:val="BookText"/>
        <w:rPr/>
      </w:pPr>
      <w:bookmarkEnd w:id="614"/>
      <w:r>
        <w:rPr>
          <w:rFonts w:ascii="IRNazanin" w:hAnsi="IRNazanin" w:eastAsia="IRNazanin"/>
          <w:color w:val="111111"/>
          <w:sz w:val="28"/>
          <w:sz w:val="28"/>
          <w:szCs w:val="28"/>
          <w:rtl w:val="true"/>
          <w:lang w:bidi="fa-IR"/>
        </w:rPr>
        <w:t>لإمکان</w:t>
      </w:r>
      <w:r>
        <w:rPr>
          <w:rStyle w:val="FootnoteAnchor"/>
          <w:rtl w:val="true"/>
        </w:rPr>
        <w:footnoteReference w:id="809"/>
      </w:r>
      <w:r>
        <w:rPr>
          <w:rFonts w:ascii="IRNazanin" w:hAnsi="IRNazanin" w:eastAsia="IRNazanin"/>
          <w:color w:val="111111"/>
          <w:sz w:val="28"/>
          <w:sz w:val="28"/>
          <w:szCs w:val="28"/>
          <w:rtl w:val="true"/>
          <w:lang w:bidi="fa-IR"/>
        </w:rPr>
        <w:t>أن یجعل العظیم مفعولاً</w:t>
      </w:r>
      <w:r>
        <w:rPr>
          <w:rStyle w:val="FootnoteAnchor"/>
          <w:rtl w:val="true"/>
        </w:rPr>
        <w:footnoteReference w:id="810"/>
      </w:r>
      <w:r>
        <w:rPr>
          <w:rFonts w:ascii="IRNazanin" w:hAnsi="IRNazanin" w:eastAsia="IRNazanin"/>
          <w:color w:val="111111"/>
          <w:sz w:val="28"/>
          <w:sz w:val="28"/>
          <w:szCs w:val="28"/>
          <w:rtl w:val="true"/>
          <w:lang w:bidi="fa-IR"/>
        </w:rPr>
        <w:t>لأعنی</w:t>
      </w:r>
      <w:r>
        <w:rPr>
          <w:rStyle w:val="FootnoteAnchor"/>
          <w:rtl w:val="true"/>
        </w:rPr>
        <w:footnoteReference w:id="811"/>
      </w:r>
      <w:r>
        <w:rPr>
          <w:rFonts w:ascii="Amiri" w:hAnsi="Amiri" w:eastAsia="Amiri" w:cs="Amiri"/>
          <w:color w:val="111111"/>
          <w:sz w:val="28"/>
          <w:sz w:val="28"/>
          <w:szCs w:val="28"/>
          <w:rtl w:val="true"/>
          <w:lang w:bidi="ar-SA"/>
        </w:rPr>
        <w:t>مقدّراً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1841019_2322387425"/>
      <w:bookmarkStart w:id="616" w:name="_Toc227"/>
      <w:bookmarkEnd w:id="615"/>
      <w:r>
        <w:rPr>
          <w:rtl w:val="true"/>
        </w:rPr>
        <w:t>کیفیة الرکوع الجلوسی</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تحقّق الرکوع الجلوسیّ</w:t>
      </w:r>
      <w:r>
        <w:rPr>
          <w:rStyle w:val="FootnoteAnchor"/>
          <w:rtl w:val="true"/>
        </w:rPr>
        <w:footnoteReference w:id="813"/>
      </w:r>
      <w:r>
        <w:rPr>
          <w:rFonts w:ascii="IRNazanin" w:hAnsi="IRNazanin" w:eastAsia="IRNazanin"/>
          <w:color w:val="111111"/>
          <w:sz w:val="28"/>
          <w:sz w:val="28"/>
          <w:szCs w:val="28"/>
          <w:rtl w:val="true"/>
          <w:lang w:bidi="fa-IR"/>
        </w:rPr>
        <w:t>أن ینحنی</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أن ینحنی بقدر انحناء الراکع قائماً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بما یُسمّی عرفاً رکوعاً ، وهو یصدق علی ما ذُکِر هنا وأقلّ وأکثر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وجهه رکبتیه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والأفضل الزیادة علی ذلک بحیث یساوی مسجده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یجب فیه علی الأصحّ الانتصاب علی الرکبتین</w:t>
      </w:r>
      <w:bookmarkStart w:id="617" w:name="pg13278_326578"/>
    </w:p>
    <w:p>
      <w:pPr>
        <w:pStyle w:val="BookText"/>
        <w:rPr/>
      </w:pPr>
      <w:bookmarkEnd w:id="617"/>
      <w:r>
        <w:rPr>
          <w:rFonts w:ascii="IRNazanin" w:hAnsi="IRNazanin" w:eastAsia="IRNazanin"/>
          <w:color w:val="111111"/>
          <w:sz w:val="28"/>
          <w:sz w:val="28"/>
          <w:szCs w:val="28"/>
          <w:rtl w:val="true"/>
          <w:lang w:bidi="fa-IR"/>
        </w:rPr>
        <w:t>شبه القائم ثمّ الانحناء، وإن کان هو الأحوط</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1841021_2322387425"/>
      <w:bookmarkStart w:id="619" w:name="_Toc228"/>
      <w:bookmarkEnd w:id="618"/>
      <w:r>
        <w:rPr>
          <w:rtl w:val="true"/>
        </w:rPr>
        <w:t>مستحبات الرکوع</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الرکوع اُمور</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1841023_2322387425"/>
      <w:bookmarkStart w:id="621" w:name="_Toc229"/>
      <w:bookmarkEnd w:id="620"/>
      <w:r>
        <w:rPr>
          <w:rtl w:val="true"/>
        </w:rPr>
        <w:t>الأول</w:t>
      </w:r>
      <w:r>
        <w:rPr>
          <w:rtl w:val="true"/>
        </w:rPr>
        <w:t xml:space="preserve">: </w:t>
      </w:r>
      <w:r>
        <w:rPr>
          <w:rtl w:val="true"/>
        </w:rPr>
        <w:t>التکبیر للرکوع فی حال الانتصاب</w:t>
      </w:r>
      <w:bookmarkEnd w:id="621"/>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له وهوقائم منتصب، والأحوط</w:t>
      </w:r>
      <w:r>
        <w:rPr>
          <w:rStyle w:val="FootnoteAnchor"/>
          <w:rtl w:val="true"/>
        </w:rPr>
        <w:footnoteReference w:id="817"/>
      </w:r>
      <w:r>
        <w:rPr>
          <w:rFonts w:ascii="IRNazanin" w:hAnsi="IRNazanin" w:eastAsia="IRNazanin"/>
          <w:color w:val="111111"/>
          <w:sz w:val="28"/>
          <w:sz w:val="28"/>
          <w:szCs w:val="28"/>
          <w:rtl w:val="true"/>
          <w:lang w:bidi="fa-IR"/>
        </w:rPr>
        <w:t>عدم ترکه</w:t>
      </w:r>
      <w:r>
        <w:rPr>
          <w:rStyle w:val="FootnoteAnchor"/>
          <w:rtl w:val="true"/>
        </w:rPr>
        <w:footnoteReference w:id="8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وجوبه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لِما عن بعض فطاحل الفقه من الفتوی بالوجوب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قصد الخصوصیّة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کبّر فی حال الهویّ، أو مع عدم الاستقرار</w:t>
      </w:r>
      <w:r>
        <w:rPr>
          <w:rFonts w:eastAsia="IRNazanin" w:cs="IRNazanin"/>
          <w:color w:val="111111"/>
          <w:sz w:val="28"/>
          <w:szCs w:val="28"/>
          <w:rtl w:val="true"/>
          <w:lang w:bidi="fa-IR"/>
        </w:rPr>
        <w:t>.</w:t>
      </w:r>
    </w:p>
    <w:p>
      <w:pPr>
        <w:pStyle w:val="Heading3"/>
        <w:numPr>
          <w:ilvl w:val="2"/>
          <w:numId w:val="1"/>
        </w:numPr>
        <w:rPr/>
      </w:pPr>
      <w:bookmarkStart w:id="622" w:name="__RefHeading___Toc1841025_2322387425"/>
      <w:bookmarkStart w:id="623" w:name="_Toc230"/>
      <w:bookmarkEnd w:id="622"/>
      <w:r>
        <w:rPr>
          <w:rtl w:val="true"/>
        </w:rPr>
        <w:t>الثانی</w:t>
      </w:r>
      <w:r>
        <w:rPr>
          <w:rtl w:val="true"/>
        </w:rPr>
        <w:t xml:space="preserve">: </w:t>
      </w:r>
      <w:r>
        <w:rPr>
          <w:rtl w:val="true"/>
        </w:rPr>
        <w:t>رفع الیدین حال التکبیرة</w:t>
      </w:r>
      <w:bookmarkEnd w:id="62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وکأنّه ممّا یُعدّ من مسلّمات هذا المبحث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التکبیر علی نحو ما مرّ فی تکبیرة الإحرام</w:t>
      </w:r>
      <w:r>
        <w:rPr>
          <w:rFonts w:eastAsia="IRNazanin" w:cs="IRNazanin"/>
          <w:color w:val="111111"/>
          <w:sz w:val="28"/>
          <w:szCs w:val="28"/>
          <w:rtl w:val="true"/>
          <w:lang w:bidi="fa-IR"/>
        </w:rPr>
        <w:t>.</w:t>
      </w:r>
      <w:bookmarkStart w:id="624" w:name="pg13278_326579"/>
    </w:p>
    <w:p>
      <w:pPr>
        <w:pStyle w:val="Heading3"/>
        <w:numPr>
          <w:ilvl w:val="2"/>
          <w:numId w:val="1"/>
        </w:numPr>
        <w:rPr/>
      </w:pPr>
      <w:bookmarkStart w:id="625" w:name="__RefHeading___Toc1841027_2322387425"/>
      <w:bookmarkStart w:id="626" w:name="_Toc231"/>
      <w:bookmarkEnd w:id="624"/>
      <w:bookmarkEnd w:id="625"/>
      <w:r>
        <w:rPr>
          <w:rtl w:val="true"/>
        </w:rPr>
        <w:t>الثالث</w:t>
      </w:r>
      <w:r>
        <w:rPr>
          <w:rtl w:val="true"/>
        </w:rPr>
        <w:t xml:space="preserve">: </w:t>
      </w:r>
      <w:r>
        <w:rPr>
          <w:rtl w:val="true"/>
        </w:rPr>
        <w:t>وضع الکفین علی الرکبتین</w:t>
      </w:r>
      <w:bookmarkEnd w:id="62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الکفّین</w:t>
      </w:r>
      <w:r>
        <w:rPr>
          <w:rStyle w:val="FootnoteAnchor"/>
          <w:rtl w:val="true"/>
        </w:rPr>
        <w:footnoteReference w:id="8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الأحوط عدم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عدم ترکه بوضع الیمنی علی الیمنی والیسری علی الیسری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ترکه بمقدار المسمّی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الیمنی علی الیمنی، والیسری علی الیسری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وضعهما علیهما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الاحتیاط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بوضع الکفّین علی الرکبتین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أنّه أحوط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الرکبتین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مفرّجات الأصابع، ممکّناً لهما من عینیهما، واضعاً الیمنی علی الیمنی، والیسری علی الیسری</w:t>
      </w:r>
      <w:r>
        <w:rPr>
          <w:rFonts w:eastAsia="IRNazanin" w:cs="IRNazanin"/>
          <w:color w:val="111111"/>
          <w:sz w:val="28"/>
          <w:szCs w:val="28"/>
          <w:rtl w:val="true"/>
          <w:lang w:bidi="fa-IR"/>
        </w:rPr>
        <w:t>.</w:t>
      </w:r>
    </w:p>
    <w:p>
      <w:pPr>
        <w:pStyle w:val="Heading3"/>
        <w:numPr>
          <w:ilvl w:val="2"/>
          <w:numId w:val="1"/>
        </w:numPr>
        <w:rPr/>
      </w:pPr>
      <w:bookmarkStart w:id="627" w:name="__RefHeading___Toc1841029_2322387425"/>
      <w:bookmarkStart w:id="628" w:name="_Toc232"/>
      <w:bookmarkEnd w:id="627"/>
      <w:r>
        <w:rPr>
          <w:rtl w:val="true"/>
        </w:rPr>
        <w:t>الرابع</w:t>
      </w:r>
      <w:r>
        <w:rPr>
          <w:rtl w:val="true"/>
        </w:rPr>
        <w:t xml:space="preserve">: </w:t>
      </w:r>
      <w:r>
        <w:rPr>
          <w:rtl w:val="true"/>
        </w:rPr>
        <w:t>رد الرکبتین إلی الخلف</w:t>
      </w:r>
      <w:bookmarkEnd w:id="62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الرکبتین إلی الخلف</w:t>
      </w:r>
      <w:r>
        <w:rPr>
          <w:rFonts w:eastAsia="IRNazanin" w:cs="IRNazanin"/>
          <w:color w:val="111111"/>
          <w:sz w:val="28"/>
          <w:szCs w:val="28"/>
          <w:rtl w:val="true"/>
          <w:lang w:bidi="fa-IR"/>
        </w:rPr>
        <w:t>.</w:t>
      </w:r>
    </w:p>
    <w:p>
      <w:pPr>
        <w:pStyle w:val="Heading3"/>
        <w:numPr>
          <w:ilvl w:val="2"/>
          <w:numId w:val="1"/>
        </w:numPr>
        <w:rPr/>
      </w:pPr>
      <w:bookmarkStart w:id="629" w:name="__RefHeading___Toc1841031_2322387425"/>
      <w:bookmarkStart w:id="630" w:name="_Toc233"/>
      <w:bookmarkEnd w:id="629"/>
      <w:r>
        <w:rPr>
          <w:rtl w:val="true"/>
        </w:rPr>
        <w:t>الخامس</w:t>
      </w:r>
      <w:r>
        <w:rPr>
          <w:rtl w:val="true"/>
        </w:rPr>
        <w:t xml:space="preserve">: </w:t>
      </w:r>
      <w:r>
        <w:rPr>
          <w:rtl w:val="true"/>
        </w:rPr>
        <w:t>تسویة الظهر</w:t>
      </w:r>
      <w:bookmarkEnd w:id="63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تسویة الظهر بحیث لو صبَّ علیه قطرة من الماء استقرّ فی مکانه لم یزل</w:t>
      </w:r>
      <w:r>
        <w:rPr>
          <w:rFonts w:eastAsia="IRNazanin" w:cs="IRNazanin"/>
          <w:color w:val="111111"/>
          <w:sz w:val="28"/>
          <w:szCs w:val="28"/>
          <w:rtl w:val="true"/>
          <w:lang w:bidi="fa-IR"/>
        </w:rPr>
        <w:t xml:space="preserve">. </w:t>
      </w:r>
      <w:bookmarkStart w:id="631" w:name="pg13278_326580"/>
    </w:p>
    <w:p>
      <w:pPr>
        <w:pStyle w:val="Heading3"/>
        <w:numPr>
          <w:ilvl w:val="2"/>
          <w:numId w:val="1"/>
        </w:numPr>
        <w:rPr/>
      </w:pPr>
      <w:bookmarkStart w:id="632" w:name="__RefHeading___Toc1841033_2322387425"/>
      <w:bookmarkStart w:id="633" w:name="_Toc234"/>
      <w:bookmarkEnd w:id="631"/>
      <w:bookmarkEnd w:id="632"/>
      <w:r>
        <w:rPr>
          <w:rtl w:val="true"/>
        </w:rPr>
        <w:t>السادس</w:t>
      </w:r>
      <w:r>
        <w:rPr>
          <w:rtl w:val="true"/>
        </w:rPr>
        <w:t xml:space="preserve">: </w:t>
      </w:r>
      <w:r>
        <w:rPr>
          <w:rtl w:val="true"/>
        </w:rPr>
        <w:t>مد العنق</w:t>
      </w:r>
      <w:bookmarkEnd w:id="633"/>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العنق موازیاً للظهر</w:t>
      </w:r>
      <w:r>
        <w:rPr>
          <w:rFonts w:eastAsia="IRNazanin" w:cs="IRNazanin"/>
          <w:color w:val="111111"/>
          <w:sz w:val="28"/>
          <w:szCs w:val="28"/>
          <w:rtl w:val="true"/>
          <w:lang w:bidi="fa-IR"/>
        </w:rPr>
        <w:t>.</w:t>
      </w:r>
    </w:p>
    <w:p>
      <w:pPr>
        <w:pStyle w:val="Heading3"/>
        <w:numPr>
          <w:ilvl w:val="2"/>
          <w:numId w:val="1"/>
        </w:numPr>
        <w:rPr/>
      </w:pPr>
      <w:bookmarkStart w:id="634" w:name="__RefHeading___Toc1841035_2322387425"/>
      <w:bookmarkStart w:id="635" w:name="_Toc235"/>
      <w:bookmarkEnd w:id="634"/>
      <w:r>
        <w:rPr>
          <w:rtl w:val="true"/>
        </w:rPr>
        <w:t>السابع</w:t>
      </w:r>
      <w:r>
        <w:rPr>
          <w:rtl w:val="true"/>
        </w:rPr>
        <w:t xml:space="preserve">: </w:t>
      </w:r>
      <w:r>
        <w:rPr>
          <w:rtl w:val="true"/>
        </w:rPr>
        <w:t>أن یکون نظره بین قدمیه</w:t>
      </w:r>
      <w:bookmarkEnd w:id="635"/>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نظره</w:t>
      </w:r>
      <w:r>
        <w:rPr>
          <w:rStyle w:val="FootnoteAnchor"/>
          <w:rtl w:val="true"/>
        </w:rPr>
        <w:footnoteReference w:id="821"/>
      </w:r>
      <w:r>
        <w:rPr>
          <w:rFonts w:ascii="IRNazanin" w:hAnsi="IRNazanin" w:eastAsia="IRNazanin"/>
          <w:color w:val="111111"/>
          <w:sz w:val="28"/>
          <w:sz w:val="28"/>
          <w:szCs w:val="28"/>
          <w:rtl w:val="true"/>
          <w:lang w:bidi="fa-IR"/>
        </w:rPr>
        <w:t>بین قدمیه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841037_2322387425"/>
      <w:bookmarkStart w:id="637" w:name="_Toc236"/>
      <w:bookmarkEnd w:id="636"/>
      <w:r>
        <w:rPr>
          <w:rtl w:val="true"/>
        </w:rPr>
        <w:t>الثامن</w:t>
      </w:r>
      <w:r>
        <w:rPr>
          <w:rtl w:val="true"/>
        </w:rPr>
        <w:t xml:space="preserve">: </w:t>
      </w:r>
      <w:r>
        <w:rPr>
          <w:rtl w:val="true"/>
        </w:rPr>
        <w:t>التجنیح</w:t>
      </w:r>
      <w:bookmarkEnd w:id="637"/>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التجنیح بالمرفقین</w:t>
      </w:r>
      <w:r>
        <w:rPr>
          <w:rFonts w:eastAsia="IRNazanin" w:cs="IRNazanin"/>
          <w:color w:val="111111"/>
          <w:sz w:val="28"/>
          <w:szCs w:val="28"/>
          <w:rtl w:val="true"/>
          <w:lang w:bidi="fa-IR"/>
        </w:rPr>
        <w:t>.</w:t>
      </w:r>
    </w:p>
    <w:p>
      <w:pPr>
        <w:pStyle w:val="Heading3"/>
        <w:numPr>
          <w:ilvl w:val="2"/>
          <w:numId w:val="1"/>
        </w:numPr>
        <w:rPr/>
      </w:pPr>
      <w:bookmarkStart w:id="638" w:name="__RefHeading___Toc1841039_2322387425"/>
      <w:bookmarkStart w:id="639" w:name="_Toc237"/>
      <w:bookmarkEnd w:id="638"/>
      <w:r>
        <w:rPr>
          <w:rtl w:val="true"/>
        </w:rPr>
        <w:t>التاسع</w:t>
      </w:r>
      <w:r>
        <w:rPr>
          <w:rtl w:val="true"/>
        </w:rPr>
        <w:t xml:space="preserve">: </w:t>
      </w:r>
      <w:r>
        <w:rPr>
          <w:rtl w:val="true"/>
        </w:rPr>
        <w:t>وضع الید الیمنی علی</w:t>
      </w:r>
      <w:bookmarkEnd w:id="639"/>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 الیمنی علی الرکبة قبل الیسری</w:t>
      </w:r>
      <w:r>
        <w:rPr>
          <w:rFonts w:eastAsia="IRNazanin" w:cs="IRNazanin"/>
          <w:color w:val="111111"/>
          <w:sz w:val="28"/>
          <w:szCs w:val="28"/>
          <w:rtl w:val="true"/>
          <w:lang w:bidi="fa-IR"/>
        </w:rPr>
        <w:t>.</w:t>
      </w:r>
    </w:p>
    <w:p>
      <w:pPr>
        <w:pStyle w:val="Heading3"/>
        <w:numPr>
          <w:ilvl w:val="2"/>
          <w:numId w:val="1"/>
        </w:numPr>
        <w:rPr/>
      </w:pPr>
      <w:bookmarkStart w:id="640" w:name="__RefHeading___Toc1841041_2322387425"/>
      <w:bookmarkStart w:id="641" w:name="_Toc238"/>
      <w:bookmarkEnd w:id="640"/>
      <w:r>
        <w:rPr>
          <w:rtl w:val="true"/>
        </w:rPr>
        <w:t>العاشر</w:t>
      </w:r>
      <w:r>
        <w:rPr>
          <w:rtl w:val="true"/>
        </w:rPr>
        <w:t xml:space="preserve">: </w:t>
      </w:r>
      <w:r>
        <w:rPr>
          <w:rtl w:val="true"/>
        </w:rPr>
        <w:t>وضع المرأة یدیها علی فخذیها فوق الرکبتین</w:t>
      </w:r>
      <w:bookmarkEnd w:id="641"/>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تضع المرأة یدیها علی فخذیها فوق الرکبتین</w:t>
      </w:r>
      <w:r>
        <w:rPr>
          <w:rFonts w:eastAsia="IRNazanin" w:cs="IRNazanin"/>
          <w:color w:val="111111"/>
          <w:sz w:val="28"/>
          <w:szCs w:val="28"/>
          <w:rtl w:val="true"/>
          <w:lang w:bidi="fa-IR"/>
        </w:rPr>
        <w:t>.</w:t>
      </w:r>
    </w:p>
    <w:p>
      <w:pPr>
        <w:pStyle w:val="Heading3"/>
        <w:numPr>
          <w:ilvl w:val="2"/>
          <w:numId w:val="1"/>
        </w:numPr>
        <w:rPr/>
      </w:pPr>
      <w:bookmarkStart w:id="642" w:name="__RefHeading___Toc1841043_2322387425"/>
      <w:bookmarkStart w:id="643" w:name="_Toc239"/>
      <w:bookmarkEnd w:id="642"/>
      <w:r>
        <w:rPr>
          <w:rtl w:val="true"/>
        </w:rPr>
        <w:t>الحادی عشر</w:t>
      </w:r>
      <w:r>
        <w:rPr>
          <w:rtl w:val="true"/>
        </w:rPr>
        <w:t xml:space="preserve">: </w:t>
      </w:r>
      <w:r>
        <w:rPr>
          <w:rtl w:val="true"/>
        </w:rPr>
        <w:t>تکرار التسبیح ثلاثاً</w:t>
      </w:r>
      <w:bookmarkEnd w:id="643"/>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التسبیح</w:t>
      </w:r>
      <w:r>
        <w:rPr>
          <w:rStyle w:val="FootnoteAnchor"/>
          <w:rtl w:val="true"/>
        </w:rPr>
        <w:footnoteReference w:id="8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التسبیحة الکبری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الکبری، وأمّا فی الصغری فلا یُترک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التسبیحة الکبری؛ لِما تقدّم من وجوب تکرار الصغری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التسبیحة الکبری ؛ لِما مرّ من لزوم تکرار الصغری 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خمساً أو سبعاً، بل أزید</w:t>
      </w:r>
      <w:r>
        <w:rPr>
          <w:rFonts w:eastAsia="IRNazanin" w:cs="IRNazanin"/>
          <w:color w:val="111111"/>
          <w:sz w:val="28"/>
          <w:szCs w:val="28"/>
          <w:rtl w:val="true"/>
          <w:lang w:bidi="fa-IR"/>
        </w:rPr>
        <w:t>.</w:t>
      </w:r>
    </w:p>
    <w:p>
      <w:pPr>
        <w:pStyle w:val="Heading3"/>
        <w:numPr>
          <w:ilvl w:val="2"/>
          <w:numId w:val="1"/>
        </w:numPr>
        <w:rPr/>
      </w:pPr>
      <w:bookmarkStart w:id="644" w:name="__RefHeading___Toc1841045_2322387425"/>
      <w:bookmarkStart w:id="645" w:name="_Toc240"/>
      <w:bookmarkEnd w:id="644"/>
      <w:r>
        <w:rPr>
          <w:rtl w:val="true"/>
        </w:rPr>
        <w:t>الثانی عشر</w:t>
      </w:r>
      <w:r>
        <w:rPr>
          <w:rtl w:val="true"/>
        </w:rPr>
        <w:t xml:space="preserve">: </w:t>
      </w:r>
      <w:r>
        <w:rPr>
          <w:rtl w:val="true"/>
        </w:rPr>
        <w:t>الختم علی وتر</w:t>
      </w:r>
      <w:bookmarkEnd w:id="645"/>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یختم الذکر علی وَتْر</w:t>
      </w:r>
      <w:r>
        <w:rPr>
          <w:rFonts w:eastAsia="IRNazanin" w:cs="IRNazanin"/>
          <w:color w:val="111111"/>
          <w:sz w:val="28"/>
          <w:szCs w:val="28"/>
          <w:rtl w:val="true"/>
          <w:lang w:bidi="fa-IR"/>
        </w:rPr>
        <w:t>.</w:t>
      </w:r>
    </w:p>
    <w:p>
      <w:pPr>
        <w:pStyle w:val="Heading3"/>
        <w:numPr>
          <w:ilvl w:val="2"/>
          <w:numId w:val="1"/>
        </w:numPr>
        <w:rPr/>
      </w:pPr>
      <w:bookmarkStart w:id="646" w:name="__RefHeading___Toc1841047_2322387425"/>
      <w:bookmarkStart w:id="647" w:name="_Toc241"/>
      <w:bookmarkEnd w:id="646"/>
      <w:r>
        <w:rPr>
          <w:rtl w:val="true"/>
        </w:rPr>
        <w:t>الثالث عشر</w:t>
      </w:r>
      <w:r>
        <w:rPr>
          <w:rtl w:val="true"/>
        </w:rPr>
        <w:t xml:space="preserve">: </w:t>
      </w:r>
      <w:r>
        <w:rPr>
          <w:rtl w:val="true"/>
        </w:rPr>
        <w:t>الدعاء قبل الذکر بالمأثور</w:t>
      </w:r>
      <w:bookmarkEnd w:id="647"/>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قبل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رکعت، ولک أسلمت، وبک آمنت، وعلیک توکّلت، وأنت ربّی، خشع لک سمعی وبصری وشعری وبشری ولحمی ودمی ومخّی وعَصَبی وعظامی، وما أقلّت قدمای، غیر مستنکِفٍ ولا مستکبِرٍ ولا مستحسِر</w:t>
      </w:r>
      <w:r>
        <w:rPr>
          <w:rFonts w:eastAsia="IRNazanin" w:cs="IRNazanin"/>
          <w:color w:val="111111"/>
          <w:sz w:val="28"/>
          <w:szCs w:val="28"/>
          <w:rtl w:val="true"/>
          <w:lang w:bidi="fa-IR"/>
        </w:rPr>
        <w:t>».</w:t>
      </w:r>
    </w:p>
    <w:p>
      <w:pPr>
        <w:pStyle w:val="Heading3"/>
        <w:numPr>
          <w:ilvl w:val="2"/>
          <w:numId w:val="1"/>
        </w:numPr>
        <w:rPr/>
      </w:pPr>
      <w:bookmarkStart w:id="648" w:name="__RefHeading___Toc1841049_2322387425"/>
      <w:bookmarkStart w:id="649" w:name="_Toc242"/>
      <w:bookmarkEnd w:id="648"/>
      <w:r>
        <w:rPr>
          <w:rtl w:val="true"/>
        </w:rPr>
        <w:t>الرابع عشر</w:t>
      </w:r>
      <w:r>
        <w:rPr>
          <w:rtl w:val="true"/>
        </w:rPr>
        <w:t xml:space="preserve">: </w:t>
      </w:r>
      <w:r>
        <w:rPr>
          <w:rtl w:val="true"/>
        </w:rPr>
        <w:t>الدعاء بعد الانتصاب منه بالمأثور</w:t>
      </w:r>
      <w:bookmarkEnd w:id="64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بعد الانتصاب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bookmarkStart w:id="650" w:name="pg13278_326581"/>
    </w:p>
    <w:p>
      <w:pPr>
        <w:pStyle w:val="BookText"/>
        <w:rPr/>
      </w:pPr>
      <w:bookmarkEnd w:id="650"/>
      <w:r>
        <w:rPr>
          <w:rFonts w:ascii="IRNazanin" w:hAnsi="IRNazanin" w:eastAsia="IRNazanin"/>
          <w:color w:val="111111"/>
          <w:sz w:val="28"/>
          <w:sz w:val="28"/>
          <w:szCs w:val="28"/>
          <w:rtl w:val="true"/>
          <w:lang w:bidi="fa-IR"/>
        </w:rPr>
        <w:t>یُستحبّ أن یضمّ إلیه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أهل الجبروت والکبریاء والعظمة،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إماماً کان أو مأموماً</w:t>
      </w:r>
      <w:r>
        <w:rPr>
          <w:rStyle w:val="FootnoteAnchor"/>
          <w:rtl w:val="true"/>
        </w:rPr>
        <w:footnoteReference w:id="824"/>
      </w:r>
      <w:r>
        <w:rPr>
          <w:rFonts w:ascii="Amiri" w:hAnsi="Amiri" w:eastAsia="Amiri" w:cs="Amiri"/>
          <w:color w:val="111111"/>
          <w:sz w:val="28"/>
          <w:sz w:val="28"/>
          <w:szCs w:val="28"/>
          <w:rtl w:val="true"/>
          <w:lang w:bidi="ar-SA"/>
        </w:rPr>
        <w:t>أو منفرداً</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841051_2322387425"/>
      <w:bookmarkStart w:id="652" w:name="_Toc243"/>
      <w:bookmarkEnd w:id="651"/>
      <w:r>
        <w:rPr>
          <w:rtl w:val="true"/>
        </w:rPr>
        <w:t>الخامس عشر</w:t>
      </w:r>
      <w:r>
        <w:rPr>
          <w:rtl w:val="true"/>
        </w:rPr>
        <w:t xml:space="preserve">: </w:t>
      </w:r>
      <w:r>
        <w:rPr>
          <w:rtl w:val="true"/>
        </w:rPr>
        <w:t>رفع الیدین للانتصاب منه</w:t>
      </w:r>
      <w:bookmarkEnd w:id="652"/>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w:t>
      </w:r>
      <w:r>
        <w:rPr>
          <w:rStyle w:val="FootnoteAnchor"/>
          <w:rtl w:val="true"/>
        </w:rPr>
        <w:footnoteReference w:id="825"/>
      </w:r>
      <w:r>
        <w:rPr>
          <w:rFonts w:ascii="IRNazanin" w:hAnsi="IRNazanin" w:eastAsia="IRNazanin"/>
          <w:color w:val="111111"/>
          <w:sz w:val="28"/>
          <w:sz w:val="28"/>
          <w:szCs w:val="28"/>
          <w:rtl w:val="true"/>
          <w:lang w:bidi="fa-IR"/>
        </w:rPr>
        <w:t>للانتصاب منه، وهذا غیر رفع الیدین حال التکبیر للسجود</w:t>
      </w:r>
      <w:r>
        <w:rPr>
          <w:rFonts w:eastAsia="IRNazanin" w:cs="IRNazanin"/>
          <w:color w:val="111111"/>
          <w:sz w:val="28"/>
          <w:szCs w:val="28"/>
          <w:rtl w:val="true"/>
          <w:lang w:bidi="fa-IR"/>
        </w:rPr>
        <w:t>.</w:t>
      </w:r>
    </w:p>
    <w:p>
      <w:pPr>
        <w:pStyle w:val="Heading3"/>
        <w:numPr>
          <w:ilvl w:val="2"/>
          <w:numId w:val="1"/>
        </w:numPr>
        <w:rPr/>
      </w:pPr>
      <w:bookmarkStart w:id="653" w:name="__RefHeading___Toc1841053_2322387425"/>
      <w:bookmarkStart w:id="654" w:name="_Toc244"/>
      <w:bookmarkEnd w:id="653"/>
      <w:r>
        <w:rPr>
          <w:rtl w:val="true"/>
        </w:rPr>
        <w:t>السادس عشر</w:t>
      </w:r>
      <w:r>
        <w:rPr>
          <w:rtl w:val="true"/>
        </w:rPr>
        <w:t xml:space="preserve">: </w:t>
      </w:r>
      <w:r>
        <w:rPr>
          <w:rtl w:val="true"/>
        </w:rPr>
        <w:t>الصلاة علی النبی صلی الله علیه و اله بعد الذکر أو قبله</w:t>
      </w:r>
      <w:bookmarkEnd w:id="654"/>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بقصد الجزئیّة ولو استحباباً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ویحکی عن عمل بعض أساطین الفقه من السلف أنّه کان یقول بعد الصلاة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وترحّم علی عجزنا، وأغثنا بحقّهم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أقف علی مستنده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النبیّ وآله بعد الذکر أو قبله</w:t>
      </w:r>
      <w:r>
        <w:rPr>
          <w:rFonts w:eastAsia="IRNazanin" w:cs="IRNazanin"/>
          <w:color w:val="111111"/>
          <w:sz w:val="28"/>
          <w:szCs w:val="28"/>
          <w:rtl w:val="true"/>
          <w:lang w:bidi="fa-IR"/>
        </w:rPr>
        <w:t>.</w:t>
      </w:r>
    </w:p>
    <w:p>
      <w:pPr>
        <w:pStyle w:val="Heading3"/>
        <w:numPr>
          <w:ilvl w:val="2"/>
          <w:numId w:val="1"/>
        </w:numPr>
        <w:rPr/>
      </w:pPr>
      <w:bookmarkStart w:id="655" w:name="__RefHeading___Toc1841055_2322387425"/>
      <w:bookmarkStart w:id="656" w:name="_Toc245"/>
      <w:bookmarkEnd w:id="655"/>
      <w:r>
        <w:rPr>
          <w:rtl w:val="true"/>
        </w:rPr>
        <w:t>مکروهات الرکوع</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فی الرکوع اُمور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1841057_2322387425"/>
      <w:bookmarkStart w:id="658" w:name="_Toc246"/>
      <w:bookmarkEnd w:id="657"/>
      <w:r>
        <w:rPr>
          <w:rtl w:val="true"/>
        </w:rPr>
        <w:t>الأول</w:t>
      </w:r>
      <w:r>
        <w:rPr>
          <w:rtl w:val="true"/>
        </w:rPr>
        <w:t xml:space="preserve">: </w:t>
      </w:r>
      <w:r>
        <w:rPr>
          <w:rtl w:val="true"/>
        </w:rPr>
        <w:t>أن یطأطئ رأسه</w:t>
      </w:r>
      <w:bookmarkEnd w:id="65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یُطَأطِئ رأسه بحیث لا یساوی ظهره، أو یرفعه</w:t>
      </w:r>
      <w:r>
        <w:rPr>
          <w:rStyle w:val="FootnoteAnchor"/>
          <w:rtl w:val="true"/>
        </w:rPr>
        <w:footnoteReference w:id="828"/>
      </w:r>
      <w:r>
        <w:rPr>
          <w:rFonts w:ascii="IRNazanin" w:hAnsi="IRNazanin" w:eastAsia="IRNazanin"/>
          <w:color w:val="111111"/>
          <w:sz w:val="28"/>
          <w:sz w:val="28"/>
          <w:szCs w:val="28"/>
          <w:rtl w:val="true"/>
          <w:lang w:bidi="fa-IR"/>
        </w:rPr>
        <w:t>إلی فوق کذلک</w:t>
      </w:r>
      <w:r>
        <w:rPr>
          <w:rFonts w:eastAsia="IRNazanin" w:cs="IRNazanin"/>
          <w:color w:val="111111"/>
          <w:sz w:val="28"/>
          <w:szCs w:val="28"/>
          <w:rtl w:val="true"/>
          <w:lang w:bidi="fa-IR"/>
        </w:rPr>
        <w:t xml:space="preserve">. </w:t>
      </w:r>
      <w:bookmarkStart w:id="659" w:name="pg13278_326582"/>
    </w:p>
    <w:p>
      <w:pPr>
        <w:pStyle w:val="Heading3"/>
        <w:numPr>
          <w:ilvl w:val="2"/>
          <w:numId w:val="1"/>
        </w:numPr>
        <w:rPr/>
      </w:pPr>
      <w:bookmarkStart w:id="660" w:name="__RefHeading___Toc1841059_2322387425"/>
      <w:bookmarkStart w:id="661" w:name="_Toc247"/>
      <w:bookmarkEnd w:id="659"/>
      <w:bookmarkEnd w:id="660"/>
      <w:r>
        <w:rPr>
          <w:rtl w:val="true"/>
        </w:rPr>
        <w:t>الثانی</w:t>
      </w:r>
      <w:r>
        <w:rPr>
          <w:rtl w:val="true"/>
        </w:rPr>
        <w:t xml:space="preserve">: </w:t>
      </w:r>
      <w:r>
        <w:rPr>
          <w:rtl w:val="true"/>
        </w:rPr>
        <w:t>یضم یدیه إلی جنبیه</w:t>
      </w:r>
      <w:bookmarkEnd w:id="66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یضمّ یدیه</w:t>
      </w:r>
      <w:r>
        <w:rPr>
          <w:rStyle w:val="FootnoteAnchor"/>
          <w:rtl w:val="true"/>
        </w:rPr>
        <w:footnoteReference w:id="829"/>
      </w:r>
      <w:r>
        <w:rPr>
          <w:rFonts w:ascii="IRNazanin" w:hAnsi="IRNazanin" w:eastAsia="IRNazanin"/>
          <w:color w:val="111111"/>
          <w:sz w:val="28"/>
          <w:sz w:val="28"/>
          <w:szCs w:val="28"/>
          <w:rtl w:val="true"/>
          <w:lang w:bidi="fa-IR"/>
        </w:rPr>
        <w:t>إلی جنبیه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1841061_2322387425"/>
      <w:bookmarkStart w:id="663" w:name="_Toc248"/>
      <w:bookmarkEnd w:id="662"/>
      <w:r>
        <w:rPr>
          <w:rtl w:val="true"/>
        </w:rPr>
        <w:t>الثالث</w:t>
      </w:r>
      <w:r>
        <w:rPr>
          <w:rtl w:val="true"/>
        </w:rPr>
        <w:t xml:space="preserve">: </w:t>
      </w:r>
      <w:r>
        <w:rPr>
          <w:rtl w:val="true"/>
        </w:rPr>
        <w:t>أن یضع إحدی الکفین علی الخری و یدخلهما بین رکبتیه</w:t>
      </w:r>
      <w:bookmarkEnd w:id="66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إحدی الکفّین علی الاُخری ویدخلهما بین رکبتیه، بل الأحوط اجتنابه</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الاحتیاط بالوضع علی الرکبتین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Heading3"/>
        <w:numPr>
          <w:ilvl w:val="2"/>
          <w:numId w:val="1"/>
        </w:numPr>
        <w:rPr/>
      </w:pPr>
      <w:bookmarkStart w:id="664" w:name="__RefHeading___Toc1841063_2322387425"/>
      <w:bookmarkStart w:id="665" w:name="_Toc249"/>
      <w:bookmarkEnd w:id="664"/>
      <w:r>
        <w:rPr>
          <w:rtl w:val="true"/>
        </w:rPr>
        <w:t>الرابع</w:t>
      </w:r>
      <w:r>
        <w:rPr>
          <w:rtl w:val="true"/>
        </w:rPr>
        <w:t xml:space="preserve">: </w:t>
      </w:r>
      <w:r>
        <w:rPr>
          <w:rtl w:val="true"/>
        </w:rPr>
        <w:t>قراءة القرآن فیه</w:t>
      </w:r>
      <w:bookmarkEnd w:id="66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Style w:val="FootnoteAnchor"/>
          <w:rtl w:val="true"/>
        </w:rPr>
        <w:footnoteReference w:id="832"/>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Heading3"/>
        <w:numPr>
          <w:ilvl w:val="2"/>
          <w:numId w:val="1"/>
        </w:numPr>
        <w:rPr/>
      </w:pPr>
      <w:bookmarkStart w:id="666" w:name="__RefHeading___Toc1841065_2322387425"/>
      <w:bookmarkStart w:id="667" w:name="_Toc250"/>
      <w:bookmarkEnd w:id="666"/>
      <w:r>
        <w:rPr>
          <w:rtl w:val="true"/>
        </w:rPr>
        <w:t>الخامس</w:t>
      </w:r>
      <w:r>
        <w:rPr>
          <w:rtl w:val="true"/>
        </w:rPr>
        <w:t xml:space="preserve">: </w:t>
      </w:r>
      <w:r>
        <w:rPr>
          <w:rtl w:val="true"/>
        </w:rPr>
        <w:t>أن یجعل یدیه تحت ثیابه ملاصقاً لجسده</w:t>
      </w:r>
      <w:bookmarkEnd w:id="66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یدیه تحت ثیابه</w:t>
      </w:r>
      <w:r>
        <w:rPr>
          <w:rStyle w:val="FootnoteAnchor"/>
          <w:rtl w:val="true"/>
        </w:rPr>
        <w:footnoteReference w:id="833"/>
      </w:r>
      <w:r>
        <w:rPr>
          <w:rFonts w:ascii="IRNazanin" w:hAnsi="IRNazanin" w:eastAsia="IRNazanin"/>
          <w:color w:val="111111"/>
          <w:sz w:val="28"/>
          <w:sz w:val="28"/>
          <w:szCs w:val="28"/>
          <w:rtl w:val="true"/>
          <w:lang w:bidi="fa-IR"/>
        </w:rPr>
        <w:t>ملاصقاً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لجسده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668" w:name="pg13278_326583"/>
    </w:p>
    <w:p>
      <w:pPr>
        <w:pStyle w:val="Heading3"/>
        <w:numPr>
          <w:ilvl w:val="2"/>
          <w:numId w:val="1"/>
        </w:numPr>
        <w:rPr/>
      </w:pPr>
      <w:bookmarkStart w:id="669" w:name="__RefHeading___Toc1841067_2322387425"/>
      <w:bookmarkStart w:id="670" w:name="_Toc251"/>
      <w:bookmarkEnd w:id="668"/>
      <w:bookmarkEnd w:id="669"/>
      <w:r>
        <w:rPr>
          <w:rtl w:val="true"/>
        </w:rPr>
        <w:t>اتحاد النافلة مع الفریضة فی أحکام الرکوع</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الفریضة والنافلة</w:t>
      </w:r>
      <w:r>
        <w:rPr>
          <w:rStyle w:val="FootnoteAnchor"/>
          <w:rtl w:val="true"/>
        </w:rPr>
        <w:footnoteReference w:id="835"/>
      </w:r>
      <w:r>
        <w:rPr>
          <w:rFonts w:ascii="IRNazanin" w:hAnsi="IRNazanin" w:eastAsia="IRNazanin"/>
          <w:color w:val="111111"/>
          <w:sz w:val="28"/>
          <w:sz w:val="28"/>
          <w:szCs w:val="28"/>
          <w:rtl w:val="true"/>
          <w:lang w:bidi="fa-IR"/>
        </w:rPr>
        <w:t>فی واجبات الرکوع ومستحبّاته ومکروهاته، وکون نقصانه موجباً للبطلان</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فلیُراعَ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بزیادته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3278_326584"/>
    </w:p>
    <w:p>
      <w:pPr>
        <w:pStyle w:val="Heading2"/>
        <w:numPr>
          <w:ilvl w:val="1"/>
          <w:numId w:val="1"/>
        </w:numPr>
        <w:rPr/>
      </w:pPr>
      <w:bookmarkStart w:id="672" w:name="__RefHeading___Toc1841069_2322387425"/>
      <w:bookmarkStart w:id="673" w:name="_Toc252"/>
      <w:bookmarkEnd w:id="671"/>
      <w:bookmarkEnd w:id="672"/>
      <w:r>
        <w:rPr>
          <w:rtl w:val="true"/>
        </w:rPr>
        <w:t>فصل فی السجود</w:t>
      </w:r>
      <w:bookmarkEnd w:id="673"/>
    </w:p>
    <w:p>
      <w:pPr>
        <w:pStyle w:val="Heading3"/>
        <w:numPr>
          <w:ilvl w:val="2"/>
          <w:numId w:val="1"/>
        </w:numPr>
        <w:rPr/>
      </w:pPr>
      <w:bookmarkStart w:id="674" w:name="__RefHeading___Toc1841071_2322387425"/>
      <w:bookmarkStart w:id="675" w:name="_Toc253"/>
      <w:bookmarkEnd w:id="674"/>
      <w:r>
        <w:rPr>
          <w:rtl w:val="true"/>
        </w:rPr>
        <w:t>حقیقة السجود و أقسامه و رکنیته</w:t>
      </w:r>
      <w:bookmarkEnd w:id="67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w:t>
      </w:r>
      <w:r>
        <w:rPr>
          <w:rStyle w:val="FootnoteAnchor"/>
          <w:rtl w:val="true"/>
        </w:rPr>
        <w:footnoteReference w:id="837"/>
      </w:r>
      <w:r>
        <w:rPr>
          <w:rFonts w:ascii="IRNazanin" w:hAnsi="IRNazanin" w:eastAsia="IRNazanin"/>
          <w:color w:val="111111"/>
          <w:sz w:val="28"/>
          <w:sz w:val="28"/>
          <w:szCs w:val="28"/>
          <w:rtl w:val="true"/>
          <w:lang w:bidi="fa-IR"/>
        </w:rPr>
        <w:t>علی الأرض بقصد</w:t>
      </w:r>
      <w:r>
        <w:rPr>
          <w:rStyle w:val="FootnoteAnchor"/>
          <w:rtl w:val="true"/>
        </w:rPr>
        <w:footnoteReference w:id="838"/>
      </w:r>
      <w:r>
        <w:rPr>
          <w:rFonts w:ascii="IRNazanin" w:hAnsi="IRNazanin" w:eastAsia="IRNazanin"/>
          <w:color w:val="111111"/>
          <w:sz w:val="28"/>
          <w:sz w:val="28"/>
          <w:szCs w:val="28"/>
          <w:rtl w:val="true"/>
          <w:lang w:bidi="fa-IR"/>
        </w:rPr>
        <w:t>التعظیم، وهو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للصلاة، ومنه قضاء السجدة المنسیّة، وللسهو وللتلاوة وللشکر وللتذلّل والتعظیم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سجود الصلاة فیجب فی کلّ رکعة من الفریضة والنافلة سجدتان، وهما معاً من الأرکان، فتبطل بالإخلال بهما معاً، وکذا بزیادتهما معاً فی الفریضة، عمداً کان أو سهواً</w:t>
      </w:r>
      <w:r>
        <w:rPr>
          <w:rStyle w:val="FootnoteAnchor"/>
          <w:rtl w:val="true"/>
        </w:rPr>
        <w:footnoteReference w:id="839"/>
      </w:r>
      <w:r>
        <w:rPr>
          <w:rFonts w:ascii="Amiri" w:hAnsi="Amiri" w:eastAsia="Amiri" w:cs="Amiri"/>
          <w:color w:val="111111"/>
          <w:sz w:val="28"/>
          <w:sz w:val="28"/>
          <w:szCs w:val="28"/>
          <w:rtl w:val="true"/>
          <w:lang w:bidi="ar-SA"/>
        </w:rPr>
        <w:t>أو جهلاً</w:t>
      </w:r>
      <w:r>
        <w:rPr>
          <w:rStyle w:val="FootnoteAnchor"/>
          <w:rtl w:val="true"/>
        </w:rPr>
        <w:footnoteReference w:id="840"/>
      </w:r>
      <w:r>
        <w:rPr>
          <w:rFonts w:ascii="IRNazanin" w:hAnsi="IRNazanin" w:eastAsia="IRNazanin"/>
          <w:color w:val="111111"/>
          <w:sz w:val="28"/>
          <w:sz w:val="28"/>
          <w:szCs w:val="28"/>
          <w:rtl w:val="true"/>
          <w:lang w:bidi="fa-IR"/>
        </w:rPr>
        <w:t>، کما أ نّها تبطل بالإخلال بإحداهما عمداً، وکذا بزیادتها، ولا تبطل علی الأقوی بنقصان واحدة ولا بزیادتها سهواً</w:t>
      </w:r>
      <w:r>
        <w:rPr>
          <w:rFonts w:eastAsia="IRNazanin" w:cs="IRNazanin"/>
          <w:color w:val="111111"/>
          <w:sz w:val="28"/>
          <w:szCs w:val="28"/>
          <w:rtl w:val="true"/>
          <w:lang w:bidi="fa-IR"/>
        </w:rPr>
        <w:t xml:space="preserve">. </w:t>
      </w:r>
      <w:bookmarkStart w:id="676" w:name="pg13278_326585"/>
    </w:p>
    <w:p>
      <w:pPr>
        <w:pStyle w:val="Heading3"/>
        <w:numPr>
          <w:ilvl w:val="2"/>
          <w:numId w:val="1"/>
        </w:numPr>
        <w:rPr/>
      </w:pPr>
      <w:bookmarkStart w:id="677" w:name="__RefHeading___Toc1841073_2322387425"/>
      <w:bookmarkStart w:id="678" w:name="_Toc254"/>
      <w:bookmarkEnd w:id="676"/>
      <w:bookmarkEnd w:id="677"/>
      <w:r>
        <w:rPr>
          <w:rtl w:val="true"/>
        </w:rPr>
        <w:t>واجبات السجود</w:t>
      </w:r>
      <w:bookmarkEnd w:id="678"/>
    </w:p>
    <w:p>
      <w:pPr>
        <w:pStyle w:val="BookText"/>
        <w:rPr/>
      </w:pPr>
      <w:r>
        <w:rPr>
          <w:rFonts w:ascii="IRNazanin" w:hAnsi="IRNazanin" w:eastAsia="IRNazanin"/>
          <w:color w:val="111111"/>
          <w:sz w:val="28"/>
          <w:sz w:val="28"/>
          <w:szCs w:val="28"/>
          <w:rtl w:val="true"/>
          <w:lang w:bidi="fa-IR"/>
        </w:rPr>
        <w:t>وواجباته اُمور</w:t>
      </w:r>
      <w:r>
        <w:rPr>
          <w:rFonts w:eastAsia="IRNazanin" w:cs="IRNazanin"/>
          <w:color w:val="111111"/>
          <w:sz w:val="28"/>
          <w:szCs w:val="28"/>
          <w:rtl w:val="true"/>
          <w:lang w:bidi="fa-IR"/>
        </w:rPr>
        <w:t>:</w:t>
      </w:r>
    </w:p>
    <w:p>
      <w:pPr>
        <w:pStyle w:val="Heading3"/>
        <w:numPr>
          <w:ilvl w:val="2"/>
          <w:numId w:val="1"/>
        </w:numPr>
        <w:rPr/>
      </w:pPr>
      <w:bookmarkStart w:id="679" w:name="__RefHeading___Toc1841075_2322387425"/>
      <w:bookmarkStart w:id="680" w:name="_Toc255"/>
      <w:bookmarkEnd w:id="679"/>
      <w:r>
        <w:rPr>
          <w:rtl w:val="true"/>
        </w:rPr>
        <w:t>الأول</w:t>
      </w:r>
      <w:r>
        <w:rPr>
          <w:rtl w:val="true"/>
        </w:rPr>
        <w:t xml:space="preserve">: </w:t>
      </w:r>
      <w:r>
        <w:rPr>
          <w:rtl w:val="true"/>
        </w:rPr>
        <w:t>وضع المساجد السبعة علی الأرض</w:t>
      </w:r>
      <w:bookmarkEnd w:id="680"/>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المساجد السبعة علی الأرض،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والکفّان</w:t>
      </w:r>
      <w:r>
        <w:rPr>
          <w:rStyle w:val="FootnoteAnchor"/>
          <w:rtl w:val="true"/>
        </w:rPr>
        <w:footnoteReference w:id="841"/>
      </w:r>
      <w:r>
        <w:rPr>
          <w:rFonts w:ascii="IRNazanin" w:hAnsi="IRNazanin" w:eastAsia="IRNazanin"/>
          <w:color w:val="111111"/>
          <w:sz w:val="28"/>
          <w:sz w:val="28"/>
          <w:szCs w:val="28"/>
          <w:rtl w:val="true"/>
          <w:lang w:bidi="fa-IR"/>
        </w:rPr>
        <w:t>والرکبتان والإبهامان من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والرکنیّة تدور</w:t>
      </w:r>
      <w:r>
        <w:rPr>
          <w:rStyle w:val="FootnoteAnchor"/>
          <w:rtl w:val="true"/>
        </w:rPr>
        <w:footnoteReference w:id="842"/>
      </w:r>
      <w:r>
        <w:rPr>
          <w:rFonts w:ascii="Amiri" w:hAnsi="Amiri" w:eastAsia="Amiri" w:cs="Amiri"/>
          <w:color w:val="111111"/>
          <w:sz w:val="28"/>
          <w:sz w:val="28"/>
          <w:szCs w:val="28"/>
          <w:rtl w:val="true"/>
          <w:lang w:bidi="ar-SA"/>
        </w:rPr>
        <w:t>مدار وضع الجبهة</w:t>
      </w:r>
      <w:r>
        <w:rPr>
          <w:rStyle w:val="FootnoteAnchor"/>
          <w:rtl w:val="true"/>
        </w:rPr>
        <w:footnoteReference w:id="843"/>
      </w:r>
      <w:r>
        <w:rPr>
          <w:rFonts w:ascii="IRNazanin" w:hAnsi="IRNazanin" w:eastAsia="IRNazanin"/>
          <w:color w:val="111111"/>
          <w:sz w:val="28"/>
          <w:sz w:val="28"/>
          <w:szCs w:val="28"/>
          <w:rtl w:val="true"/>
          <w:lang w:bidi="fa-IR"/>
        </w:rPr>
        <w:t>، فتحصل الزیادة والنقیصة به دون سائر المساجد، فلو وضع الجبهة دون سائرها تحصل الزیادة، کما أ نّه لو وضع سائرها ولم یضعها یصدق ترکه</w:t>
      </w:r>
      <w:r>
        <w:rPr>
          <w:rFonts w:eastAsia="IRNazanin" w:cs="IRNazanin"/>
          <w:color w:val="111111"/>
          <w:sz w:val="28"/>
          <w:szCs w:val="28"/>
          <w:rtl w:val="true"/>
          <w:lang w:bidi="fa-IR"/>
        </w:rPr>
        <w:t>.</w:t>
      </w:r>
    </w:p>
    <w:p>
      <w:pPr>
        <w:pStyle w:val="Heading3"/>
        <w:numPr>
          <w:ilvl w:val="2"/>
          <w:numId w:val="1"/>
        </w:numPr>
        <w:rPr/>
      </w:pPr>
      <w:bookmarkStart w:id="681" w:name="__RefHeading___Toc1841077_2322387425"/>
      <w:bookmarkStart w:id="682" w:name="_Toc256"/>
      <w:bookmarkEnd w:id="681"/>
      <w:r>
        <w:rPr>
          <w:rtl w:val="true"/>
        </w:rPr>
        <w:t>الثانی</w:t>
      </w:r>
      <w:r>
        <w:rPr>
          <w:rtl w:val="true"/>
        </w:rPr>
        <w:t xml:space="preserve">: </w:t>
      </w:r>
      <w:r>
        <w:rPr>
          <w:rtl w:val="true"/>
        </w:rPr>
        <w:t>الذکر</w:t>
      </w:r>
      <w:bookmarkEnd w:id="68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والأقوی کفایة مطلقه</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بل الأقوی ـ کما تقدّم فی الرکوع ـ الاقتصار علی التسبیحة الکبری أو الصغری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فی الرکوع وجوباً و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کما تقدّم فی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کما مرّ فی الرکوع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الآملی،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bookmarkStart w:id="683" w:name="pg13278_326586"/>
    </w:p>
    <w:p>
      <w:pPr>
        <w:pStyle w:val="BookText"/>
        <w:rPr/>
      </w:pPr>
      <w:bookmarkEnd w:id="683"/>
      <w:r>
        <w:rPr>
          <w:rFonts w:ascii="IRNazanin" w:hAnsi="IRNazanin" w:eastAsia="IRNazanin"/>
          <w:color w:val="111111"/>
          <w:sz w:val="28"/>
          <w:sz w:val="28"/>
          <w:szCs w:val="28"/>
          <w:rtl w:val="true"/>
          <w:lang w:bidi="fa-IR"/>
        </w:rPr>
        <w:t>التسبیح</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الکلام فیه فی الرکوع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 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نحو 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أنّ فی التسبیحة الکبری یبدّل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العظیم بالأعلی</w:t>
      </w:r>
      <w:r>
        <w:rPr>
          <w:rFonts w:eastAsia="IRNazanin" w:cs="IRNazanin"/>
          <w:color w:val="111111"/>
          <w:sz w:val="28"/>
          <w:szCs w:val="28"/>
          <w:rtl w:val="true"/>
          <w:lang w:bidi="fa-IR"/>
        </w:rPr>
        <w:t>.</w:t>
      </w:r>
    </w:p>
    <w:p>
      <w:pPr>
        <w:pStyle w:val="Heading3"/>
        <w:numPr>
          <w:ilvl w:val="2"/>
          <w:numId w:val="1"/>
        </w:numPr>
        <w:rPr/>
      </w:pPr>
      <w:bookmarkStart w:id="684" w:name="__RefHeading___Toc1841079_2322387425"/>
      <w:bookmarkStart w:id="685" w:name="_Toc257"/>
      <w:bookmarkEnd w:id="684"/>
      <w:r>
        <w:rPr>
          <w:rtl w:val="true"/>
        </w:rPr>
        <w:t>الثالث</w:t>
      </w:r>
      <w:r>
        <w:rPr>
          <w:rtl w:val="true"/>
        </w:rPr>
        <w:t xml:space="preserve">: </w:t>
      </w:r>
      <w:r>
        <w:rPr>
          <w:rtl w:val="true"/>
        </w:rPr>
        <w:t>الطمأنینة</w:t>
      </w:r>
      <w:bookmarkEnd w:id="68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یجری فیها ما تقدّم فی الطمأنینة المعتبرة حال الرکوع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ما علّقناه علی الطمأنینة فی الرکوع فی الذکر الواجب والمستحبّ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بمقدار الذکر الواجب، بل المستحبّ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کما تقدّم فی الرکوع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اعتبارها فی المستحبّ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أتی به بقصد الخصوصیّة، فلو شرع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الذکر قبل الوضع أو</w:t>
      </w:r>
    </w:p>
    <w:p>
      <w:pPr>
        <w:pStyle w:val="BookText"/>
        <w:rPr/>
      </w:pPr>
      <w:r>
        <w:rPr>
          <w:rFonts w:ascii="IRNazanin" w:hAnsi="IRNazanin" w:eastAsia="IRNazanin"/>
          <w:color w:val="111111"/>
          <w:sz w:val="28"/>
          <w:sz w:val="28"/>
          <w:szCs w:val="28"/>
          <w:rtl w:val="true"/>
          <w:lang w:bidi="fa-IR"/>
        </w:rPr>
        <w:t>الاستقرار عمداً</w:t>
      </w:r>
      <w:r>
        <w:rPr>
          <w:rStyle w:val="FootnoteAnchor"/>
          <w:rtl w:val="true"/>
        </w:rPr>
        <w:footnoteReference w:id="847"/>
      </w:r>
      <w:r>
        <w:rPr>
          <w:rFonts w:ascii="IRNazanin" w:hAnsi="IRNazanin" w:eastAsia="IRNazanin"/>
          <w:color w:val="111111"/>
          <w:sz w:val="28"/>
          <w:sz w:val="28"/>
          <w:szCs w:val="28"/>
          <w:rtl w:val="true"/>
          <w:lang w:bidi="fa-IR"/>
        </w:rPr>
        <w:t>بطل وأبطل</w:t>
      </w:r>
      <w:r>
        <w:rPr>
          <w:rStyle w:val="FootnoteAnchor"/>
          <w:rtl w:val="true"/>
        </w:rPr>
        <w:footnoteReference w:id="8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الإبطال بمطلق الشروع فیه ولو لم یتمّه نظر؛ لِما ذکرنا کراراً من الشکّ فی اندراجه فی عموم مانعیّة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لم یتدارکه، وإلاّ فیمکن القول بعدم الإبطال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الذکر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بالإبطال وتعمیمه بالنسبة إلی الذکر المندوب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إعادة الذکر بعد الاستقرار،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التدارک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کان المفقود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الاستقرار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الذکر فی حال عدم الاستقرار، والأظهر فی الذکر قبل الوضع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وجوب تدارکه إذا أتی به سهواً فی حال عدم الاستقرار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bookmarkStart w:id="686" w:name="pg13278_326588"/>
    </w:p>
    <w:p>
      <w:pPr>
        <w:pStyle w:val="BookText"/>
        <w:rPr/>
      </w:pPr>
      <w:bookmarkEnd w:id="686"/>
      <w:r>
        <w:rPr>
          <w:rFonts w:ascii="IRNazanin" w:hAnsi="IRNazanin" w:eastAsia="IRNazanin"/>
          <w:color w:val="111111"/>
          <w:sz w:val="28"/>
          <w:sz w:val="28"/>
          <w:szCs w:val="28"/>
          <w:rtl w:val="true"/>
          <w:lang w:bidi="fa-IR"/>
        </w:rPr>
        <w:t>تذکّر قبل رفع الرأس، وکذا لو أتی به حال الرفع أو بعده ولو کان بحرف واحد منه فإنّه مبطل إن کان عمداً، ولا یمکن التدارک</w:t>
      </w:r>
      <w:r>
        <w:rPr>
          <w:rStyle w:val="FootnoteAnchor"/>
          <w:rtl w:val="true"/>
        </w:rPr>
        <w:footnoteReference w:id="849"/>
      </w:r>
      <w:r>
        <w:rPr>
          <w:rFonts w:ascii="IRNazanin" w:hAnsi="IRNazanin" w:eastAsia="IRNazanin"/>
          <w:color w:val="111111"/>
          <w:sz w:val="28"/>
          <w:sz w:val="28"/>
          <w:szCs w:val="28"/>
          <w:rtl w:val="true"/>
          <w:lang w:bidi="fa-IR"/>
        </w:rPr>
        <w:t>إن کان سهواً، إلاّ إذا ترک الاستقرار وتذکّر</w:t>
      </w:r>
      <w:r>
        <w:rPr>
          <w:rStyle w:val="FootnoteAnchor"/>
          <w:rtl w:val="true"/>
        </w:rPr>
        <w:footnoteReference w:id="850"/>
      </w:r>
      <w:r>
        <w:rPr>
          <w:rFonts w:ascii="IRNazanin" w:hAnsi="IRNazanin" w:eastAsia="IRNazanin"/>
          <w:color w:val="111111"/>
          <w:sz w:val="28"/>
          <w:sz w:val="28"/>
          <w:szCs w:val="28"/>
          <w:rtl w:val="true"/>
          <w:lang w:bidi="fa-IR"/>
        </w:rPr>
        <w:t>قبل رفع الرأس</w:t>
      </w:r>
      <w:r>
        <w:rPr>
          <w:rFonts w:eastAsia="IRNazanin" w:cs="IRNazanin"/>
          <w:color w:val="111111"/>
          <w:sz w:val="28"/>
          <w:szCs w:val="28"/>
          <w:rtl w:val="true"/>
          <w:lang w:bidi="fa-IR"/>
        </w:rPr>
        <w:t>.</w:t>
      </w:r>
    </w:p>
    <w:p>
      <w:pPr>
        <w:pStyle w:val="Heading3"/>
        <w:numPr>
          <w:ilvl w:val="2"/>
          <w:numId w:val="1"/>
        </w:numPr>
        <w:rPr/>
      </w:pPr>
      <w:bookmarkStart w:id="687" w:name="__RefHeading___Toc1841081_2322387425"/>
      <w:bookmarkStart w:id="688" w:name="_Toc258"/>
      <w:bookmarkEnd w:id="687"/>
      <w:r>
        <w:rPr>
          <w:rtl w:val="true"/>
        </w:rPr>
        <w:t>الرابع</w:t>
      </w:r>
      <w:r>
        <w:rPr>
          <w:rtl w:val="true"/>
        </w:rPr>
        <w:t xml:space="preserve">: </w:t>
      </w:r>
      <w:r>
        <w:rPr>
          <w:rtl w:val="true"/>
        </w:rPr>
        <w:t>رفع الرأس منه</w:t>
      </w:r>
      <w:bookmarkEnd w:id="68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w:t>
      </w:r>
      <w:r>
        <w:rPr>
          <w:rFonts w:eastAsia="IRNazanin" w:cs="IRNazanin"/>
          <w:color w:val="111111"/>
          <w:sz w:val="28"/>
          <w:szCs w:val="28"/>
          <w:rtl w:val="true"/>
          <w:lang w:bidi="fa-IR"/>
        </w:rPr>
        <w:t>.</w:t>
      </w:r>
    </w:p>
    <w:p>
      <w:pPr>
        <w:pStyle w:val="Heading3"/>
        <w:numPr>
          <w:ilvl w:val="2"/>
          <w:numId w:val="1"/>
        </w:numPr>
        <w:rPr/>
      </w:pPr>
      <w:bookmarkStart w:id="689" w:name="__RefHeading___Toc1841083_2322387425"/>
      <w:bookmarkStart w:id="690" w:name="_Toc259"/>
      <w:bookmarkEnd w:id="689"/>
      <w:r>
        <w:rPr>
          <w:rtl w:val="true"/>
        </w:rPr>
        <w:t>الخامس</w:t>
      </w:r>
      <w:r>
        <w:rPr>
          <w:rtl w:val="true"/>
        </w:rPr>
        <w:t xml:space="preserve">: </w:t>
      </w:r>
      <w:r>
        <w:rPr>
          <w:rtl w:val="true"/>
        </w:rPr>
        <w:t>الجلوس بعد السجدة الأولی و بعده</w:t>
      </w:r>
      <w:bookmarkEnd w:id="69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بعده مطمئنّاً، ثمّ الانحناء للسجدة الثانیة</w:t>
      </w:r>
      <w:r>
        <w:rPr>
          <w:rFonts w:eastAsia="IRNazanin" w:cs="IRNazanin"/>
          <w:color w:val="111111"/>
          <w:sz w:val="28"/>
          <w:szCs w:val="28"/>
          <w:rtl w:val="true"/>
          <w:lang w:bidi="fa-IR"/>
        </w:rPr>
        <w:t>.</w:t>
      </w:r>
    </w:p>
    <w:p>
      <w:pPr>
        <w:pStyle w:val="Heading3"/>
        <w:numPr>
          <w:ilvl w:val="2"/>
          <w:numId w:val="1"/>
        </w:numPr>
        <w:rPr/>
      </w:pPr>
      <w:bookmarkStart w:id="691" w:name="__RefHeading___Toc1841085_2322387425"/>
      <w:bookmarkStart w:id="692" w:name="_Toc260"/>
      <w:bookmarkEnd w:id="691"/>
      <w:r>
        <w:rPr>
          <w:rtl w:val="true"/>
        </w:rPr>
        <w:t>السادس</w:t>
      </w:r>
      <w:r>
        <w:rPr>
          <w:rtl w:val="true"/>
        </w:rPr>
        <w:t xml:space="preserve">: </w:t>
      </w:r>
      <w:r>
        <w:rPr>
          <w:rtl w:val="true"/>
        </w:rPr>
        <w:t>کون المساجد السبعة فی محالها</w:t>
      </w:r>
      <w:bookmarkEnd w:id="69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المساجد السبعة فی محالّها إلی تمام الذکر</w:t>
      </w:r>
      <w:r>
        <w:rPr>
          <w:rStyle w:val="FootnoteAnchor"/>
          <w:rtl w:val="true"/>
        </w:rPr>
        <w:footnoteReference w:id="851"/>
      </w:r>
      <w:r>
        <w:rPr>
          <w:rFonts w:ascii="IRNazanin" w:hAnsi="IRNazanin" w:eastAsia="IRNazanin"/>
          <w:color w:val="111111"/>
          <w:sz w:val="28"/>
          <w:sz w:val="28"/>
          <w:szCs w:val="28"/>
          <w:rtl w:val="true"/>
          <w:lang w:bidi="fa-IR"/>
        </w:rPr>
        <w:t>، فلو رفع بعضها</w:t>
      </w:r>
      <w:r>
        <w:rPr>
          <w:rStyle w:val="FootnoteAnchor"/>
          <w:rtl w:val="true"/>
        </w:rPr>
        <w:footnoteReference w:id="852"/>
      </w:r>
      <w:r>
        <w:rPr>
          <w:rFonts w:ascii="IRNazanin" w:hAnsi="IRNazanin" w:eastAsia="IRNazanin"/>
          <w:color w:val="111111"/>
          <w:sz w:val="28"/>
          <w:sz w:val="28"/>
          <w:szCs w:val="28"/>
          <w:rtl w:val="true"/>
          <w:lang w:bidi="fa-IR"/>
        </w:rPr>
        <w:t>بطل وأبطل</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إبطاله لصورة رفع بعضها فی وسط الذکر نظر؛ لعدم شمول مانعیة الزیادة لمثله، وإن لم یقع المأتیّ به فی هذا علی صفة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هو الجبهة، أو کان غیرها ولم یتدارکه، وإلاّ فیمکن القول بعدم إبطاله،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تدارک الذکر بعد الوضع،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عمداً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ویجب تدارکه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الاحتیاط أن یکون التدارک رجاءً، وأیضاً یعید الصلاة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سهواً،</w:t>
      </w:r>
      <w:bookmarkStart w:id="693" w:name="pg13278_326589"/>
    </w:p>
    <w:p>
      <w:pPr>
        <w:pStyle w:val="BookText"/>
        <w:rPr/>
      </w:pPr>
      <w:bookmarkEnd w:id="693"/>
      <w:r>
        <w:rPr>
          <w:rFonts w:ascii="Amiri" w:hAnsi="Amiri" w:eastAsia="Amiri" w:cs="Amiri"/>
          <w:color w:val="111111"/>
          <w:sz w:val="28"/>
          <w:sz w:val="28"/>
          <w:szCs w:val="28"/>
          <w:rtl w:val="true"/>
          <w:lang w:bidi="ar-SA"/>
        </w:rPr>
        <w:t>نعم، لا مانع من رفع ما عدا الجبهة</w:t>
      </w:r>
      <w:r>
        <w:rPr>
          <w:rStyle w:val="FootnoteAnchor"/>
          <w:rtl w:val="true"/>
        </w:rPr>
        <w:footnoteReference w:id="854"/>
      </w:r>
      <w:r>
        <w:rPr>
          <w:rFonts w:ascii="IRNazanin" w:hAnsi="IRNazanin" w:eastAsia="IRNazanin"/>
          <w:color w:val="111111"/>
          <w:sz w:val="28"/>
          <w:sz w:val="28"/>
          <w:szCs w:val="28"/>
          <w:rtl w:val="true"/>
          <w:lang w:bidi="fa-IR"/>
        </w:rPr>
        <w:t>فی غیر حال الذکر</w:t>
      </w:r>
      <w:r>
        <w:rPr>
          <w:rStyle w:val="FootnoteAnchor"/>
          <w:rtl w:val="true"/>
        </w:rPr>
        <w:footnoteReference w:id="855"/>
      </w:r>
      <w:r>
        <w:rPr>
          <w:rFonts w:ascii="IRNazanin" w:hAnsi="IRNazanin" w:eastAsia="IRNazanin"/>
          <w:color w:val="111111"/>
          <w:sz w:val="28"/>
          <w:sz w:val="28"/>
          <w:szCs w:val="28"/>
          <w:rtl w:val="true"/>
          <w:lang w:bidi="fa-IR"/>
        </w:rPr>
        <w:t>ثمّ وضعه، عمداً کان أو سهواً، من غیر فرق بین کونه لغرضٍ کحکّ الجسد ونحوه أو بدونه</w:t>
      </w:r>
      <w:r>
        <w:rPr>
          <w:rFonts w:eastAsia="IRNazanin" w:cs="IRNazanin"/>
          <w:color w:val="111111"/>
          <w:sz w:val="28"/>
          <w:szCs w:val="28"/>
          <w:rtl w:val="true"/>
          <w:lang w:bidi="fa-IR"/>
        </w:rPr>
        <w:t>.</w:t>
      </w:r>
    </w:p>
    <w:p>
      <w:pPr>
        <w:pStyle w:val="Heading3"/>
        <w:numPr>
          <w:ilvl w:val="2"/>
          <w:numId w:val="1"/>
        </w:numPr>
        <w:rPr/>
      </w:pPr>
      <w:bookmarkStart w:id="694" w:name="__RefHeading___Toc1841087_2322387425"/>
      <w:bookmarkStart w:id="695" w:name="_Toc261"/>
      <w:bookmarkEnd w:id="694"/>
      <w:r>
        <w:rPr>
          <w:rtl w:val="true"/>
        </w:rPr>
        <w:t>السابع</w:t>
      </w:r>
      <w:r>
        <w:rPr>
          <w:rtl w:val="true"/>
        </w:rPr>
        <w:t xml:space="preserve">: </w:t>
      </w:r>
      <w:r>
        <w:rPr>
          <w:rtl w:val="true"/>
        </w:rPr>
        <w:t>مساواة موضع الجبهة للموقف</w:t>
      </w:r>
      <w:bookmarkEnd w:id="69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موضع الجبهة</w:t>
      </w:r>
      <w:r>
        <w:rPr>
          <w:rStyle w:val="FootnoteAnchor"/>
          <w:rtl w:val="true"/>
        </w:rPr>
        <w:footnoteReference w:id="856"/>
      </w:r>
      <w:r>
        <w:rPr>
          <w:rFonts w:ascii="IRNazanin" w:hAnsi="IRNazanin" w:eastAsia="IRNazanin"/>
          <w:color w:val="111111"/>
          <w:sz w:val="28"/>
          <w:sz w:val="28"/>
          <w:szCs w:val="28"/>
          <w:rtl w:val="true"/>
          <w:lang w:bidi="fa-IR"/>
        </w:rPr>
        <w:t>للموقف</w:t>
      </w:r>
      <w:r>
        <w:rPr>
          <w:rStyle w:val="FootnoteAnchor"/>
          <w:rtl w:val="true"/>
        </w:rPr>
        <w:footnoteReference w:id="857"/>
      </w:r>
      <w:r>
        <w:rPr>
          <w:rFonts w:ascii="IRNazanin" w:hAnsi="IRNazanin" w:eastAsia="IRNazanin"/>
          <w:color w:val="111111"/>
          <w:sz w:val="28"/>
          <w:sz w:val="28"/>
          <w:szCs w:val="28"/>
          <w:rtl w:val="true"/>
          <w:lang w:bidi="fa-IR"/>
        </w:rPr>
        <w:t>، بمعنی عدم علوّه أو انخفاضه أزید من مقدار لبنة موضوعة علی أکبر سطوحها، أو أربع أصابع مضمومات، ولا بأس بالمقدار المذکور، ولا فرق فی ذلک بین الانحدار</w:t>
      </w:r>
      <w:r>
        <w:rPr>
          <w:rStyle w:val="FootnoteAnchor"/>
          <w:rtl w:val="true"/>
        </w:rPr>
        <w:footnoteReference w:id="858"/>
      </w:r>
      <w:r>
        <w:rPr>
          <w:rFonts w:ascii="IRNazanin" w:hAnsi="IRNazanin" w:eastAsia="IRNazanin"/>
          <w:color w:val="111111"/>
          <w:sz w:val="28"/>
          <w:sz w:val="28"/>
          <w:szCs w:val="28"/>
          <w:rtl w:val="true"/>
          <w:lang w:bidi="fa-IR"/>
        </w:rPr>
        <w:t>والتسنیم</w:t>
      </w:r>
      <w:r>
        <w:rPr>
          <w:rStyle w:val="FootnoteAnchor"/>
          <w:rtl w:val="true"/>
        </w:rPr>
        <w:footnoteReference w:id="859"/>
      </w:r>
      <w:r>
        <w:rPr>
          <w:rFonts w:ascii="IRNazanin" w:hAnsi="IRNazanin" w:eastAsia="IRNazanin"/>
          <w:color w:val="111111"/>
          <w:sz w:val="28"/>
          <w:sz w:val="28"/>
          <w:szCs w:val="28"/>
          <w:rtl w:val="true"/>
          <w:lang w:bidi="fa-IR"/>
        </w:rPr>
        <w:t xml:space="preserve">، نعم، الانحدار </w:t>
      </w:r>
    </w:p>
    <w:p>
      <w:pPr>
        <w:pStyle w:val="BookText"/>
        <w:rPr/>
      </w:pPr>
      <w:r>
        <w:rPr>
          <w:rFonts w:ascii="IRNazanin" w:hAnsi="IRNazanin" w:eastAsia="IRNazanin"/>
          <w:color w:val="111111"/>
          <w:sz w:val="28"/>
          <w:sz w:val="28"/>
          <w:szCs w:val="28"/>
          <w:rtl w:val="true"/>
          <w:lang w:bidi="fa-IR"/>
        </w:rPr>
        <w:t>الیسیر</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یبتدئ به من الموقف، ویقابله الزائد والکثیر، وهو الذی یکون قریباً من مسجد الجبهة بحیث یری التفاوت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انصراف نصّ المنع عن الانحدار التدریجی الذی یبتدئ من موضع السجود إلی موقف المصلّی، فیغتفر فیه العلوّ أو الانخفاض وإن زاد علی المقدار المذکور، ویشیر إلیه نصّ صلاة الجماعة فی الأرض المنحدرة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اعتبار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یضرّ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المقدار المذکور، والأقوی عدم اعتبار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ملاحظة التساوی بین الجبهة والرکبتین والقدمین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باقی المساجد، لا بعضها مع بعض، ولا بالنسبة إلی الجبهة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ذلک بالنسبة إلیها لا یخلو من 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التساوی بین مسجد الجبهة وموضع الرکبتین بل والإبهامین لا یخلو من قوّة، وأمّا اعتبار التساوی بینه وبین الموقف فمبنیّ علی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یقدح ارتفاع مکانها أو</w:t>
      </w:r>
      <w:bookmarkStart w:id="696" w:name="pg13278_326591"/>
    </w:p>
    <w:p>
      <w:pPr>
        <w:pStyle w:val="BookText"/>
        <w:rPr/>
      </w:pPr>
      <w:bookmarkEnd w:id="696"/>
      <w:r>
        <w:rPr>
          <w:rFonts w:ascii="IRNazanin" w:hAnsi="IRNazanin" w:eastAsia="IRNazanin"/>
          <w:color w:val="111111"/>
          <w:sz w:val="28"/>
          <w:sz w:val="28"/>
          <w:szCs w:val="28"/>
          <w:rtl w:val="true"/>
          <w:lang w:bidi="fa-IR"/>
        </w:rPr>
        <w:t>انخفاضه</w:t>
      </w:r>
      <w:r>
        <w:rPr>
          <w:rStyle w:val="FootnoteAnchor"/>
          <w:rtl w:val="true"/>
        </w:rPr>
        <w:footnoteReference w:id="861"/>
      </w:r>
      <w:r>
        <w:rPr>
          <w:rFonts w:ascii="IRNazanin" w:hAnsi="IRNazanin" w:eastAsia="IRNazanin"/>
          <w:color w:val="111111"/>
          <w:sz w:val="28"/>
          <w:sz w:val="28"/>
          <w:szCs w:val="28"/>
          <w:rtl w:val="true"/>
          <w:lang w:bidi="fa-IR"/>
        </w:rPr>
        <w:t>ما لم یخرج به السجود عن مسمّاه</w:t>
      </w:r>
      <w:r>
        <w:rPr>
          <w:rFonts w:eastAsia="IRNazanin" w:cs="IRNazanin"/>
          <w:color w:val="111111"/>
          <w:sz w:val="28"/>
          <w:szCs w:val="28"/>
          <w:rtl w:val="true"/>
          <w:lang w:bidi="fa-IR"/>
        </w:rPr>
        <w:t>.</w:t>
      </w:r>
    </w:p>
    <w:p>
      <w:pPr>
        <w:pStyle w:val="Heading3"/>
        <w:numPr>
          <w:ilvl w:val="2"/>
          <w:numId w:val="1"/>
        </w:numPr>
        <w:rPr/>
      </w:pPr>
      <w:bookmarkStart w:id="697" w:name="__RefHeading___Toc1841089_2322387425"/>
      <w:bookmarkStart w:id="698" w:name="_Toc262"/>
      <w:bookmarkEnd w:id="697"/>
      <w:r>
        <w:rPr>
          <w:rtl w:val="true"/>
        </w:rPr>
        <w:t>الثامن</w:t>
      </w:r>
      <w:r>
        <w:rPr>
          <w:rtl w:val="true"/>
        </w:rPr>
        <w:t xml:space="preserve">: </w:t>
      </w:r>
      <w:r>
        <w:rPr>
          <w:rtl w:val="true"/>
        </w:rPr>
        <w:t>وضع الجبهة علی ما یصح السجود علیه</w:t>
      </w:r>
      <w:bookmarkEnd w:id="69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 علی ما یصحّ السجود علیه من الأرض وما نبت منها غیر المأکول والملبوس، علی ما مرّ فی بحث المکان</w:t>
      </w:r>
      <w:r>
        <w:rPr>
          <w:rFonts w:eastAsia="IRNazanin" w:cs="IRNazanin"/>
          <w:color w:val="111111"/>
          <w:sz w:val="28"/>
          <w:szCs w:val="28"/>
          <w:rtl w:val="true"/>
          <w:lang w:bidi="fa-IR"/>
        </w:rPr>
        <w:t>.</w:t>
      </w:r>
    </w:p>
    <w:p>
      <w:pPr>
        <w:pStyle w:val="Heading3"/>
        <w:numPr>
          <w:ilvl w:val="2"/>
          <w:numId w:val="1"/>
        </w:numPr>
        <w:rPr/>
      </w:pPr>
      <w:bookmarkStart w:id="699" w:name="__RefHeading___Toc1841091_2322387425"/>
      <w:bookmarkStart w:id="700" w:name="_Toc263"/>
      <w:bookmarkEnd w:id="699"/>
      <w:r>
        <w:rPr>
          <w:rtl w:val="true"/>
        </w:rPr>
        <w:t>التاسع</w:t>
      </w:r>
      <w:r>
        <w:rPr>
          <w:rtl w:val="true"/>
        </w:rPr>
        <w:t xml:space="preserve">: </w:t>
      </w:r>
      <w:r>
        <w:rPr>
          <w:rtl w:val="true"/>
        </w:rPr>
        <w:t>طهارة محل وضع الجبهة</w:t>
      </w:r>
      <w:bookmarkEnd w:id="700"/>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محلّ وضع الجبهة</w:t>
      </w:r>
      <w:r>
        <w:rPr>
          <w:rStyle w:val="FootnoteAnchor"/>
          <w:rtl w:val="true"/>
        </w:rPr>
        <w:footnoteReference w:id="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تشترط طهارة المکان المصلَّی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بالمقدار الذی یعتبر وقوع الجبهة علیه، ولا بأس بنجاسة الزائد علیه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841093_2322387425"/>
      <w:bookmarkStart w:id="702" w:name="_Toc264"/>
      <w:bookmarkEnd w:id="701"/>
      <w:r>
        <w:rPr>
          <w:rtl w:val="true"/>
        </w:rPr>
        <w:t>العاشر</w:t>
      </w:r>
      <w:r>
        <w:rPr>
          <w:rtl w:val="true"/>
        </w:rPr>
        <w:t xml:space="preserve">: </w:t>
      </w:r>
      <w:r>
        <w:rPr>
          <w:rtl w:val="true"/>
        </w:rPr>
        <w:t>المحافظة علی العربیة و الموالاة و الترتیب فی الذکر</w:t>
      </w:r>
      <w:bookmarkEnd w:id="702"/>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العربیّة</w:t>
      </w:r>
      <w:r>
        <w:rPr>
          <w:rStyle w:val="FootnoteAnchor"/>
          <w:rtl w:val="true"/>
        </w:rPr>
        <w:footnoteReference w:id="863"/>
      </w:r>
      <w:r>
        <w:rPr>
          <w:rFonts w:ascii="IRNazanin" w:hAnsi="IRNazanin" w:eastAsia="IRNazanin"/>
          <w:color w:val="111111"/>
          <w:sz w:val="28"/>
          <w:sz w:val="28"/>
          <w:szCs w:val="28"/>
          <w:rtl w:val="true"/>
          <w:lang w:bidi="fa-IR"/>
        </w:rPr>
        <w:t>والترتیب والموالاة فی الذکر</w:t>
      </w:r>
      <w:r>
        <w:rPr>
          <w:rFonts w:eastAsia="IRNazanin" w:cs="IRNazanin"/>
          <w:color w:val="111111"/>
          <w:sz w:val="28"/>
          <w:szCs w:val="28"/>
          <w:rtl w:val="true"/>
          <w:lang w:bidi="fa-IR"/>
        </w:rPr>
        <w:t>.</w:t>
      </w:r>
    </w:p>
    <w:p>
      <w:pPr>
        <w:pStyle w:val="Heading3"/>
        <w:numPr>
          <w:ilvl w:val="2"/>
          <w:numId w:val="1"/>
        </w:numPr>
        <w:rPr/>
      </w:pPr>
      <w:bookmarkStart w:id="703" w:name="__RefHeading___Toc1841095_2322387425"/>
      <w:bookmarkStart w:id="704" w:name="_Toc265"/>
      <w:bookmarkEnd w:id="703"/>
      <w:r>
        <w:rPr>
          <w:rtl w:val="true"/>
        </w:rPr>
        <w:t>تحدید الجبهة و موضع السجود</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ما بین قصاص شعر</w:t>
      </w:r>
      <w:r>
        <w:rPr>
          <w:rStyle w:val="FootnoteAnchor"/>
          <w:rtl w:val="true"/>
        </w:rPr>
        <w:footnoteReference w:id="864"/>
      </w:r>
      <w:r>
        <w:rPr>
          <w:rFonts w:ascii="IRNazanin" w:hAnsi="IRNazanin" w:eastAsia="IRNazanin"/>
          <w:color w:val="111111"/>
          <w:sz w:val="28"/>
          <w:sz w:val="28"/>
          <w:szCs w:val="28"/>
          <w:rtl w:val="true"/>
          <w:lang w:bidi="fa-IR"/>
        </w:rPr>
        <w:t>الرأس وطرف الأنف الأعلی والحاجبین طولاً، وما بین الجبینین عرضاً</w:t>
      </w:r>
      <w:r>
        <w:rPr>
          <w:rStyle w:val="FootnoteAnchor"/>
          <w:rtl w:val="true"/>
        </w:rPr>
        <w:footnoteReference w:id="865"/>
      </w:r>
      <w:r>
        <w:rPr>
          <w:rFonts w:ascii="IRNazanin" w:hAnsi="IRNazanin" w:eastAsia="IRNazanin"/>
          <w:color w:val="111111"/>
          <w:sz w:val="28"/>
          <w:sz w:val="28"/>
          <w:szCs w:val="28"/>
          <w:rtl w:val="true"/>
          <w:lang w:bidi="fa-IR"/>
        </w:rPr>
        <w:t>، ولا یجب فیها الاستیعاب، بل یکفی صدق السجود علی مسمّاها، ویتحقّق المسمّی بمقدار الدرهم</w:t>
      </w:r>
      <w:r>
        <w:rPr>
          <w:rStyle w:val="FootnoteAnchor"/>
          <w:rtl w:val="true"/>
        </w:rPr>
        <w:footnoteReference w:id="866"/>
      </w:r>
      <w:r>
        <w:rPr>
          <w:rFonts w:ascii="IRNazanin" w:hAnsi="IRNazanin" w:eastAsia="IRNazanin"/>
          <w:color w:val="111111"/>
          <w:sz w:val="28"/>
          <w:sz w:val="28"/>
          <w:szCs w:val="28"/>
          <w:rtl w:val="true"/>
          <w:lang w:bidi="fa-IR"/>
        </w:rPr>
        <w:t>قطعاً، والأحوط</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وبذلک یظهر الحال فی بعض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الجواز علی مقدار الأنمُلة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الاکتفاء بالأنقص، کمقدار طرف الأنمُلة، علی ما هو صریح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جوازه کطرف الأنمُلة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المقدار المذکور مجتمعاً، بل یکفی وإن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متفرّقاً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الاجتزاء بالمتفرّق، مع عدم اتّصال بعضها ببعض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الاجتزاء بالمتفرّق لا یخلو من إشکال، إلاّ أن تکون الأجزاء متّصلاً بعضها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للمتفرّقات رابط کما فی السِبحة، أم لا کالحصاة المتّصلة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تباعد الأجزاء، کما فی السجود علی السِبحة أو علی الحَصی المتّصل بعضها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یتوقّف علی نوع اتّصال بین ما هو متفرّق، لا ما إذا انفصل بعضه عن بعض بالکلّیّة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کان التخلّل قلیلاً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فیجوز السجود علی السِبحة الغیر</w:t>
      </w:r>
      <w:bookmarkStart w:id="705" w:name="pg13278_326593"/>
    </w:p>
    <w:p>
      <w:pPr>
        <w:pStyle w:val="BookText"/>
        <w:rPr/>
      </w:pPr>
      <w:bookmarkEnd w:id="705"/>
      <w:r>
        <w:rPr>
          <w:rFonts w:ascii="Amiri" w:hAnsi="Amiri" w:eastAsia="Amiri" w:cs="Amiri"/>
          <w:color w:val="111111"/>
          <w:sz w:val="28"/>
          <w:sz w:val="28"/>
          <w:szCs w:val="28"/>
          <w:rtl w:val="true"/>
          <w:lang w:bidi="ar-SA"/>
        </w:rPr>
        <w:t>المطبوخة</w:t>
      </w:r>
      <w:r>
        <w:rPr>
          <w:rStyle w:val="FootnoteAnchor"/>
          <w:rtl w:val="true"/>
        </w:rPr>
        <w:footnoteReference w:id="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المطبوخة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المیزان فی الجواز وعدمه صدق عنوان الأرض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المطبوخة، کما مرّ فی محلّه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مجموع ماوقعت علیه الجبهة بقدر الدرهم</w:t>
      </w:r>
      <w:r>
        <w:rPr>
          <w:rFonts w:eastAsia="IRNazanin" w:cs="IRNazanin"/>
          <w:color w:val="111111"/>
          <w:sz w:val="28"/>
          <w:szCs w:val="28"/>
          <w:rtl w:val="true"/>
          <w:lang w:bidi="fa-IR"/>
        </w:rPr>
        <w:t>.</w:t>
      </w:r>
    </w:p>
    <w:p>
      <w:pPr>
        <w:pStyle w:val="Heading3"/>
        <w:numPr>
          <w:ilvl w:val="2"/>
          <w:numId w:val="1"/>
        </w:numPr>
        <w:rPr/>
      </w:pPr>
      <w:bookmarkStart w:id="706" w:name="__RefHeading___Toc1841097_2322387425"/>
      <w:bookmarkStart w:id="707" w:name="_Toc266"/>
      <w:bookmarkEnd w:id="706"/>
      <w:r>
        <w:rPr>
          <w:rtl w:val="true"/>
        </w:rPr>
        <w:t>اعتبار مباشرة الجبهة حال السجود</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مباشرة الجبهة لِما یصحّ السجود علیه، فلو کان هناک مانع أو حائل علیه أو علیها وجب رفعه، حتّی مثل الوسخ</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له جسمیّة، ولم یکن من تغیّر اللون بحسب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جِرماً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المدار فیه وفی غیره علی حصول المنع به من وصول البشرة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له جِرم حائل بین الجبهة والتربة، وکذلک یجب رفع کلّ حائل بین الجبهة وما یسجد علیه، سواء کان طیناً، أم تراباً علی الجبهة، أو شعراً أو 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لوناً، بل کان جِرماً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إذا کان له جِرم حائل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له جسمیّة عرفاً، لا مثل اللون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جِرماً، لا صرف تغیّر اللون الحاصل من العَرق أو الدسومة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له جِرمیة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له جسمیّة، ولم یحسب من تغیّر اللون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له جِرم مانع ، ولم یکن من مجرّد تغیّر اللون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لوناً لابأس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له جِرمیة بنظر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جِرماً ممّا لا یصحّ السجود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w:t>
      </w:r>
      <w:r>
        <w:rPr>
          <w:rStyle w:val="FootnoteAnchor"/>
          <w:rtl w:val="true"/>
        </w:rPr>
        <w:footnoteReference w:id="871"/>
      </w:r>
      <w:r>
        <w:rPr>
          <w:rFonts w:ascii="IRNazanin" w:hAnsi="IRNazanin" w:eastAsia="IRNazanin"/>
          <w:color w:val="111111"/>
          <w:sz w:val="28"/>
          <w:sz w:val="28"/>
          <w:szCs w:val="28"/>
          <w:rtl w:val="true"/>
          <w:lang w:bidi="fa-IR"/>
        </w:rPr>
        <w:t>علی التربة</w:t>
      </w:r>
      <w:r>
        <w:rPr>
          <w:rStyle w:val="FootnoteAnchor"/>
          <w:rtl w:val="true"/>
        </w:rPr>
        <w:footnoteReference w:id="872"/>
      </w:r>
      <w:r>
        <w:rPr>
          <w:rFonts w:ascii="IRNazanin" w:hAnsi="IRNazanin" w:eastAsia="IRNazanin"/>
          <w:color w:val="111111"/>
          <w:sz w:val="28"/>
          <w:sz w:val="28"/>
          <w:szCs w:val="28"/>
          <w:rtl w:val="true"/>
          <w:lang w:bidi="fa-IR"/>
        </w:rPr>
        <w:t>إذا کان مستوعباً</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حائلاً دون وصول الجبهة إلیها، أمّا غیر الحائل فلا مانع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ممّا له جسمیة حائلة، لا مجرّد تغیّر اللون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حائلاً ولم یکن من مجرّد اللون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لم یبقَ مقدار الدرهم منها ولو متفرّقاً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ذکرنا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خالیاً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إن بقی بمقداره ولو مع التفرّق صحّ السجود بشرط 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بالنسبة إلی شعر المرأة الواقع علی جبهتها فیجب رفعه بالمقدار الواجب،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فیه وجوب الإزالة، ورفع التربة الملصقة بالجبهة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تقدم منّا ومنه قدس‌سره فی فصل مسجد الجبهة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الأقوی إذا کان مانعاً عن مباشرة الجبهة للسجدة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إزالة</w:t>
      </w:r>
      <w:r>
        <w:rPr>
          <w:rStyle w:val="FootnoteAnchor"/>
          <w:rtl w:val="true"/>
        </w:rPr>
        <w:footnoteReference w:id="874"/>
      </w:r>
      <w:r>
        <w:rPr>
          <w:rFonts w:ascii="IRNazanin" w:hAnsi="IRNazanin" w:eastAsia="IRNazanin"/>
          <w:color w:val="111111"/>
          <w:sz w:val="28"/>
          <w:sz w:val="28"/>
          <w:szCs w:val="28"/>
          <w:rtl w:val="true"/>
          <w:lang w:bidi="fa-IR"/>
        </w:rPr>
        <w:t>الطین</w:t>
      </w:r>
      <w:r>
        <w:rPr>
          <w:rStyle w:val="FootnoteAnchor"/>
          <w:rtl w:val="true"/>
        </w:rPr>
        <w:footnoteReference w:id="8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مع فرض حیلولته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إذا کان مستوعباً لتمام الجبهة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الأولی ، وکذا الاحتیاط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اللاصق بالجبهة فی السجدة الاُولی، وکذا إذا لصقت التربة بالجبهة فإنّ الأحوط رفعها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أقوائیّته إشکال؛ لعدم توقّف الصدق علیه، 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رفعها إذا توقّف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توقّف صدق السجود علی رفعها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صدقه بدون الرفع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مرَّ 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یتوقّف صدق السجود علی الأرض علی رفعها، نعم، الإزالة والرفع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الواضح أنّ صدق السجود علی الأرض لا یتوقّف علی رفعها ؛ لأنّ المفروض أنّها جزء من الأرض ، فبمجرّد تحقّق هیئة السجود یصدق أنّه ساجد علی الأرض ؛ لِلِصُوق التراب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الإشکال من جهة توقّف الحدوث علی الرفع، وهو أیضاً ممنوع ؛ لأنّ الحدوث یتحقّق بمجرّد تحقّق هیئة السجود ، فالأقوی عدم وجوب الرفع وإن کان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w:t>
      </w:r>
      <w:bookmarkStart w:id="708" w:name="pg13278_326596"/>
    </w:p>
    <w:p>
      <w:pPr>
        <w:pStyle w:val="BookText"/>
        <w:rPr/>
      </w:pPr>
      <w:bookmarkEnd w:id="708"/>
      <w:r>
        <w:rPr>
          <w:rFonts w:ascii="IRNazanin" w:hAnsi="IRNazanin" w:eastAsia="IRNazanin"/>
          <w:color w:val="111111"/>
          <w:sz w:val="28"/>
          <w:sz w:val="28"/>
          <w:szCs w:val="28"/>
          <w:rtl w:val="true"/>
          <w:lang w:bidi="fa-IR"/>
        </w:rPr>
        <w:t>السجود</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توقّف حدوث وضع الجبهة علی 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نحوها علیه، وأمّا إذا لصق بها تراب یسیر لاینافی الصدق فلا بأس به، وأمّا سائر المساجد فلا یشترط فیها المباشرة للأرض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841099_2322387425"/>
      <w:bookmarkStart w:id="710" w:name="_Toc267"/>
      <w:bookmarkEnd w:id="709"/>
      <w:r>
        <w:rPr>
          <w:rtl w:val="true"/>
        </w:rPr>
        <w:t>اشتراط وضع الکفین علی الأرض اختیاراً</w:t>
      </w:r>
      <w:bookmarkEnd w:id="71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الکفّین وضع باطنهما مع الاختیار، ومع الضرورة یجزی</w:t>
      </w:r>
      <w:r>
        <w:rPr>
          <w:rStyle w:val="FootnoteAnchor"/>
          <w:rtl w:val="true"/>
        </w:rPr>
        <w:footnoteReference w:id="877"/>
      </w:r>
      <w:r>
        <w:rPr>
          <w:rFonts w:ascii="IRNazanin" w:hAnsi="IRNazanin" w:eastAsia="IRNazanin"/>
          <w:color w:val="111111"/>
          <w:sz w:val="28"/>
          <w:sz w:val="28"/>
          <w:szCs w:val="28"/>
          <w:rtl w:val="true"/>
          <w:lang w:bidi="fa-IR"/>
        </w:rPr>
        <w:t xml:space="preserve">الظاهر، کما أ نّه مع عدم إمکانه لکونه مقطوع الکفّ أو </w:t>
      </w:r>
    </w:p>
    <w:p>
      <w:pPr>
        <w:pStyle w:val="BookText"/>
        <w:rPr/>
      </w:pPr>
      <w:r>
        <w:rPr>
          <w:rFonts w:ascii="IRNazanin" w:hAnsi="IRNazanin" w:eastAsia="IRNazanin"/>
          <w:color w:val="111111"/>
          <w:sz w:val="28"/>
          <w:sz w:val="28"/>
          <w:szCs w:val="28"/>
          <w:rtl w:val="true"/>
          <w:lang w:bidi="fa-IR"/>
        </w:rPr>
        <w:t>لغیر ذلک ینتقل</w:t>
      </w:r>
      <w:r>
        <w:rPr>
          <w:rStyle w:val="FootnoteAnchor"/>
          <w:rtl w:val="true"/>
        </w:rPr>
        <w:footnoteReference w:id="878"/>
      </w:r>
      <w:r>
        <w:rPr>
          <w:rFonts w:ascii="IRNazanin" w:hAnsi="IRNazanin" w:eastAsia="IRNazanin"/>
          <w:color w:val="111111"/>
          <w:sz w:val="28"/>
          <w:sz w:val="28"/>
          <w:szCs w:val="28"/>
          <w:rtl w:val="true"/>
          <w:lang w:bidi="fa-IR"/>
        </w:rPr>
        <w:t>إلی الأقرب</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حسن القمّی، 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الکفّ، فالأقرب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الذراع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والعضد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تقدیم الباطن علی الظاهر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وجوب الاستیعاب عرفاً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الاستیعاب بنظر العرف، بل الأقوی عدم کفایة وضع الأصابع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الاستیعاب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استیعاب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الاستیعاب العرفی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الإصطهباناتی، محمد الشیرازی، 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العرفی بالنسبة إلی الراحتین لا یخلو من وجه، وبالنسبة الی الأصابع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الاستیعاب عرفاً، ولا یکفی الأصابع، وخصوصاً بعضها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وجوب الاستیعاب العرفی، کما أنّ الأقوی عدم کفایة الأصابع فقط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الأحوط الاستیعاب العرفی، ومع التعذّر عنه ینتقل إلی مسمّی الباطن، ولو لم یقدر إلاّ علی ضمّ الأصابع إلی الکفّ والسجود علیها یجتزئ به، ومع تعذّر ذلک کلّه ینتقل إلی الظاهر، ویجب علی الأحوط فیه الاستیعاب العرفی ثمّ المسمّی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اعتبار الاستیعاب العرفی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رعایة الاستیعاب العرفی، لا الدقیق بالنسبة إلی الراحتین وبالنسبة إلی الأصابع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الاستیعاب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هو الاستیعاب العرفی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w:t>
      </w:r>
    </w:p>
    <w:p>
      <w:pPr>
        <w:pStyle w:val="BookText"/>
        <w:rPr/>
      </w:pPr>
      <w:r>
        <w:rPr>
          <w:rFonts w:ascii="Amiri" w:hAnsi="Amiri" w:eastAsia="Amiri" w:cs="Amiri"/>
          <w:color w:val="111111"/>
          <w:sz w:val="28"/>
          <w:sz w:val="28"/>
          <w:szCs w:val="28"/>
          <w:rtl w:val="true"/>
          <w:lang w:bidi="ar-SA"/>
        </w:rPr>
        <w:t>الکفّین</w:t>
      </w:r>
      <w:r>
        <w:rPr>
          <w:rStyle w:val="FootnoteAnchor"/>
          <w:rtl w:val="true"/>
        </w:rPr>
        <w:footnoteReference w:id="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وجوبه بحیث یصدق عرفاً وضع باطن الکفّین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مراعاة الاستیعاب العرفی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لزوم الاستیعاب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الکفّین وضع جمیعهما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الاستیعاب العرفی غیر المنافی لخروج جزء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تمام باطن الکفّ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ظاهرهما، بل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بمراعاة الاستیعاب العرفی مع الإمکان، ومع عدمه یجتزئبالمقدار الممکن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بالأصابع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bookmarkStart w:id="711" w:name="pg13278_326599"/>
    </w:p>
    <w:p>
      <w:pPr>
        <w:pStyle w:val="BookText"/>
        <w:rPr/>
      </w:pPr>
      <w:bookmarkEnd w:id="711"/>
      <w:r>
        <w:rPr>
          <w:rFonts w:ascii="IRNazanin" w:hAnsi="IRNazanin" w:eastAsia="IRNazanin"/>
          <w:color w:val="111111"/>
          <w:sz w:val="28"/>
          <w:sz w:val="28"/>
          <w:szCs w:val="28"/>
          <w:rtl w:val="true"/>
          <w:lang w:bidi="fa-IR"/>
        </w:rPr>
        <w:t>فقط</w:t>
      </w:r>
      <w:r>
        <w:rPr>
          <w:rStyle w:val="FootnoteAnchor"/>
          <w:rtl w:val="true"/>
        </w:rPr>
        <w:footnoteReference w:id="882"/>
      </w:r>
      <w:r>
        <w:rPr>
          <w:rFonts w:ascii="IRNazanin" w:hAnsi="IRNazanin" w:eastAsia="IRNazanin"/>
          <w:color w:val="111111"/>
          <w:sz w:val="28"/>
          <w:sz w:val="28"/>
          <w:szCs w:val="28"/>
          <w:rtl w:val="true"/>
          <w:lang w:bidi="fa-IR"/>
        </w:rPr>
        <w:t>أو بعضها</w:t>
      </w:r>
      <w:r>
        <w:rPr>
          <w:rStyle w:val="FootnoteAnchor"/>
          <w:rtl w:val="true"/>
        </w:rPr>
        <w:footnoteReference w:id="8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البعض ولو کان قلیلاً محلّ منع، بل الأقوی وجوب الاستیعاب، نعم، یکفی مسمّاه العرفی فلا یضرّه خروج جزءٍ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علی نحوٍ یقع علی الأرض مقدار معتدّ به منها، فلا یکفی وضع إصبَعٍ أو إصبَعَین، بل لابدّ من صدق وضع الکفّین علی الأرض عرفاً، وکذا لا یکفی جمع أصابعه إلی کفّه، بل لابدّ من بسطها علی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البعض إشکال، بل فی الاکتفاء بنفس الأصابع فقط تأمّل، نعم، یکتفی بأوائلها وآخر الکفّ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لا یجزی وضع روءوس الأصابع مع الاختیار، کما لایجزی لو ضمّ أصابعه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وسجد علیها مع الاختیار</w:t>
      </w:r>
      <w:r>
        <w:rPr>
          <w:rFonts w:eastAsia="IRNazanin" w:cs="IRNazanin"/>
          <w:color w:val="111111"/>
          <w:sz w:val="28"/>
          <w:szCs w:val="28"/>
          <w:rtl w:val="true"/>
          <w:lang w:bidi="fa-IR"/>
        </w:rPr>
        <w:t>.</w:t>
      </w:r>
    </w:p>
    <w:p>
      <w:pPr>
        <w:pStyle w:val="Heading3"/>
        <w:numPr>
          <w:ilvl w:val="2"/>
          <w:numId w:val="1"/>
        </w:numPr>
        <w:rPr/>
      </w:pPr>
      <w:bookmarkStart w:id="712" w:name="__RefHeading___Toc1841101_2322387425"/>
      <w:bookmarkStart w:id="713" w:name="_Toc268"/>
      <w:bookmarkEnd w:id="712"/>
      <w:r>
        <w:rPr>
          <w:rtl w:val="true"/>
        </w:rPr>
        <w:t>إجزاء وضع مسمی الرکبتین، و تحدید الرکبة</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الرکبتین أیضاً یجزی وضع المسمّی منهما</w:t>
      </w:r>
      <w:r>
        <w:rPr>
          <w:rStyle w:val="FootnoteAnchor"/>
          <w:rtl w:val="true"/>
        </w:rPr>
        <w:footnoteReference w:id="884"/>
      </w:r>
      <w:r>
        <w:rPr>
          <w:rFonts w:ascii="IRNazanin" w:hAnsi="IRNazanin" w:eastAsia="IRNazanin"/>
          <w:color w:val="111111"/>
          <w:sz w:val="28"/>
          <w:sz w:val="28"/>
          <w:szCs w:val="28"/>
          <w:rtl w:val="true"/>
          <w:lang w:bidi="fa-IR"/>
        </w:rPr>
        <w:t>، ولا یجب الاستیعاب، ویعتبر ظاهرهما دون الباطن</w:t>
      </w:r>
      <w:r>
        <w:rPr>
          <w:rStyle w:val="FootnoteAnchor"/>
          <w:rtl w:val="true"/>
        </w:rPr>
        <w:footnoteReference w:id="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14" w:name="pg13278_326600"/>
    </w:p>
    <w:p>
      <w:pPr>
        <w:pStyle w:val="BookText"/>
        <w:rPr/>
      </w:pPr>
      <w:bookmarkEnd w:id="714"/>
      <w:r>
        <w:rPr>
          <w:rFonts w:ascii="Amiri" w:hAnsi="Amiri" w:eastAsia="Amiri" w:cs="Amiri"/>
          <w:color w:val="111111"/>
          <w:sz w:val="28"/>
          <w:sz w:val="28"/>
          <w:szCs w:val="28"/>
          <w:rtl w:val="true"/>
          <w:lang w:bidi="ar-SA"/>
        </w:rPr>
        <w:t>عظمَی الساق</w:t>
      </w:r>
      <w:r>
        <w:rPr>
          <w:rStyle w:val="FootnoteAnchor"/>
          <w:rtl w:val="true"/>
        </w:rPr>
        <w:footnoteReference w:id="886"/>
      </w:r>
      <w:r>
        <w:rPr>
          <w:rFonts w:ascii="IRNazanin" w:hAnsi="IRNazanin" w:eastAsia="IRNazanin"/>
          <w:color w:val="111111"/>
          <w:sz w:val="28"/>
          <w:sz w:val="28"/>
          <w:szCs w:val="28"/>
          <w:rtl w:val="true"/>
          <w:lang w:bidi="fa-IR"/>
        </w:rPr>
        <w:t>والفخذ</w:t>
      </w:r>
      <w:r>
        <w:rPr>
          <w:rStyle w:val="FootnoteAnchor"/>
          <w:rtl w:val="true"/>
        </w:rPr>
        <w:footnoteReference w:id="887"/>
      </w:r>
      <w:r>
        <w:rPr>
          <w:rFonts w:ascii="IRNazanin" w:hAnsi="IRNazanin" w:eastAsia="IRNazanin"/>
          <w:color w:val="111111"/>
          <w:sz w:val="28"/>
          <w:sz w:val="28"/>
          <w:szCs w:val="28"/>
          <w:rtl w:val="true"/>
          <w:lang w:bidi="fa-IR"/>
        </w:rPr>
        <w:t>، فهی بمنزلة المِرفَق من الید</w:t>
      </w:r>
      <w:r>
        <w:rPr>
          <w:rFonts w:eastAsia="IRNazanin" w:cs="IRNazanin"/>
          <w:color w:val="111111"/>
          <w:sz w:val="28"/>
          <w:szCs w:val="28"/>
          <w:rtl w:val="true"/>
          <w:lang w:bidi="fa-IR"/>
        </w:rPr>
        <w:t>.</w:t>
      </w:r>
    </w:p>
    <w:p>
      <w:pPr>
        <w:pStyle w:val="Heading3"/>
        <w:numPr>
          <w:ilvl w:val="2"/>
          <w:numId w:val="1"/>
        </w:numPr>
        <w:rPr/>
      </w:pPr>
      <w:bookmarkStart w:id="715" w:name="__RefHeading___Toc1841103_2322387425"/>
      <w:bookmarkStart w:id="716" w:name="_Toc269"/>
      <w:bookmarkEnd w:id="715"/>
      <w:r>
        <w:rPr>
          <w:rtl w:val="true"/>
        </w:rPr>
        <w:t>وضع طرفی الإبهامین و ما بحکمها</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الإبهامَین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وضع الطرف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وضع الظاهر أو الباطن منهما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وضع طرفیهما، ولکنّ الأقوی أنّ ذلک غیر 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منهما دون الظاهر أو الباطن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یجزی الظاهر منهما، وکذا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فرق بین الطرف والظاهر والباطن؛ لاشتراک الجمیع فی صدق وضع الأنمُلة والسجود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کفایة وضعهما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قُطِع إبهامه یضع ما بقی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فی هذه المسألة من المراتب المذکورة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17" w:name="pg13278_326601"/>
    </w:p>
    <w:p>
      <w:pPr>
        <w:pStyle w:val="BookText"/>
        <w:rPr/>
      </w:pPr>
      <w:bookmarkEnd w:id="717"/>
      <w:r>
        <w:rPr>
          <w:rFonts w:ascii="IRNazanin" w:hAnsi="IRNazanin" w:eastAsia="IRNazanin"/>
          <w:color w:val="111111"/>
          <w:sz w:val="28"/>
          <w:sz w:val="28"/>
          <w:szCs w:val="28"/>
          <w:rtl w:val="true"/>
          <w:lang w:bidi="fa-IR"/>
        </w:rPr>
        <w:t>وإن لم یبقَ منه شیء</w:t>
      </w:r>
      <w:r>
        <w:rPr>
          <w:rStyle w:val="FootnoteAnchor"/>
          <w:rtl w:val="true"/>
        </w:rPr>
        <w:footnoteReference w:id="889"/>
      </w:r>
      <w:r>
        <w:rPr>
          <w:rFonts w:ascii="IRNazanin" w:hAnsi="IRNazanin" w:eastAsia="IRNazanin"/>
          <w:color w:val="111111"/>
          <w:sz w:val="28"/>
          <w:sz w:val="28"/>
          <w:szCs w:val="28"/>
          <w:rtl w:val="true"/>
          <w:lang w:bidi="fa-IR"/>
        </w:rPr>
        <w:t>أو کان قصیراً</w:t>
      </w:r>
      <w:r>
        <w:rPr>
          <w:rStyle w:val="FootnoteAnchor"/>
          <w:rtl w:val="true"/>
        </w:rPr>
        <w:footnoteReference w:id="8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یمکنه العلاج فی وضعه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بحیث کان الوضع متعذّراً أو متعسّراً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یمکن وضعه ولو بعلاج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یضع سائر أصابعه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وضعها مع وضع المحلّ مع التمکّن، ومع عدمه تکریر الذکر بتکریر الوضع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 هذین الفرضین الجمع بین وضع سائر الأصابع ومحلّ الإبهام، أو رفع المستقرّ،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الحکم وما بعده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 وفی 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قُطِعت جمیعها یسجد علی ما بقی من قدمیه، والأولی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وفی مقطوع الإبهام فقط الأحوط تکرار الذکر بإتیانه عند وضع سائر الأصابع مرّة، ومحلّ الإبهام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 محلّ الإبهام</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841105_2322387425"/>
      <w:bookmarkStart w:id="719" w:name="_Toc270"/>
      <w:bookmarkEnd w:id="718"/>
      <w:r>
        <w:rPr>
          <w:rtl w:val="true"/>
        </w:rPr>
        <w:t>الاعتماد علی الأعضاء السبعة حال السجود</w:t>
      </w:r>
      <w:bookmarkEnd w:id="71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891"/>
      </w:r>
      <w:r>
        <w:rPr>
          <w:rFonts w:ascii="IRNazanin" w:hAnsi="IRNazanin" w:eastAsia="IRNazanin"/>
          <w:color w:val="111111"/>
          <w:sz w:val="28"/>
          <w:sz w:val="28"/>
          <w:szCs w:val="28"/>
          <w:rtl w:val="true"/>
          <w:lang w:bidi="fa-IR"/>
        </w:rPr>
        <w:t>الاعتماد علی الأعضاء السبعة</w:t>
      </w:r>
      <w:r>
        <w:rPr>
          <w:rStyle w:val="FootnoteAnchor"/>
          <w:rtl w:val="true"/>
        </w:rPr>
        <w:footnoteReference w:id="892"/>
      </w:r>
      <w:r>
        <w:rPr>
          <w:rFonts w:ascii="IRNazanin" w:hAnsi="IRNazanin" w:eastAsia="IRNazanin"/>
          <w:color w:val="111111"/>
          <w:sz w:val="28"/>
          <w:sz w:val="28"/>
          <w:szCs w:val="28"/>
          <w:rtl w:val="true"/>
          <w:lang w:bidi="fa-IR"/>
        </w:rPr>
        <w:t xml:space="preserve">، بمعنی إلقاء </w:t>
      </w:r>
      <w:bookmarkStart w:id="720" w:name="pg13278_326602"/>
    </w:p>
    <w:p>
      <w:pPr>
        <w:pStyle w:val="BookText"/>
        <w:rPr/>
      </w:pPr>
      <w:bookmarkEnd w:id="720"/>
      <w:r>
        <w:rPr>
          <w:rFonts w:ascii="IRNazanin" w:hAnsi="IRNazanin" w:eastAsia="IRNazanin"/>
          <w:color w:val="111111"/>
          <w:sz w:val="28"/>
          <w:sz w:val="28"/>
          <w:szCs w:val="28"/>
          <w:rtl w:val="true"/>
          <w:lang w:bidi="fa-IR"/>
        </w:rPr>
        <w:t>ثقل البدن علیها، وإن کان الأقوی</w:t>
      </w:r>
      <w:r>
        <w:rPr>
          <w:rStyle w:val="FootnoteAnchor"/>
          <w:rtl w:val="true"/>
        </w:rPr>
        <w:footnoteReference w:id="893"/>
      </w:r>
      <w:r>
        <w:rPr>
          <w:rFonts w:ascii="IRNazanin" w:hAnsi="IRNazanin" w:eastAsia="IRNazanin"/>
          <w:color w:val="111111"/>
          <w:sz w:val="28"/>
          <w:sz w:val="28"/>
          <w:szCs w:val="28"/>
          <w:rtl w:val="true"/>
          <w:lang w:bidi="fa-IR"/>
        </w:rPr>
        <w:t>عدم وجوب أزید من المقدار الذی یتحقّق معه صدق</w:t>
      </w:r>
      <w:r>
        <w:rPr>
          <w:rStyle w:val="FootnoteAnchor"/>
          <w:rtl w:val="true"/>
        </w:rPr>
        <w:footnoteReference w:id="894"/>
      </w:r>
      <w:r>
        <w:rPr>
          <w:rFonts w:ascii="IRNazanin" w:hAnsi="IRNazanin" w:eastAsia="IRNazanin"/>
          <w:color w:val="111111"/>
          <w:sz w:val="28"/>
          <w:sz w:val="28"/>
          <w:szCs w:val="28"/>
          <w:rtl w:val="true"/>
          <w:lang w:bidi="fa-IR"/>
        </w:rPr>
        <w:t>السجود</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توقّفه علی الاعتماد ولو فی الجملة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یجب مساواتها فی إلقاء الثقل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عدم مشارکة غیرها معها من سائر الأعضاء کالذراع وباقی أصابع الرجلین</w:t>
      </w:r>
      <w:r>
        <w:rPr>
          <w:rFonts w:eastAsia="IRNazanin" w:cs="IRNazanin"/>
          <w:color w:val="111111"/>
          <w:sz w:val="28"/>
          <w:szCs w:val="28"/>
          <w:rtl w:val="true"/>
          <w:lang w:bidi="fa-IR"/>
        </w:rPr>
        <w:t>.</w:t>
      </w:r>
    </w:p>
    <w:p>
      <w:pPr>
        <w:pStyle w:val="Heading3"/>
        <w:numPr>
          <w:ilvl w:val="2"/>
          <w:numId w:val="1"/>
        </w:numPr>
        <w:rPr/>
      </w:pPr>
      <w:bookmarkStart w:id="721" w:name="__RefHeading___Toc1841107_2322387425"/>
      <w:bookmarkStart w:id="722" w:name="_Toc271"/>
      <w:bookmarkEnd w:id="721"/>
      <w:r>
        <w:rPr>
          <w:rtl w:val="true"/>
        </w:rPr>
        <w:t>کیفیة السجود و تفصیله</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المتعیّن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خصوصاً فی بعض الموارد ، کالانکباب علی الوجه ، بل ومدّ الرجل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الهیئة المعهودة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الاستیعاب بالجبهة، بل الواجب منها ما یصدق علی وضعه السجود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المساجد السبعة بأیّ هیئة</w:t>
      </w:r>
    </w:p>
    <w:p>
      <w:pPr>
        <w:pStyle w:val="BookText"/>
        <w:rPr/>
      </w:pPr>
      <w:r>
        <w:rPr>
          <w:rFonts w:ascii="IRNazanin" w:hAnsi="IRNazanin" w:eastAsia="IRNazanin"/>
          <w:color w:val="111111"/>
          <w:sz w:val="28"/>
          <w:sz w:val="28"/>
          <w:szCs w:val="28"/>
          <w:rtl w:val="true"/>
          <w:lang w:bidi="fa-IR"/>
        </w:rPr>
        <w:t>کان</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سلّم صدق السجود علی الانکباب علی الأرض بالهیئة المذکورة فی المتن أو غیرها، ولکن یمکن منع کفایة مثل هذا النحو من السجود، بل الواجب الاقتصار علی الهیئة المعروفة المتعارفة عند الشرع والمتشرّعة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 یصدق السجود، کما إذا ألصق صدره وبطنه بالأرض، بل ومدَّ رجله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علی نحو الانفراج بینهما لاِءَن یصل صدره وبطنه ولو فی الجملة إلی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ولو انکبّ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صدق السجود فی هذه الصورة، فمراعاة الاحتیاط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لاصقاً بالأرض مع وضع المساجد بشرط الصدق المذکور، لکن قد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صدق هذا القول، فالاحتیاط المذکور لازم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الحریّ بالقول، والحکم 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کذلک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الصواب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فالأحوط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الاجتزاء بهذه الهیئة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من</w:t>
      </w:r>
      <w:bookmarkStart w:id="723" w:name="pg13278_326604"/>
    </w:p>
    <w:p>
      <w:pPr>
        <w:pStyle w:val="BookText"/>
        <w:rPr/>
      </w:pPr>
      <w:bookmarkEnd w:id="723"/>
      <w:r>
        <w:rPr>
          <w:rFonts w:ascii="IRNazanin" w:hAnsi="IRNazanin" w:eastAsia="IRNazanin"/>
          <w:color w:val="111111"/>
          <w:sz w:val="28"/>
          <w:sz w:val="28"/>
          <w:szCs w:val="28"/>
          <w:rtl w:val="true"/>
          <w:lang w:bidi="fa-IR"/>
        </w:rPr>
        <w:t>النوم</w:t>
      </w:r>
      <w:r>
        <w:rPr>
          <w:rStyle w:val="FootnoteAnchor"/>
          <w:rtl w:val="true"/>
        </w:rPr>
        <w:footnoteReference w:id="8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p>
    <w:p>
      <w:pPr>
        <w:pStyle w:val="Heading3"/>
        <w:numPr>
          <w:ilvl w:val="2"/>
          <w:numId w:val="1"/>
        </w:numPr>
        <w:rPr/>
      </w:pPr>
      <w:bookmarkStart w:id="724" w:name="__RefHeading___Toc1841109_2322387425"/>
      <w:bookmarkStart w:id="725" w:name="_Toc272"/>
      <w:bookmarkEnd w:id="724"/>
      <w:r>
        <w:rPr>
          <w:rtl w:val="true"/>
        </w:rPr>
        <w:t>حکم وضع الجبهة علی موضع مرتفع</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w:t>
      </w:r>
      <w:r>
        <w:rPr>
          <w:rStyle w:val="FootnoteAnchor"/>
          <w:rtl w:val="true"/>
        </w:rPr>
        <w:footnoteReference w:id="899"/>
      </w:r>
      <w:r>
        <w:rPr>
          <w:rFonts w:ascii="IRNazanin" w:hAnsi="IRNazanin" w:eastAsia="IRNazanin"/>
          <w:color w:val="111111"/>
          <w:sz w:val="28"/>
          <w:sz w:val="28"/>
          <w:szCs w:val="28"/>
          <w:rtl w:val="true"/>
          <w:lang w:bidi="fa-IR"/>
        </w:rPr>
        <w:t>جبهته</w:t>
      </w:r>
      <w:r>
        <w:rPr>
          <w:rStyle w:val="FootnoteAnchor"/>
          <w:rtl w:val="true"/>
        </w:rPr>
        <w:footnoteReference w:id="900"/>
      </w:r>
      <w:r>
        <w:rPr>
          <w:rFonts w:ascii="IRNazanin" w:hAnsi="IRNazanin" w:eastAsia="IRNazanin"/>
          <w:color w:val="111111"/>
          <w:sz w:val="28"/>
          <w:sz w:val="28"/>
          <w:szCs w:val="28"/>
          <w:rtl w:val="true"/>
          <w:lang w:bidi="fa-IR"/>
        </w:rPr>
        <w:t>علی موضع مرتفع</w:t>
      </w:r>
      <w:r>
        <w:rPr>
          <w:rStyle w:val="FootnoteAnchor"/>
          <w:rtl w:val="true"/>
        </w:rPr>
        <w:footnoteReference w:id="901"/>
      </w:r>
      <w:r>
        <w:rPr>
          <w:rFonts w:ascii="IRNazanin" w:hAnsi="IRNazanin" w:eastAsia="IRNazanin"/>
          <w:color w:val="111111"/>
          <w:sz w:val="28"/>
          <w:sz w:val="28"/>
          <w:szCs w:val="28"/>
          <w:rtl w:val="true"/>
          <w:lang w:bidi="fa-IR"/>
        </w:rPr>
        <w:t>أزید من المقدار المغتفر کأربع أصابع مضمومات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الارتفاع بمقدار لا یصدق معه السجود عرفاً جاز رفعها</w:t>
      </w:r>
      <w:r>
        <w:rPr>
          <w:rStyle w:val="FootnoteAnchor"/>
          <w:rtl w:val="true"/>
        </w:rPr>
        <w:footnoteReference w:id="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یتعیّن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فی غیر صورة العمد علی الأقوی، وفیها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له أن یرفع جبهته ثمّ یضعها علی موضع غیر مرتفع، ولا یجرّها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الصلاة فی الفرض المزبور مبنیّة علی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 وقد مرّ الإشکال فیه، فلا یُترک الاحتیاط، وممّا ذکر یظهر الإشکال فی الصحّة فی الصورة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أن ذلک متعیّن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المتعیّن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کما یجوز</w:t>
      </w:r>
    </w:p>
    <w:p>
      <w:pPr>
        <w:pStyle w:val="BookText"/>
        <w:rPr/>
      </w:pPr>
      <w:r>
        <w:rPr>
          <w:rFonts w:ascii="Amiri" w:hAnsi="Amiri" w:eastAsia="Amiri" w:cs="Amiri"/>
          <w:color w:val="111111"/>
          <w:sz w:val="28"/>
          <w:sz w:val="28"/>
          <w:szCs w:val="28"/>
          <w:rtl w:val="true"/>
          <w:lang w:bidi="ar-SA"/>
        </w:rPr>
        <w:t>جَرُّها</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یرفع الجبهة ویضع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موضع السجود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الجرّ فی هذه الصورة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جواز الجرّ فی الفرض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والأظهر وجوب الرفع ووضع الجبهة علی أرض غیر مرتفعة، والأحوط إعادة الصلاة بعد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بالرفع والوضع ثانیاً علی نحو یصدق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وجوباً سحب الجبهة عن ذلک الموضع إلی موضع تحفظ فیه المسافة المذکورة، وإن لم یکن ذلک فالأحوط تدارک السجدة والإتمام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بمقدار یصدق معه السجدة عرفاً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لاحتمال اشتراط تساوی الموقف والمسجد فی السجود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 الرفع، وإن أمکن الجرّ، وبه یظهر الحال فی بقیة المسألة وفی المسألة 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المتعیّن، إلاّ إذا التفتَ إلی ذلک بعد تمام الذکر الواجب فإنّ الظاهر جواز الاکتفاء به حینئذٍ، وإن کان الجرّ وإعادة الذکر أحوط ، هذا فی الساهی، وأمّا المتعمّد فالظاهر بطلان صلاته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زیادة</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الزیادة عرفاً لا شرعاً، فیجوز الرفع، کما مرّ فی الرکوع قبل الوصول إلی حدّه أو بعده، ومثله الکلام فی ما لو وضع جبهته علی ما لا یصحّ السجود علیه کما فی المسألة 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الرفع، ولو لم یمکن الجَرّ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فالأحوط 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الرفع والوضع، وإتمام الصلاة والإعادة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یرفع رأسه ویأتی بالسجدة، ویتمّ صلاته ویعیدها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الرفع والوضع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کفایة الإتیان بالذکر علی هذا الحال وإتمام الصلاة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3278_326607"/>
    </w:p>
    <w:p>
      <w:pPr>
        <w:pStyle w:val="Heading3"/>
        <w:numPr>
          <w:ilvl w:val="2"/>
          <w:numId w:val="1"/>
        </w:numPr>
        <w:rPr/>
      </w:pPr>
      <w:bookmarkStart w:id="727" w:name="__RefHeading___Toc1841111_2322387425"/>
      <w:bookmarkStart w:id="728" w:name="_Toc273"/>
      <w:bookmarkEnd w:id="726"/>
      <w:bookmarkEnd w:id="727"/>
      <w:r>
        <w:rPr>
          <w:rtl w:val="true"/>
        </w:rPr>
        <w:t>حکم ما لو وضعت الجبهة علی ما لا یصح السجود علیه</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w:t>
      </w:r>
      <w:r>
        <w:rPr>
          <w:rStyle w:val="FootnoteAnchor"/>
          <w:rtl w:val="true"/>
        </w:rPr>
        <w:footnoteReference w:id="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من غیر تعمّد، وأمّا المتعمّد فالظاهر بطلان صلاته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جبهته علی ما لا یصحّ السجود علیه یجب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الرفع والوضع ثانیاً، ولو کان الالتفات بعد رفع الرأس وجبت إعادة السجدة، والأحوط فی جمیع ذلک إعادة الصلاة بعد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الرفع والوضع، والإعادة فی جمیع صور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الجرّ مبنیّ علی الاحتیاط، فإنّ مقتضی حدیث الحمیری جواز الرفع ما لم یستوِ جالساً، لکن مع ذلک لا یُترک الاحتیاط بالإعادة؛ لعدم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فالأحوط وجوباً جرّ جبهته بما لا یزید عن أربع أصابعٍ مضمومة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یجوز رفعها؛ لاستلزامه 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السجدة، ولا یلزم من الجرّ ذلک، ومن هنا یجوز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مع الوضع علی ما یصحّ أیضاً لطلب الأفضل أو الأسهل ونحو ذلک، وإذا لم یمکن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w:t>
      </w:r>
    </w:p>
    <w:p>
      <w:pPr>
        <w:pStyle w:val="BookText"/>
        <w:rPr/>
      </w:pPr>
      <w:r>
        <w:rPr>
          <w:rFonts w:ascii="IRNazanin" w:hAnsi="IRNazanin" w:eastAsia="IRNazanin"/>
          <w:color w:val="111111"/>
          <w:sz w:val="28"/>
          <w:sz w:val="28"/>
          <w:szCs w:val="28"/>
          <w:rtl w:val="true"/>
          <w:lang w:bidi="fa-IR"/>
        </w:rPr>
        <w:t>الالتفات</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أن یکون الالتفات إلیه قبل تمام الذکر وبعده، فیرفع رأسه ویأتی بالسجدة، ویتمّ صلاته ویعیدها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قبل تمام الذکر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الرفع والوضع وإتمام الصلاة والإعادة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فی کلتا الصورتین، والإتمام فی الصورة الاُولی برفع الرأس ووضع الجبهة علی ما یصحّ السجود ثمّ الإتیان بالباقی، کما تقدّم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والاکتفاء به قوی، کما فی الصورة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یأتِ بالذکر وجب علیه الذکر، فیرفع رأسه ویسجد الثانیة، والأحوط استحباباً فی صورة الارتفاع قبل الذکر الإعادة بعد إتمام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کفایة الإتیان بالذکر علی هذا الحال وإتمام الصلاة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بعد تمامه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فالاکتفاء به 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نسیان، وأمّا العمد فیتعیّن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فلا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لو التفت بعد رفع</w:t>
      </w:r>
      <w:bookmarkStart w:id="729" w:name="pg13278_326609"/>
    </w:p>
    <w:p>
      <w:pPr>
        <w:pStyle w:val="BookText"/>
        <w:rPr/>
      </w:pPr>
      <w:bookmarkEnd w:id="729"/>
      <w:r>
        <w:rPr>
          <w:rFonts w:ascii="IRNazanin" w:hAnsi="IRNazanin" w:eastAsia="IRNazanin"/>
          <w:color w:val="111111"/>
          <w:sz w:val="28"/>
          <w:sz w:val="28"/>
          <w:szCs w:val="28"/>
          <w:rtl w:val="true"/>
          <w:lang w:bidi="fa-IR"/>
        </w:rPr>
        <w:t>الرأس</w:t>
      </w:r>
      <w:r>
        <w:rPr>
          <w:rStyle w:val="FootnoteAnchor"/>
          <w:rtl w:val="true"/>
        </w:rPr>
        <w:footnoteReference w:id="907"/>
      </w:r>
      <w:r>
        <w:rPr>
          <w:rFonts w:ascii="IRNazanin" w:hAnsi="IRNazanin" w:eastAsia="IRNazanin"/>
          <w:color w:val="111111"/>
          <w:sz w:val="28"/>
          <w:sz w:val="28"/>
          <w:szCs w:val="28"/>
          <w:rtl w:val="true"/>
          <w:lang w:bidi="fa-IR"/>
        </w:rPr>
        <w:t>، وإن کان الأحوط</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أقوی فی الصورتین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وکذا فی ما إذا التفت بعد رفع الرأس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ما إذا کان بعد تمامه قبل رفع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1841113_2322387425"/>
      <w:bookmarkStart w:id="731" w:name="_Toc274"/>
      <w:bookmarkEnd w:id="730"/>
      <w:r>
        <w:rPr>
          <w:rtl w:val="true"/>
        </w:rPr>
        <w:t>حکم تعذر السجود علی الجبهة</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بجبهته دُمَّل أو غیره</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یستوعبها وأمکن سجوده علی الموضع السلیم سجد علیه، وإلاّ حفر حفیرة</w:t>
      </w:r>
      <w:r>
        <w:rPr>
          <w:rStyle w:val="FootnoteAnchor"/>
          <w:rtl w:val="true"/>
        </w:rPr>
        <w:footnoteReference w:id="910"/>
      </w:r>
      <w:r>
        <w:rPr>
          <w:rFonts w:ascii="IRNazanin" w:hAnsi="IRNazanin" w:eastAsia="IRNazanin"/>
          <w:color w:val="111111"/>
          <w:sz w:val="28"/>
          <w:sz w:val="28"/>
          <w:szCs w:val="28"/>
          <w:rtl w:val="true"/>
          <w:lang w:bidi="fa-IR"/>
        </w:rPr>
        <w:t>لیقع السلیم منها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استوعبها أو لم یمکن بحفر الحفیرة أیضاً</w:t>
      </w:r>
      <w:r>
        <w:rPr>
          <w:rStyle w:val="FootnoteAnchor"/>
          <w:rtl w:val="true"/>
        </w:rPr>
        <w:footnoteReference w:id="911"/>
      </w:r>
      <w:r>
        <w:rPr>
          <w:rFonts w:ascii="IRNazanin" w:hAnsi="IRNazanin" w:eastAsia="IRNazanin"/>
          <w:color w:val="111111"/>
          <w:sz w:val="28"/>
          <w:sz w:val="28"/>
          <w:szCs w:val="28"/>
          <w:rtl w:val="true"/>
          <w:lang w:bidi="fa-IR"/>
        </w:rPr>
        <w:t>سجد علی أحد الجبینین</w:t>
      </w:r>
      <w:r>
        <w:rPr>
          <w:rStyle w:val="FootnoteAnchor"/>
          <w:rtl w:val="true"/>
        </w:rPr>
        <w:footnoteReference w:id="9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أن یجمع بینه وبین الأیمن من الحاجبین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الذی لاینبغی ترکه الجمع بینه وبین السجود علی الذقن، مع تقدیم الأیمن من الجبینَین علی أیسرهما مع الإمکان، وإن لم یمکن فالإتیان بصلاتین یؤتی فی کلٍّ منهما بواحدٍ من طَرفَی الاحتمال، وإن لم یمکن ذلک للضیق ونحوه فالسجود علی الذقن ثمّ الاحتیاط بقضاء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علی أحدهما، والذقن جمیعاً إن أمکن، والأصل أوّلاً علی الذقن، والثانیة علی أحد الجبینین، ولو لم یسعه إلاّ صلاة واحدة صلاّها علی الذقن ثمّ احتاط بقضائها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تعیّن السجود علی الذقن، والأحوط الجمع بینه وبین السجود علی أحد الجبینین بالترتیب المذکور فی المتن، ومع عدم إمکان الجمع فی صلاة واحدة الأحوط تکرار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له وضع کلیهما بعلاج کالحفیرة أو نحوها ، والمراد بالجبینین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یکتنف الجبهة بالمعنی الأخصّ ممّا لا یخرج عن حدّ الجبهة بالمعنی الأعمّ، أی السطح المستوی بین الحاجبین وقصاص الشعر، لا ما یکتنفها بمعناها الأعمّ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ترتیب</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السجود علی أحدهما وبین السجود علی الذقن بتکرار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بینه وبین السجود علی الذقن، ولو لم یمکن الجمع ولو بتکرار الصلاة لم یبعد تقدیم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الأولی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الإصطهباناتی، الآملی،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r>
        <w:rPr>
          <w:rStyle w:val="FootnoteAnchor"/>
          <w:rtl w:val="true"/>
        </w:rPr>
        <w:footnoteReference w:id="914"/>
      </w:r>
      <w:r>
        <w:rPr>
          <w:rFonts w:ascii="IRNazanin" w:hAnsi="IRNazanin" w:eastAsia="IRNazanin"/>
          <w:color w:val="111111"/>
          <w:sz w:val="28"/>
          <w:sz w:val="28"/>
          <w:szCs w:val="28"/>
          <w:rtl w:val="true"/>
          <w:lang w:bidi="fa-IR"/>
        </w:rPr>
        <w:t>الأیمن</w:t>
      </w:r>
      <w:r>
        <w:rPr>
          <w:rStyle w:val="FootnoteAnchor"/>
          <w:rtl w:val="true"/>
        </w:rPr>
        <w:footnoteReference w:id="915"/>
      </w:r>
      <w:r>
        <w:rPr>
          <w:rFonts w:ascii="IRNazanin" w:hAnsi="IRNazanin" w:eastAsia="IRNazanin"/>
          <w:color w:val="111111"/>
          <w:sz w:val="28"/>
          <w:sz w:val="28"/>
          <w:szCs w:val="28"/>
          <w:rtl w:val="true"/>
          <w:lang w:bidi="fa-IR"/>
        </w:rPr>
        <w:t>علی الأیسر، وإن تعذّر</w:t>
      </w:r>
      <w:r>
        <w:rPr>
          <w:rStyle w:val="FootnoteAnchor"/>
          <w:rtl w:val="true"/>
        </w:rPr>
        <w:footnoteReference w:id="916"/>
      </w:r>
      <w:r>
        <w:rPr>
          <w:rFonts w:ascii="IRNazanin" w:hAnsi="IRNazanin" w:eastAsia="IRNazanin"/>
          <w:color w:val="111111"/>
          <w:sz w:val="28"/>
          <w:sz w:val="28"/>
          <w:szCs w:val="28"/>
          <w:rtl w:val="true"/>
          <w:lang w:bidi="fa-IR"/>
        </w:rPr>
        <w:t>سجد علی ذِقنه</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الجبینین بالمعنی المتقدّم علی الذقن مبنیّ علی الاحتیاط، کما أنّ الأحوط تقدیم الذقن علی الجبینین بالمعنی الآخر ، ومع تعذّر الجمیع یضع شیئاً من وجهه علی الأرض، ولو لم یمکن یومئ برأسه، وإلاّ فبعینیه من غیر حاجة إلی الانحناء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تعذّر اقتصر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وضع جزءٍ من وجهه من الحاجب أو الأنف أو الخدّ ، بل جزء من مقدّم رأسه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یضع جزءاً من وجهه علی الأرض، الأنف أو الخدّ أو غیرهما، فإن تعذّر أومأ ووضع شیئاً علی جبهته أو وجهه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تحصیل هیئة السجود بوضع شیء من وجهه أو مقدّم رأسه علی ما یصحّ السجود علیه ، ومع التعذّر یحصل ما هو أقرب إلی هیئة السجود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الانحناء</w:t>
      </w:r>
    </w:p>
    <w:p>
      <w:pPr>
        <w:pStyle w:val="BookText"/>
        <w:rPr/>
      </w:pPr>
      <w:r>
        <w:rPr>
          <w:rFonts w:ascii="IRNazanin" w:hAnsi="IRNazanin" w:eastAsia="IRNazanin"/>
          <w:color w:val="111111"/>
          <w:sz w:val="28"/>
          <w:sz w:val="28"/>
          <w:szCs w:val="28"/>
          <w:rtl w:val="true"/>
          <w:lang w:bidi="fa-IR"/>
        </w:rPr>
        <w:t>الممکن</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یسجد علی أطراف الوجه ولو بحفر حفیرة لتقع أطراف وجهه علی الأرض، بل وإن لم یماسَّ الأرض، وإن تعذّر ذلک فعلی ظهر الکفّ، ومع تعذّره فما أمکنه من الانحناء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وضع شیء من وجهه علی ما یسجد علیه، والأولی تقدیم الحاجب ثمّ الأنف، وإن تعذّر وضعُ الوجه بأجمعه وَضَعَ شیئاً من مقدَّم رأسه تحصیلاً لهیئة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وضع الحاجب، ثمّ الأنف، ثمّ صفحة الخَدّ، ثمّ مقدَّم الرأس علی الأحوط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مهدی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أیضاً لو أمکن وضع شیء من وجهه علی 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وضع شیء من وجهه علی ما یصحّ السجود علیه، والأحوط تقدیم الحاجب ثمّ الأنف، ثمّ غیره من أجزاء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ما تحصل به هیئة السجود، والأحوط حینئذٍ أن یضع علی الأرض شیئاً من خدّه أو مقدّم رأسه ونحو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وضع شیءٍ من وجهه علی ما یصحّ السجود علیه لو أمکن، فالأحوط بل الأولی أن یومئ إیماءً للسجود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وضع شیءٍ من وجهه علی 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تحصیل هیئة السجود بوضع بعض الوجه أو مقدّم الرأس علی الأرض، ومع التعذّر تحصیل ما هو الأقرب إلی هیئته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یضع شیئاً من أجزاء الوجه علی المسجد، مقدِّماً الحاجب علی الغیر من أجزاء الوجهیّة، ثمّ الأنف علی غیره منها، وإن تعذّر فعلی أطراف الوجه ولو بحفر حفیرة، وإن تعذّر فالانحناء الممکن، والأحوط الجمع بینه وبین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وجب علیه الإیماء، والأحوط الجمع بین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ضمّ الإیماء بالرأس إلیه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واضعاً شیئاً من وجهه علی ما یصحّ السجود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وضع شیءٍ من وجهه أو مقدّم رأسه إذا لم یمکن الوجه احتیاطاً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أن یسجد علی أطراف وجهه إن أمکن، وإن تعذّر فیسجد علی مقدّم رأسه مع الإیماء بقصد أداء ما هو علیه فی الواقع، وإن تعذّر فما أمکنه من الانحناء مع الإیماء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الإیماء خاصّة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2" w:name="pg13278_326613"/>
    </w:p>
    <w:p>
      <w:pPr>
        <w:pStyle w:val="Heading3"/>
        <w:numPr>
          <w:ilvl w:val="2"/>
          <w:numId w:val="1"/>
        </w:numPr>
        <w:rPr/>
      </w:pPr>
      <w:bookmarkStart w:id="733" w:name="__RefHeading___Toc1841115_2322387425"/>
      <w:bookmarkStart w:id="734" w:name="_Toc275"/>
      <w:bookmarkEnd w:id="732"/>
      <w:bookmarkEnd w:id="733"/>
      <w:r>
        <w:rPr>
          <w:rtl w:val="true"/>
        </w:rPr>
        <w:t>فی ما لو عجز عن الانحناء أو وضع بعض الأعضاء للسجود</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الانحناء</w:t>
      </w:r>
      <w:r>
        <w:rPr>
          <w:rStyle w:val="FootnoteAnchor"/>
          <w:rtl w:val="true"/>
        </w:rPr>
        <w:footnoteReference w:id="919"/>
      </w:r>
      <w:r>
        <w:rPr>
          <w:rFonts w:ascii="IRNazanin" w:hAnsi="IRNazanin" w:eastAsia="IRNazanin"/>
          <w:color w:val="111111"/>
          <w:sz w:val="28"/>
          <w:sz w:val="28"/>
          <w:szCs w:val="28"/>
          <w:rtl w:val="true"/>
          <w:lang w:bidi="fa-IR"/>
        </w:rPr>
        <w:t>للسجود انحنی بالقدر الممکن</w:t>
      </w:r>
      <w:r>
        <w:rPr>
          <w:rStyle w:val="FootnoteAnchor"/>
          <w:rtl w:val="true"/>
        </w:rPr>
        <w:footnoteReference w:id="9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السجود، وإلاّ فیجب الإیماء خاصّة، وقد تقدّم الکلام فی بقیة المسألة فی مبحث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رفع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واضعاً للجبهة علیه باعتماد، محافظاً علی ما وجب من الذکر والطمأنینة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ووضع الجبهة علیه مع رعایة الاعتماد والطمأنینة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یصدق علیه السجود، وإلاّ اقتصر علی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واعتمادها علیه بحیث یصدق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یضع الجبهة علیه عند الإمکان، وإلاّ فیجمع بین الإیماء والانحناء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ووضع الجبهة علیه دون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جبهته</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ووضعها علیه مع الإمکان، وکذا فی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ووضعها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ووضعها علیه علی الأحوط 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فیسجد علیه معتمداً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واضعاً جبهته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یضع جبهته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واضعاً جبهته علیه بحیث یصدق علیه السجود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ووضع الجبهة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سائر المساجد فی محالّها، وإن لم یتمکّن من الانحناء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جمیع ذلک فی مبحث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أصلاً أومأ برأسه، وإن لم یتمکّن فبالعینین،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علی الأفضل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لو لم یکن عَسِراً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ذلک إذا تمکّن من وضع الجبهة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وجوبه فی هذه الصورة، ویومئ بذلک،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وضعه علیها، کما مرّ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 مشقّة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وضعه علی الجبهة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وإلاّ وضع ما یصحّ السجود علیه علی جبهته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وضع الجبهة إنّما هو فی صورة السجدة علی الهیئة المتعارفة، فلا یشمل دلیله حال الإیماء الذی هو البدل، ودلیل البدلیة لا یدلّ علی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لازم؛ لأنّ الإیماء بدل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إذا لم یمکن له تحصیل بعض المراتب المیسورة من السجود، ومع إمکانه یجب وضع ما یتمکّن من المساجد فی محالّها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ترکه بعد فرض بدلیّة الإیماء عن السجود لا عن خصوص وضع الجبهة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وجوبه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بترکه بعد کون الإیماء بدلاً عن السجود، لا عن خصوص وضع الجبهة ، وبعد کون المفروض عدمَ التمکّن من الانحناء أصلاً فلا یمکن له إیجاد شیءٍ من مراتب السجود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w:t>
      </w:r>
      <w:bookmarkStart w:id="735" w:name="pg13278_326616"/>
    </w:p>
    <w:p>
      <w:pPr>
        <w:pStyle w:val="BookText"/>
        <w:rPr/>
      </w:pPr>
      <w:bookmarkEnd w:id="735"/>
      <w:r>
        <w:rPr>
          <w:rFonts w:ascii="IRNazanin" w:hAnsi="IRNazanin" w:eastAsia="IRNazanin"/>
          <w:color w:val="111111"/>
          <w:sz w:val="28"/>
          <w:sz w:val="28"/>
          <w:szCs w:val="28"/>
          <w:rtl w:val="true"/>
          <w:lang w:bidi="fa-IR"/>
        </w:rPr>
        <w:t>وضع</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سائر المساجد فی محالّها، وإن لم یتمکّن من الجلوس أومأ برأسه، وإلاّ فبالعینین، وإن لم یتمکّن من جمیع ذلک ینوی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بقلبه جالساً أو قائماً إن لم یتمکّن من الجلوس، والأحوط الإشارة بالید ونحوها مع ذلک</w:t>
      </w:r>
      <w:r>
        <w:rPr>
          <w:rFonts w:eastAsia="IRNazanin" w:cs="IRNazanin"/>
          <w:color w:val="111111"/>
          <w:sz w:val="28"/>
          <w:szCs w:val="28"/>
          <w:rtl w:val="true"/>
          <w:lang w:bidi="fa-IR"/>
        </w:rPr>
        <w:t>.</w:t>
      </w:r>
    </w:p>
    <w:p>
      <w:pPr>
        <w:pStyle w:val="Heading3"/>
        <w:numPr>
          <w:ilvl w:val="2"/>
          <w:numId w:val="1"/>
        </w:numPr>
        <w:rPr/>
      </w:pPr>
      <w:bookmarkStart w:id="736" w:name="__RefHeading___Toc1841117_2322387425"/>
      <w:bookmarkStart w:id="737" w:name="_Toc276"/>
      <w:bookmarkEnd w:id="736"/>
      <w:r>
        <w:rPr>
          <w:rtl w:val="true"/>
        </w:rPr>
        <w:t>حکم ما لو حرک إبهامه او باقی المساجد فی حال الذکر</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حرّک إبهامه فی حال الذکر</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حرّکه عن موضعه بنحو ینافی الاستقرار فی المسجد، فلا تنافی الحرکة القلیلة وهو ثابت فی 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عمداً أعاد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الأقوی فی صورة نیّة جزئیة الذکر فی تلک الحال، وکون منافاة الحرکة للطمأنینة والاستقرار معلوماً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احتیاطاً</w:t>
      </w:r>
      <w:r>
        <w:rPr>
          <w:rStyle w:val="FootnoteAnchor"/>
          <w:rtl w:val="true"/>
        </w:rPr>
        <w:footnoteReference w:id="9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کفایة إعادته فی حال عدم التحریک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وجوب الإعادة مع الإخلال بالاستقرار فی حال اشتغاله بالذکر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لیس بجزء، والفرض إتیانه بقصد الجزئیة، فهو زیادة عمدیة، لکن لا یخفی أنّ أمثال ذلک من قبیل النقص لا الزیادة؛ لأنّ مرجعه إلی قصد الشرط، فلا دلیل علی البطلان لو تدارک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کون المنافاة احتمالیّاً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تدارک الذکر وإتمام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حال الذکر الواجب وکانت الحرکة بنحوٍ تُنافی الاستقرار المعتبر أعاد الصلاة علی الأظهر، وإن کان فی حال الذکر المستحبّ، وإن کان قاصداً للجزئیة لا یجب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مخلاًّ بالاستقرار المعتبر فی السجود ، وفی هذه الصورة تجب الإعادة احتیاطاً ولو کان التحریک فی غیر حال الذکر ، ومنه یظهر حکم تحریک سائر المساجد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سهواً أعاد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ورجاءً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استقلال الطمأنینة بالمطلوبیة، أو بعض المحتملات الاُخر، وإلاّ فالأولی إعادته بالرجاء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بالذکر من باب الاحتیاط والقربة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وأعاد الصلاة احتیاطاً، وممّا ذکر یظهر الحال فی الصورة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أعاد الذکر علی الأحوط من غیر عمدٍ، ولا بأس بتحریک مواضع السجود السبعة فی غیر حال الذکر، بل ولا بأس برفعها ووضعها ثانیةً ما عدا الجبهة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یرفع رأسه، وکذا لو حرّک</w:t>
      </w:r>
    </w:p>
    <w:p>
      <w:pPr>
        <w:pStyle w:val="BookText"/>
        <w:rPr/>
      </w:pPr>
      <w:r>
        <w:rPr>
          <w:rFonts w:ascii="IRNazanin" w:hAnsi="IRNazanin" w:eastAsia="IRNazanin"/>
          <w:color w:val="111111"/>
          <w:sz w:val="28"/>
          <w:sz w:val="28"/>
          <w:szCs w:val="28"/>
          <w:rtl w:val="true"/>
          <w:lang w:bidi="fa-IR"/>
        </w:rPr>
        <w:t>سائر المساجد، وأمّا لو حرّک أصابع یده</w:t>
      </w:r>
      <w:r>
        <w:rPr>
          <w:rStyle w:val="FootnoteAnchor"/>
          <w:rtl w:val="true"/>
        </w:rPr>
        <w:footnoteReference w:id="926"/>
      </w:r>
      <w:r>
        <w:rPr>
          <w:rFonts w:ascii="Amiri" w:hAnsi="Amiri" w:eastAsia="Amiri" w:cs="Amiri"/>
          <w:color w:val="111111"/>
          <w:sz w:val="28"/>
          <w:sz w:val="28"/>
          <w:szCs w:val="28"/>
          <w:rtl w:val="true"/>
          <w:lang w:bidi="ar-SA"/>
        </w:rPr>
        <w:t>مع وضع الکفّ</w:t>
      </w:r>
      <w:r>
        <w:rPr>
          <w:rStyle w:val="FootnoteAnchor"/>
          <w:rtl w:val="true"/>
        </w:rPr>
        <w:footnoteReference w:id="927"/>
      </w:r>
      <w:r>
        <w:rPr>
          <w:rFonts w:ascii="IRNazanin" w:hAnsi="IRNazanin" w:eastAsia="IRNazanin"/>
          <w:color w:val="111111"/>
          <w:sz w:val="28"/>
          <w:sz w:val="28"/>
          <w:szCs w:val="28"/>
          <w:rtl w:val="true"/>
          <w:lang w:bidi="fa-IR"/>
        </w:rPr>
        <w:t>بتمامها فالظاهر عدم البأس به</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البأس، بناءً علی ما هو الأحوط من استیعاب باطن الکفّین فی الوضع،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 مرّ أنّ الأحوط الاستیعاب العرفی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اطمئنان بقیّة الکفّ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w:t>
      </w:r>
    </w:p>
    <w:p>
      <w:pPr>
        <w:pStyle w:val="BookText"/>
        <w:rPr/>
      </w:pPr>
      <w:r>
        <w:rPr>
          <w:rFonts w:ascii="IRNazanin" w:hAnsi="IRNazanin" w:eastAsia="IRNazanin"/>
          <w:color w:val="111111"/>
          <w:sz w:val="28"/>
          <w:sz w:val="28"/>
          <w:szCs w:val="28"/>
          <w:rtl w:val="true"/>
          <w:lang w:bidi="fa-IR"/>
        </w:rPr>
        <w:t>سجد</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ما یکفی فیه السجود علیه، کما فی حال الاضطرار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خصوص الأصابع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الإشکال فی أصل صحّة السجود علی خصوص الأصابع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أنّه 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لعجزه عن استیعاب تمام الکفّ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کفایة وضع الأصابع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جاز له ذلک، وتقدّم أنّ الأقوی عدم جوازه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کفایة خصوص الأصابع، وأنّه یجب استیعاب باطن الکفّ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السجدة علی خصوص الأصابع محلّ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أنّه لا یجوز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کان تکلیفه وضع خصوصها، وأمّا فی حال الاختیار فقد مرّ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صحّته، وکون وظیفته ذلک، وقد تقدّم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وجوب الاحتیاط فی ترکه اختیاراً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الکفایة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الإشکال فی کفایته فی حال الاختیار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تحریکها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کتحریک إبهام الرِجل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ارتفعت الجبهة قهراً من الأرض قبل الإتیان </w:t>
      </w:r>
    </w:p>
    <w:p>
      <w:pPr>
        <w:pStyle w:val="BookText"/>
        <w:rPr/>
      </w:pPr>
      <w:r>
        <w:rPr>
          <w:rFonts w:ascii="IRNazanin" w:hAnsi="IRNazanin" w:eastAsia="IRNazanin"/>
          <w:color w:val="111111"/>
          <w:sz w:val="28"/>
          <w:sz w:val="28"/>
          <w:szCs w:val="28"/>
          <w:rtl w:val="true"/>
          <w:lang w:bidi="fa-IR"/>
        </w:rPr>
        <w:t>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حفظها</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السجدة بضرب الرأس علی الأرض ورفعه بلا قرار محلّ منع، فلا یحسب سجدة وإن تمکّن من حفظها عن الوقوع ثانیاً، نعم، الأحوط إعادة الصلاة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الوقوع ثانیاً حسبت 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فلا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الاحتساب یتوقّف علی صدق عنوان السجود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فیجلس، ویأتی بالاُخری إن کانت الاُولی، ویکتفی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کانت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عادت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الأرض قهراً فالمجموع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قیل بتحقّق السجدة بالاُولی ولو بلا ذکر فالثانیة لغو، وإلاّ فالسجدة دون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واحدة</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والعود القهری أمر زائد لا یضرّ بالصحّة، وعلیه فلا یقصد الجزئیة فی إتیانه بالذکر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الظاهر أنّهما اثنتان، فالأحوط الإتیان بالذکر رجاءً، والثانیة زائدة لا تحتسب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العود القهری لیس متمِّماً للسجدة، بل هو أمر زائد علیها ، فلا یقصد الجزئیة بالذکر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فیأتی بالذکر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الذکر محلّ إشکال، فالاحتیاط لا یُترک بإتیانه بقصد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إتیانه بقصد الوجوب محلّ تأمّل، فلا یُترک الاحتیاط بإتیانه بقصد القربة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ویحتاط بإعادة الصلاة فی الصورتین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عبدالهادی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بقصد القربة المطلقة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وینبغی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أن لا یکون العود متمّماً للسجدة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بعد الإتیان به اکتفی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یرفع رأسه ویسجد الثانیة، ثمّ یعید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یرفع رأسه ویسجد الثانیة ثمّ یعید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فیرفع رأسه منها ثمّ یسجد الثانیة، ویتمّ صلاته ثمّ یعیدها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8" w:name="pg13278_326622"/>
    </w:p>
    <w:p>
      <w:pPr>
        <w:pStyle w:val="Heading3"/>
        <w:numPr>
          <w:ilvl w:val="2"/>
          <w:numId w:val="1"/>
        </w:numPr>
        <w:rPr/>
      </w:pPr>
      <w:bookmarkStart w:id="739" w:name="__RefHeading___Toc1841119_2322387425"/>
      <w:bookmarkStart w:id="740" w:name="_Toc277"/>
      <w:bookmarkEnd w:id="738"/>
      <w:bookmarkEnd w:id="739"/>
      <w:r>
        <w:rPr>
          <w:rtl w:val="true"/>
        </w:rPr>
        <w:t>حکم السجود علی غیر الأرض</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32"/>
      </w:r>
      <w:r>
        <w:rPr>
          <w:rFonts w:ascii="IRNazanin" w:hAnsi="IRNazanin" w:eastAsia="IRNazanin"/>
          <w:color w:val="111111"/>
          <w:sz w:val="28"/>
          <w:sz w:val="28"/>
          <w:szCs w:val="28"/>
          <w:rtl w:val="true"/>
          <w:lang w:bidi="fa-IR"/>
        </w:rPr>
        <w:t>بالسجود علی غیر الأرض ونحوها مثل الفراش فی حال التقیّة، ولا یجب</w:t>
      </w:r>
      <w:r>
        <w:rPr>
          <w:rStyle w:val="FootnoteAnchor"/>
          <w:rtl w:val="true"/>
        </w:rPr>
        <w:footnoteReference w:id="933"/>
      </w:r>
      <w:r>
        <w:rPr>
          <w:rFonts w:ascii="IRNazanin" w:hAnsi="IRNazanin" w:eastAsia="IRNazanin"/>
          <w:color w:val="111111"/>
          <w:sz w:val="28"/>
          <w:sz w:val="28"/>
          <w:szCs w:val="28"/>
          <w:rtl w:val="true"/>
          <w:lang w:bidi="fa-IR"/>
        </w:rPr>
        <w:t>التفصّی عنها</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التفصّی إن لم یکن نفس التفصّی مخالفاً للتقیّة، أو موجباً للضرر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المنصوصات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المنصوصات، وأمّا فی غیرها فیجب التفصّی عنها إلی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التفصّی فی المقام مع الإمکان ولو بتکرار الصلاة فی غیر مورد الحرج، نعم، لا یجب فی المنصوصات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بالذهاب إلی مکان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کان فی ذلک المکان مندوحة بأن یصلّی علی الباریة أو نحوها ممّا یصحّ السجود علیه وجب اختیارها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یجزی السجود علی غیر الأرض ونحوها فی مورد التقیة إذا کانت التقیة لا تتأدّی إلاّ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3278_326623"/>
    </w:p>
    <w:p>
      <w:pPr>
        <w:pStyle w:val="Heading3"/>
        <w:numPr>
          <w:ilvl w:val="2"/>
          <w:numId w:val="1"/>
        </w:numPr>
        <w:rPr/>
      </w:pPr>
      <w:bookmarkStart w:id="742" w:name="__RefHeading___Toc1841121_2322387425"/>
      <w:bookmarkStart w:id="743" w:name="_Toc278"/>
      <w:bookmarkEnd w:id="741"/>
      <w:bookmarkEnd w:id="742"/>
      <w:r>
        <w:rPr>
          <w:rtl w:val="true"/>
        </w:rPr>
        <w:t>حکم ما لو نسی السجدتین أو إحداهما</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السجدتین أو إحداهما وتذکّر قبل الدخول فی الرکوع وجب العود إلیها، وإن کان بعد الرکوع مضی إن کان المنسیّ واحدة، وقضاها بعد السلام</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ویسجد سجدتَی السهوّ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سجدتَی السهو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عبداللّه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الإتیان بسجدتَی السهو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وتبطل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فی الرکعة الأخیرة یرجع ما لم یسلّم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یرجع، وإن سلّم ما لم یأتِ بالمنافی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تذکّر بعد السلام بطلت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عدم صدور المنافی مطلقاً الإتیان بالسجدتین والتشهّد والتسلیم، ثمّ بسجدتَی السهو للتشهّد، وسجدتَی السهو للتسلیم، ثمّ إعادة الصلاة، وإن نسی سجدة واحدة فالأحوط الإتیان بها بقصد ما فی الذمّة، ثمّ التشهّد والتسلیم، ثمّ یسجد سجدتَی السهو بقصد ما فی الذمّة، واُخریَینِ من جهة السلام؛ لاحتمال وقوعه فی غیر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صدور المنافی سهواً، وإلاّ فیتدارک؛ لوقوع السلام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تذکّر بعد الإتیان بما یفسد الصلاة عمداً وسهواً کالحدث، وأمّا قبل ذلک فلا یبعد وجوب الرجوع وتدارک السجدتین، ثمّ التشهّد والتسلیم، وإن کان الأحوط مع ذلک الإعادة، بل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التذکّر بعد إتیان المنافی عمداً وسهواً، وأمّا بدون ذلک فالأولی أن یرجع ویأتی بالسجدتین والتشهّد والتسلیم، وسجدتَی السهو مرّتین ثمّ إعادة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الأحوط استحباباً فی الصورة الاُولی إتیان السجدتین والتشهّد والسلام وسجدتَی السهو ثمّ إعادة الصلاة، وفی الصورة الثانیة إتیان السجدة بقصد ما فی الذمّة، ثمّ التشهّد والتسلیم وسجدتَی السهو بقصد ما فی الذمّة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التذکّر قبل فعل المُبْطِل عمداً وسهواً الإتیان بالسجدتین، ثمّ بالتشهّد ثمّ بالتسلیم بقصد الاحتیاط، ثمّ یسجد سجدتَی السهو احتیاطاً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للتشهّد، واُخری للتسلیم السالفین، ثمّ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الأحوط فی ما إذا کان المنسیّ سجدة واحدة الإتیان بها بقصد ما فی الذمّة من دون تعیین للقضائیة وغیرها، ثمّ التشهّد ثمّ التسلیم، ثمّ یسجد سجدتَی السهو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بقصد ما فی الذمّة من کونهما لنسیان السجدة أو لزیادة التشهّد الأول، واُخری للتسلیم الأوّل احتیاطاً؛ لاحتمال وقوعه فی غیر المحلّ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أنّ الأقوی هو الصحّة والتدارک، ویأتی حکم الواحدة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تذکّر بعد إتیان المنافی عمداً وسهواً، وإلاّ رجع وأتی بهما وبما بعدهما وسجد للسهو، وإعادة الصلاة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عند عدم المنافی العود والإتیان بالسجدتین أو السجدة والتشهّد والتسلیم، ثمّ سجدتَی السهو، ولو کان المنسیّ سجدتین فالأحوط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البطلان ووجوب التدارک، کما سیأتی فی الخلل، وإن کان الأحوط إعادة الصلاة مع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علی إطلاقه، والتفصیل موکول إلی مسائل الخلل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 السلام مُخرِجاً، وإلاّ فیرجع ویأتی بهما، ویأتی بالباقی، ویسجد سجداتِ سهوٍ للزیادات، هذا إذا لم یأتِ بالمنافی بعد السلام، ولکنّ الأحوط إعادة الصلاة مع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عدم إتیان المنافی وجوب الرجوع وتدارک السجدتین،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إتیان المنافی العمدی والسهوی، وإلاّ فالأحوط الرجوع والتدارک وإعادة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یأتی بالسجدتین ویُتمّ الصلاة، ویسجد سجدتَی السهو للتسلیم فی غیر محلّه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قبل صدور المنافی عمداً وسهواً الرجوع وتدارک السجدتین، ثمّ التشهّد والتسلیم،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التذکّر وعدم صدور المنافی العمدی والسهوی الإتیان بالمنسیَّین، ثمّ التشهّد ثمّ التسلیم، ثم سجدتَی السهو للتشهّد السابق، وأیضاً للتسلیم السابق کذلک،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التفصیل بین ما إذا تذکّر قبل الإتیان بالمنافی العمدی والسهوی فتصحّ، ویتدارک والحال هذه السجدتین، ثمّ التشهّد والتسلیم، وبین ما إذا تذکّر بعد حصول المنافی فتجب علیه إعادة الصلاة، وإن کان الأحوط فی الصورة الاُولی أیضاً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المنافی عمداً وسهواً، وإلاّ فالأقوی الصحّة، فیرجع إلی السجدتین ویتمّ الصلاة، ثمّ یسجد سجدتَی السهو لکلّ واحد من التشهّد والسلام الزائدَین، والأحوط إعادة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الخلل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تراجَع المسألة الخامسة عشرة والمسألة الثامنة عشرة فی فصل الخلل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أتی بالمنافی ، وإلاّ أتی بهما وأعاد التشهّد والسلام ، وسجد للسهو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للبطلان مع إمکان التدارک، کما هو المفروض، نعم، یشکل الالتزام بالصحّة فی جمیع الصور المذکورة؛ للإشکال فی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 فلا یُترک الاحتیاط بالإعادة علی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ویجب العود لإتیانهما، ثمّ التشهّد والسلام ما لم یأتِ بما یکون مطلق وجوده مبطلاً للصلاة، کالحدث والاستدبار والفصل الطویل، وکذلک إذا کان المنسیّ سجدة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ذکر قبل الإتیان بالمنافی رجع وأتی بهما، وتشهّد و سلّم، ثمّ سجد سجدتَی السهو للسلام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نسی إحداهما أو التشهّد أو بعضه ثمّ سلّم وتذکّر قبل الإتیان بالمنافی بقصد القربة من دون التعرّض للأداء والقضاء، ثمّ یتشهّد ویسلّم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تذکر بعد الإتیان بالمنافی عمداً وسهواً بطلت صلاته لمن نسی السجدتین حتّی سلّم، وتصحّ صلاته وعلیه قضاء المنسیّ والإتیان بسجدتَی السهو لمن نسی إحدی السجدتین أو التشهّد أو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ویجب التدارک مع عدم الإتیان بما ینافی الصلاة مطلقاً ولو سهواً، کالحدث، ویسجد سجدتَی السهو للسلام الزائد علی الأحوط ، ولو تذکّره بعد الإتیان بالمنافی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المنسیّ سجدتین بطلت الصلاة، وإن کان واحدة قضاها، علی ما سیأتی فی بحث الخلل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البطلان إنّما هو فی ما إذا تذکّر بعد السلام وبعد الإتیان بالمنافی عمداً وسهواً ، وأمّا قبله فالظاهر صحّة الصلاة ولزوم العود إلی السجدتین ، کما إذا تذکّر قبل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المنسیّ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اثنتین</w:t>
      </w:r>
      <w:r>
        <w:rPr>
          <w:rStyle w:val="FootnoteAnchor"/>
          <w:rtl w:val="true"/>
        </w:rPr>
        <w:footnoteReference w:id="936"/>
      </w:r>
      <w:r>
        <w:rPr>
          <w:rFonts w:ascii="IRNazanin" w:hAnsi="IRNazanin" w:eastAsia="IRNazanin"/>
          <w:color w:val="111111"/>
          <w:sz w:val="28"/>
          <w:sz w:val="28"/>
          <w:szCs w:val="28"/>
          <w:rtl w:val="true"/>
          <w:lang w:bidi="fa-IR"/>
        </w:rPr>
        <w:t>، وإن کان واحدة قضاها</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وسجد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تدارکها، وإن کان الأحوط الإتیان بها بقصد ما فی الذمّة ثمّ التشهّد ثمّ التسلیم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ممّا ذکرنا لزوم تدارکها بناءً علی عدم کون السلام حینئذٍ مخرجاً، وإتمام الصلاة مع سجدات السهو، کما تقدّم، والأحوط أن یرجع ویأتی بها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الإتیان بها بقصد ما فی الذمّة، والتشهّد والسلام وسجدتَی السهو بقصد ما فی ذمّته من نقص السجدة، أو زیادة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بها بقصد ما فی الذمّة، مع سجدتَی السهو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بقصد ما فی الأعمّ من کونهما لنسیان السجدة أو لزیادة التشهّد الأول، واُخری لاحتمال وقوع التسلیم الأول فی غیر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تذکّر بعد المنافی، والأحوط إعادة الصلاة بعد سجدتَی السهو، وأمّا قبله فلیسجد بقصد ما فی الذمّة، ویتشهّد ویسلّم ویسجد سجدتَی السهو بقصد ما فی ذمّته؛ من جهة فوت السجدة، أو السلام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13278_326628"/>
    </w:p>
    <w:p>
      <w:pPr>
        <w:pStyle w:val="Heading3"/>
        <w:numPr>
          <w:ilvl w:val="2"/>
          <w:numId w:val="1"/>
        </w:numPr>
        <w:rPr/>
      </w:pPr>
      <w:bookmarkStart w:id="745" w:name="__RefHeading___Toc1841123_2322387425"/>
      <w:bookmarkStart w:id="746" w:name="_Toc279"/>
      <w:bookmarkEnd w:id="744"/>
      <w:bookmarkEnd w:id="745"/>
      <w:r>
        <w:rPr>
          <w:rtl w:val="true"/>
        </w:rPr>
        <w:t>حکم ما لا تستقر علی المساجد</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الصلاة علی ما لا تستقرّ</w:t>
      </w:r>
      <w:r>
        <w:rPr>
          <w:rStyle w:val="FootnoteAnchor"/>
          <w:rtl w:val="true"/>
        </w:rPr>
        <w:footnoteReference w:id="9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التقیّد بعدم حصول الاستقرار فی حال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کالقطن المندوف، والمخدّة من الریش، والکومة من التراب الناعم، وکدائس الحنطة ونحوها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1841125_2322387425"/>
      <w:bookmarkStart w:id="748" w:name="_Toc280"/>
      <w:bookmarkEnd w:id="747"/>
      <w:r>
        <w:rPr>
          <w:rtl w:val="true"/>
        </w:rPr>
        <w:t>حکم العاجز عن الانحناء بین وضع الیدین علی الأرض و وضع المسجد علی الجبهة</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أمر العاجز عن الانحناء التامّ للسجدة بین وضع الیدین علی الأرض وبین رفع ما یصحّ السجود علیه</w:t>
      </w:r>
      <w:r>
        <w:rPr>
          <w:rStyle w:val="FootnoteAnchor"/>
          <w:rtl w:val="true"/>
        </w:rPr>
        <w:footnoteReference w:id="939"/>
      </w:r>
      <w:r>
        <w:rPr>
          <w:rFonts w:ascii="IRNazanin" w:hAnsi="IRNazanin" w:eastAsia="IRNazanin"/>
          <w:color w:val="111111"/>
          <w:sz w:val="28"/>
          <w:sz w:val="28"/>
          <w:szCs w:val="28"/>
          <w:rtl w:val="true"/>
          <w:lang w:bidi="fa-IR"/>
        </w:rPr>
        <w:t>ووضعه</w:t>
      </w:r>
      <w:r>
        <w:rPr>
          <w:rStyle w:val="FootnoteAnchor"/>
          <w:rtl w:val="true"/>
        </w:rPr>
        <w:footnoteReference w:id="940"/>
      </w:r>
      <w:r>
        <w:rPr>
          <w:rFonts w:ascii="IRNazanin" w:hAnsi="IRNazanin" w:eastAsia="IRNazanin"/>
          <w:color w:val="111111"/>
          <w:sz w:val="28"/>
          <w:sz w:val="28"/>
          <w:szCs w:val="28"/>
          <w:rtl w:val="true"/>
          <w:lang w:bidi="fa-IR"/>
        </w:rPr>
        <w:t>علی الجبهة</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الواجب وضع الجبهة علیه، لا وضعه علی الجبهة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وضعها علیه، ففرض المسألة إنّما هو فی مَن وجب علیه السجود برفع المسجد ودار أمره بین أن یضع یدیه علی الأرض أو یرفع ذلک بیده ویضع جبهته علیه، والأقوی حینئذٍ تقدیم الثانی إن صدق علیه عنوان السجود علی الأرض، وإلاّ کانت وظیفته الإیماء، علی 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وضع الجبهة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تحقّق بعض مراتب السجود، وإلاّ فعند الإیماء لا یجب وضع الأعضاء علی الأرض کی یتحقّق الدوران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العکس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r>
        <w:rPr>
          <w:rStyle w:val="FootnoteAnchor"/>
          <w:rtl w:val="true"/>
        </w:rPr>
        <w:footnoteReference w:id="942"/>
      </w:r>
      <w:r>
        <w:rPr>
          <w:rFonts w:ascii="IRNazanin" w:hAnsi="IRNazanin" w:eastAsia="IRNazanin"/>
          <w:color w:val="111111"/>
          <w:sz w:val="28"/>
          <w:sz w:val="28"/>
          <w:szCs w:val="28"/>
          <w:rtl w:val="true"/>
          <w:lang w:bidi="fa-IR"/>
        </w:rPr>
        <w:t>تقدیم الثانی</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إطلاقه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صحیح إن کان المفروض فی الدوران وضع الجبهة علی ما یرفع بحیث یتحقّق بعض مراتب السجود، وإلاّ فقد مرّ أنّ الواجب هو الإیماء، ومعه لا یجب وضع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 أنّ الأحوط ضمّ الوضع علی الجبهة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الجمع بینهما وتکرار الذکر مع کلٍّ منهما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 مسمّی السجود، وإلاّ فلا یجب واحد منهما، وإن کان الثانی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فرض تحقّق بعض مراتب السجود، وإلاّ فالواجب الإیماء، ولا یجب معه شیء، لا وضع الید، ولا الوضع علی الجبهة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الانحناء بمقدارٍ یصدق معه السجود فالأقوی تقدیم الثانی، أی رفع ما یصحّ السجود علیه بالید ووضع الجبهة علیه، وإن لم یکن کذلک فالمعتبر هو الإیماء، ولا یعتبر معه رفع المسجد، ولا وضع الید علی الأرض وإن کان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الدوران بین السجدة الناقصة بوضع الجبهة علی الأرض المرتفعة زائداً علی التحدید الشرعی، وأمّا مع العذر عن السجدة ولو ببعض مراتبها المیسورة فقد مرّ عدم لزوم وضع سائر المساجد والاجتزاء بالإیماء، وأنّ الأحوط ضمّ الوضع علی الجبهة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الجمع بینه وبین الإیماء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 إذا تمکّن من رفع المسجد ووضع الجبهة علیه بحیث یصدق علیه السجود تعیّن ذلک، وإلاّ وجب الإیماء،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بالتکرار مع ضمّ الإیماء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السجدة علیه بأن کان من وضع الجبهة علی ما یصحّ السجود علیه، لا العکس، فالأحوط الجمع بین ما أمکنه والإیماء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تحقّق مسمّی السجود، وإلاّ فلا یجب واحد منهما، بل وجب الإیماء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إن تمکّن من رفع المسجد ووضع الجبهة علیه مع صدق ا لسجود علیه تعیّن ذلک، وإلاّ انتقل الفرض إلی الإیماء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وجوباً رفع المسجد ووضع الجبهة علیه إن أمکن، وإلاّ وضعت التربة ونحوها علی الجبهة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تمکّن من الانحناء بما یصدق معه السجود عرفاً لزمه ذلک، وإن توقّف علی رفع المسجد بکلتا الیدین أو إحداهما لوضع الجبهة علیه ، وأمّا إذا لم یتمکّن من الانحناء بالحدّ المذکور فوظیفته الإیماء، ومعه لا یجب وضع الجبهة علی ما یصحّ السجود علیه، ولا وضع الیدین علی الأرض، وإن کان ذلک أحوط،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فیرفع یدیه أو إحداهما عن الأرض لیضع ما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یصحّ السجود علیه</w:t>
      </w:r>
      <w:r>
        <w:rPr>
          <w:rStyle w:val="FootnoteAnchor"/>
          <w:rtl w:val="true"/>
        </w:rPr>
        <w:footnoteReference w:id="944"/>
      </w:r>
      <w:r>
        <w:rPr>
          <w:rFonts w:ascii="IRNazanin" w:hAnsi="IRNazanin" w:eastAsia="IRNazanin"/>
          <w:color w:val="111111"/>
          <w:sz w:val="28"/>
          <w:sz w:val="28"/>
          <w:szCs w:val="28"/>
          <w:rtl w:val="true"/>
          <w:lang w:bidi="fa-IR"/>
        </w:rPr>
        <w:t>علی جبهته</w:t>
      </w:r>
      <w:r>
        <w:rPr>
          <w:rStyle w:val="FootnoteAnchor"/>
          <w:rtl w:val="true"/>
        </w:rPr>
        <w:footnoteReference w:id="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وضع جبهته علیه بحیث یصدق علیه السجود، کما تقدّم، وإن لم یتمکّن من ذلک أومأ إیماءً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وضع الجبهة علیه إن أمکن، وإلاّ فالأحوط ضمّ الإیماء إلیه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بل منع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إذ الأصل فی السجود رعایة وضع الجبهة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13278_326632"/>
    </w:p>
    <w:p>
      <w:pPr>
        <w:pStyle w:val="Heading2"/>
        <w:numPr>
          <w:ilvl w:val="1"/>
          <w:numId w:val="1"/>
        </w:numPr>
        <w:rPr/>
      </w:pPr>
      <w:bookmarkStart w:id="750" w:name="__RefHeading___Toc1841127_2322387425"/>
      <w:bookmarkStart w:id="751" w:name="_Toc281"/>
      <w:bookmarkEnd w:id="749"/>
      <w:bookmarkEnd w:id="750"/>
      <w:r>
        <w:rPr>
          <w:rtl w:val="true"/>
        </w:rPr>
        <w:t>فصل فی مستحبّات السجود</w:t>
      </w:r>
      <w:bookmarkEnd w:id="751"/>
    </w:p>
    <w:p>
      <w:pPr>
        <w:pStyle w:val="Heading3"/>
        <w:numPr>
          <w:ilvl w:val="2"/>
          <w:numId w:val="1"/>
        </w:numPr>
        <w:rPr/>
      </w:pPr>
      <w:bookmarkStart w:id="752" w:name="__RefHeading___Toc1841129_2322387425"/>
      <w:bookmarkStart w:id="753" w:name="_Toc282"/>
      <w:bookmarkEnd w:id="752"/>
      <w:r>
        <w:rPr>
          <w:rtl w:val="true"/>
        </w:rPr>
        <w:t>الأمور المستحبة حال السجود</w:t>
      </w:r>
      <w:bookmarkEnd w:id="753"/>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باستحباب أکثرها مشکل؛ لمکان الضعف فی المستند من حیث الصدور أو الدلالة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754" w:name="__RefHeading___Toc1841131_2322387425"/>
      <w:bookmarkStart w:id="755" w:name="_Toc283"/>
      <w:bookmarkEnd w:id="754"/>
      <w:r>
        <w:rPr>
          <w:rtl w:val="true"/>
        </w:rPr>
        <w:t>الأول</w:t>
      </w:r>
      <w:r>
        <w:rPr>
          <w:rtl w:val="true"/>
        </w:rPr>
        <w:t xml:space="preserve">: </w:t>
      </w:r>
      <w:r>
        <w:rPr>
          <w:rtl w:val="true"/>
        </w:rPr>
        <w:t>التکبیر حال الانتصاب من الرکوع قائماً أو قاعداً</w:t>
      </w:r>
      <w:bookmarkEnd w:id="75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w:t>
      </w:r>
      <w:r>
        <w:rPr>
          <w:rStyle w:val="FootnoteAnchor"/>
          <w:rtl w:val="true"/>
        </w:rPr>
        <w:footnoteReference w:id="947"/>
      </w:r>
      <w:r>
        <w:rPr>
          <w:rFonts w:ascii="IRNazanin" w:hAnsi="IRNazanin" w:eastAsia="IRNazanin"/>
          <w:color w:val="111111"/>
          <w:sz w:val="28"/>
          <w:sz w:val="28"/>
          <w:szCs w:val="28"/>
          <w:rtl w:val="true"/>
          <w:lang w:bidi="fa-IR"/>
        </w:rPr>
        <w:t>حال الانتصاب</w:t>
      </w:r>
      <w:r>
        <w:rPr>
          <w:rStyle w:val="FootnoteAnchor"/>
          <w:rtl w:val="true"/>
        </w:rPr>
        <w:footnoteReference w:id="948"/>
      </w:r>
      <w:r>
        <w:rPr>
          <w:rFonts w:ascii="IRNazanin" w:hAnsi="IRNazanin" w:eastAsia="IRNazanin"/>
          <w:color w:val="111111"/>
          <w:sz w:val="28"/>
          <w:sz w:val="28"/>
          <w:szCs w:val="28"/>
          <w:rtl w:val="true"/>
          <w:lang w:bidi="fa-IR"/>
        </w:rPr>
        <w:t>من الرکوع</w:t>
      </w:r>
      <w:r>
        <w:rPr>
          <w:rStyle w:val="FootnoteAnchor"/>
          <w:rtl w:val="true"/>
        </w:rPr>
        <w:footnoteReference w:id="949"/>
      </w:r>
      <w:r>
        <w:rPr>
          <w:rFonts w:ascii="Amiri" w:hAnsi="Amiri" w:eastAsia="Amiri" w:cs="Amiri"/>
          <w:color w:val="111111"/>
          <w:sz w:val="28"/>
          <w:sz w:val="28"/>
          <w:szCs w:val="28"/>
          <w:rtl w:val="true"/>
          <w:lang w:bidi="ar-SA"/>
        </w:rPr>
        <w:t>قائماً أو قاعداً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841133_2322387425"/>
      <w:bookmarkStart w:id="757" w:name="_Toc284"/>
      <w:bookmarkEnd w:id="756"/>
      <w:r>
        <w:rPr>
          <w:rtl w:val="true"/>
        </w:rPr>
        <w:t>الثانی</w:t>
      </w:r>
      <w:r>
        <w:rPr>
          <w:rtl w:val="true"/>
        </w:rPr>
        <w:t xml:space="preserve">: </w:t>
      </w:r>
      <w:r>
        <w:rPr>
          <w:rtl w:val="true"/>
        </w:rPr>
        <w:t>رفع الیدین حال التکبیر</w:t>
      </w:r>
      <w:bookmarkEnd w:id="75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w:t>
      </w:r>
      <w:r>
        <w:rPr>
          <w:rStyle w:val="FootnoteAnchor"/>
          <w:rtl w:val="true"/>
        </w:rPr>
        <w:footnoteReference w:id="951"/>
      </w:r>
      <w:r>
        <w:rPr>
          <w:rFonts w:ascii="IRNazanin" w:hAnsi="IRNazanin" w:eastAsia="IRNazanin"/>
          <w:color w:val="111111"/>
          <w:sz w:val="28"/>
          <w:sz w:val="28"/>
          <w:szCs w:val="28"/>
          <w:rtl w:val="true"/>
          <w:lang w:bidi="fa-IR"/>
        </w:rPr>
        <w:t>حال التکبیر</w:t>
      </w:r>
      <w:r>
        <w:rPr>
          <w:rFonts w:eastAsia="IRNazanin" w:cs="IRNazanin"/>
          <w:color w:val="111111"/>
          <w:sz w:val="28"/>
          <w:szCs w:val="28"/>
          <w:rtl w:val="true"/>
          <w:lang w:bidi="fa-IR"/>
        </w:rPr>
        <w:t>.</w:t>
      </w:r>
    </w:p>
    <w:p>
      <w:pPr>
        <w:pStyle w:val="Heading3"/>
        <w:numPr>
          <w:ilvl w:val="2"/>
          <w:numId w:val="1"/>
        </w:numPr>
        <w:rPr/>
      </w:pPr>
      <w:bookmarkStart w:id="758" w:name="__RefHeading___Toc1841135_2322387425"/>
      <w:bookmarkStart w:id="759" w:name="_Toc285"/>
      <w:bookmarkEnd w:id="758"/>
      <w:r>
        <w:rPr>
          <w:rtl w:val="true"/>
        </w:rPr>
        <w:t>الثالث</w:t>
      </w:r>
      <w:r>
        <w:rPr>
          <w:rtl w:val="true"/>
        </w:rPr>
        <w:t xml:space="preserve">: </w:t>
      </w:r>
      <w:r>
        <w:rPr>
          <w:rtl w:val="true"/>
        </w:rPr>
        <w:t>السبق بالیدین إلی الأرض عند الهوی</w:t>
      </w:r>
      <w:bookmarkEnd w:id="75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بالیدین</w:t>
      </w:r>
      <w:r>
        <w:rPr>
          <w:rStyle w:val="FootnoteAnchor"/>
          <w:rtl w:val="true"/>
        </w:rPr>
        <w:footnoteReference w:id="952"/>
      </w:r>
      <w:r>
        <w:rPr>
          <w:rFonts w:ascii="IRNazanin" w:hAnsi="IRNazanin" w:eastAsia="IRNazanin"/>
          <w:color w:val="111111"/>
          <w:sz w:val="28"/>
          <w:sz w:val="28"/>
          <w:szCs w:val="28"/>
          <w:rtl w:val="true"/>
          <w:lang w:bidi="fa-IR"/>
        </w:rPr>
        <w:t>إلی الأرض عند الهویّ إلی السجود</w:t>
      </w:r>
      <w:r>
        <w:rPr>
          <w:rFonts w:eastAsia="IRNazanin" w:cs="IRNazanin"/>
          <w:color w:val="111111"/>
          <w:sz w:val="28"/>
          <w:szCs w:val="28"/>
          <w:rtl w:val="true"/>
          <w:lang w:bidi="fa-IR"/>
        </w:rPr>
        <w:t>.</w:t>
      </w:r>
    </w:p>
    <w:p>
      <w:pPr>
        <w:pStyle w:val="Heading3"/>
        <w:numPr>
          <w:ilvl w:val="2"/>
          <w:numId w:val="1"/>
        </w:numPr>
        <w:rPr/>
      </w:pPr>
      <w:bookmarkStart w:id="760" w:name="__RefHeading___Toc1841137_2322387425"/>
      <w:bookmarkStart w:id="761" w:name="_Toc286"/>
      <w:bookmarkEnd w:id="760"/>
      <w:r>
        <w:rPr>
          <w:rtl w:val="true"/>
        </w:rPr>
        <w:t>الرابع</w:t>
      </w:r>
      <w:r>
        <w:rPr>
          <w:rtl w:val="true"/>
        </w:rPr>
        <w:t xml:space="preserve">: </w:t>
      </w:r>
      <w:r>
        <w:rPr>
          <w:rtl w:val="true"/>
        </w:rPr>
        <w:t>استیعاب الجبهة للمسجد</w:t>
      </w:r>
      <w:bookmarkEnd w:id="76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الجبهة</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بالمقدار المتعارف منها علی الأرض المستویة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یصحّ السجود علیه، بل</w:t>
      </w:r>
      <w:bookmarkStart w:id="762" w:name="pg13278_326633"/>
    </w:p>
    <w:p>
      <w:pPr>
        <w:pStyle w:val="BookText"/>
        <w:rPr/>
      </w:pPr>
      <w:bookmarkEnd w:id="762"/>
      <w:r>
        <w:rPr>
          <w:rFonts w:ascii="IRNazanin" w:hAnsi="IRNazanin" w:eastAsia="IRNazanin"/>
          <w:color w:val="111111"/>
          <w:sz w:val="28"/>
          <w:sz w:val="28"/>
          <w:szCs w:val="28"/>
          <w:rtl w:val="true"/>
          <w:lang w:bidi="fa-IR"/>
        </w:rPr>
        <w:t>استیعاب</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الاحتیاط فی استیعاب الکفّین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إمکان استیعاب الرکبتین والإبهامین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الرکبتان والإبهامان، وتحقّق الاستیعاب فی الرکبة بتماسّ جمیع ما بین النُقرتین بالمسجد، وفی الإبهام بتماسّ ما بین حافّتیه إیّاه، ولکن حیث لا یلزم العسر فی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1841139_2322387425"/>
      <w:bookmarkStart w:id="764" w:name="_Toc287"/>
      <w:bookmarkEnd w:id="763"/>
      <w:r>
        <w:rPr>
          <w:rtl w:val="true"/>
        </w:rPr>
        <w:t>الخامس</w:t>
      </w:r>
      <w:r>
        <w:rPr>
          <w:rtl w:val="true"/>
        </w:rPr>
        <w:t xml:space="preserve">: </w:t>
      </w:r>
      <w:r>
        <w:rPr>
          <w:rtl w:val="true"/>
        </w:rPr>
        <w:t>الإرغام بالأنف</w:t>
      </w:r>
      <w:bookmarkEnd w:id="76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الإرغام</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المعبّر عنه فی بعض الکلمات تارةً بإصابة الأنف المسجد، واُخری بالسجود علی الأنف، ثمّ الأقوی تأکّد استحبابه، کما أنّ الأقوی کفایة حصول مسمّی الإرغام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بحسب الروایات وجوبه، إلاّ أنّه لعدم إفتاء الأصحاب إلاّ النادر منهم به نتوقّف فی الإفتاء به؛ فالاحتیاط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بالأنف علی ما یصحّ السجود علیه</w:t>
      </w:r>
      <w:r>
        <w:rPr>
          <w:rFonts w:eastAsia="IRNazanin" w:cs="IRNazanin"/>
          <w:color w:val="111111"/>
          <w:sz w:val="28"/>
          <w:szCs w:val="28"/>
          <w:rtl w:val="true"/>
          <w:lang w:bidi="fa-IR"/>
        </w:rPr>
        <w:t>.</w:t>
      </w:r>
    </w:p>
    <w:p>
      <w:pPr>
        <w:pStyle w:val="Heading3"/>
        <w:numPr>
          <w:ilvl w:val="2"/>
          <w:numId w:val="1"/>
        </w:numPr>
        <w:rPr/>
      </w:pPr>
      <w:bookmarkStart w:id="765" w:name="__RefHeading___Toc1841141_2322387425"/>
      <w:bookmarkStart w:id="766" w:name="_Toc288"/>
      <w:bookmarkEnd w:id="765"/>
      <w:r>
        <w:rPr>
          <w:rtl w:val="true"/>
        </w:rPr>
        <w:t>السادس</w:t>
      </w:r>
      <w:r>
        <w:rPr>
          <w:rtl w:val="true"/>
        </w:rPr>
        <w:t xml:space="preserve">: </w:t>
      </w:r>
      <w:r>
        <w:rPr>
          <w:rtl w:val="true"/>
        </w:rPr>
        <w:t>بسط الیدین مضمومتی الأصابع</w:t>
      </w:r>
      <w:bookmarkEnd w:id="76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الیدین مضمومتَی الأصابع</w:t>
      </w:r>
      <w:r>
        <w:rPr>
          <w:rStyle w:val="FootnoteAnchor"/>
          <w:rtl w:val="true"/>
        </w:rPr>
        <w:footnoteReference w:id="956"/>
      </w:r>
      <w:r>
        <w:rPr>
          <w:rFonts w:ascii="Amiri" w:hAnsi="Amiri" w:eastAsia="Amiri" w:cs="Amiri"/>
          <w:color w:val="111111"/>
          <w:sz w:val="28"/>
          <w:sz w:val="28"/>
          <w:szCs w:val="28"/>
          <w:rtl w:val="true"/>
          <w:lang w:bidi="ar-SA"/>
        </w:rPr>
        <w:t>حتّی الإ بهام حذاء الاُذُ نین</w:t>
      </w:r>
      <w:r>
        <w:rPr>
          <w:rStyle w:val="FootnoteAnchor"/>
          <w:rtl w:val="true"/>
        </w:rPr>
        <w:footnoteReference w:id="957"/>
      </w:r>
      <w:bookmarkStart w:id="767" w:name="pg13278_326634"/>
    </w:p>
    <w:p>
      <w:pPr>
        <w:pStyle w:val="BookText"/>
        <w:rPr/>
      </w:pPr>
      <w:bookmarkEnd w:id="767"/>
      <w:r>
        <w:rPr>
          <w:rFonts w:ascii="Amiri" w:hAnsi="Amiri" w:eastAsia="Amiri" w:cs="Amiri"/>
          <w:color w:val="111111"/>
          <w:sz w:val="28"/>
          <w:sz w:val="28"/>
          <w:szCs w:val="28"/>
          <w:rtl w:val="true"/>
          <w:lang w:bidi="ar-SA"/>
        </w:rPr>
        <w:t>متوجّهاً</w:t>
      </w:r>
      <w:r>
        <w:rPr>
          <w:rStyle w:val="FootnoteAnchor"/>
          <w:rtl w:val="true"/>
        </w:rPr>
        <w:footnoteReference w:id="958"/>
      </w:r>
      <w:r>
        <w:rPr>
          <w:rFonts w:ascii="IRNazanin" w:hAnsi="IRNazanin" w:eastAsia="IRNazanin"/>
          <w:color w:val="111111"/>
          <w:sz w:val="28"/>
          <w:sz w:val="28"/>
          <w:szCs w:val="28"/>
          <w:rtl w:val="true"/>
          <w:lang w:bidi="fa-IR"/>
        </w:rPr>
        <w:t>بهما إلی القبلة</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1841143_2322387425"/>
      <w:bookmarkStart w:id="769" w:name="_Toc289"/>
      <w:bookmarkEnd w:id="768"/>
      <w:r>
        <w:rPr>
          <w:rtl w:val="true"/>
        </w:rPr>
        <w:t>السابع</w:t>
      </w:r>
      <w:r>
        <w:rPr>
          <w:rtl w:val="true"/>
        </w:rPr>
        <w:t xml:space="preserve">: </w:t>
      </w:r>
      <w:r>
        <w:rPr>
          <w:rtl w:val="true"/>
        </w:rPr>
        <w:t>شغل النظر إلی طرف الأنف حال السجود</w:t>
      </w:r>
      <w:bookmarkEnd w:id="769"/>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النظر</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باستحبابه بعد ضعف المستند وعدم قیام أدلّة التسامح لإثبات الاستحباب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طرف الأنف حال السجود</w:t>
      </w:r>
      <w:r>
        <w:rPr>
          <w:rFonts w:eastAsia="IRNazanin" w:cs="IRNazanin"/>
          <w:color w:val="111111"/>
          <w:sz w:val="28"/>
          <w:szCs w:val="28"/>
          <w:rtl w:val="true"/>
          <w:lang w:bidi="fa-IR"/>
        </w:rPr>
        <w:t>.</w:t>
      </w:r>
    </w:p>
    <w:p>
      <w:pPr>
        <w:pStyle w:val="Heading3"/>
        <w:numPr>
          <w:ilvl w:val="2"/>
          <w:numId w:val="1"/>
        </w:numPr>
        <w:rPr/>
      </w:pPr>
      <w:bookmarkStart w:id="770" w:name="__RefHeading___Toc1841145_2322387425"/>
      <w:bookmarkStart w:id="771" w:name="_Toc290"/>
      <w:bookmarkEnd w:id="770"/>
      <w:r>
        <w:rPr>
          <w:rtl w:val="true"/>
        </w:rPr>
        <w:t>الثامن</w:t>
      </w:r>
      <w:r>
        <w:rPr>
          <w:rtl w:val="true"/>
        </w:rPr>
        <w:t xml:space="preserve">: </w:t>
      </w:r>
      <w:r>
        <w:rPr>
          <w:rtl w:val="true"/>
        </w:rPr>
        <w:t>الدعاء قبل الشروع فی الذکر</w:t>
      </w:r>
      <w:bookmarkEnd w:id="771"/>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قبل الشروع فی الذکر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سجدت، وبک آمنت، ولک أسلمت، وعلیک توکّلت، وأنت ربّی، سجد وجهی للّذی خلقه، وشقّ سمعه وبصره، والحمد للّه ربّ العالمین، تبارک اللّه أحسن الخالقین</w:t>
      </w:r>
      <w:r>
        <w:rPr>
          <w:rFonts w:eastAsia="IRNazanin" w:cs="IRNazanin"/>
          <w:color w:val="111111"/>
          <w:sz w:val="28"/>
          <w:szCs w:val="28"/>
          <w:rtl w:val="true"/>
          <w:lang w:bidi="fa-IR"/>
        </w:rPr>
        <w:t>».</w:t>
      </w:r>
    </w:p>
    <w:p>
      <w:pPr>
        <w:pStyle w:val="Heading3"/>
        <w:numPr>
          <w:ilvl w:val="2"/>
          <w:numId w:val="1"/>
        </w:numPr>
        <w:rPr/>
      </w:pPr>
      <w:bookmarkStart w:id="772" w:name="__RefHeading___Toc1841147_2322387425"/>
      <w:bookmarkStart w:id="773" w:name="_Toc291"/>
      <w:bookmarkEnd w:id="772"/>
      <w:r>
        <w:rPr>
          <w:rtl w:val="true"/>
        </w:rPr>
        <w:t>التاسع</w:t>
      </w:r>
      <w:r>
        <w:rPr>
          <w:rtl w:val="true"/>
        </w:rPr>
        <w:t xml:space="preserve">: </w:t>
      </w:r>
      <w:r>
        <w:rPr>
          <w:rtl w:val="true"/>
        </w:rPr>
        <w:t>تکرار الذکر</w:t>
      </w:r>
      <w:bookmarkEnd w:id="773"/>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الذکر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1841149_2322387425"/>
      <w:bookmarkStart w:id="775" w:name="_Toc292"/>
      <w:bookmarkEnd w:id="774"/>
      <w:r>
        <w:rPr>
          <w:rtl w:val="true"/>
        </w:rPr>
        <w:t>العاشر</w:t>
      </w:r>
      <w:r>
        <w:rPr>
          <w:rtl w:val="true"/>
        </w:rPr>
        <w:t xml:space="preserve">: </w:t>
      </w:r>
      <w:r>
        <w:rPr>
          <w:rtl w:val="true"/>
        </w:rPr>
        <w:t>الختم علی الوتر</w:t>
      </w:r>
      <w:bookmarkEnd w:id="775"/>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علی الوَتر</w:t>
      </w:r>
      <w:r>
        <w:rPr>
          <w:rFonts w:eastAsia="IRNazanin" w:cs="IRNazanin"/>
          <w:color w:val="111111"/>
          <w:sz w:val="28"/>
          <w:szCs w:val="28"/>
          <w:rtl w:val="true"/>
          <w:lang w:bidi="fa-IR"/>
        </w:rPr>
        <w:t>.</w:t>
      </w:r>
    </w:p>
    <w:p>
      <w:pPr>
        <w:pStyle w:val="Heading3"/>
        <w:numPr>
          <w:ilvl w:val="2"/>
          <w:numId w:val="1"/>
        </w:numPr>
        <w:rPr/>
      </w:pPr>
      <w:bookmarkStart w:id="776" w:name="__RefHeading___Toc1841151_2322387425"/>
      <w:bookmarkStart w:id="777" w:name="_Toc293"/>
      <w:bookmarkEnd w:id="776"/>
      <w:r>
        <w:rPr>
          <w:rtl w:val="true"/>
        </w:rPr>
        <w:t>الحادی عشر</w:t>
      </w:r>
      <w:r>
        <w:rPr>
          <w:rtl w:val="true"/>
        </w:rPr>
        <w:t xml:space="preserve">: </w:t>
      </w:r>
      <w:r>
        <w:rPr>
          <w:rtl w:val="true"/>
        </w:rPr>
        <w:t>اختیار التسبیح من الذکر</w:t>
      </w:r>
      <w:bookmarkEnd w:id="777"/>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Style w:val="FootnoteAnchor"/>
          <w:rtl w:val="true"/>
        </w:rPr>
        <w:footnoteReference w:id="9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أنّه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التسبیح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لزومه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اختیاره هو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وجوب التسبیح عند القدرة لا یخلو من قوّة،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أنّه الأحوط، لا دلیل علی التخمیس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الأحوط لو لم یکن أقوی اختیار الکبری منها، أو ثلاث صغریات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لزوم الاحتیاط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 اختیار التسبیح هو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الذکر، والکبری من التسبیح</w:t>
      </w:r>
      <w:bookmarkStart w:id="778" w:name="pg13278_326635"/>
    </w:p>
    <w:p>
      <w:pPr>
        <w:pStyle w:val="BookText"/>
        <w:rPr/>
      </w:pPr>
      <w:bookmarkEnd w:id="778"/>
      <w:r>
        <w:rPr>
          <w:rFonts w:ascii="IRNazanin" w:hAnsi="IRNazanin" w:eastAsia="IRNazanin"/>
          <w:color w:val="111111"/>
          <w:sz w:val="28"/>
          <w:sz w:val="28"/>
          <w:szCs w:val="28"/>
          <w:rtl w:val="true"/>
          <w:lang w:bidi="fa-IR"/>
        </w:rPr>
        <w:t>وتثلیثها أو تخمیسها</w:t>
      </w:r>
      <w:r>
        <w:rPr>
          <w:rStyle w:val="FootnoteAnchor"/>
          <w:rtl w:val="true"/>
        </w:rPr>
        <w:footnoteReference w:id="9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من جهة ضعف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تسبیعها</w:t>
      </w:r>
      <w:r>
        <w:rPr>
          <w:rFonts w:eastAsia="IRNazanin" w:cs="IRNazanin"/>
          <w:color w:val="111111"/>
          <w:sz w:val="28"/>
          <w:szCs w:val="28"/>
          <w:rtl w:val="true"/>
          <w:lang w:bidi="fa-IR"/>
        </w:rPr>
        <w:t>.</w:t>
      </w:r>
    </w:p>
    <w:p>
      <w:pPr>
        <w:pStyle w:val="Heading3"/>
        <w:numPr>
          <w:ilvl w:val="2"/>
          <w:numId w:val="1"/>
        </w:numPr>
        <w:rPr/>
      </w:pPr>
      <w:bookmarkStart w:id="779" w:name="__RefHeading___Toc1841153_2322387425"/>
      <w:bookmarkStart w:id="780" w:name="_Toc294"/>
      <w:bookmarkEnd w:id="779"/>
      <w:r>
        <w:rPr>
          <w:rtl w:val="true"/>
        </w:rPr>
        <w:t>الثانی عشر</w:t>
      </w:r>
      <w:r>
        <w:rPr>
          <w:rtl w:val="true"/>
        </w:rPr>
        <w:t xml:space="preserve">: </w:t>
      </w:r>
      <w:r>
        <w:rPr>
          <w:rtl w:val="true"/>
        </w:rPr>
        <w:t>السجود علی الأرض</w:t>
      </w:r>
      <w:bookmarkEnd w:id="780"/>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یسجد علی الأرض</w:t>
      </w:r>
      <w:r>
        <w:rPr>
          <w:rStyle w:val="FootnoteAnchor"/>
          <w:rtl w:val="true"/>
        </w:rPr>
        <w:footnoteReference w:id="964"/>
      </w:r>
      <w:r>
        <w:rPr>
          <w:rFonts w:ascii="IRNazanin" w:hAnsi="IRNazanin" w:eastAsia="IRNazanin"/>
          <w:color w:val="111111"/>
          <w:sz w:val="28"/>
          <w:sz w:val="28"/>
          <w:szCs w:val="28"/>
          <w:rtl w:val="true"/>
          <w:lang w:bidi="fa-IR"/>
        </w:rPr>
        <w:t>، بل التراب دون مثل الحجر والخشب</w:t>
      </w:r>
      <w:r>
        <w:rPr>
          <w:rFonts w:eastAsia="IRNazanin" w:cs="IRNazanin"/>
          <w:color w:val="111111"/>
          <w:sz w:val="28"/>
          <w:szCs w:val="28"/>
          <w:rtl w:val="true"/>
          <w:lang w:bidi="fa-IR"/>
        </w:rPr>
        <w:t>.</w:t>
      </w:r>
    </w:p>
    <w:p>
      <w:pPr>
        <w:pStyle w:val="Heading3"/>
        <w:numPr>
          <w:ilvl w:val="2"/>
          <w:numId w:val="1"/>
        </w:numPr>
        <w:rPr/>
      </w:pPr>
      <w:bookmarkStart w:id="781" w:name="__RefHeading___Toc1841155_2322387425"/>
      <w:bookmarkStart w:id="782" w:name="_Toc295"/>
      <w:bookmarkEnd w:id="781"/>
      <w:r>
        <w:rPr>
          <w:rtl w:val="true"/>
        </w:rPr>
        <w:t>الثالث عشر</w:t>
      </w:r>
      <w:r>
        <w:rPr>
          <w:rtl w:val="true"/>
        </w:rPr>
        <w:t xml:space="preserve">: </w:t>
      </w:r>
      <w:r>
        <w:rPr>
          <w:rtl w:val="true"/>
        </w:rPr>
        <w:t>المساواة بین موضع الجبهة و الموقف</w:t>
      </w:r>
      <w:bookmarkEnd w:id="782"/>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موضع الجبهة</w:t>
      </w:r>
      <w:r>
        <w:rPr>
          <w:rStyle w:val="FootnoteAnchor"/>
          <w:rtl w:val="true"/>
        </w:rPr>
        <w:footnoteReference w:id="965"/>
      </w:r>
      <w:r>
        <w:rPr>
          <w:rFonts w:ascii="Amiri" w:hAnsi="Amiri" w:eastAsia="Amiri" w:cs="Amiri"/>
          <w:color w:val="111111"/>
          <w:sz w:val="28"/>
          <w:sz w:val="28"/>
          <w:szCs w:val="28"/>
          <w:rtl w:val="true"/>
          <w:lang w:bidi="ar-SA"/>
        </w:rPr>
        <w:t>مع الموقف، بل مساواة</w:t>
      </w:r>
      <w:r>
        <w:rPr>
          <w:rStyle w:val="FootnoteAnchor"/>
          <w:rtl w:val="true"/>
        </w:rPr>
        <w:footnoteReference w:id="966"/>
      </w:r>
      <w:r>
        <w:rPr>
          <w:rFonts w:ascii="IRNazanin" w:hAnsi="IRNazanin" w:eastAsia="IRNazanin"/>
          <w:color w:val="111111"/>
          <w:sz w:val="28"/>
          <w:sz w:val="28"/>
          <w:szCs w:val="28"/>
          <w:rtl w:val="true"/>
          <w:lang w:bidi="fa-IR"/>
        </w:rPr>
        <w:t>جمیع المساجد</w:t>
      </w:r>
      <w:r>
        <w:rPr>
          <w:rFonts w:eastAsia="IRNazanin" w:cs="IRNazanin"/>
          <w:color w:val="111111"/>
          <w:sz w:val="28"/>
          <w:szCs w:val="28"/>
          <w:rtl w:val="true"/>
          <w:lang w:bidi="fa-IR"/>
        </w:rPr>
        <w:t>.</w:t>
      </w:r>
    </w:p>
    <w:p>
      <w:pPr>
        <w:pStyle w:val="Heading3"/>
        <w:numPr>
          <w:ilvl w:val="2"/>
          <w:numId w:val="1"/>
        </w:numPr>
        <w:rPr/>
      </w:pPr>
      <w:bookmarkStart w:id="783" w:name="__RefHeading___Toc1841157_2322387425"/>
      <w:bookmarkStart w:id="784" w:name="_Toc296"/>
      <w:bookmarkEnd w:id="783"/>
      <w:r>
        <w:rPr>
          <w:rtl w:val="true"/>
        </w:rPr>
        <w:t>الرابع عشر</w:t>
      </w:r>
      <w:r>
        <w:rPr>
          <w:rtl w:val="true"/>
        </w:rPr>
        <w:t xml:space="preserve">: </w:t>
      </w:r>
      <w:r>
        <w:rPr>
          <w:rtl w:val="true"/>
        </w:rPr>
        <w:t>الدعاء فی السجود</w:t>
      </w:r>
      <w:bookmarkEnd w:id="784"/>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السجود أو الأخیر</w:t>
      </w:r>
      <w:r>
        <w:rPr>
          <w:rStyle w:val="FootnoteAnchor"/>
          <w:rtl w:val="true"/>
        </w:rPr>
        <w:footnoteReference w:id="967"/>
      </w:r>
      <w:r>
        <w:rPr>
          <w:rFonts w:ascii="IRNazanin" w:hAnsi="IRNazanin" w:eastAsia="IRNazanin"/>
          <w:color w:val="111111"/>
          <w:sz w:val="28"/>
          <w:sz w:val="28"/>
          <w:szCs w:val="28"/>
          <w:rtl w:val="true"/>
          <w:lang w:bidi="fa-IR"/>
        </w:rPr>
        <w:t>بما یرید من حاجات الدنیا والآخرة، وخصوص طلب الرزق الحلال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المسوءولین، ویا خیرَ المُعطِین، ارزقنی وارزق عیالی من فضلک، فإنّک ذو الفضل العظیم</w:t>
      </w:r>
      <w:r>
        <w:rPr>
          <w:rFonts w:eastAsia="IRNazanin" w:cs="IRNazanin"/>
          <w:color w:val="111111"/>
          <w:sz w:val="28"/>
          <w:szCs w:val="28"/>
          <w:rtl w:val="true"/>
          <w:lang w:bidi="fa-IR"/>
        </w:rPr>
        <w:t>.</w:t>
      </w:r>
    </w:p>
    <w:p>
      <w:pPr>
        <w:pStyle w:val="Heading3"/>
        <w:numPr>
          <w:ilvl w:val="2"/>
          <w:numId w:val="1"/>
        </w:numPr>
        <w:rPr/>
      </w:pPr>
      <w:bookmarkStart w:id="785" w:name="__RefHeading___Toc1841159_2322387425"/>
      <w:bookmarkStart w:id="786" w:name="_Toc297"/>
      <w:bookmarkEnd w:id="785"/>
      <w:r>
        <w:rPr>
          <w:rtl w:val="true"/>
        </w:rPr>
        <w:t>الخامس عشر</w:t>
      </w:r>
      <w:r>
        <w:rPr>
          <w:rtl w:val="true"/>
        </w:rPr>
        <w:t xml:space="preserve">: </w:t>
      </w:r>
      <w:r>
        <w:rPr>
          <w:rtl w:val="true"/>
        </w:rPr>
        <w:t>التورک فی الجلوس</w:t>
      </w:r>
      <w:bookmarkEnd w:id="78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التورّک فی الجلوس بین السجدتین وبعدهما، وهو أن </w:t>
      </w:r>
      <w:bookmarkStart w:id="787" w:name="pg13278_326636"/>
    </w:p>
    <w:p>
      <w:pPr>
        <w:pStyle w:val="BookText"/>
        <w:rPr/>
      </w:pPr>
      <w:bookmarkEnd w:id="787"/>
      <w:r>
        <w:rPr>
          <w:rFonts w:ascii="IRNazanin" w:hAnsi="IRNazanin" w:eastAsia="IRNazanin"/>
          <w:color w:val="111111"/>
          <w:sz w:val="28"/>
          <w:sz w:val="28"/>
          <w:szCs w:val="28"/>
          <w:rtl w:val="true"/>
          <w:lang w:bidi="fa-IR"/>
        </w:rPr>
        <w:t>یجلس</w:t>
      </w:r>
      <w:r>
        <w:rPr>
          <w:rStyle w:val="FootnoteAnchor"/>
          <w:rtl w:val="true"/>
        </w:rPr>
        <w:footnoteReference w:id="968"/>
      </w:r>
      <w:r>
        <w:rPr>
          <w:rFonts w:ascii="IRNazanin" w:hAnsi="IRNazanin" w:eastAsia="IRNazanin"/>
          <w:color w:val="111111"/>
          <w:sz w:val="28"/>
          <w:sz w:val="28"/>
          <w:szCs w:val="28"/>
          <w:rtl w:val="true"/>
          <w:lang w:bidi="fa-IR"/>
        </w:rPr>
        <w:t>علی فخذه الأیسر، جاعلاً ظهر القدم الیمنی فی بطن الیسری</w:t>
      </w:r>
      <w:r>
        <w:rPr>
          <w:rFonts w:eastAsia="IRNazanin" w:cs="IRNazanin"/>
          <w:color w:val="111111"/>
          <w:sz w:val="28"/>
          <w:szCs w:val="28"/>
          <w:rtl w:val="true"/>
          <w:lang w:bidi="fa-IR"/>
        </w:rPr>
        <w:t>.</w:t>
      </w:r>
    </w:p>
    <w:p>
      <w:pPr>
        <w:pStyle w:val="Heading3"/>
        <w:numPr>
          <w:ilvl w:val="2"/>
          <w:numId w:val="1"/>
        </w:numPr>
        <w:rPr/>
      </w:pPr>
      <w:bookmarkStart w:id="788" w:name="__RefHeading___Toc1841161_2322387425"/>
      <w:bookmarkStart w:id="789" w:name="_Toc298"/>
      <w:bookmarkEnd w:id="788"/>
      <w:r>
        <w:rPr>
          <w:rtl w:val="true"/>
        </w:rPr>
        <w:t>السادس عشر</w:t>
      </w:r>
      <w:r>
        <w:rPr>
          <w:rtl w:val="true"/>
        </w:rPr>
        <w:t xml:space="preserve">: </w:t>
      </w:r>
      <w:r>
        <w:rPr>
          <w:rtl w:val="true"/>
        </w:rPr>
        <w:t>القول بین السجدتین</w:t>
      </w:r>
      <w:r>
        <w:rPr>
          <w:rtl w:val="true"/>
        </w:rPr>
        <w:t>: «</w:t>
      </w:r>
      <w:r>
        <w:rPr>
          <w:rtl w:val="true"/>
        </w:rPr>
        <w:t>أستغفرالله ربی و أتوب إلیه</w:t>
      </w:r>
      <w:r>
        <w:rPr>
          <w:rtl w:val="true"/>
        </w:rPr>
        <w:t>».</w:t>
      </w:r>
      <w:bookmarkEnd w:id="789"/>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فی الجلوس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وأتوب إلیه</w:t>
      </w:r>
      <w:r>
        <w:rPr>
          <w:rFonts w:eastAsia="IRNazanin" w:cs="IRNazanin"/>
          <w:color w:val="111111"/>
          <w:sz w:val="28"/>
          <w:szCs w:val="28"/>
          <w:rtl w:val="true"/>
          <w:lang w:bidi="fa-IR"/>
        </w:rPr>
        <w:t>».</w:t>
      </w:r>
    </w:p>
    <w:p>
      <w:pPr>
        <w:pStyle w:val="Heading3"/>
        <w:numPr>
          <w:ilvl w:val="2"/>
          <w:numId w:val="1"/>
        </w:numPr>
        <w:rPr/>
      </w:pPr>
      <w:bookmarkStart w:id="790" w:name="__RefHeading___Toc1841163_2322387425"/>
      <w:bookmarkStart w:id="791" w:name="_Toc299"/>
      <w:bookmarkEnd w:id="790"/>
      <w:r>
        <w:rPr>
          <w:rtl w:val="true"/>
        </w:rPr>
        <w:t>السابع عشر</w:t>
      </w:r>
      <w:r>
        <w:rPr>
          <w:rtl w:val="true"/>
        </w:rPr>
        <w:t xml:space="preserve">: </w:t>
      </w:r>
      <w:r>
        <w:rPr>
          <w:rtl w:val="true"/>
        </w:rPr>
        <w:t>التکبیر بعد السجدة الولی و قبل الثانیة</w:t>
      </w:r>
      <w:bookmarkEnd w:id="791"/>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بعد الرفع</w:t>
      </w:r>
      <w:r>
        <w:rPr>
          <w:rStyle w:val="FootnoteAnchor"/>
          <w:rtl w:val="true"/>
        </w:rPr>
        <w:footnoteReference w:id="969"/>
      </w:r>
      <w:r>
        <w:rPr>
          <w:rFonts w:ascii="IRNazanin" w:hAnsi="IRNazanin" w:eastAsia="IRNazanin"/>
          <w:color w:val="111111"/>
          <w:sz w:val="28"/>
          <w:sz w:val="28"/>
          <w:szCs w:val="28"/>
          <w:rtl w:val="true"/>
          <w:lang w:bidi="fa-IR"/>
        </w:rPr>
        <w:t>من السجدة الاُولی بعد الجلوس مطمئنّاً، والتکبیر للسجدة الثانیة وهو قاعد</w:t>
      </w:r>
      <w:r>
        <w:rPr>
          <w:rFonts w:eastAsia="IRNazanin" w:cs="IRNazanin"/>
          <w:color w:val="111111"/>
          <w:sz w:val="28"/>
          <w:szCs w:val="28"/>
          <w:rtl w:val="true"/>
          <w:lang w:bidi="fa-IR"/>
        </w:rPr>
        <w:t>.</w:t>
      </w:r>
    </w:p>
    <w:p>
      <w:pPr>
        <w:pStyle w:val="Heading3"/>
        <w:numPr>
          <w:ilvl w:val="2"/>
          <w:numId w:val="1"/>
        </w:numPr>
        <w:rPr/>
      </w:pPr>
      <w:bookmarkStart w:id="792" w:name="__RefHeading___Toc1841165_2322387425"/>
      <w:bookmarkStart w:id="793" w:name="_Toc300"/>
      <w:bookmarkEnd w:id="792"/>
      <w:r>
        <w:rPr>
          <w:rtl w:val="true"/>
        </w:rPr>
        <w:t>الثامن عشر</w:t>
      </w:r>
      <w:r>
        <w:rPr>
          <w:rtl w:val="true"/>
        </w:rPr>
        <w:t xml:space="preserve">: </w:t>
      </w:r>
      <w:r>
        <w:rPr>
          <w:rtl w:val="true"/>
        </w:rPr>
        <w:t>التکبیر بعد الرفع من الثانیة کذلک</w:t>
      </w:r>
      <w:bookmarkEnd w:id="793"/>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بعد الرفع من الثانیة</w:t>
      </w:r>
      <w:r>
        <w:rPr>
          <w:rStyle w:val="FootnoteAnchor"/>
          <w:rtl w:val="true"/>
        </w:rPr>
        <w:footnoteReference w:id="970"/>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Heading3"/>
        <w:numPr>
          <w:ilvl w:val="2"/>
          <w:numId w:val="1"/>
        </w:numPr>
        <w:rPr/>
      </w:pPr>
      <w:bookmarkStart w:id="794" w:name="__RefHeading___Toc1841167_2322387425"/>
      <w:bookmarkStart w:id="795" w:name="_Toc301"/>
      <w:bookmarkEnd w:id="794"/>
      <w:r>
        <w:rPr>
          <w:rtl w:val="true"/>
        </w:rPr>
        <w:t>التاسع عشر</w:t>
      </w:r>
      <w:r>
        <w:rPr>
          <w:rtl w:val="true"/>
        </w:rPr>
        <w:t xml:space="preserve">: </w:t>
      </w:r>
      <w:r>
        <w:rPr>
          <w:rtl w:val="true"/>
        </w:rPr>
        <w:t>رفع الیدین حال التکبیرات</w:t>
      </w:r>
      <w:bookmarkEnd w:id="795"/>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حال التکبیرات</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1841169_2322387425"/>
      <w:bookmarkStart w:id="797" w:name="_Toc302"/>
      <w:bookmarkEnd w:id="796"/>
      <w:r>
        <w:rPr>
          <w:rtl w:val="true"/>
        </w:rPr>
        <w:t>العشرون</w:t>
      </w:r>
      <w:r>
        <w:rPr>
          <w:rtl w:val="true"/>
        </w:rPr>
        <w:t xml:space="preserve">: </w:t>
      </w:r>
      <w:r>
        <w:rPr>
          <w:rtl w:val="true"/>
        </w:rPr>
        <w:t>وضع الیدین علی الفخذین حال الجلوس</w:t>
      </w:r>
      <w:bookmarkEnd w:id="797"/>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علی الفخذین حال الجلوس، الیمنی علی الیمنی، والیسری علی الیسری</w:t>
      </w:r>
      <w:r>
        <w:rPr>
          <w:rFonts w:eastAsia="IRNazanin" w:cs="IRNazanin"/>
          <w:color w:val="111111"/>
          <w:sz w:val="28"/>
          <w:szCs w:val="28"/>
          <w:rtl w:val="true"/>
          <w:lang w:bidi="fa-IR"/>
        </w:rPr>
        <w:t>.</w:t>
      </w:r>
    </w:p>
    <w:p>
      <w:pPr>
        <w:pStyle w:val="Heading3"/>
        <w:numPr>
          <w:ilvl w:val="2"/>
          <w:numId w:val="1"/>
        </w:numPr>
        <w:rPr/>
      </w:pPr>
      <w:bookmarkStart w:id="798" w:name="__RefHeading___Toc1841171_2322387425"/>
      <w:bookmarkStart w:id="799" w:name="_Toc303"/>
      <w:bookmarkEnd w:id="798"/>
      <w:r>
        <w:rPr>
          <w:rtl w:val="true"/>
        </w:rPr>
        <w:t>الحادی العشرون</w:t>
      </w:r>
      <w:r>
        <w:rPr>
          <w:rtl w:val="true"/>
        </w:rPr>
        <w:t xml:space="preserve">: </w:t>
      </w:r>
      <w:r>
        <w:rPr>
          <w:rtl w:val="true"/>
        </w:rPr>
        <w:t>التجافی حال الجلوس</w:t>
      </w:r>
      <w:bookmarkEnd w:id="799"/>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التجافی حال السجود، بمعنی رفع البطن عن الأرض</w:t>
      </w:r>
      <w:r>
        <w:rPr>
          <w:rFonts w:eastAsia="IRNazanin" w:cs="IRNazanin"/>
          <w:color w:val="111111"/>
          <w:sz w:val="28"/>
          <w:szCs w:val="28"/>
          <w:rtl w:val="true"/>
          <w:lang w:bidi="fa-IR"/>
        </w:rPr>
        <w:t>.</w:t>
      </w:r>
    </w:p>
    <w:p>
      <w:pPr>
        <w:pStyle w:val="Heading3"/>
        <w:numPr>
          <w:ilvl w:val="2"/>
          <w:numId w:val="1"/>
        </w:numPr>
        <w:rPr/>
      </w:pPr>
      <w:bookmarkStart w:id="800" w:name="__RefHeading___Toc1841173_2322387425"/>
      <w:bookmarkStart w:id="801" w:name="_Toc304"/>
      <w:bookmarkEnd w:id="800"/>
      <w:r>
        <w:rPr>
          <w:rtl w:val="true"/>
        </w:rPr>
        <w:t>الثانی والعشرون</w:t>
      </w:r>
      <w:r>
        <w:rPr>
          <w:rtl w:val="true"/>
        </w:rPr>
        <w:t xml:space="preserve">: </w:t>
      </w:r>
      <w:r>
        <w:rPr>
          <w:rtl w:val="true"/>
        </w:rPr>
        <w:t>التجنح</w:t>
      </w:r>
      <w:bookmarkEnd w:id="80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التجنّح</w:t>
      </w:r>
      <w:r>
        <w:rPr>
          <w:rStyle w:val="FootnoteAnchor"/>
          <w:rtl w:val="true"/>
        </w:rPr>
        <w:footnoteReference w:id="972"/>
      </w:r>
      <w:r>
        <w:rPr>
          <w:rFonts w:ascii="IRNazanin" w:hAnsi="IRNazanin" w:eastAsia="IRNazanin"/>
          <w:color w:val="111111"/>
          <w:sz w:val="28"/>
          <w:sz w:val="28"/>
          <w:szCs w:val="28"/>
          <w:rtl w:val="true"/>
          <w:lang w:bidi="fa-IR"/>
        </w:rPr>
        <w:t>، بمعنی تجافی الأعضاء حال السجود بأن یرفع مرفقیه عن الأرض مفرّجاً بین عضدیه وجنبیه، ومبعداً یدیه عن بدنه جاعلاً یدیه کالجناحین</w:t>
      </w:r>
      <w:r>
        <w:rPr>
          <w:rFonts w:eastAsia="IRNazanin" w:cs="IRNazanin"/>
          <w:color w:val="111111"/>
          <w:sz w:val="28"/>
          <w:szCs w:val="28"/>
          <w:rtl w:val="true"/>
          <w:lang w:bidi="fa-IR"/>
        </w:rPr>
        <w:t xml:space="preserve">. </w:t>
      </w:r>
      <w:bookmarkStart w:id="802" w:name="pg13278_326637"/>
    </w:p>
    <w:p>
      <w:pPr>
        <w:pStyle w:val="Heading3"/>
        <w:numPr>
          <w:ilvl w:val="2"/>
          <w:numId w:val="1"/>
        </w:numPr>
        <w:rPr/>
      </w:pPr>
      <w:bookmarkStart w:id="803" w:name="__RefHeading___Toc1841175_2322387425"/>
      <w:bookmarkStart w:id="804" w:name="_Toc305"/>
      <w:bookmarkEnd w:id="802"/>
      <w:bookmarkEnd w:id="803"/>
      <w:r>
        <w:rPr>
          <w:rtl w:val="true"/>
        </w:rPr>
        <w:t>الثالث والعشرون</w:t>
      </w:r>
      <w:r>
        <w:rPr>
          <w:rtl w:val="true"/>
        </w:rPr>
        <w:t xml:space="preserve">: </w:t>
      </w:r>
      <w:r>
        <w:rPr>
          <w:rtl w:val="true"/>
        </w:rPr>
        <w:t>الصلاة علی النبی و آله فی السجدتین</w:t>
      </w:r>
      <w:bookmarkEnd w:id="804"/>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علی النبیّ وآله فی السجدتین</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1841177_2322387425"/>
      <w:bookmarkStart w:id="806" w:name="_Toc306"/>
      <w:bookmarkEnd w:id="805"/>
      <w:r>
        <w:rPr>
          <w:rtl w:val="true"/>
        </w:rPr>
        <w:t>الرابع والعشرون</w:t>
      </w:r>
      <w:r>
        <w:rPr>
          <w:rtl w:val="true"/>
        </w:rPr>
        <w:t xml:space="preserve">: </w:t>
      </w:r>
      <w:r>
        <w:rPr>
          <w:rtl w:val="true"/>
        </w:rPr>
        <w:t>أن یقوم سابقاً برفع رکبتیه قبل یدیه</w:t>
      </w:r>
      <w:bookmarkEnd w:id="806"/>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سابقاً</w:t>
      </w:r>
      <w:r>
        <w:rPr>
          <w:rStyle w:val="FootnoteAnchor"/>
          <w:rtl w:val="true"/>
        </w:rPr>
        <w:footnoteReference w:id="974"/>
      </w:r>
      <w:r>
        <w:rPr>
          <w:rFonts w:ascii="IRNazanin" w:hAnsi="IRNazanin" w:eastAsia="IRNazanin"/>
          <w:color w:val="111111"/>
          <w:sz w:val="28"/>
          <w:sz w:val="28"/>
          <w:szCs w:val="28"/>
          <w:rtl w:val="true"/>
          <w:lang w:bidi="fa-IR"/>
        </w:rPr>
        <w:t>برفع رکبتیه قبل یدیه</w:t>
      </w:r>
      <w:r>
        <w:rPr>
          <w:rFonts w:eastAsia="IRNazanin" w:cs="IRNazanin"/>
          <w:color w:val="111111"/>
          <w:sz w:val="28"/>
          <w:szCs w:val="28"/>
          <w:rtl w:val="true"/>
          <w:lang w:bidi="fa-IR"/>
        </w:rPr>
        <w:t>.</w:t>
      </w:r>
    </w:p>
    <w:p>
      <w:pPr>
        <w:pStyle w:val="Heading3"/>
        <w:numPr>
          <w:ilvl w:val="2"/>
          <w:numId w:val="1"/>
        </w:numPr>
        <w:rPr/>
      </w:pPr>
      <w:bookmarkStart w:id="807" w:name="__RefHeading___Toc1841179_2322387425"/>
      <w:bookmarkStart w:id="808" w:name="_Toc307"/>
      <w:bookmarkEnd w:id="807"/>
      <w:r>
        <w:rPr>
          <w:rtl w:val="true"/>
        </w:rPr>
        <w:t>الخامس والعشرون</w:t>
      </w:r>
      <w:r>
        <w:rPr>
          <w:rtl w:val="true"/>
        </w:rPr>
        <w:t xml:space="preserve">: </w:t>
      </w:r>
      <w:r>
        <w:rPr>
          <w:rtl w:val="true"/>
        </w:rPr>
        <w:t>القول بین السجدتین</w:t>
      </w:r>
      <w:r>
        <w:rPr>
          <w:rtl w:val="true"/>
        </w:rPr>
        <w:t>: «</w:t>
      </w:r>
      <w:r>
        <w:rPr>
          <w:rtl w:val="true"/>
        </w:rPr>
        <w:t>اللهم اغفرلی و الرحمنی</w:t>
      </w:r>
      <w:r>
        <w:rPr>
          <w:rtl w:val="true"/>
        </w:rPr>
        <w:t>»</w:t>
      </w:r>
      <w:bookmarkEnd w:id="808"/>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وارحمنی، وأجِرنی وادفع عنّی، فإنّی لِما أنزلت إلیَّ من خیر فقیر، تبارک اللّه ربُّ العالمین</w:t>
      </w:r>
      <w:r>
        <w:rPr>
          <w:rFonts w:eastAsia="IRNazanin" w:cs="IRNazanin"/>
          <w:color w:val="111111"/>
          <w:sz w:val="28"/>
          <w:szCs w:val="28"/>
          <w:rtl w:val="true"/>
          <w:lang w:bidi="fa-IR"/>
        </w:rPr>
        <w:t>».</w:t>
      </w:r>
    </w:p>
    <w:p>
      <w:pPr>
        <w:pStyle w:val="Heading3"/>
        <w:numPr>
          <w:ilvl w:val="2"/>
          <w:numId w:val="1"/>
        </w:numPr>
        <w:rPr/>
      </w:pPr>
      <w:bookmarkStart w:id="809" w:name="__RefHeading___Toc1841181_2322387425"/>
      <w:bookmarkStart w:id="810" w:name="_Toc308"/>
      <w:bookmarkEnd w:id="809"/>
      <w:r>
        <w:rPr>
          <w:rtl w:val="true"/>
        </w:rPr>
        <w:t>السادس والعشرون</w:t>
      </w:r>
      <w:r>
        <w:rPr>
          <w:rtl w:val="true"/>
        </w:rPr>
        <w:t xml:space="preserve">: </w:t>
      </w:r>
      <w:r>
        <w:rPr>
          <w:rtl w:val="true"/>
        </w:rPr>
        <w:t>القول عند النوض للقیام</w:t>
      </w:r>
      <w:r>
        <w:rPr>
          <w:rtl w:val="true"/>
        </w:rPr>
        <w:t>: «</w:t>
      </w:r>
      <w:r>
        <w:rPr>
          <w:rtl w:val="true"/>
        </w:rPr>
        <w:t>بحول الله و قوته</w:t>
      </w:r>
      <w:r>
        <w:rPr>
          <w:rtl w:val="true"/>
        </w:rPr>
        <w:t>...»</w:t>
      </w:r>
      <w:bookmarkEnd w:id="810"/>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عند النهوض للقیام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بحولک</w:t>
      </w:r>
      <w:r>
        <w:rPr>
          <w:rStyle w:val="FootnoteAnchor"/>
          <w:rtl w:val="true"/>
        </w:rPr>
        <w:footnoteReference w:id="9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ویضیف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بعض الکتب الحدیثیّة المصحّحة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وقوّتک أقوم وأقعد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1841183_2322387425"/>
      <w:bookmarkStart w:id="812" w:name="_Toc309"/>
      <w:bookmarkEnd w:id="811"/>
      <w:r>
        <w:rPr>
          <w:rtl w:val="true"/>
        </w:rPr>
        <w:t>السابع والعشرون</w:t>
      </w:r>
      <w:r>
        <w:rPr>
          <w:rtl w:val="true"/>
        </w:rPr>
        <w:t xml:space="preserve">: </w:t>
      </w:r>
      <w:r>
        <w:rPr>
          <w:rtl w:val="true"/>
        </w:rPr>
        <w:t>عدم العجن بیدیه عند إرادة النهوض</w:t>
      </w:r>
      <w:bookmarkEnd w:id="812"/>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یعجن</w:t>
      </w:r>
      <w:r>
        <w:rPr>
          <w:rStyle w:val="FootnoteAnchor"/>
          <w:rtl w:val="true"/>
        </w:rPr>
        <w:footnoteReference w:id="976"/>
      </w:r>
      <w:r>
        <w:rPr>
          <w:rFonts w:ascii="IRNazanin" w:hAnsi="IRNazanin" w:eastAsia="IRNazanin"/>
          <w:color w:val="111111"/>
          <w:sz w:val="28"/>
          <w:sz w:val="28"/>
          <w:szCs w:val="28"/>
          <w:rtl w:val="true"/>
          <w:lang w:bidi="fa-IR"/>
        </w:rPr>
        <w:t>بیدیه عند إرادة النهوض، أی لا یقبضهما، بل یبسطهما علی الأرض معتمداً علیهما للنهوض</w:t>
      </w:r>
      <w:r>
        <w:rPr>
          <w:rFonts w:eastAsia="IRNazanin" w:cs="IRNazanin"/>
          <w:color w:val="111111"/>
          <w:sz w:val="28"/>
          <w:szCs w:val="28"/>
          <w:rtl w:val="true"/>
          <w:lang w:bidi="fa-IR"/>
        </w:rPr>
        <w:t>.</w:t>
      </w:r>
    </w:p>
    <w:p>
      <w:pPr>
        <w:pStyle w:val="Heading3"/>
        <w:numPr>
          <w:ilvl w:val="2"/>
          <w:numId w:val="1"/>
        </w:numPr>
        <w:rPr/>
      </w:pPr>
      <w:bookmarkStart w:id="813" w:name="__RefHeading___Toc1841185_2322387425"/>
      <w:bookmarkStart w:id="814" w:name="_Toc310"/>
      <w:bookmarkEnd w:id="813"/>
      <w:r>
        <w:rPr>
          <w:rtl w:val="true"/>
        </w:rPr>
        <w:t>الثامن والعشرون</w:t>
      </w:r>
      <w:r>
        <w:rPr>
          <w:rtl w:val="true"/>
        </w:rPr>
        <w:t xml:space="preserve">: </w:t>
      </w:r>
      <w:r>
        <w:rPr>
          <w:rtl w:val="true"/>
        </w:rPr>
        <w:t>وضع الرکبتین قبل الیدین للمرأة عند الهوی للسجود</w:t>
      </w:r>
      <w:bookmarkEnd w:id="81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الرکبتین قبل الیدین للمرأة عکس الرجل عند الهویّ للسجود، وکذا یستحبّ عدم تجافیها حاله، بل تفترش ذراعیها </w:t>
      </w:r>
      <w:bookmarkStart w:id="815" w:name="pg13278_326638"/>
    </w:p>
    <w:p>
      <w:pPr>
        <w:pStyle w:val="BookText"/>
        <w:rPr/>
      </w:pPr>
      <w:bookmarkEnd w:id="815"/>
      <w:r>
        <w:rPr>
          <w:rFonts w:ascii="IRNazanin" w:hAnsi="IRNazanin" w:eastAsia="IRNazanin"/>
          <w:color w:val="111111"/>
          <w:sz w:val="28"/>
          <w:sz w:val="28"/>
          <w:szCs w:val="28"/>
          <w:rtl w:val="true"/>
          <w:lang w:bidi="fa-IR"/>
        </w:rPr>
        <w:t>وتلصق بطنها بالأرض</w:t>
      </w:r>
      <w:r>
        <w:rPr>
          <w:rStyle w:val="FootnoteAnchor"/>
          <w:rtl w:val="true"/>
        </w:rPr>
        <w:footnoteReference w:id="977"/>
      </w:r>
      <w:r>
        <w:rPr>
          <w:rFonts w:ascii="IRNazanin" w:hAnsi="IRNazanin" w:eastAsia="IRNazanin"/>
          <w:color w:val="111111"/>
          <w:sz w:val="28"/>
          <w:sz w:val="28"/>
          <w:szCs w:val="28"/>
          <w:rtl w:val="true"/>
          <w:lang w:bidi="fa-IR"/>
        </w:rPr>
        <w:t>، وتضمّ أعضاءها، وکذا عدم رفع عجیزتها حال النهوض للقیام، بل تنهض وتنتصب</w:t>
      </w:r>
      <w:r>
        <w:rPr>
          <w:rStyle w:val="FootnoteAnchor"/>
          <w:rtl w:val="true"/>
        </w:rPr>
        <w:footnoteReference w:id="978"/>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841187_2322387425"/>
      <w:bookmarkStart w:id="817" w:name="_Toc311"/>
      <w:bookmarkEnd w:id="816"/>
      <w:r>
        <w:rPr>
          <w:rtl w:val="true"/>
        </w:rPr>
        <w:t>التاسع والعشرون</w:t>
      </w:r>
      <w:r>
        <w:rPr>
          <w:rtl w:val="true"/>
        </w:rPr>
        <w:t xml:space="preserve">: </w:t>
      </w:r>
      <w:r>
        <w:rPr>
          <w:rtl w:val="true"/>
        </w:rPr>
        <w:t>إطالة السجود والإکثار فیه من التسبیح و الذکر</w:t>
      </w:r>
      <w:bookmarkEnd w:id="817"/>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إطالة السجود</w:t>
      </w:r>
      <w:r>
        <w:rPr>
          <w:rStyle w:val="FootnoteAnchor"/>
          <w:rtl w:val="true"/>
        </w:rPr>
        <w:footnoteReference w:id="979"/>
      </w:r>
      <w:r>
        <w:rPr>
          <w:rFonts w:ascii="IRNazanin" w:hAnsi="IRNazanin" w:eastAsia="IRNazanin"/>
          <w:color w:val="111111"/>
          <w:sz w:val="28"/>
          <w:sz w:val="28"/>
          <w:szCs w:val="28"/>
          <w:rtl w:val="true"/>
          <w:lang w:bidi="fa-IR"/>
        </w:rPr>
        <w:t>والإکثار فیه من التسبیح والذکر</w:t>
      </w:r>
      <w:r>
        <w:rPr>
          <w:rFonts w:eastAsia="IRNazanin" w:cs="IRNazanin"/>
          <w:color w:val="111111"/>
          <w:sz w:val="28"/>
          <w:szCs w:val="28"/>
          <w:rtl w:val="true"/>
          <w:lang w:bidi="fa-IR"/>
        </w:rPr>
        <w:t>.</w:t>
      </w:r>
    </w:p>
    <w:p>
      <w:pPr>
        <w:pStyle w:val="Heading3"/>
        <w:numPr>
          <w:ilvl w:val="2"/>
          <w:numId w:val="1"/>
        </w:numPr>
        <w:rPr/>
      </w:pPr>
      <w:bookmarkStart w:id="818" w:name="__RefHeading___Toc1841189_2322387425"/>
      <w:bookmarkStart w:id="819" w:name="_Toc312"/>
      <w:bookmarkEnd w:id="818"/>
      <w:r>
        <w:rPr>
          <w:rtl w:val="true"/>
        </w:rPr>
        <w:t>الثلاثون</w:t>
      </w:r>
      <w:r>
        <w:rPr>
          <w:rtl w:val="true"/>
        </w:rPr>
        <w:t xml:space="preserve">: </w:t>
      </w:r>
      <w:r>
        <w:rPr>
          <w:rtl w:val="true"/>
        </w:rPr>
        <w:t>مباشرة الأرض بالکفین</w:t>
      </w:r>
      <w:bookmarkEnd w:id="819"/>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الأرض بالکفّین</w:t>
      </w:r>
      <w:r>
        <w:rPr>
          <w:rFonts w:eastAsia="IRNazanin" w:cs="IRNazanin"/>
          <w:color w:val="111111"/>
          <w:sz w:val="28"/>
          <w:szCs w:val="28"/>
          <w:rtl w:val="true"/>
          <w:lang w:bidi="fa-IR"/>
        </w:rPr>
        <w:t>.</w:t>
      </w:r>
    </w:p>
    <w:p>
      <w:pPr>
        <w:pStyle w:val="Heading3"/>
        <w:numPr>
          <w:ilvl w:val="2"/>
          <w:numId w:val="1"/>
        </w:numPr>
        <w:rPr/>
      </w:pPr>
      <w:bookmarkStart w:id="820" w:name="__RefHeading___Toc1841191_2322387425"/>
      <w:bookmarkStart w:id="821" w:name="_Toc313"/>
      <w:bookmarkEnd w:id="820"/>
      <w:r>
        <w:rPr>
          <w:rtl w:val="true"/>
        </w:rPr>
        <w:t>الواحد والثلاثون</w:t>
      </w:r>
      <w:r>
        <w:rPr>
          <w:rtl w:val="true"/>
        </w:rPr>
        <w:t xml:space="preserve">: </w:t>
      </w:r>
      <w:r>
        <w:rPr>
          <w:rtl w:val="true"/>
        </w:rPr>
        <w:t>زیادة تمکین الجبهة و سائر المساجد فی السجود</w:t>
      </w:r>
      <w:bookmarkEnd w:id="821"/>
    </w:p>
    <w:p>
      <w:pPr>
        <w:pStyle w:val="BookText"/>
        <w:rPr/>
      </w:pPr>
      <w:r>
        <w:rPr>
          <w:rFonts w:ascii="IRNazanin" w:hAnsi="IRNazanin" w:eastAsia="IRNazanin"/>
          <w:color w:val="111111"/>
          <w:sz w:val="28"/>
          <w:sz w:val="28"/>
          <w:szCs w:val="28"/>
          <w:rtl w:val="true"/>
          <w:lang w:bidi="fa-IR"/>
        </w:rPr>
        <w:t>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تمکین الجبهة وسائر المساجد فی السجود</w:t>
      </w:r>
      <w:r>
        <w:rPr>
          <w:rFonts w:eastAsia="IRNazanin" w:cs="IRNazanin"/>
          <w:color w:val="111111"/>
          <w:sz w:val="28"/>
          <w:szCs w:val="28"/>
          <w:rtl w:val="true"/>
          <w:lang w:bidi="fa-IR"/>
        </w:rPr>
        <w:t>.</w:t>
      </w:r>
    </w:p>
    <w:p>
      <w:pPr>
        <w:pStyle w:val="Heading3"/>
        <w:numPr>
          <w:ilvl w:val="2"/>
          <w:numId w:val="1"/>
        </w:numPr>
        <w:rPr/>
      </w:pPr>
      <w:bookmarkStart w:id="822" w:name="__RefHeading___Toc1841193_2322387425"/>
      <w:bookmarkStart w:id="823" w:name="_Toc314"/>
      <w:bookmarkEnd w:id="822"/>
      <w:r>
        <w:rPr>
          <w:rtl w:val="true"/>
        </w:rPr>
        <w:t>کراهة الإقعاء فی الجلوس</w:t>
      </w:r>
      <w:bookmarkEnd w:id="82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الإقعاء</w:t>
      </w:r>
      <w:r>
        <w:rPr>
          <w:rStyle w:val="FootnoteAnchor"/>
          <w:rtl w:val="true"/>
        </w:rPr>
        <w:footnoteReference w:id="980"/>
      </w:r>
      <w:r>
        <w:rPr>
          <w:rFonts w:ascii="IRNazanin" w:hAnsi="IRNazanin" w:eastAsia="IRNazanin"/>
          <w:color w:val="111111"/>
          <w:sz w:val="28"/>
          <w:sz w:val="28"/>
          <w:szCs w:val="28"/>
          <w:rtl w:val="true"/>
          <w:lang w:bidi="fa-IR"/>
        </w:rPr>
        <w:t>فی الجلوس بین السجدتین، بل بعدهما أیضاً،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یعتمد</w:t>
      </w:r>
      <w:r>
        <w:rPr>
          <w:rStyle w:val="FootnoteAnchor"/>
          <w:rtl w:val="true"/>
        </w:rPr>
        <w:footnoteReference w:id="981"/>
      </w:r>
      <w:r>
        <w:rPr>
          <w:rFonts w:ascii="IRNazanin" w:hAnsi="IRNazanin" w:eastAsia="IRNazanin"/>
          <w:color w:val="111111"/>
          <w:sz w:val="28"/>
          <w:sz w:val="28"/>
          <w:szCs w:val="28"/>
          <w:rtl w:val="true"/>
          <w:lang w:bidi="fa-IR"/>
        </w:rPr>
        <w:t>بصدور قدمیه</w:t>
      </w:r>
      <w:r>
        <w:rPr>
          <w:rStyle w:val="FootnoteAnchor"/>
          <w:rtl w:val="true"/>
        </w:rPr>
        <w:footnoteReference w:id="982"/>
      </w:r>
      <w:r>
        <w:rPr>
          <w:rFonts w:ascii="IRNazanin" w:hAnsi="IRNazanin" w:eastAsia="IRNazanin"/>
          <w:color w:val="111111"/>
          <w:sz w:val="28"/>
          <w:sz w:val="28"/>
          <w:szCs w:val="28"/>
          <w:rtl w:val="true"/>
          <w:lang w:bidi="fa-IR"/>
        </w:rPr>
        <w:t>علی الأرض ویجلس علی عقبیه کما فسّره به الفقهاء، بل بالمعنی الآخر</w:t>
      </w:r>
      <w:r>
        <w:rPr>
          <w:rStyle w:val="FootnoteAnchor"/>
          <w:rtl w:val="true"/>
        </w:rPr>
        <w:footnoteReference w:id="983"/>
      </w:r>
      <w:r>
        <w:rPr>
          <w:rFonts w:ascii="IRNazanin" w:hAnsi="IRNazanin" w:eastAsia="IRNazanin"/>
          <w:color w:val="111111"/>
          <w:sz w:val="28"/>
          <w:sz w:val="28"/>
          <w:szCs w:val="28"/>
          <w:rtl w:val="true"/>
          <w:lang w:bidi="fa-IR"/>
        </w:rPr>
        <w:t xml:space="preserve">المنسوب إلی اللغویّین أیضاً، </w:t>
      </w:r>
      <w:bookmarkStart w:id="824" w:name="pg13278_326639"/>
    </w:p>
    <w:p>
      <w:pPr>
        <w:pStyle w:val="BookText"/>
        <w:rPr/>
      </w:pPr>
      <w:bookmarkEnd w:id="824"/>
      <w:r>
        <w:rPr>
          <w:rFonts w:ascii="IRNazanin" w:hAnsi="IRNazanin" w:eastAsia="IRNazanin"/>
          <w:color w:val="111111"/>
          <w:sz w:val="28"/>
          <w:sz w:val="28"/>
          <w:szCs w:val="28"/>
          <w:rtl w:val="true"/>
          <w:lang w:bidi="fa-IR"/>
        </w:rPr>
        <w:t>وهو أن یجلس علی ألیتَیه</w:t>
      </w:r>
      <w:r>
        <w:rPr>
          <w:rStyle w:val="FootnoteAnchor"/>
          <w:rtl w:val="true"/>
        </w:rPr>
        <w:footnoteReference w:id="984"/>
      </w:r>
      <w:r>
        <w:rPr>
          <w:rFonts w:ascii="IRNazanin" w:hAnsi="IRNazanin" w:eastAsia="IRNazanin"/>
          <w:color w:val="111111"/>
          <w:sz w:val="28"/>
          <w:sz w:val="28"/>
          <w:szCs w:val="28"/>
          <w:rtl w:val="true"/>
          <w:lang w:bidi="fa-IR"/>
        </w:rPr>
        <w:t>وینصب ساقیه ویتساند إلی ظهره</w:t>
      </w:r>
      <w:r>
        <w:rPr>
          <w:rStyle w:val="FootnoteAnchor"/>
          <w:rtl w:val="true"/>
        </w:rPr>
        <w:footnoteReference w:id="985"/>
      </w:r>
      <w:r>
        <w:rPr>
          <w:rFonts w:ascii="IRNazanin" w:hAnsi="IRNazanin" w:eastAsia="IRNazanin"/>
          <w:color w:val="111111"/>
          <w:sz w:val="28"/>
          <w:sz w:val="28"/>
          <w:szCs w:val="28"/>
          <w:rtl w:val="true"/>
          <w:lang w:bidi="fa-IR"/>
        </w:rPr>
        <w:t>کإقعاء الکلب</w:t>
      </w:r>
      <w:r>
        <w:rPr>
          <w:rFonts w:eastAsia="IRNazanin" w:cs="IRNazanin"/>
          <w:color w:val="111111"/>
          <w:sz w:val="28"/>
          <w:szCs w:val="28"/>
          <w:rtl w:val="true"/>
          <w:lang w:bidi="fa-IR"/>
        </w:rPr>
        <w:t>.</w:t>
      </w:r>
    </w:p>
    <w:p>
      <w:pPr>
        <w:pStyle w:val="Heading3"/>
        <w:numPr>
          <w:ilvl w:val="2"/>
          <w:numId w:val="1"/>
        </w:numPr>
        <w:rPr/>
      </w:pPr>
      <w:bookmarkStart w:id="825" w:name="__RefHeading___Toc1841195_2322387425"/>
      <w:bookmarkStart w:id="826" w:name="_Toc315"/>
      <w:bookmarkEnd w:id="825"/>
      <w:r>
        <w:rPr>
          <w:rtl w:val="true"/>
        </w:rPr>
        <w:t>کراهة نفخ موضع السجود</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نفخ موضع السجود إذا لم یتولّد</w:t>
      </w:r>
      <w:r>
        <w:rPr>
          <w:rStyle w:val="FootnoteAnchor"/>
          <w:rtl w:val="true"/>
        </w:rPr>
        <w:footnoteReference w:id="986"/>
      </w:r>
      <w:r>
        <w:rPr>
          <w:rFonts w:ascii="IRNazanin" w:hAnsi="IRNazanin" w:eastAsia="IRNazanin"/>
          <w:color w:val="111111"/>
          <w:sz w:val="28"/>
          <w:sz w:val="28"/>
          <w:szCs w:val="28"/>
          <w:rtl w:val="true"/>
          <w:lang w:bidi="fa-IR"/>
        </w:rPr>
        <w:t>حرفان، وإلاّ فلا یجوز</w:t>
      </w:r>
      <w:r>
        <w:rPr>
          <w:rStyle w:val="FootnoteAnchor"/>
          <w:rtl w:val="true"/>
        </w:rPr>
        <w:footnoteReference w:id="987"/>
      </w:r>
      <w:r>
        <w:rPr>
          <w:rFonts w:ascii="Amiri" w:hAnsi="Amiri" w:eastAsia="Amiri" w:cs="Amiri"/>
          <w:color w:val="111111"/>
          <w:sz w:val="28"/>
          <w:sz w:val="28"/>
          <w:szCs w:val="28"/>
          <w:rtl w:val="true"/>
          <w:lang w:bidi="ar-SA"/>
        </w:rPr>
        <w:t>، بل مبطل للصلاة</w:t>
      </w:r>
      <w:r>
        <w:rPr>
          <w:rStyle w:val="FootnoteAnchor"/>
          <w:rtl w:val="true"/>
        </w:rPr>
        <w:footnoteReference w:id="9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الکلام فیه فی المبطلات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یکره عدم رفع الیدین من الأرض بین السجدتین</w:t>
      </w:r>
      <w:r>
        <w:rPr>
          <w:rFonts w:eastAsia="IRNazanin" w:cs="IRNazanin"/>
          <w:color w:val="111111"/>
          <w:sz w:val="28"/>
          <w:szCs w:val="28"/>
          <w:rtl w:val="true"/>
          <w:lang w:bidi="fa-IR"/>
        </w:rPr>
        <w:t>.</w:t>
      </w:r>
    </w:p>
    <w:p>
      <w:pPr>
        <w:pStyle w:val="Heading3"/>
        <w:numPr>
          <w:ilvl w:val="2"/>
          <w:numId w:val="1"/>
        </w:numPr>
        <w:rPr/>
      </w:pPr>
      <w:bookmarkStart w:id="827" w:name="__RefHeading___Toc1841197_2322387425"/>
      <w:bookmarkStart w:id="828" w:name="_Toc316"/>
      <w:bookmarkEnd w:id="827"/>
      <w:r>
        <w:rPr>
          <w:rtl w:val="true"/>
        </w:rPr>
        <w:t>کراهة قراءة القرآن فی السجود</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قراءة القرآن فی السجود کما کان یکره</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الکراهة فی المشبّه به آکد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الرکوع</w:t>
      </w:r>
      <w:r>
        <w:rPr>
          <w:rFonts w:eastAsia="IRNazanin" w:cs="IRNazanin"/>
          <w:color w:val="111111"/>
          <w:sz w:val="28"/>
          <w:szCs w:val="28"/>
          <w:rtl w:val="true"/>
          <w:lang w:bidi="fa-IR"/>
        </w:rPr>
        <w:t>.</w:t>
      </w:r>
    </w:p>
    <w:p>
      <w:pPr>
        <w:pStyle w:val="Heading3"/>
        <w:numPr>
          <w:ilvl w:val="2"/>
          <w:numId w:val="1"/>
        </w:numPr>
        <w:rPr/>
      </w:pPr>
      <w:bookmarkStart w:id="829" w:name="__RefHeading___Toc1841199_2322387425"/>
      <w:bookmarkStart w:id="830" w:name="_Toc317"/>
      <w:bookmarkEnd w:id="829"/>
      <w:r>
        <w:rPr>
          <w:rtl w:val="true"/>
        </w:rPr>
        <w:t>حکم ترک جلسة الاستراحة</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990"/>
      </w:r>
      <w:r>
        <w:rPr>
          <w:rFonts w:ascii="IRNazanin" w:hAnsi="IRNazanin" w:eastAsia="IRNazanin"/>
          <w:color w:val="111111"/>
          <w:sz w:val="28"/>
          <w:sz w:val="28"/>
          <w:szCs w:val="28"/>
          <w:rtl w:val="true"/>
          <w:lang w:bidi="fa-IR"/>
        </w:rPr>
        <w:t>عدم ترک</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احتیاطاً 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لا یبعد عدم وجوبه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جلسة</w:t>
      </w:r>
    </w:p>
    <w:p>
      <w:pPr>
        <w:pStyle w:val="BookText"/>
        <w:rPr/>
      </w:pPr>
      <w:r>
        <w:rPr>
          <w:rFonts w:ascii="Amiri" w:hAnsi="Amiri" w:eastAsia="Amiri" w:cs="Amiri"/>
          <w:color w:val="111111"/>
          <w:sz w:val="28"/>
          <w:sz w:val="28"/>
          <w:szCs w:val="28"/>
          <w:rtl w:val="true"/>
          <w:lang w:bidi="ar-SA"/>
        </w:rPr>
        <w:t>الاستراحة</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وجوباً الإتیان بجلسة الاستراحة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 الجلوس بعد السجدة الثانیة فی الرکعة الاُولی، والثالثة ممّا لا تشهّد فیه، بل وجوبها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نعم، هو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الوجوب إشکال، ولا یترک الاحتیاط بالإتیان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 بل لا یبعد القول بمجرد الاستحباب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عدمه، فلو نسیها ـ کما فی المسألة الآتیة ـ لایرجع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نعم، هو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استحبابها، کما علیه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عدم الوجوب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هو أحوط، بل الأظهر استحبابها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القوّة منع، نعم، هو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1" w:name="pg13278_326641"/>
    </w:p>
    <w:p>
      <w:pPr>
        <w:pStyle w:val="Heading3"/>
        <w:numPr>
          <w:ilvl w:val="2"/>
          <w:numId w:val="1"/>
        </w:numPr>
        <w:rPr/>
      </w:pPr>
      <w:bookmarkStart w:id="832" w:name="__RefHeading___Toc1841201_2322387425"/>
      <w:bookmarkStart w:id="833" w:name="_Toc318"/>
      <w:bookmarkEnd w:id="831"/>
      <w:bookmarkEnd w:id="832"/>
      <w:r>
        <w:rPr>
          <w:rtl w:val="true"/>
        </w:rPr>
        <w:t>حکم ما لو نسی جلسة الاستراحة</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نسیها رجع</w:t>
      </w:r>
      <w:r>
        <w:rPr>
          <w:rStyle w:val="FootnoteAnchor"/>
          <w:rtl w:val="true"/>
        </w:rPr>
        <w:footnoteReference w:id="993"/>
      </w:r>
      <w:r>
        <w:rPr>
          <w:rFonts w:ascii="IRNazanin" w:hAnsi="IRNazanin" w:eastAsia="IRNazanin"/>
          <w:color w:val="111111"/>
          <w:sz w:val="28"/>
          <w:sz w:val="28"/>
          <w:szCs w:val="28"/>
          <w:rtl w:val="true"/>
          <w:lang w:bidi="fa-IR"/>
        </w:rPr>
        <w:t>إلیها</w:t>
      </w:r>
      <w:r>
        <w:rPr>
          <w:rStyle w:val="FootnoteAnchor"/>
          <w:rtl w:val="true"/>
        </w:rPr>
        <w:footnoteReference w:id="9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یرجع بعد القیام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قوّاه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ویأتی بما أتی به أوّلاً من القراءة أو القنوت أو التسبیحات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ثمّ یأتی بما أتی به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ترک الرجوع لتدارکها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فرض الإشکال فی الوجوب، بل نفی البُعد عن الاستحباب لا یُبقی مجال للرجوع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عدمه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ممّا تقدّم فی المسألة السابقة عدم وجوب الرجوع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13278_326642"/>
    </w:p>
    <w:p>
      <w:pPr>
        <w:pStyle w:val="Heading2"/>
        <w:numPr>
          <w:ilvl w:val="1"/>
          <w:numId w:val="1"/>
        </w:numPr>
        <w:rPr/>
      </w:pPr>
      <w:bookmarkStart w:id="835" w:name="__RefHeading___Toc1841203_2322387425"/>
      <w:bookmarkStart w:id="836" w:name="_Toc319"/>
      <w:bookmarkEnd w:id="834"/>
      <w:bookmarkEnd w:id="835"/>
      <w:r>
        <w:rPr>
          <w:rtl w:val="true"/>
        </w:rPr>
        <w:t>فصل فی سائر أقسام السجود</w:t>
      </w:r>
      <w:bookmarkEnd w:id="836"/>
    </w:p>
    <w:p>
      <w:pPr>
        <w:pStyle w:val="Heading3"/>
        <w:numPr>
          <w:ilvl w:val="2"/>
          <w:numId w:val="1"/>
        </w:numPr>
        <w:rPr/>
      </w:pPr>
      <w:bookmarkStart w:id="837" w:name="__RefHeading___Toc1841205_2322387425"/>
      <w:bookmarkStart w:id="838" w:name="_Toc320"/>
      <w:bookmarkEnd w:id="837"/>
      <w:r>
        <w:rPr>
          <w:rtl w:val="true"/>
        </w:rPr>
        <w:t>السجود للسهو</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السجود للسهو، کما سیأتی مفصّلاً فی أحکام الخَلَل</w:t>
      </w:r>
      <w:r>
        <w:rPr>
          <w:rFonts w:eastAsia="IRNazanin" w:cs="IRNazanin"/>
          <w:color w:val="111111"/>
          <w:sz w:val="28"/>
          <w:szCs w:val="28"/>
          <w:rtl w:val="true"/>
          <w:lang w:bidi="fa-IR"/>
        </w:rPr>
        <w:t>.</w:t>
      </w:r>
    </w:p>
    <w:p>
      <w:pPr>
        <w:pStyle w:val="Heading3"/>
        <w:numPr>
          <w:ilvl w:val="2"/>
          <w:numId w:val="1"/>
        </w:numPr>
        <w:rPr/>
      </w:pPr>
      <w:bookmarkStart w:id="839" w:name="__RefHeading___Toc1841207_2322387425"/>
      <w:bookmarkStart w:id="840" w:name="_Toc321"/>
      <w:bookmarkEnd w:id="839"/>
      <w:r>
        <w:rPr>
          <w:rtl w:val="true"/>
        </w:rPr>
        <w:t>أحکام السجود لآیات العزائم</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السجود علی من قرأ إحدی آیاته الأربع فی السور الأربع،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 تنزیل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وحآم فصّلت عندقوله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والنجم، والعَلَق، وهی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ختمهما، وکذا یجب علی المستمع لها، بل السامع</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الاستحباب فی السامع 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وجوبه علیه، نعم، لا ینبغی ترکه إلاّ إذا کان فی حال الصلاة فیؤخّره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حقّ غیر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الأظهریّة غیر ثابتة، بل لعلّ الاستحباب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وفی العدم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الأحوط، والأقوی الاستحباب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الأظهریة تأمّل، نعم، لا یُترک الاحتیاط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عدم وجوبه علی السامع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مصلّیاً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وجوبها علی السامع، نعم، الأحوط عدم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استحبابه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والأظهر الاستحباب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الأفضل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 السماع عدم الوجوب، لکن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والظاهر عدم الوجوب بالسماع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زین الدین،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أظهریّة الوجوب لم تثبت لو لم ترجّح أظهریّة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وفی العدم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علی السامع، بل هو مستحبّ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السامع علی الأحوط وجوباً إذا لم یکن فی حال الصلاة، فإن کان فی حال الصلاة أومأ إلی السجود وسجد بعد الصلاة علی الأحوط، والأولی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وجوبه علیه منع، نعم، هو أحوط، ومنه یظهر الحال فی الفروع المترتّبة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فی أحد عشر موضعاً</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الأعراف</w:t>
      </w:r>
      <w:r>
        <w:rPr>
          <w:rStyle w:val="FootnoteAnchor"/>
          <w:rtl w:val="true"/>
        </w:rPr>
        <w:footnoteReference w:id="997"/>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یَسْجُدُون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الرعد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وظِلالُهُمْ بِالغُدُوِّ وَالآصال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النحل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وَیَفْعَلُونَ ما یُوءْمَرُون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بنی إسرائیل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وَیَزیدَهُم خُشُوعاً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مریم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وَخَرّوا سُجّداً وَبُکِیّاً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سورة الحجّ فی موضعین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یَفْعَلُ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إفْعَلُوا </w:t>
      </w:r>
    </w:p>
    <w:p>
      <w:pPr>
        <w:pStyle w:val="BookText"/>
        <w:rPr/>
      </w:pP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الفرقان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وزادَهُمْ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النمل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صآ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 راکِعاً وَأناب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الانشقاق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الأولی</w:t>
      </w:r>
      <w:r>
        <w:rPr>
          <w:rStyle w:val="FootnoteAnchor"/>
          <w:rtl w:val="true"/>
        </w:rPr>
        <w:footnoteReference w:id="998"/>
      </w:r>
      <w:r>
        <w:rPr>
          <w:rFonts w:ascii="IRNazanin" w:hAnsi="IRNazanin" w:eastAsia="IRNazanin"/>
          <w:color w:val="111111"/>
          <w:sz w:val="28"/>
          <w:sz w:val="28"/>
          <w:szCs w:val="28"/>
          <w:rtl w:val="true"/>
          <w:lang w:bidi="fa-IR"/>
        </w:rPr>
        <w:t>السجود عند کلّ آیة فیها أمر بالسجود</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الوجوب والاستحباب بالقارئ والمستمع والسامع</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المسألة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للآیات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احتیاط، کما عرفت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یجب علی من کتبها أو تصوّرها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بالخطور القهری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شاهدها مکتوبة أو أخطرها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مجموع الآیة، فلا یجب</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أحوط، خصوصاً لفظها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بقراءة بعضها ولو لفظ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السجود بقراءة أوامره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السجود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والأحوط أن یسجد إذا قرأه أو استمعه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السجدة فوریّ فلا یجوز التأخیر، نعم، لو نسیها أتی بها إذا تذکّر، بل وکذلک</w:t>
      </w:r>
      <w:r>
        <w:rPr>
          <w:rStyle w:val="FootnoteAnchor"/>
          <w:rtl w:val="true"/>
        </w:rPr>
        <w:footnoteReference w:id="1002"/>
      </w:r>
      <w:r>
        <w:rPr>
          <w:rFonts w:ascii="IRNazanin" w:hAnsi="IRNazanin" w:eastAsia="IRNazanin"/>
          <w:color w:val="111111"/>
          <w:sz w:val="28"/>
          <w:sz w:val="28"/>
          <w:szCs w:val="28"/>
          <w:rtl w:val="true"/>
          <w:lang w:bidi="fa-IR"/>
        </w:rPr>
        <w:t>لو ترکها عصیاناً</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بعض الآیة وسمع بعضها الآخر فالأحوط</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بالسجدة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قرأها غلطاً أو سمعها ممّن قرأها غلطاً فالأحوط</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السجدة</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إذا صدق عرفاً أنّه قرأ الآیة المعیّنة، وإذا لم یصدق للتغیّر الکثیر فالاحتیاط غیر لازم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یتکرّر السجود</w:t>
      </w:r>
      <w:r>
        <w:rPr>
          <w:rStyle w:val="FootnoteAnchor"/>
          <w:rtl w:val="true"/>
        </w:rPr>
        <w:footnoteReference w:id="1007"/>
      </w:r>
      <w:r>
        <w:rPr>
          <w:rFonts w:ascii="IRNazanin" w:hAnsi="IRNazanin" w:eastAsia="IRNazanin"/>
          <w:color w:val="111111"/>
          <w:sz w:val="28"/>
          <w:sz w:val="28"/>
          <w:szCs w:val="28"/>
          <w:rtl w:val="true"/>
          <w:lang w:bidi="fa-IR"/>
        </w:rPr>
        <w:t>مع تکرّر القراءة</w:t>
      </w:r>
      <w:r>
        <w:rPr>
          <w:rStyle w:val="FootnoteAnchor"/>
          <w:rtl w:val="true"/>
        </w:rPr>
        <w:footnoteReference w:id="10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 الموجب فسجد ثمّ تحقّق فرد آخر لا إشکال فی وجوبها ثانیاً، وأمّا إذا أخّر السجدة وتحقّقت أفراد من الموجب من دون تخلّل فعلها فلا یبعد القول بکفایة سجدة واحدة، بل هو الأظهر، والأحوط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السماع أو الاختلاف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وإن کان فی زمان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قرأها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الاکتفاء فی هذه الصورة بسجدة واحدة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الاکتفاء بسجدة واحدة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وإن کان الظاهر خلافه ، کما أنّ الظاهر التکرّر فی الفرض الآتی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قرأها</w:t>
      </w:r>
    </w:p>
    <w:p>
      <w:pPr>
        <w:pStyle w:val="BookText"/>
        <w:rPr/>
      </w:pPr>
      <w:r>
        <w:rPr>
          <w:rFonts w:ascii="IRNazanin" w:hAnsi="IRNazanin" w:eastAsia="IRNazanin"/>
          <w:color w:val="111111"/>
          <w:sz w:val="28"/>
          <w:sz w:val="28"/>
          <w:szCs w:val="28"/>
          <w:rtl w:val="true"/>
          <w:lang w:bidi="fa-IR"/>
        </w:rPr>
        <w:t>شخص حین قراءته علی الأحوط</w:t>
      </w:r>
      <w:r>
        <w:rPr>
          <w:rStyle w:val="FootnoteAnchor"/>
          <w:rtl w:val="true"/>
        </w:rPr>
        <w:footnoteReference w:id="10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التکرار مع الاستماع دفعةً من جماعة لا یخلو من قوّة، کما أنّ الأقوی فی الفرض الأخیر هو التکرّر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سیّما فی الصورة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کفایة السجود الواحد لا یخلو من 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الصورة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کفایة سجدة واحدة فی الفرض الأول، ولزوم التکرار فی الفرض الثانی بشرط الاستماع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وجوبها بین السماع من المکلّف أو غیره، کالصغیر والمجنون</w:t>
      </w:r>
      <w:r>
        <w:rPr>
          <w:rStyle w:val="FootnoteAnchor"/>
          <w:rtl w:val="true"/>
        </w:rPr>
        <w:footnoteReference w:id="1010"/>
      </w:r>
      <w:r>
        <w:rPr>
          <w:rFonts w:ascii="IRNazanin" w:hAnsi="IRNazanin" w:eastAsia="IRNazanin"/>
          <w:color w:val="111111"/>
          <w:sz w:val="28"/>
          <w:sz w:val="28"/>
          <w:szCs w:val="28"/>
          <w:rtl w:val="true"/>
          <w:lang w:bidi="fa-IR"/>
        </w:rPr>
        <w:t>إذا کان قصدهما</w:t>
      </w:r>
      <w:r>
        <w:rPr>
          <w:rStyle w:val="FootnoteAnchor"/>
          <w:rtl w:val="true"/>
        </w:rPr>
        <w:footnoteReference w:id="10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لهذا القید مع الصدق العرضی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إذا صدق أنّها آیة قرآنیة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الإطلاق بشرط صدق قراءة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سمعها</w:t>
      </w:r>
      <w:r>
        <w:rPr>
          <w:rStyle w:val="FootnoteAnchor"/>
          <w:rtl w:val="true"/>
        </w:rPr>
        <w:footnoteReference w:id="1012"/>
      </w:r>
      <w:r>
        <w:rPr>
          <w:rFonts w:ascii="IRNazanin" w:hAnsi="IRNazanin" w:eastAsia="IRNazanin"/>
          <w:color w:val="111111"/>
          <w:sz w:val="28"/>
          <w:sz w:val="28"/>
          <w:szCs w:val="28"/>
          <w:rtl w:val="true"/>
          <w:lang w:bidi="fa-IR"/>
        </w:rPr>
        <w:t xml:space="preserve">فی أثناء </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1013"/>
      </w:r>
      <w:r>
        <w:rPr>
          <w:rFonts w:ascii="IRNazanin" w:hAnsi="IRNazanin" w:eastAsia="IRNazanin"/>
          <w:color w:val="111111"/>
          <w:sz w:val="28"/>
          <w:sz w:val="28"/>
          <w:szCs w:val="28"/>
          <w:rtl w:val="true"/>
          <w:lang w:bidi="fa-IR"/>
        </w:rPr>
        <w:t>أو قرأها</w:t>
      </w:r>
      <w:r>
        <w:rPr>
          <w:rStyle w:val="FootnoteAnchor"/>
          <w:rtl w:val="true"/>
        </w:rPr>
        <w:footnoteReference w:id="10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القارئ یسجد فتبطل صلاته، وإن عصی أو سها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سهواً، أمّا لو قرأها عمداً فتقدّم أنّه مبطل للصلاة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اُرید بذلک القراءة سهواً، وأمّا إذا کانت عمداً فتبطل الصلاة علی الأحوط عندنا، وجزماً عند الماتن قدس‌سره ،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فیه فی فصل القراءة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أومأ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قرأ تجب السجدة بمقتضی النصّ، فتبطل صلاته، نعم، لو عصی ولم یسجد احتاط بالسجود بعد الصلاة، وأمّا لو سمع أومأ للسجود، ولا وجه للسجدة والإعادة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بل ولقطع الصلاة والإتیان بالسجدة فوراً وجه قویّ؛ لإطلاق دلیل وجوب السجدة وعدم ثبوت بدلیّة الإیماء، خصوصاً بعد التشکیک فی حرمة الصلاة حتّی فی مثل المقام، مع عموم العلّة بکونها زیادة فی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القراءة،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وهکذا فی الفرع الآتی من الاکتفاء بالإیماء بتوهّم حرمة قطع الصلاة، ومبطلیّة السجدة للصلاة، فینتهی إلی بدلیّة الإیماء للسجدة الواجبة بفحوی ما دلّ علی البدلیّة فی کلّ ما اضطرّ إلی ترکها، ولکن قد عرفت عدم تمامیّة المقدّمتین، فیقوی حینئذٍ احتمال قطع الصلاة والإتیان بالسجدة فوراً، وإن کان احتمال بقائه فی السجدة بقصدها أیضاً وجه؛ للشکّ فی شمول دلیل المبطلیّة لمثله، فالأحوط حینئذٍالجمع بین تمام المحتملات،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الفوریة للسجدة حال الصلاة حتّی یکون الواجب الإیماء محلّ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القراءة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یسجد القارئ وتبطل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التفصیل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حکمه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وسجد بعد</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10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السامع یومئ ویتمّ، ولیس علیه بعد ذلک سجود ولا إعادة، وإذا لم یکن منصتاً فلا إیماء علیه ولا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وأمّا الإعادة فلا وجه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الکوه کَمَرِی،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القول بعدم وجوب 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لزوم 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تجب الإعادة، وما ذکره هنا منافٍ لِما سبق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وجوب 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الاحتیاج إلی السجود بعد الصلاة بعد الإیماء فیها، وکذلک لا تجب الاعادة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حاجة إلی 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حقّ السامع المنصت، وأمّا فی حقّ غیره فهو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الأولی ، هذا فی الصلاة الواجبة ، وأمّا المستحبّة فیسجد حینها ولا تبطل الصلاة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شیء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سمعها أو قرأها حال السجود</w:t>
      </w:r>
      <w:r>
        <w:rPr>
          <w:rStyle w:val="FootnoteAnchor"/>
          <w:rtl w:val="true"/>
        </w:rPr>
        <w:footnoteReference w:id="10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قرأ آیة السجدة حال السجود فی غیر الصلاة أو سمعها أو استعملها وجب علیه رفع رأسه من السجود ثمّ یسجد مرّةً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رفع الرأس منه ثمّ الوضع، ولا یکفی البقاء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بقصده، بل ولا الجرّ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مکان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وجوب نیّته حال الجلوس أو القیام لیکون الهویّ إلیه</w:t>
      </w:r>
      <w:r>
        <w:rPr>
          <w:rStyle w:val="FootnoteAnchor"/>
          <w:rtl w:val="true"/>
        </w:rPr>
        <w:footnoteReference w:id="1017"/>
      </w:r>
      <w:r>
        <w:rPr>
          <w:rFonts w:ascii="IRNazanin" w:hAnsi="IRNazanin" w:eastAsia="IRNazanin"/>
          <w:color w:val="111111"/>
          <w:sz w:val="28"/>
          <w:sz w:val="28"/>
          <w:szCs w:val="28"/>
          <w:rtl w:val="true"/>
          <w:lang w:bidi="fa-IR"/>
        </w:rPr>
        <w:t>بنیّته، بل یکفی نیّته قبل وضع الجبهة، بل مقارناً</w:t>
      </w:r>
      <w:r>
        <w:rPr>
          <w:rStyle w:val="FootnoteAnchor"/>
          <w:rtl w:val="true"/>
        </w:rPr>
        <w:footnoteReference w:id="10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تکفی المقارنة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اعتبار حال الهویّ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10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تکفی المقارنة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الشاهرودی،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کفایة المقارنة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تکفی المقارنة، بل لابدّ من تقدّمها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تکفی المقارنة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ینشأ الوضع عن 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صدق وضع الجبهة بنیّة السجود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المقارنة له إشکال، بل الظاهر لزوم تقدّمها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یصدر السجود منه 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کفایة المقارنة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 التقدّم، ولا تکفی المقارنة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التقدیم العرفی بحیث یصدق عرفاً أنّه نوی السجدة فوضع الجبهة، لا العکس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الوضع عن نیّته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کفایة المقارنة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یعتبر فی وجوب السجدة کون القراءة بقصد القرآنیّة</w:t>
      </w:r>
      <w:r>
        <w:rPr>
          <w:rStyle w:val="FootnoteAnchor"/>
          <w:rtl w:val="true"/>
        </w:rPr>
        <w:footnoteReference w:id="10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المعتبر عرفاً فی صدق القراءة فی القرآن وغیره اتّباع المتکلّم صورةً معدّةً من الکلمات المنسّقة علی نحوٍ خاصٍّ وترتیبٍ معیّنٍ فی مرحلةٍ سابقةٍ علی التکلّم، ولا یعتبر فیها قصد الحکایة، ولا معرفة کونها من القرآن مثلاً ، ومنه یظهر وجوب السجدة بالاستماع إلی قراءة النائم والصبی، نعم، لا تجب بالاستماع إلیها من صندوق حبس الصوت ونحوه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تکلّم شخص بالآیة لا بقصد القرآنیّة</w:t>
      </w:r>
    </w:p>
    <w:p>
      <w:pPr>
        <w:pStyle w:val="BookText"/>
        <w:rPr/>
      </w:pPr>
      <w:r>
        <w:rPr>
          <w:rFonts w:ascii="IRNazanin" w:hAnsi="IRNazanin" w:eastAsia="IRNazanin"/>
          <w:color w:val="111111"/>
          <w:sz w:val="28"/>
          <w:sz w:val="28"/>
          <w:szCs w:val="28"/>
          <w:rtl w:val="true"/>
          <w:lang w:bidi="fa-IR"/>
        </w:rPr>
        <w:t>لا یجب السجود</w:t>
      </w:r>
      <w:r>
        <w:rPr>
          <w:rStyle w:val="FootnoteAnchor"/>
          <w:rtl w:val="true"/>
        </w:rPr>
        <w:footnoteReference w:id="10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الوجوب مع صدق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فی وجه، إلاّ إذا قصد عدم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تکلّم شخص بالآیة لا بقصد القرآنیّة لا یجب السجود بسماعها، وإن کان الأحوط إتیان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بسماعه، وکذا لو سمعها ممّن قرأها حال النوم أو سمعها من صبیٍّ غیر ممیّز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وکذا لو سمعها من صندوق حبس الصوت،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الأخیرتین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الحکیم، المیلانی، أحمد الخونساری،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خصوصاً فی الأوّل، وأمّا من الرادیو فواجب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بالنسبة إلی الصبیّ ومَن لا یقصد القراءة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صدق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الظاهر، سیّما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فی مثل السماع من التلفزیون والرادیو إذا کان القارئ یقرؤها فی ذلک الحال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841" w:name="pg13278_326653"/>
    </w:p>
    <w:p>
      <w:pPr>
        <w:pStyle w:val="BookText"/>
        <w:rPr/>
      </w:pPr>
      <w:bookmarkEnd w:id="841"/>
      <w:r>
        <w:rPr>
          <w:rFonts w:ascii="IRNazanin" w:hAnsi="IRNazanin" w:eastAsia="IRNazanin"/>
          <w:color w:val="111111"/>
          <w:sz w:val="28"/>
          <w:sz w:val="28"/>
          <w:szCs w:val="28"/>
          <w:rtl w:val="true"/>
          <w:lang w:bidi="fa-IR"/>
        </w:rPr>
        <w:t>السجود</w:t>
      </w:r>
      <w:r>
        <w:rPr>
          <w:rStyle w:val="FootnoteAnchor"/>
          <w:rtl w:val="true"/>
        </w:rPr>
        <w:footnoteReference w:id="10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السجود فی صورة صدق الآیة القرآنیة، والصدق خصوصاً فی بعض الصور جلیّ، سیّما الاُولی والرابعة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البروجردی، مهدی الشیرازی،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اختلاف المراتب فیها، بل لا یُترک الاحتیاط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لا سیّما فی بعضها، أمّا استماعها بواسطة الهاتف أو المذیاع فیجب به السجود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 هذا الاحتیاط، خصوصاً فی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السماع تمییز الحروف والکلمات، فمع سماع الهَمهَمة لا یجب السجود وإن کان أحوط</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سمع آیة السجدة من الصبیّ الغیر ممیّز أو ممّن لم یقصد قراءة القرآن، أو سمعها من المکبّرة أو المسجِّلة یجب علیه السجود 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السجود لقراءة ترجمتها أو سماعها وإن کان المقصود ترجمة الآیة</w:t>
      </w:r>
      <w:r>
        <w:rPr>
          <w:rFonts w:eastAsia="IRNazanin" w:cs="IRNazanin"/>
          <w:color w:val="111111"/>
          <w:sz w:val="28"/>
          <w:szCs w:val="28"/>
          <w:rtl w:val="true"/>
          <w:lang w:bidi="fa-IR"/>
        </w:rPr>
        <w:t>.</w:t>
      </w:r>
    </w:p>
    <w:p>
      <w:pPr>
        <w:pStyle w:val="Heading3"/>
        <w:numPr>
          <w:ilvl w:val="2"/>
          <w:numId w:val="1"/>
        </w:numPr>
        <w:rPr/>
      </w:pPr>
      <w:bookmarkStart w:id="842" w:name="__RefHeading___Toc1841209_2322387425"/>
      <w:bookmarkStart w:id="843" w:name="_Toc322"/>
      <w:bookmarkEnd w:id="842"/>
      <w:r>
        <w:rPr>
          <w:rtl w:val="true"/>
        </w:rPr>
        <w:t>فی ما یعتبر فی هذا السجود</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لا یُعتبر فی هذا السجود بعد تحقّق مسمّاه ، والنیّة شیء آخر ، نعم ، الأحوط أن یکون علی ما یصحّ السجود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السجود بعد تحقّق مسمّاه</w:t>
      </w:r>
    </w:p>
    <w:p>
      <w:pPr>
        <w:pStyle w:val="BookText"/>
        <w:rPr/>
      </w:pPr>
      <w:r>
        <w:rPr>
          <w:rFonts w:ascii="Amiri" w:hAnsi="Amiri" w:eastAsia="Amiri" w:cs="Amiri"/>
          <w:color w:val="111111"/>
          <w:sz w:val="28"/>
          <w:sz w:val="28"/>
          <w:szCs w:val="28"/>
          <w:rtl w:val="true"/>
          <w:lang w:bidi="ar-SA"/>
        </w:rPr>
        <w:t>مضافاً إلی النیّة إباحة</w:t>
      </w:r>
      <w:r>
        <w:rPr>
          <w:rStyle w:val="FootnoteAnchor"/>
          <w:rtl w:val="true"/>
        </w:rPr>
        <w:footnoteReference w:id="1025"/>
      </w:r>
      <w:r>
        <w:rPr>
          <w:rFonts w:ascii="IRNazanin" w:hAnsi="IRNazanin" w:eastAsia="IRNazanin"/>
          <w:color w:val="111111"/>
          <w:sz w:val="28"/>
          <w:sz w:val="28"/>
          <w:szCs w:val="28"/>
          <w:rtl w:val="true"/>
          <w:lang w:bidi="fa-IR"/>
        </w:rPr>
        <w:t>المکان</w:t>
      </w:r>
      <w:r>
        <w:rPr>
          <w:rStyle w:val="FootnoteAnchor"/>
          <w:rtl w:val="true"/>
        </w:rPr>
        <w:footnoteReference w:id="10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کلامٍ مرّ فی مکان المصلّی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وعدم علوِّ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ینافی صدق السجود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أزید من مسمّی السجدة إشکال؛ لعدم الدلیل، فیکفی فی نفیها الأصل لولا الإطلاقات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السجود،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الاکتفاء بصدق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 وفی ما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وکذا فی وضع سائر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یُترک الاحتیاط بوضع الجبهة علی ما یصحّ السجود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یزید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أربعة أصابع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بما لا یصدق معه السجود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اعتباره،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بما لا یصدق معه السجدة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بما ینتفی به صدق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أجدره بالرعایة فیه وفی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سائر المساجد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الجبهة علی ما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اعتبار عدم کونه ملبوساً ومأکولاً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فیه الطهارة من الحدث ولا من الخبث، فتسجد الحائض وجوباً عند سببه، وندباً عند سبب الندب، وکذا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یعتبر فیه الاستقبال ولا طهارة موضع الجبهة، ولا ستر العورة فضلاً عن صفات الساتر من الطهارة وعدم کونه حریراً أو ذهباً أو جلد میتة، نعم، 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اعتباره؛ إذ السجود لا یُعدّ تصرّفاً فی اللباس ولو فی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یکون لباسه</w:t>
      </w:r>
      <w:bookmarkStart w:id="844" w:name="pg13278_326656"/>
    </w:p>
    <w:p>
      <w:pPr>
        <w:pStyle w:val="BookText"/>
        <w:rPr/>
      </w:pPr>
      <w:bookmarkEnd w:id="844"/>
      <w:r>
        <w:rPr>
          <w:rFonts w:ascii="Amiri" w:hAnsi="Amiri" w:eastAsia="Amiri" w:cs="Amiri"/>
          <w:color w:val="111111"/>
          <w:sz w:val="28"/>
          <w:sz w:val="28"/>
          <w:szCs w:val="28"/>
          <w:rtl w:val="true"/>
          <w:lang w:bidi="ar-SA"/>
        </w:rPr>
        <w:t>مغصوباً</w:t>
      </w:r>
      <w:r>
        <w:rPr>
          <w:rStyle w:val="FootnoteAnchor"/>
          <w:rtl w:val="true"/>
        </w:rPr>
        <w:footnoteReference w:id="1028"/>
      </w:r>
      <w:r>
        <w:rPr>
          <w:rFonts w:ascii="IRNazanin" w:hAnsi="IRNazanin" w:eastAsia="IRNazanin"/>
          <w:color w:val="111111"/>
          <w:sz w:val="28"/>
          <w:sz w:val="28"/>
          <w:szCs w:val="28"/>
          <w:rtl w:val="true"/>
          <w:lang w:bidi="fa-IR"/>
        </w:rPr>
        <w:t>إذا کان السجود</w:t>
      </w:r>
      <w:r>
        <w:rPr>
          <w:rStyle w:val="FootnoteAnchor"/>
          <w:rtl w:val="true"/>
        </w:rPr>
        <w:footnoteReference w:id="1029"/>
      </w:r>
      <w:r>
        <w:rPr>
          <w:rFonts w:ascii="Amiri" w:hAnsi="Amiri" w:eastAsia="Amiri" w:cs="Amiri"/>
          <w:color w:val="111111"/>
          <w:sz w:val="28"/>
          <w:sz w:val="28"/>
          <w:szCs w:val="28"/>
          <w:rtl w:val="true"/>
          <w:lang w:bidi="ar-SA"/>
        </w:rPr>
        <w:t>یعدّ تصرّفاً</w:t>
      </w:r>
      <w:r>
        <w:rPr>
          <w:rStyle w:val="FootnoteAnchor"/>
          <w:rtl w:val="true"/>
        </w:rPr>
        <w:footnoteReference w:id="1030"/>
      </w:r>
      <w:r>
        <w:rPr>
          <w:rFonts w:ascii="IRNazanin" w:hAnsi="IRNazanin" w:eastAsia="IRNazanin"/>
          <w:color w:val="111111"/>
          <w:sz w:val="28"/>
          <w:sz w:val="28"/>
          <w:szCs w:val="28"/>
          <w:rtl w:val="true"/>
          <w:lang w:bidi="fa-IR"/>
        </w:rPr>
        <w:t>فیه</w:t>
      </w:r>
      <w:r>
        <w:rPr>
          <w:rStyle w:val="FootnoteAnchor"/>
          <w:rtl w:val="true"/>
        </w:rPr>
        <w:footnoteReference w:id="10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کون السجود تصرّفاً 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ولکنّه لا یُعدّ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1841211_2322387425"/>
      <w:bookmarkStart w:id="846" w:name="_Toc323"/>
      <w:bookmarkEnd w:id="845"/>
      <w:r>
        <w:rPr>
          <w:rtl w:val="true"/>
        </w:rPr>
        <w:t>فی ما لا یعتبر فی هذا السجود</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السجود تشهّد ولا تسلیم ولا تکبیر افتتاح، نعم، یستحبّ التکبیر للرفع منه، بل الأحوط</w:t>
      </w:r>
      <w:r>
        <w:rPr>
          <w:rStyle w:val="FootnoteAnchor"/>
          <w:rtl w:val="true"/>
        </w:rPr>
        <w:footnoteReference w:id="1032"/>
      </w:r>
      <w:r>
        <w:rPr>
          <w:rFonts w:ascii="IRNazanin" w:hAnsi="IRNazanin" w:eastAsia="IRNazanin"/>
          <w:color w:val="111111"/>
          <w:sz w:val="28"/>
          <w:sz w:val="28"/>
          <w:szCs w:val="28"/>
          <w:rtl w:val="true"/>
          <w:lang w:bidi="fa-IR"/>
        </w:rPr>
        <w:t>عدم</w:t>
      </w:r>
      <w:r>
        <w:rPr>
          <w:rStyle w:val="FootnoteAnchor"/>
          <w:rtl w:val="true"/>
        </w:rPr>
        <w:footnoteReference w:id="1033"/>
      </w:r>
      <w:r>
        <w:rPr>
          <w:rFonts w:ascii="IRNazanin" w:hAnsi="IRNazanin" w:eastAsia="IRNazanin"/>
          <w:color w:val="111111"/>
          <w:sz w:val="28"/>
          <w:sz w:val="28"/>
          <w:szCs w:val="28"/>
          <w:rtl w:val="true"/>
          <w:lang w:bidi="fa-IR"/>
        </w:rPr>
        <w:t>ترکه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1841213_2322387425"/>
      <w:bookmarkStart w:id="848" w:name="_Toc324"/>
      <w:bookmarkEnd w:id="847"/>
      <w:r>
        <w:rPr>
          <w:rtl w:val="true"/>
        </w:rPr>
        <w:t>فی ما یکتفی به فی هذا السجود</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فیه مجرّد السجود، فلا یجب</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أنّه یجب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ترک شیء من الذکر أو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وجوب الذکر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إلاّ أنّه لیس فیه شیء مؤقّت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الأحوط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ویکفی فی وظیفة الاستحباب کلّ ما کان، ولکنّ</w:t>
      </w:r>
      <w:bookmarkStart w:id="849" w:name="pg13278_326657"/>
    </w:p>
    <w:p>
      <w:pPr>
        <w:pStyle w:val="BookText"/>
        <w:rPr/>
      </w:pPr>
      <w:bookmarkEnd w:id="849"/>
      <w:r>
        <w:rPr>
          <w:rFonts w:ascii="IRNazanin" w:hAnsi="IRNazanin" w:eastAsia="IRNazanin"/>
          <w:color w:val="111111"/>
          <w:sz w:val="28"/>
          <w:sz w:val="28"/>
          <w:szCs w:val="28"/>
          <w:rtl w:val="true"/>
          <w:lang w:bidi="fa-IR"/>
        </w:rPr>
        <w:t>الأولی</w:t>
      </w:r>
      <w:r>
        <w:rPr>
          <w:rStyle w:val="FootnoteAnchor"/>
          <w:rtl w:val="true"/>
        </w:rPr>
        <w:footnoteReference w:id="1036"/>
      </w:r>
      <w:r>
        <w:rPr>
          <w:rFonts w:ascii="IRNazanin" w:hAnsi="IRNazanin" w:eastAsia="IRNazanin"/>
          <w:color w:val="111111"/>
          <w:sz w:val="28"/>
          <w:sz w:val="28"/>
          <w:szCs w:val="28"/>
          <w:rtl w:val="true"/>
          <w:lang w:bidi="fa-IR"/>
        </w:rPr>
        <w:t>أن یقول</w:t>
      </w:r>
      <w:r>
        <w:rPr>
          <w:rStyle w:val="FootnoteAnchor"/>
          <w:rtl w:val="true"/>
        </w:rPr>
        <w:footnoteReference w:id="10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 لک یا ربِّ تعبّداً ورِقّاً، لا مستکبراً عن عبادتک ولا مستنکفاً ولا مستعظماً، بل أنا عبد ذلیل خائف مستجیر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إیماناً وتصدیقاً، لا إله إلاّ اللّه عبودیّةً ورِقّاً، سجدتُ لک یاربِّ تعبّداً ورِقّاً، لا مستنکفاً ولا مستکبراً، بل أنا عبد ذلیل ضعیف خائف مستجیر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آمنّا بما کفروا، وعرفنا منک ما أنکروا، وأجبناک إلی ما دُعُوا، إلهی فالعفوَ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یقول ما قاله النبیّ صلی‌الله‌علیه‌و‌آله فی سجود سورة العلق</w:t>
      </w:r>
      <w:r>
        <w:rPr>
          <w:rStyle w:val="FootnoteAnchor"/>
          <w:rtl w:val="true"/>
        </w:rPr>
        <w:footnoteReference w:id="1038"/>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برضاک من سخطک، وبمعافاتک عن عقوبتک، وأعوذ بک منک، لا اُحصی ثناءً علیک، أنت کما أثنیت علی نفسک</w:t>
      </w:r>
      <w:r>
        <w:rPr>
          <w:rFonts w:eastAsia="IRNazanin" w:cs="IRNazanin"/>
          <w:color w:val="111111"/>
          <w:sz w:val="28"/>
          <w:szCs w:val="28"/>
          <w:rtl w:val="true"/>
          <w:lang w:bidi="fa-IR"/>
        </w:rPr>
        <w:t>».</w:t>
      </w:r>
    </w:p>
    <w:p>
      <w:pPr>
        <w:pStyle w:val="Heading3"/>
        <w:numPr>
          <w:ilvl w:val="2"/>
          <w:numId w:val="1"/>
        </w:numPr>
        <w:rPr/>
      </w:pPr>
      <w:bookmarkStart w:id="850" w:name="__RefHeading___Toc1841215_2322387425"/>
      <w:bookmarkStart w:id="851" w:name="_Toc325"/>
      <w:bookmarkEnd w:id="850"/>
      <w:r>
        <w:rPr>
          <w:rtl w:val="true"/>
        </w:rPr>
        <w:t>حکم ما لو سمع القراءة مکرراً و شک بین الأقل و الأکثر</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القراءة مکرّراً وشکّ بین الأقلّ والأکثر یجوز له الاکتفاء فی التکرار بالأقلِّ، نعم، لو علم العدد وشکّ فی الإتیان بین الأقلّ والأکثر وجب الاحتیاط بالبناء علی الأقلّ أیضاً</w:t>
      </w:r>
      <w:r>
        <w:rPr>
          <w:rFonts w:eastAsia="IRNazanin" w:cs="IRNazanin"/>
          <w:color w:val="111111"/>
          <w:sz w:val="28"/>
          <w:szCs w:val="28"/>
          <w:rtl w:val="true"/>
          <w:lang w:bidi="fa-IR"/>
        </w:rPr>
        <w:t>.</w:t>
      </w:r>
    </w:p>
    <w:p>
      <w:pPr>
        <w:pStyle w:val="Heading3"/>
        <w:numPr>
          <w:ilvl w:val="2"/>
          <w:numId w:val="1"/>
        </w:numPr>
        <w:rPr/>
      </w:pPr>
      <w:bookmarkStart w:id="852" w:name="__RefHeading___Toc1841217_2322387425"/>
      <w:bookmarkStart w:id="853" w:name="_Toc326"/>
      <w:bookmarkEnd w:id="852"/>
      <w:r>
        <w:rPr>
          <w:rtl w:val="true"/>
        </w:rPr>
        <w:t>کفایة رفع الرأس من السجدة فی صورة وجوب التکرار</w:t>
      </w:r>
      <w:bookmarkEnd w:id="85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وجوب التکرار یکفی فی صدق التعدّد رفع الجبهة</w:t>
      </w:r>
      <w:r>
        <w:rPr>
          <w:rStyle w:val="FootnoteAnchor"/>
          <w:rtl w:val="true"/>
        </w:rPr>
        <w:footnoteReference w:id="1039"/>
      </w:r>
      <w:r>
        <w:rPr>
          <w:rFonts w:ascii="IRNazanin" w:hAnsi="IRNazanin" w:eastAsia="IRNazanin"/>
          <w:color w:val="111111"/>
          <w:sz w:val="28"/>
          <w:sz w:val="28"/>
          <w:szCs w:val="28"/>
          <w:rtl w:val="true"/>
          <w:lang w:bidi="fa-IR"/>
        </w:rPr>
        <w:t>عن الأرض</w:t>
      </w:r>
      <w:r>
        <w:rPr>
          <w:rStyle w:val="FootnoteAnchor"/>
          <w:rtl w:val="true"/>
        </w:rPr>
        <w:footnoteReference w:id="1040"/>
      </w:r>
      <w:r>
        <w:rPr>
          <w:rFonts w:ascii="IRNazanin" w:hAnsi="IRNazanin" w:eastAsia="IRNazanin"/>
          <w:color w:val="111111"/>
          <w:sz w:val="28"/>
          <w:sz w:val="28"/>
          <w:szCs w:val="28"/>
          <w:rtl w:val="true"/>
          <w:lang w:bidi="fa-IR"/>
        </w:rPr>
        <w:t>، ثمّ الوضع للسجدة الاُخری، ولا یعتبر الجلوس ثمّ الوضع، بل ولا یعتبر رفع سائر المساجد، وإن کان أحوط</w:t>
      </w:r>
      <w:r>
        <w:rPr>
          <w:rFonts w:eastAsia="IRNazanin" w:cs="IRNazanin"/>
          <w:color w:val="111111"/>
          <w:sz w:val="28"/>
          <w:szCs w:val="28"/>
          <w:rtl w:val="true"/>
          <w:lang w:bidi="fa-IR"/>
        </w:rPr>
        <w:t xml:space="preserve">. </w:t>
      </w:r>
      <w:bookmarkStart w:id="854" w:name="pg13278_326658"/>
    </w:p>
    <w:p>
      <w:pPr>
        <w:pStyle w:val="Heading3"/>
        <w:numPr>
          <w:ilvl w:val="2"/>
          <w:numId w:val="1"/>
        </w:numPr>
        <w:rPr/>
      </w:pPr>
      <w:bookmarkStart w:id="855" w:name="__RefHeading___Toc1841219_2322387425"/>
      <w:bookmarkStart w:id="856" w:name="_Toc327"/>
      <w:bookmarkEnd w:id="854"/>
      <w:bookmarkEnd w:id="855"/>
      <w:r>
        <w:rPr>
          <w:rtl w:val="true"/>
        </w:rPr>
        <w:t>سجود الشکر، و بعض موارده</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السجود</w:t>
      </w:r>
      <w:r>
        <w:rPr>
          <w:rStyle w:val="FootnoteAnchor"/>
          <w:rtl w:val="true"/>
        </w:rPr>
        <w:footnoteReference w:id="10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فیه اُمور غیر ما أشار إلیه فی المتن، کإطالة السجود، وغیرها من الآداب المأثورة عن أهل البیت علیهم‌السلام قولاً وفعلاً، المودَعة فی کتب السُنن والآداب، ولیعلم أنّ الأولی الإتیان بهذا السجود فی بعض الصور المذکورة فی المتن، وکذا الأدعیة رجاءً استضعافاً للمستند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للشکر لتجدّد نعمة أو دفع نقمة أو تذکّرهما ممّا کان سابقاً، أو للتوفیق لأداء فریضة أو نافلة، أو فعل خیرٍ ولو مثل الصلح بین اثنین، فقد 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بعض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إذا صالح بین اثنین أتی بسجدة الشکر</w:t>
      </w:r>
      <w:r>
        <w:rPr>
          <w:rFonts w:eastAsia="IRNazanin" w:cs="IRNazanin"/>
          <w:color w:val="111111"/>
          <w:sz w:val="28"/>
          <w:szCs w:val="28"/>
          <w:rtl w:val="true"/>
          <w:lang w:bidi="fa-IR"/>
        </w:rPr>
        <w:t>.</w:t>
      </w:r>
    </w:p>
    <w:p>
      <w:pPr>
        <w:pStyle w:val="Heading3"/>
        <w:numPr>
          <w:ilvl w:val="2"/>
          <w:numId w:val="1"/>
        </w:numPr>
        <w:rPr/>
      </w:pPr>
      <w:bookmarkStart w:id="857" w:name="__RefHeading___Toc1841221_2322387425"/>
      <w:bookmarkStart w:id="858" w:name="_Toc328"/>
      <w:bookmarkEnd w:id="857"/>
      <w:r>
        <w:rPr>
          <w:rtl w:val="true"/>
        </w:rPr>
        <w:t>ما یکتفی به و ما یشترط و ما لا یشتر فی هذا السجود</w:t>
      </w:r>
      <w:bookmarkEnd w:id="858"/>
    </w:p>
    <w:p>
      <w:pPr>
        <w:pStyle w:val="BookText"/>
        <w:rPr/>
      </w:pPr>
      <w:r>
        <w:rPr>
          <w:rFonts w:ascii="IRNazanin" w:hAnsi="IRNazanin" w:eastAsia="IRNazanin"/>
          <w:color w:val="111111"/>
          <w:sz w:val="28"/>
          <w:sz w:val="28"/>
          <w:szCs w:val="28"/>
          <w:rtl w:val="true"/>
          <w:lang w:bidi="fa-IR"/>
        </w:rPr>
        <w:t>ویکفی</w:t>
      </w:r>
      <w:r>
        <w:rPr>
          <w:rStyle w:val="FootnoteAnchor"/>
          <w:rtl w:val="true"/>
        </w:rPr>
        <w:footnoteReference w:id="1042"/>
      </w:r>
      <w:r>
        <w:rPr>
          <w:rFonts w:ascii="IRNazanin" w:hAnsi="IRNazanin" w:eastAsia="IRNazanin"/>
          <w:color w:val="111111"/>
          <w:sz w:val="28"/>
          <w:sz w:val="28"/>
          <w:szCs w:val="28"/>
          <w:rtl w:val="true"/>
          <w:lang w:bidi="fa-IR"/>
        </w:rPr>
        <w:t>فی هذا السجود مجرّد وضع الجبهة مع النیّة، نعم، یعتبر</w:t>
      </w:r>
      <w:r>
        <w:rPr>
          <w:rStyle w:val="FootnoteAnchor"/>
          <w:rtl w:val="true"/>
        </w:rPr>
        <w:footnoteReference w:id="10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اعتبارها فیه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إباحة المکان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یشترط فیه الذکر، وإن کان یستحبّ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أو ثلاث مرّاتٍ، ویکفی مرّة واحدة أیضاً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الاقتصار علی سجدة واحدة، ویستحبّ مرّتان، ویتحقّق التعدّد بالفصل بینهما بتعفیر الخدّین أو الجبینین، أو الجمیع مقدّماً للأیمن منها علی الأیسر، ثمّ وضع الجبهة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فیه افتراش الذراعین، وإلصاق الجوءجوء والصدر والبطن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أیضاً أن یمسح موضع سجوده بیده ثمّ إمرارها علی وجهه ومقادیم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یقرأ فی سجوده ما ورد فی حسنة عبداللّه بن جندب، عن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 سجدة الشکر فقد اختلف أصحابنا فیه؟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اُشهدک واُشهد ملائکتَکَ وأنبیاءَکَ ورُسُلَک وجمیعَ خلقِکَ أنّک أنت اللّه‌ُ ربّی، والإسلامَ دینی، ومحمَّداً نبیّی، وعلیّاً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آخرهم ـ أئمّتی، بهم أتولّی، ومن أعدائهم أتبرَّأ، اللهمّ إنّی اُنشِدُک دم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إنّی اُنشدک بإیوائک</w:t>
      </w:r>
      <w:r>
        <w:rPr>
          <w:rStyle w:val="FootnoteAnchor"/>
          <w:rtl w:val="true"/>
        </w:rPr>
        <w:footnoteReference w:id="1044"/>
      </w:r>
      <w:r>
        <w:rPr>
          <w:rFonts w:ascii="Amiri" w:hAnsi="Amiri" w:eastAsia="Amiri" w:cs="Amiri"/>
          <w:color w:val="111111"/>
          <w:sz w:val="28"/>
          <w:sz w:val="28"/>
          <w:szCs w:val="28"/>
          <w:rtl w:val="true"/>
          <w:lang w:bidi="ar-SA"/>
        </w:rPr>
        <w:t>علی نفسک لأعدائک لَتَهلَکَنَّهم بأیدینا وأیدی الموءمنین، اللهمّ إنّی اُنشدک بإیوائک علی نفسک لأولیائک لَتَظفَرَنَّهم بعدوّک وعدوّهم أن تصلّی علی محمّدٍ وعلی المستحفظین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إنّی أسألک الیسر بعد </w:t>
      </w:r>
      <w:bookmarkStart w:id="859" w:name="pg13278_326660"/>
    </w:p>
    <w:p>
      <w:pPr>
        <w:pStyle w:val="BookText"/>
        <w:rPr/>
      </w:pPr>
      <w:bookmarkEnd w:id="859"/>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ضع خدّک الأیمن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کهفی حین تُعیِینی المذاهب، وتضیق علیَّ الأرض بما رحبت، یا بارئ خلقی رحمةً بی وقد کنتَ عن خلقی غنیّاً، صلِّ علی محمّدٍ وعلی المستحفظین من آل محمَّد، ثمّ ضع خدّک الأیسر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ویا معزّ کلّ ذلیل، قد وعزّتِک بلغ مجهودی</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یا کاشفَ الکُرَبِ العِظام، ثمّ تعود للسجود فتقول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ثمّ تسأل حاجتک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وضع الجبهة</w:t>
      </w:r>
      <w:r>
        <w:rPr>
          <w:rStyle w:val="FootnoteAnchor"/>
          <w:rtl w:val="true"/>
        </w:rPr>
        <w:footnoteReference w:id="10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السجدة أیضاً علی ما یصحّ السجود علیه، ووضع سائر المساجد علی الأرض، ولا بأس بالتکبیر قبلها وبعدها لا بقصد الخصوصیّة والورود</w:t>
      </w:r>
      <w:r>
        <w:rPr>
          <w:rFonts w:eastAsia="IRNazanin" w:cs="IRNazanin"/>
          <w:color w:val="111111"/>
          <w:sz w:val="28"/>
          <w:szCs w:val="28"/>
          <w:rtl w:val="true"/>
          <w:lang w:bidi="fa-IR"/>
        </w:rPr>
        <w:t>.</w:t>
      </w:r>
    </w:p>
    <w:p>
      <w:pPr>
        <w:pStyle w:val="Heading3"/>
        <w:numPr>
          <w:ilvl w:val="2"/>
          <w:numId w:val="1"/>
        </w:numPr>
        <w:rPr/>
      </w:pPr>
      <w:bookmarkStart w:id="860" w:name="__RefHeading___Toc1841223_2322387425"/>
      <w:bookmarkStart w:id="861" w:name="_Toc329"/>
      <w:bookmarkEnd w:id="860"/>
      <w:r>
        <w:rPr>
          <w:rtl w:val="true"/>
        </w:rPr>
        <w:t>فی ما لو وجد سبب سجود الشکر و کان له مانع من ذلک</w:t>
      </w:r>
      <w:bookmarkEnd w:id="86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سببَ سجود الشکر وکان له مانع من السجود علی الأرض فلیومئ برأسه، ویضع خدّه علی کفّه،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أحدکم نعمة اللّه عزّوجلّ فلیضع خدّه علی التراب شکراً للّه، وإن کان راکباً فلینزل فلیضع خدّه علی التراب، وإن لم یکن یقدر علی النزول للشهرة فلیضع خدّه علی قربوسه، فإن لم یقدر فلیضع خدّه علی کفّه، ثمّ لیحمد اللّه علی ما أنعم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سجدتَی الشکر،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862" w:name="pg13278_326661"/>
    </w:p>
    <w:p>
      <w:pPr>
        <w:pStyle w:val="BookText"/>
        <w:rPr/>
      </w:pPr>
      <w:bookmarkEnd w:id="862"/>
      <w:r>
        <w:rPr>
          <w:rFonts w:ascii="IRNazanin" w:hAnsi="IRNazanin" w:eastAsia="IRNazanin"/>
          <w:color w:val="111111"/>
          <w:sz w:val="28"/>
          <w:sz w:val="28"/>
          <w:szCs w:val="28"/>
          <w:rtl w:val="true"/>
          <w:lang w:bidi="fa-IR"/>
        </w:rPr>
        <w:t>ویظهر من هذا الخبر</w:t>
      </w:r>
      <w:r>
        <w:rPr>
          <w:rStyle w:val="FootnoteAnchor"/>
          <w:rtl w:val="true"/>
        </w:rPr>
        <w:footnoteReference w:id="1047"/>
      </w:r>
      <w:r>
        <w:rPr>
          <w:rFonts w:ascii="Amiri" w:hAnsi="Amiri" w:eastAsia="Amiri" w:cs="Amiri"/>
          <w:color w:val="111111"/>
          <w:sz w:val="28"/>
          <w:sz w:val="28"/>
          <w:szCs w:val="28"/>
          <w:rtl w:val="true"/>
          <w:lang w:bidi="ar-SA"/>
        </w:rPr>
        <w:t>تحقّق السجود بوضع الخدّ فقط من دون الجبهة</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841225_2322387425"/>
      <w:bookmarkStart w:id="864" w:name="_Toc330"/>
      <w:bookmarkEnd w:id="863"/>
      <w:r>
        <w:rPr>
          <w:rtl w:val="true"/>
        </w:rPr>
        <w:t>السجود بقصد التذلل و التعظیم لله تعالی، و ما یتعلق به</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السجود بقصد التذلّل</w:t>
      </w:r>
      <w:r>
        <w:rPr>
          <w:rStyle w:val="FootnoteAnchor"/>
          <w:rtl w:val="true"/>
        </w:rPr>
        <w:footnoteReference w:id="1048"/>
      </w:r>
      <w:r>
        <w:rPr>
          <w:rFonts w:ascii="IRNazanin" w:hAnsi="IRNazanin" w:eastAsia="IRNazanin"/>
          <w:color w:val="111111"/>
          <w:sz w:val="28"/>
          <w:sz w:val="28"/>
          <w:szCs w:val="28"/>
          <w:rtl w:val="true"/>
          <w:lang w:bidi="fa-IR"/>
        </w:rPr>
        <w:t>والتعظیم للّه تعالی، بل من حیث هو راجح</w:t>
      </w:r>
      <w:r>
        <w:rPr>
          <w:rStyle w:val="FootnoteAnchor"/>
          <w:rtl w:val="true"/>
        </w:rPr>
        <w:footnoteReference w:id="1049"/>
      </w:r>
      <w:r>
        <w:rPr>
          <w:rFonts w:ascii="IRNazanin" w:hAnsi="IRNazanin" w:eastAsia="IRNazanin"/>
          <w:color w:val="111111"/>
          <w:sz w:val="28"/>
          <w:sz w:val="28"/>
          <w:szCs w:val="28"/>
          <w:rtl w:val="true"/>
          <w:lang w:bidi="fa-IR"/>
        </w:rPr>
        <w:t>وعبادة، بل من أعظم العبادات وآکدها، بل ما عُبِدَ اللّه‌ُ بمثله، وما من</w:t>
      </w:r>
      <w:r>
        <w:rPr>
          <w:rStyle w:val="FootnoteAnchor"/>
          <w:rtl w:val="true"/>
        </w:rPr>
        <w:footnoteReference w:id="1050"/>
      </w:r>
      <w:r>
        <w:rPr>
          <w:rFonts w:ascii="Amiri" w:hAnsi="Amiri" w:eastAsia="Amiri" w:cs="Amiri"/>
          <w:color w:val="111111"/>
          <w:sz w:val="28"/>
          <w:sz w:val="28"/>
          <w:szCs w:val="28"/>
          <w:rtl w:val="true"/>
          <w:lang w:bidi="ar-SA"/>
        </w:rPr>
        <w:t>عملٍ أشدّ علی إبلیس من أن یری ابن آدم ساجداً؛ لأنّه اُمر بالسجود فعصی، وهذا اُمر به فأطاع ونجا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ما یکون العبد إلی اللّه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سنّة الأوّابین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ویستحبّ إطالته، فقد سجد آدم ثلاثة أیّام بلیالیها، وسجد علیّ بن الحسین علیهماالسلام علی حجارة خشنة، حتّی اُحصی علیه ألفُ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تعبّداً ورقّاً، لا إله إلاّ اللّه إیماناً وتصدیقاً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الصادق علیه‌السلام یسجد السجدة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بن جعفر علیهماالسلام یسجد کلّ یوم بعد طلوع الشمس إلی وقت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السجود،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865" w:name="pg13278_326662"/>
    </w:p>
    <w:p>
      <w:pPr>
        <w:pStyle w:val="Heading3"/>
        <w:numPr>
          <w:ilvl w:val="2"/>
          <w:numId w:val="1"/>
        </w:numPr>
        <w:rPr/>
      </w:pPr>
      <w:bookmarkStart w:id="866" w:name="__RefHeading___Toc1841227_2322387425"/>
      <w:bookmarkStart w:id="867" w:name="_Toc331"/>
      <w:bookmarkEnd w:id="865"/>
      <w:bookmarkEnd w:id="866"/>
      <w:r>
        <w:rPr>
          <w:rtl w:val="true"/>
        </w:rPr>
        <w:t>حکم السجود لغیر الله تعالی</w:t>
      </w:r>
      <w:bookmarkEnd w:id="8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Style w:val="FootnoteAnchor"/>
          <w:rtl w:val="true"/>
        </w:rPr>
        <w:footnoteReference w:id="1051"/>
      </w:r>
      <w:r>
        <w:rPr>
          <w:rFonts w:ascii="IRNazanin" w:hAnsi="IRNazanin" w:eastAsia="IRNazanin"/>
          <w:color w:val="111111"/>
          <w:sz w:val="28"/>
          <w:sz w:val="28"/>
          <w:szCs w:val="28"/>
          <w:rtl w:val="true"/>
          <w:lang w:bidi="fa-IR"/>
        </w:rPr>
        <w:t>السجود لغیر اللّه تعالی</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إمّا الشکر للّه تعالی، أو التبرّک بلمس الأعتاب المقدّسة، وعلی هذا فلا إشکال فیه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غایة الخضوع، فیختصّ بمن هو فی غایة الکبریاء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وسجدة الملائکة لم تکن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لآدم، بل کان قِبلةً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أنّ سجدة یعقوب وولده لم تکن لیوسف، بل للّه تعالی شکراً؛ حیث رأوا ما أعطاه اللّه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یفعله سواد الشیعة</w:t>
      </w:r>
    </w:p>
    <w:p>
      <w:pPr>
        <w:pStyle w:val="BookText"/>
        <w:rPr/>
      </w:pPr>
      <w:r>
        <w:rPr>
          <w:rFonts w:ascii="IRNazanin" w:hAnsi="IRNazanin" w:eastAsia="IRNazanin"/>
          <w:color w:val="111111"/>
          <w:sz w:val="28"/>
          <w:sz w:val="28"/>
          <w:szCs w:val="28"/>
          <w:rtl w:val="true"/>
          <w:lang w:bidi="fa-IR"/>
        </w:rPr>
        <w:t>من صورة السجدة عند قبر أمیرالموءمنین وغیره من الأئمة علیهم‌السلام مشکل، إلاّ أن یقصدوا به سجدة الشکر</w:t>
      </w:r>
      <w:r>
        <w:rPr>
          <w:rStyle w:val="FootnoteAnchor"/>
          <w:rtl w:val="true"/>
        </w:rPr>
        <w:footnoteReference w:id="1053"/>
      </w:r>
      <w:r>
        <w:rPr>
          <w:rFonts w:ascii="IRNazanin" w:hAnsi="IRNazanin" w:eastAsia="IRNazanin"/>
          <w:color w:val="111111"/>
          <w:sz w:val="28"/>
          <w:sz w:val="28"/>
          <w:szCs w:val="28"/>
          <w:rtl w:val="true"/>
          <w:lang w:bidi="fa-IR"/>
        </w:rPr>
        <w:t>لتوفیق اللّه تعالی لهم لإدراک الزیارة، نعم، لا یبعد</w:t>
      </w:r>
      <w:r>
        <w:rPr>
          <w:rStyle w:val="FootnoteAnchor"/>
          <w:rtl w:val="true"/>
        </w:rPr>
        <w:footnoteReference w:id="1054"/>
      </w:r>
      <w:r>
        <w:rPr>
          <w:rFonts w:ascii="IRNazanin" w:hAnsi="IRNazanin" w:eastAsia="IRNazanin"/>
          <w:color w:val="111111"/>
          <w:sz w:val="28"/>
          <w:sz w:val="28"/>
          <w:szCs w:val="28"/>
          <w:rtl w:val="true"/>
          <w:lang w:bidi="fa-IR"/>
        </w:rPr>
        <w:t>جواز تقبیل العتبة الشریفة</w:t>
      </w:r>
      <w:r>
        <w:rPr>
          <w:rStyle w:val="FootnoteAnchor"/>
          <w:rtl w:val="true"/>
        </w:rPr>
        <w:footnoteReference w:id="10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868" w:name="pg13278_326664"/>
    </w:p>
    <w:p>
      <w:pPr>
        <w:pStyle w:val="Heading2"/>
        <w:numPr>
          <w:ilvl w:val="1"/>
          <w:numId w:val="1"/>
        </w:numPr>
        <w:rPr/>
      </w:pPr>
      <w:bookmarkStart w:id="869" w:name="__RefHeading___Toc1841229_2322387425"/>
      <w:bookmarkStart w:id="870" w:name="_Toc332"/>
      <w:bookmarkEnd w:id="868"/>
      <w:bookmarkEnd w:id="869"/>
      <w:r>
        <w:rPr>
          <w:rtl w:val="true"/>
        </w:rPr>
        <w:t>فصل فی التشهّد</w:t>
      </w:r>
      <w:bookmarkEnd w:id="870"/>
    </w:p>
    <w:p>
      <w:pPr>
        <w:pStyle w:val="Heading3"/>
        <w:numPr>
          <w:ilvl w:val="2"/>
          <w:numId w:val="1"/>
        </w:numPr>
        <w:rPr/>
      </w:pPr>
      <w:bookmarkStart w:id="871" w:name="__RefHeading___Toc1841231_2322387425"/>
      <w:bookmarkStart w:id="872" w:name="_Toc333"/>
      <w:bookmarkEnd w:id="871"/>
      <w:r>
        <w:rPr>
          <w:rtl w:val="true"/>
        </w:rPr>
        <w:t>حکم التشهد فی کل صلاة</w:t>
      </w:r>
      <w:bookmarkEnd w:id="872"/>
    </w:p>
    <w:p>
      <w:pPr>
        <w:pStyle w:val="BookText"/>
        <w:rPr/>
      </w:pPr>
      <w:r>
        <w:rPr>
          <w:rFonts w:ascii="IRNazanin" w:hAnsi="IRNazanin" w:eastAsia="IRNazanin"/>
          <w:color w:val="111111"/>
          <w:sz w:val="28"/>
          <w:sz w:val="28"/>
          <w:szCs w:val="28"/>
          <w:rtl w:val="true"/>
          <w:lang w:bidi="fa-IR"/>
        </w:rPr>
        <w:t>وهو واجب فی الثنائیّة مرّةً بعد رفع الرأس من السجدة الأخیرة من الرکعة الثانیة، وفی الثلاثیّة والرباعیّة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کما ذُکر، والثانیة بعد رفع الرأس من السجدة الثانیة فی الرکعة الأخیرة</w:t>
      </w:r>
      <w:r>
        <w:rPr>
          <w:rFonts w:eastAsia="IRNazanin" w:cs="IRNazanin"/>
          <w:color w:val="111111"/>
          <w:sz w:val="28"/>
          <w:szCs w:val="28"/>
          <w:rtl w:val="true"/>
          <w:lang w:bidi="fa-IR"/>
        </w:rPr>
        <w:t>.</w:t>
      </w:r>
    </w:p>
    <w:p>
      <w:pPr>
        <w:pStyle w:val="Heading3"/>
        <w:numPr>
          <w:ilvl w:val="2"/>
          <w:numId w:val="1"/>
        </w:numPr>
        <w:rPr/>
      </w:pPr>
      <w:bookmarkStart w:id="873" w:name="__RefHeading___Toc1841233_2322387425"/>
      <w:bookmarkStart w:id="874" w:name="_Toc334"/>
      <w:bookmarkEnd w:id="873"/>
      <w:r>
        <w:rPr>
          <w:rtl w:val="true"/>
        </w:rPr>
        <w:t>حکم ترکه</w:t>
      </w:r>
      <w:bookmarkEnd w:id="874"/>
    </w:p>
    <w:p>
      <w:pPr>
        <w:pStyle w:val="BookText"/>
        <w:rPr/>
      </w:pPr>
      <w:r>
        <w:rPr>
          <w:rFonts w:ascii="IRNazanin" w:hAnsi="IRNazanin" w:eastAsia="IRNazanin"/>
          <w:color w:val="111111"/>
          <w:sz w:val="28"/>
          <w:sz w:val="28"/>
          <w:szCs w:val="28"/>
          <w:rtl w:val="true"/>
          <w:lang w:bidi="fa-IR"/>
        </w:rPr>
        <w:t>وهو واجب غیر رکن، فلو ترکه عمداً بطلت الصلاة، وسهواً أتی به ما لم یرکع</w:t>
      </w:r>
      <w:r>
        <w:rPr>
          <w:rStyle w:val="FootnoteAnchor"/>
          <w:rtl w:val="true"/>
        </w:rPr>
        <w:footnoteReference w:id="1056"/>
      </w:r>
      <w:r>
        <w:rPr>
          <w:rFonts w:ascii="Amiri" w:hAnsi="Amiri" w:eastAsia="Amiri" w:cs="Amiri"/>
          <w:color w:val="111111"/>
          <w:sz w:val="28"/>
          <w:sz w:val="28"/>
          <w:szCs w:val="28"/>
          <w:rtl w:val="true"/>
          <w:lang w:bidi="ar-SA"/>
        </w:rPr>
        <w:t>، وقضاه بعد الصلاة</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وجوب قضائه، وإن کان 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تذکّر بعد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الرکوع مع سجدتَی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1841235_2322387425"/>
      <w:bookmarkStart w:id="876" w:name="_Toc335"/>
      <w:bookmarkEnd w:id="875"/>
      <w:r>
        <w:rPr>
          <w:rtl w:val="true"/>
        </w:rPr>
        <w:t>واجبات التشهد، سبعة</w:t>
      </w:r>
      <w:bookmarkEnd w:id="876"/>
    </w:p>
    <w:p>
      <w:pPr>
        <w:pStyle w:val="BookText"/>
        <w:rPr/>
      </w:pPr>
      <w:r>
        <w:rPr>
          <w:rFonts w:ascii="Amiri" w:hAnsi="Amiri" w:eastAsia="Amiri" w:cs="Amiri"/>
          <w:color w:val="111111"/>
          <w:sz w:val="28"/>
          <w:sz w:val="28"/>
          <w:szCs w:val="28"/>
          <w:rtl w:val="true"/>
          <w:lang w:bidi="ar-SA"/>
        </w:rPr>
        <w:t>وواجباته سبعة</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1841237_2322387425"/>
      <w:bookmarkStart w:id="878" w:name="_Toc336"/>
      <w:bookmarkEnd w:id="877"/>
      <w:r>
        <w:rPr>
          <w:rtl w:val="true"/>
        </w:rPr>
        <w:t>الأول</w:t>
      </w:r>
      <w:r>
        <w:rPr>
          <w:rtl w:val="true"/>
        </w:rPr>
        <w:t xml:space="preserve">: </w:t>
      </w:r>
      <w:r>
        <w:rPr>
          <w:rtl w:val="true"/>
        </w:rPr>
        <w:t>الشهادتان</w:t>
      </w:r>
      <w:bookmarkEnd w:id="87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w:t>
      </w:r>
    </w:p>
    <w:p>
      <w:pPr>
        <w:pStyle w:val="Heading3"/>
        <w:numPr>
          <w:ilvl w:val="2"/>
          <w:numId w:val="1"/>
        </w:numPr>
        <w:rPr/>
      </w:pPr>
      <w:bookmarkStart w:id="879" w:name="__RefHeading___Toc1841239_2322387425"/>
      <w:bookmarkStart w:id="880" w:name="_Toc337"/>
      <w:bookmarkEnd w:id="879"/>
      <w:r>
        <w:rPr>
          <w:rtl w:val="true"/>
        </w:rPr>
        <w:t>الثانی</w:t>
      </w:r>
      <w:r>
        <w:rPr>
          <w:rtl w:val="true"/>
        </w:rPr>
        <w:t xml:space="preserve">: </w:t>
      </w:r>
      <w:r>
        <w:rPr>
          <w:rtl w:val="true"/>
        </w:rPr>
        <w:t>اصلاة علی النبی و آله</w:t>
      </w:r>
      <w:bookmarkEnd w:id="88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وآل محمَّدٍ،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شریک له، وأشهد أنّ محمَّداً عبده ورسوله، اللهمَّ صلِّ </w:t>
      </w:r>
    </w:p>
    <w:p>
      <w:pPr>
        <w:pStyle w:val="BookText"/>
        <w:rPr/>
      </w:pPr>
      <w:r>
        <w:rPr>
          <w:rFonts w:ascii="Amiri" w:hAnsi="Amiri" w:eastAsia="Amiri" w:cs="Amiri"/>
          <w:color w:val="111111"/>
          <w:sz w:val="28"/>
          <w:sz w:val="28"/>
          <w:szCs w:val="28"/>
          <w:rtl w:val="true"/>
          <w:lang w:bidi="ar-SA"/>
        </w:rPr>
        <w:t>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ویجزی</w:t>
      </w:r>
      <w:r>
        <w:rPr>
          <w:rStyle w:val="FootnoteAnchor"/>
          <w:rtl w:val="true"/>
        </w:rPr>
        <w:footnoteReference w:id="10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الاقتصار علی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عدم إجزائه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الأول، کما أنّ الأقوی کون الصلوات بصیغة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إتیانه بالنحو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اختیار الصورة الاُولی، وهو المتعارف عند المتشرّعة قدیماً وحدیثاً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الکیفیة المتعارفة إن لم یکن أقوی فلا إشکال فیه أنّه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بل الأحوط اختیار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الأقوائیة نظر، فلا یتعدّی عن المتعارف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اختیار الکیفیّة الاُولی، التی هی المعهودة عند المتشرّعة قدیماً وحدیثاً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بالاقتصار علی الکیفیة المعهودة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اختیار الأوّل، بل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الکیفیّة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والأحوط عدم الاجتزاء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والأحوط الإتیان بالکیفیة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الاقتصار علی الکیفیة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محمد الشیرازی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الاقتصار علی الکیفیّة الاُولی، بل تعیّنها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اختیار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القوّة تأمّل واضح، فلا یُترک الاحتیاط باختیار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تعیّن الکیفیة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عدم التعدّی عن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 بالاقتصار علی النحو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إجزاء الأقلّ ممّا ذکر فی الصورة الاُولی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باختیار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فلا یتعدّی عن المتعارف المشهور بین المتشرّعة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الکیفیة الاُولی، بل الأظهر عدم الاجتزاء بالثانیة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التشهّد علی الأحوط هی الکیفیة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w:t>
      </w:r>
      <w:bookmarkStart w:id="881" w:name="pg13278_326666"/>
    </w:p>
    <w:p>
      <w:pPr>
        <w:pStyle w:val="BookText"/>
        <w:rPr/>
      </w:pPr>
      <w:bookmarkEnd w:id="881"/>
      <w:r>
        <w:rPr>
          <w:rFonts w:ascii="IRNazanin" w:hAnsi="IRNazanin" w:eastAsia="IRNazanin"/>
          <w:color w:val="111111"/>
          <w:sz w:val="28"/>
          <w:sz w:val="28"/>
          <w:szCs w:val="28"/>
          <w:rtl w:val="true"/>
          <w:lang w:bidi="fa-IR"/>
        </w:rPr>
        <w:t>یقول</w:t>
      </w:r>
      <w:r>
        <w:rPr>
          <w:rStyle w:val="FootnoteAnchor"/>
          <w:rtl w:val="true"/>
        </w:rPr>
        <w:footnoteReference w:id="10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الکیفیّة المعهودة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بالإتیان بالکیفیّة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 اللهمَّ صلِّ علی محمَّدٍ وآل محمَّد</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1841241_2322387425"/>
      <w:bookmarkStart w:id="883" w:name="_Toc338"/>
      <w:bookmarkEnd w:id="882"/>
      <w:r>
        <w:rPr>
          <w:rtl w:val="true"/>
        </w:rPr>
        <w:t>الثالث</w:t>
      </w:r>
      <w:r>
        <w:rPr>
          <w:rtl w:val="true"/>
        </w:rPr>
        <w:t xml:space="preserve">: </w:t>
      </w:r>
      <w:r>
        <w:rPr>
          <w:rtl w:val="true"/>
        </w:rPr>
        <w:t>الجلوس بمقدار الذکر الوارد</w:t>
      </w:r>
      <w:bookmarkEnd w:id="88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بمقدار الذکر المذکور</w:t>
      </w:r>
      <w:r>
        <w:rPr>
          <w:rFonts w:eastAsia="IRNazanin" w:cs="IRNazanin"/>
          <w:color w:val="111111"/>
          <w:sz w:val="28"/>
          <w:szCs w:val="28"/>
          <w:rtl w:val="true"/>
          <w:lang w:bidi="fa-IR"/>
        </w:rPr>
        <w:t>.</w:t>
      </w:r>
    </w:p>
    <w:p>
      <w:pPr>
        <w:pStyle w:val="Heading3"/>
        <w:numPr>
          <w:ilvl w:val="2"/>
          <w:numId w:val="1"/>
        </w:numPr>
        <w:rPr/>
      </w:pPr>
      <w:bookmarkStart w:id="884" w:name="__RefHeading___Toc1841243_2322387425"/>
      <w:bookmarkStart w:id="885" w:name="_Toc339"/>
      <w:bookmarkEnd w:id="884"/>
      <w:r>
        <w:rPr>
          <w:rtl w:val="true"/>
        </w:rPr>
        <w:t>الرابع</w:t>
      </w:r>
      <w:r>
        <w:rPr>
          <w:rtl w:val="true"/>
        </w:rPr>
        <w:t xml:space="preserve">: </w:t>
      </w:r>
      <w:r>
        <w:rPr>
          <w:rtl w:val="true"/>
        </w:rPr>
        <w:t>الطمأنینة فیه</w:t>
      </w:r>
      <w:bookmarkEnd w:id="88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w:t>
      </w:r>
      <w:r>
        <w:rPr>
          <w:rStyle w:val="FootnoteAnchor"/>
          <w:rtl w:val="true"/>
        </w:rPr>
        <w:footnoteReference w:id="1060"/>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bookmarkStart w:id="886" w:name="pg13278_326667"/>
    </w:p>
    <w:p>
      <w:pPr>
        <w:pStyle w:val="Heading3"/>
        <w:numPr>
          <w:ilvl w:val="2"/>
          <w:numId w:val="1"/>
        </w:numPr>
        <w:rPr/>
      </w:pPr>
      <w:bookmarkStart w:id="887" w:name="__RefHeading___Toc1841245_2322387425"/>
      <w:bookmarkStart w:id="888" w:name="_Toc340"/>
      <w:bookmarkEnd w:id="886"/>
      <w:bookmarkEnd w:id="887"/>
      <w:r>
        <w:rPr>
          <w:rtl w:val="true"/>
        </w:rPr>
        <w:t>الخامس</w:t>
      </w:r>
      <w:r>
        <w:rPr>
          <w:rtl w:val="true"/>
        </w:rPr>
        <w:t xml:space="preserve">: </w:t>
      </w:r>
      <w:r>
        <w:rPr>
          <w:rtl w:val="true"/>
        </w:rPr>
        <w:t>الترتیب فیه</w:t>
      </w:r>
      <w:bookmarkEnd w:id="88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بتقدیم الشهادة الاُولی علی الثانیة، وهما علی الصلاة علی محمَّدٍ وآل محمَّدٍ کما ذکر</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1841247_2322387425"/>
      <w:bookmarkStart w:id="890" w:name="_Toc341"/>
      <w:bookmarkEnd w:id="889"/>
      <w:r>
        <w:rPr>
          <w:rtl w:val="true"/>
        </w:rPr>
        <w:t>السادس</w:t>
      </w:r>
      <w:r>
        <w:rPr>
          <w:rtl w:val="true"/>
        </w:rPr>
        <w:t xml:space="preserve">: </w:t>
      </w:r>
      <w:r>
        <w:rPr>
          <w:rtl w:val="true"/>
        </w:rPr>
        <w:t>الموالاة</w:t>
      </w:r>
      <w:bookmarkEnd w:id="89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Style w:val="FootnoteAnchor"/>
          <w:rtl w:val="true"/>
        </w:rPr>
        <w:footnoteReference w:id="1062"/>
      </w:r>
      <w:r>
        <w:rPr>
          <w:rFonts w:ascii="IRNazanin" w:hAnsi="IRNazanin" w:eastAsia="IRNazanin"/>
          <w:color w:val="111111"/>
          <w:sz w:val="28"/>
          <w:sz w:val="28"/>
          <w:szCs w:val="28"/>
          <w:rtl w:val="true"/>
          <w:lang w:bidi="fa-IR"/>
        </w:rPr>
        <w:t>بین الفقرات والکلمات والحروف</w:t>
      </w:r>
      <w:r>
        <w:rPr>
          <w:rStyle w:val="FootnoteAnchor"/>
          <w:rtl w:val="true"/>
        </w:rPr>
        <w:footnoteReference w:id="1063"/>
      </w:r>
      <w:r>
        <w:rPr>
          <w:rFonts w:ascii="IRNazanin" w:hAnsi="IRNazanin" w:eastAsia="IRNazanin"/>
          <w:color w:val="111111"/>
          <w:sz w:val="28"/>
          <w:sz w:val="28"/>
          <w:szCs w:val="28"/>
          <w:rtl w:val="true"/>
          <w:lang w:bidi="fa-IR"/>
        </w:rPr>
        <w:t>، بحیث لا یخرج عن الصدق</w:t>
      </w:r>
      <w:r>
        <w:rPr>
          <w:rFonts w:eastAsia="IRNazanin" w:cs="IRNazanin"/>
          <w:color w:val="111111"/>
          <w:sz w:val="28"/>
          <w:szCs w:val="28"/>
          <w:rtl w:val="true"/>
          <w:lang w:bidi="fa-IR"/>
        </w:rPr>
        <w:t>.</w:t>
      </w:r>
    </w:p>
    <w:p>
      <w:pPr>
        <w:pStyle w:val="Heading3"/>
        <w:numPr>
          <w:ilvl w:val="2"/>
          <w:numId w:val="1"/>
        </w:numPr>
        <w:rPr/>
      </w:pPr>
      <w:bookmarkStart w:id="891" w:name="__RefHeading___Toc1841249_2322387425"/>
      <w:bookmarkStart w:id="892" w:name="_Toc342"/>
      <w:bookmarkEnd w:id="891"/>
      <w:r>
        <w:rPr>
          <w:rtl w:val="true"/>
        </w:rPr>
        <w:t>السابع</w:t>
      </w:r>
      <w:r>
        <w:rPr>
          <w:rtl w:val="true"/>
        </w:rPr>
        <w:t xml:space="preserve">: </w:t>
      </w:r>
      <w:r>
        <w:rPr>
          <w:rtl w:val="true"/>
        </w:rPr>
        <w:t>تأدیته بالوجه الصحیح</w:t>
      </w:r>
      <w:bookmarkEnd w:id="892"/>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تأدیتها علی الوجه الصحیح العربیّ فی الحرکات والسکنات، وأداء الحروف والکلمات</w:t>
      </w:r>
      <w:r>
        <w:rPr>
          <w:rFonts w:eastAsia="IRNazanin" w:cs="IRNazanin"/>
          <w:color w:val="111111"/>
          <w:sz w:val="28"/>
          <w:szCs w:val="28"/>
          <w:rtl w:val="true"/>
          <w:lang w:bidi="fa-IR"/>
        </w:rPr>
        <w:t>.</w:t>
      </w:r>
    </w:p>
    <w:p>
      <w:pPr>
        <w:pStyle w:val="Heading3"/>
        <w:numPr>
          <w:ilvl w:val="2"/>
          <w:numId w:val="1"/>
        </w:numPr>
        <w:rPr/>
      </w:pPr>
      <w:bookmarkStart w:id="893" w:name="__RefHeading___Toc1841251_2322387425"/>
      <w:bookmarkStart w:id="894" w:name="_Toc343"/>
      <w:bookmarkEnd w:id="893"/>
      <w:r>
        <w:rPr>
          <w:rtl w:val="true"/>
        </w:rPr>
        <w:t>ذکر الشهادتین و الصلاة بألفاظها المتعارفة</w:t>
      </w:r>
      <w:bookmarkEnd w:id="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ذکر الشهادتین والصلاة بألفاظها المتعارفة، فلا یجزی غیرها وإن أفاد معناها، مثل ما إذا 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أو اُقرّ أو أعترف، وهکذا فی غیره</w:t>
      </w:r>
      <w:r>
        <w:rPr>
          <w:rFonts w:eastAsia="IRNazanin" w:cs="IRNazanin"/>
          <w:color w:val="111111"/>
          <w:sz w:val="28"/>
          <w:szCs w:val="28"/>
          <w:rtl w:val="true"/>
          <w:lang w:bidi="fa-IR"/>
        </w:rPr>
        <w:t>.</w:t>
      </w:r>
    </w:p>
    <w:p>
      <w:pPr>
        <w:pStyle w:val="Heading3"/>
        <w:numPr>
          <w:ilvl w:val="2"/>
          <w:numId w:val="1"/>
        </w:numPr>
        <w:rPr/>
      </w:pPr>
      <w:bookmarkStart w:id="895" w:name="__RefHeading___Toc1841253_2322387425"/>
      <w:bookmarkStart w:id="896" w:name="_Toc344"/>
      <w:bookmarkEnd w:id="895"/>
      <w:r>
        <w:rPr>
          <w:rtl w:val="true"/>
        </w:rPr>
        <w:t>کیفیة الجلوس فی التشهد</w:t>
      </w:r>
      <w:bookmarkEnd w:id="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w:t>
      </w:r>
      <w:r>
        <w:rPr>
          <w:rStyle w:val="FootnoteAnchor"/>
          <w:rtl w:val="true"/>
        </w:rPr>
        <w:footnoteReference w:id="1064"/>
      </w:r>
      <w:r>
        <w:rPr>
          <w:rFonts w:ascii="IRNazanin" w:hAnsi="IRNazanin" w:eastAsia="IRNazanin"/>
          <w:color w:val="111111"/>
          <w:sz w:val="28"/>
          <w:sz w:val="28"/>
          <w:szCs w:val="28"/>
          <w:rtl w:val="true"/>
          <w:lang w:bidi="fa-IR"/>
        </w:rPr>
        <w:t>الجلوس فیه بأیّ کیفیّة کان ولو إقعاءً</w:t>
      </w:r>
      <w:r>
        <w:rPr>
          <w:rStyle w:val="FootnoteAnchor"/>
          <w:rtl w:val="true"/>
        </w:rPr>
        <w:footnoteReference w:id="10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یراعی ما هو المتعارف من کیفیاته، ولا یجلس إقعاءً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ینبغی أن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 الآملی،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بتفسیره الثانی المتقدّم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7" w:name="pg13278_326668"/>
    </w:p>
    <w:p>
      <w:pPr>
        <w:pStyle w:val="Heading3"/>
        <w:numPr>
          <w:ilvl w:val="2"/>
          <w:numId w:val="1"/>
        </w:numPr>
        <w:rPr/>
      </w:pPr>
      <w:bookmarkStart w:id="898" w:name="__RefHeading___Toc1841255_2322387425"/>
      <w:bookmarkStart w:id="899" w:name="_Toc345"/>
      <w:bookmarkEnd w:id="897"/>
      <w:bookmarkEnd w:id="898"/>
      <w:r>
        <w:rPr>
          <w:rtl w:val="true"/>
        </w:rPr>
        <w:t>حکم تعلم الذکر</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یعلم الذِکر یجب علیه التعلّم، وقبله یتبع غیره فیلقّنه</w:t>
      </w:r>
      <w:r>
        <w:rPr>
          <w:rStyle w:val="FootnoteAnchor"/>
          <w:rtl w:val="true"/>
        </w:rPr>
        <w:footnoteReference w:id="1066"/>
      </w:r>
      <w:r>
        <w:rPr>
          <w:rFonts w:ascii="IRNazanin" w:hAnsi="IRNazanin" w:eastAsia="IRNazanin"/>
          <w:color w:val="111111"/>
          <w:sz w:val="28"/>
          <w:sz w:val="28"/>
          <w:szCs w:val="28"/>
          <w:rtl w:val="true"/>
          <w:lang w:bidi="fa-IR"/>
        </w:rPr>
        <w:t>، ولو عجز ولم یکن من یلقّنه أو کان الوقت ضیّقاً</w:t>
      </w:r>
      <w:r>
        <w:rPr>
          <w:rStyle w:val="FootnoteAnchor"/>
          <w:rtl w:val="true"/>
        </w:rPr>
        <w:footnoteReference w:id="1067"/>
      </w:r>
      <w:r>
        <w:rPr>
          <w:rFonts w:ascii="IRNazanin" w:hAnsi="IRNazanin" w:eastAsia="IRNazanin"/>
          <w:color w:val="111111"/>
          <w:sz w:val="28"/>
          <w:sz w:val="28"/>
          <w:szCs w:val="28"/>
          <w:rtl w:val="true"/>
          <w:lang w:bidi="fa-IR"/>
        </w:rPr>
        <w:t>أتی بما یقدر</w:t>
      </w:r>
      <w:r>
        <w:rPr>
          <w:rStyle w:val="FootnoteAnchor"/>
          <w:rtl w:val="true"/>
        </w:rPr>
        <w:footnoteReference w:id="10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ملحوناً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عنوان الشهادة علیه، وإلاّ فوجوبه کوجوب المراتب اللاحقة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ما لم یصدق علیه الشهادة مبنیّ علی الاحتیاط، ولا یترک فی جمیع المراتب المذکورة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علیه عنوان الشهادتین ولو الملحون منهما، وإلاّ فالأظهر عدم وجوب شیءٍ علیه، وکذلک ما بعده من المراتب، وإن کان الأحوط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صدق الشهادة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الترجمة مطلقاً إشکال، فلا یُترک الاحتیاط بالجمع بین صلاتین یأتی بالترجمة فی إحداهما وترکها فی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عجز عن الإتیان باللفظ العربی فالأحوط وجوباً أن یأتی بترجمته، وإذا عجز عنها أتی بسائر الأذکار بقدره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الباقی</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الترجمة إشکال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العجز کلاًّ أو بعضاً الجمع بین الترجمة والذکر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یعلم شیئاً یأتی بترجمة الکلّ، وإن لم یعلم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بسائر الأذکار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أیضاً فیه، وفی الجلوس مع الإخطار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مراعیاً تقدیم ما یصدق علیه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التحمید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کان یحسنه، وإلاّ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الجلوس قدره مع الإخطار بالبال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القدماء مَن احتاط بتحریک اللسان أیضاً، ولا 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أمکن</w:t>
      </w:r>
      <w:r>
        <w:rPr>
          <w:rFonts w:eastAsia="IRNazanin" w:cs="IRNazanin"/>
          <w:color w:val="111111"/>
          <w:sz w:val="28"/>
          <w:szCs w:val="28"/>
          <w:rtl w:val="true"/>
          <w:lang w:bidi="fa-IR"/>
        </w:rPr>
        <w:t>.</w:t>
      </w:r>
      <w:bookmarkStart w:id="900" w:name="pg13278_326670"/>
    </w:p>
    <w:p>
      <w:pPr>
        <w:pStyle w:val="Heading3"/>
        <w:numPr>
          <w:ilvl w:val="2"/>
          <w:numId w:val="1"/>
        </w:numPr>
        <w:rPr/>
      </w:pPr>
      <w:bookmarkStart w:id="901" w:name="__RefHeading___Toc1841257_2322387425"/>
      <w:bookmarkStart w:id="902" w:name="_Toc346"/>
      <w:bookmarkEnd w:id="900"/>
      <w:bookmarkEnd w:id="901"/>
      <w:r>
        <w:rPr>
          <w:rtl w:val="true"/>
        </w:rPr>
        <w:t>یستحب فی التشهد امور عشرة</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فی التشهّد اُمور</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1841259_2322387425"/>
      <w:bookmarkStart w:id="904" w:name="_Toc347"/>
      <w:bookmarkEnd w:id="903"/>
      <w:r>
        <w:rPr>
          <w:rtl w:val="true"/>
        </w:rPr>
        <w:t>الأول</w:t>
      </w:r>
      <w:r>
        <w:rPr>
          <w:rtl w:val="true"/>
        </w:rPr>
        <w:t xml:space="preserve">: </w:t>
      </w:r>
      <w:r>
        <w:rPr>
          <w:rtl w:val="true"/>
        </w:rPr>
        <w:t>الجلوس متورکاً</w:t>
      </w:r>
      <w:bookmarkEnd w:id="90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الرجل متورّکاً علی نحو ما مرّ فی الجلوس بین السجدتین</w:t>
      </w:r>
      <w:r>
        <w:rPr>
          <w:rFonts w:eastAsia="IRNazanin" w:cs="IRNazanin"/>
          <w:color w:val="111111"/>
          <w:sz w:val="28"/>
          <w:szCs w:val="28"/>
          <w:rtl w:val="true"/>
          <w:lang w:bidi="fa-IR"/>
        </w:rPr>
        <w:t>.</w:t>
      </w:r>
    </w:p>
    <w:p>
      <w:pPr>
        <w:pStyle w:val="Heading3"/>
        <w:numPr>
          <w:ilvl w:val="2"/>
          <w:numId w:val="1"/>
        </w:numPr>
        <w:rPr/>
      </w:pPr>
      <w:bookmarkStart w:id="905" w:name="__RefHeading___Toc1841261_2322387425"/>
      <w:bookmarkStart w:id="906" w:name="_Toc348"/>
      <w:bookmarkEnd w:id="905"/>
      <w:r>
        <w:rPr>
          <w:rtl w:val="true"/>
        </w:rPr>
        <w:t>الثانی</w:t>
      </w:r>
      <w:r>
        <w:rPr>
          <w:rtl w:val="true"/>
        </w:rPr>
        <w:t xml:space="preserve">: </w:t>
      </w:r>
      <w:r>
        <w:rPr>
          <w:rtl w:val="true"/>
        </w:rPr>
        <w:t>القول قبل الشروع بالذکر</w:t>
      </w:r>
      <w:r>
        <w:rPr>
          <w:rtl w:val="true"/>
        </w:rPr>
        <w:t>: «</w:t>
      </w:r>
      <w:r>
        <w:rPr>
          <w:rtl w:val="true"/>
        </w:rPr>
        <w:t>الحمدالله</w:t>
      </w:r>
      <w:r>
        <w:rPr>
          <w:rtl w:val="true"/>
        </w:rPr>
        <w:t>»</w:t>
      </w:r>
      <w:r>
        <w:rPr>
          <w:rtl w:val="true"/>
        </w:rPr>
        <w:t>، أو غیر ذلک</w:t>
      </w:r>
      <w:bookmarkEnd w:id="90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Style w:val="FootnoteAnchor"/>
          <w:rtl w:val="true"/>
        </w:rPr>
        <w:footnoteReference w:id="1071"/>
      </w:r>
      <w:r>
        <w:rPr>
          <w:rFonts w:ascii="IRNazanin" w:hAnsi="IRNazanin" w:eastAsia="IRNazanin"/>
          <w:color w:val="111111"/>
          <w:sz w:val="28"/>
          <w:sz w:val="28"/>
          <w:szCs w:val="28"/>
          <w:rtl w:val="true"/>
          <w:lang w:bidi="fa-IR"/>
        </w:rPr>
        <w:t>قبل الشروع فی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وخیرالأسماء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 کلّها للّه</w:t>
      </w:r>
      <w:r>
        <w:rPr>
          <w:rFonts w:eastAsia="IRNazanin" w:cs="IRNazanin"/>
          <w:color w:val="111111"/>
          <w:sz w:val="28"/>
          <w:szCs w:val="28"/>
          <w:rtl w:val="true"/>
          <w:lang w:bidi="fa-IR"/>
        </w:rPr>
        <w:t>».</w:t>
      </w:r>
    </w:p>
    <w:p>
      <w:pPr>
        <w:pStyle w:val="Heading3"/>
        <w:numPr>
          <w:ilvl w:val="2"/>
          <w:numId w:val="1"/>
        </w:numPr>
        <w:rPr/>
      </w:pPr>
      <w:bookmarkStart w:id="907" w:name="__RefHeading___Toc1841263_2322387425"/>
      <w:bookmarkStart w:id="908" w:name="_Toc349"/>
      <w:bookmarkEnd w:id="907"/>
      <w:r>
        <w:rPr>
          <w:rtl w:val="true"/>
        </w:rPr>
        <w:t>الثالث</w:t>
      </w:r>
      <w:r>
        <w:rPr>
          <w:rtl w:val="true"/>
        </w:rPr>
        <w:t xml:space="preserve">: </w:t>
      </w:r>
      <w:r>
        <w:rPr>
          <w:rtl w:val="true"/>
        </w:rPr>
        <w:t>جعل الیدین علی الفخذین</w:t>
      </w:r>
      <w:bookmarkEnd w:id="90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یدیه علی فخذیه منضمّة الأصابع</w:t>
      </w:r>
      <w:r>
        <w:rPr>
          <w:rFonts w:eastAsia="IRNazanin" w:cs="IRNazanin"/>
          <w:color w:val="111111"/>
          <w:sz w:val="28"/>
          <w:szCs w:val="28"/>
          <w:rtl w:val="true"/>
          <w:lang w:bidi="fa-IR"/>
        </w:rPr>
        <w:t>.</w:t>
      </w:r>
    </w:p>
    <w:p>
      <w:pPr>
        <w:pStyle w:val="Heading3"/>
        <w:numPr>
          <w:ilvl w:val="2"/>
          <w:numId w:val="1"/>
        </w:numPr>
        <w:rPr/>
      </w:pPr>
      <w:bookmarkStart w:id="909" w:name="__RefHeading___Toc1841265_2322387425"/>
      <w:bookmarkStart w:id="910" w:name="_Toc350"/>
      <w:bookmarkEnd w:id="909"/>
      <w:r>
        <w:rPr>
          <w:rtl w:val="true"/>
        </w:rPr>
        <w:t>الرابع</w:t>
      </w:r>
      <w:r>
        <w:rPr>
          <w:rtl w:val="true"/>
        </w:rPr>
        <w:t xml:space="preserve">: </w:t>
      </w:r>
      <w:r>
        <w:rPr>
          <w:rtl w:val="true"/>
        </w:rPr>
        <w:t>أن یکون نظره إلی حجره</w:t>
      </w:r>
      <w:bookmarkEnd w:id="91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نظره إلی حِجره</w:t>
      </w:r>
      <w:r>
        <w:rPr>
          <w:rFonts w:eastAsia="IRNazanin" w:cs="IRNazanin"/>
          <w:color w:val="111111"/>
          <w:sz w:val="28"/>
          <w:szCs w:val="28"/>
          <w:rtl w:val="true"/>
          <w:lang w:bidi="fa-IR"/>
        </w:rPr>
        <w:t>.</w:t>
      </w:r>
    </w:p>
    <w:p>
      <w:pPr>
        <w:pStyle w:val="Heading3"/>
        <w:numPr>
          <w:ilvl w:val="2"/>
          <w:numId w:val="1"/>
        </w:numPr>
        <w:rPr/>
      </w:pPr>
      <w:bookmarkStart w:id="911" w:name="__RefHeading___Toc1841267_2322387425"/>
      <w:bookmarkStart w:id="912" w:name="_Toc351"/>
      <w:bookmarkEnd w:id="911"/>
      <w:r>
        <w:rPr>
          <w:rtl w:val="true"/>
        </w:rPr>
        <w:t>الخامس</w:t>
      </w:r>
      <w:r>
        <w:rPr>
          <w:rtl w:val="true"/>
        </w:rPr>
        <w:t xml:space="preserve">: </w:t>
      </w:r>
      <w:r>
        <w:rPr>
          <w:rtl w:val="true"/>
        </w:rPr>
        <w:t>القول بعد الشهادة الثانیة</w:t>
      </w:r>
      <w:r>
        <w:rPr>
          <w:rtl w:val="true"/>
        </w:rPr>
        <w:t>: «</w:t>
      </w:r>
      <w:r>
        <w:rPr>
          <w:rtl w:val="true"/>
        </w:rPr>
        <w:t xml:space="preserve">أرسله بالحق بشیراً و </w:t>
      </w:r>
      <w:r>
        <w:rPr>
          <w:rtl w:val="true"/>
        </w:rPr>
        <w:t>...»</w:t>
      </w:r>
      <w:bookmarkEnd w:id="91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بالحقّ بشیراً ونذیراً بین یدی الساعة، وأشهد أنّ ربّی نعم الربّ، وأنّ محمَّداً نعم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1841269_2322387425"/>
      <w:bookmarkStart w:id="914" w:name="_Toc352"/>
      <w:bookmarkEnd w:id="913"/>
      <w:r>
        <w:rPr>
          <w:rtl w:val="true"/>
        </w:rPr>
        <w:t>السادس</w:t>
      </w:r>
      <w:r>
        <w:rPr>
          <w:rtl w:val="true"/>
        </w:rPr>
        <w:t xml:space="preserve">: </w:t>
      </w:r>
      <w:r>
        <w:rPr>
          <w:rtl w:val="true"/>
        </w:rPr>
        <w:t>القول بعد الصلاة علی النبی</w:t>
      </w:r>
      <w:r>
        <w:rPr>
          <w:rtl w:val="true"/>
        </w:rPr>
        <w:t>: «</w:t>
      </w:r>
      <w:r>
        <w:rPr>
          <w:rtl w:val="true"/>
        </w:rPr>
        <w:t>و تقبل شفاعته، وارفع درجته</w:t>
      </w:r>
      <w:r>
        <w:rPr>
          <w:rtl w:val="true"/>
        </w:rPr>
        <w:t>»</w:t>
      </w:r>
      <w:bookmarkEnd w:id="914"/>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 الأوّل، بل فی الثانی أیضاً، وإن کان الأولی</w:t>
      </w:r>
      <w:r>
        <w:rPr>
          <w:rStyle w:val="FootnoteAnchor"/>
          <w:rtl w:val="true"/>
        </w:rPr>
        <w:footnoteReference w:id="1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قصدها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الشاهرودی، عبداللّه الشیرازی، المرعشی، الآملی، محمد رضا الگلپایگانی ، السبزواری ،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قصد</w:t>
      </w:r>
      <w:bookmarkStart w:id="915" w:name="pg13278_326671"/>
    </w:p>
    <w:p>
      <w:pPr>
        <w:pStyle w:val="BookText"/>
        <w:rPr/>
      </w:pPr>
      <w:bookmarkEnd w:id="915"/>
      <w:r>
        <w:rPr>
          <w:rFonts w:ascii="Amiri" w:hAnsi="Amiri" w:eastAsia="Amiri" w:cs="Amiri"/>
          <w:color w:val="111111"/>
          <w:sz w:val="28"/>
          <w:sz w:val="28"/>
          <w:szCs w:val="28"/>
          <w:rtl w:val="true"/>
          <w:lang w:bidi="ar-SA"/>
        </w:rPr>
        <w:t>الخصوصیّة</w:t>
      </w:r>
      <w:r>
        <w:rPr>
          <w:rStyle w:val="FootnoteAnchor"/>
          <w:rtl w:val="true"/>
        </w:rPr>
        <w:footnoteReference w:id="10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بأس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p>
    <w:p>
      <w:pPr>
        <w:pStyle w:val="Heading3"/>
        <w:numPr>
          <w:ilvl w:val="2"/>
          <w:numId w:val="1"/>
        </w:numPr>
        <w:rPr/>
      </w:pPr>
      <w:bookmarkStart w:id="916" w:name="__RefHeading___Toc1841271_2322387425"/>
      <w:bookmarkStart w:id="917" w:name="_Toc353"/>
      <w:bookmarkEnd w:id="916"/>
      <w:r>
        <w:rPr>
          <w:rtl w:val="true"/>
        </w:rPr>
        <w:t>السابع</w:t>
      </w:r>
      <w:r>
        <w:rPr>
          <w:rtl w:val="true"/>
        </w:rPr>
        <w:t xml:space="preserve">: </w:t>
      </w:r>
      <w:r>
        <w:rPr>
          <w:rtl w:val="true"/>
        </w:rPr>
        <w:t>القول فی التشهد الأول و الثانی بما جاء فی موثقة أبی بصیر</w:t>
      </w:r>
      <w:bookmarkEnd w:id="917"/>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فی التشهّد الأوّل والثانی ما فی موثّقة أبی بصیر</w:t>
      </w:r>
      <w:r>
        <w:rPr>
          <w:rStyle w:val="FootnoteAnchor"/>
          <w:rtl w:val="true"/>
        </w:rPr>
        <w:footnoteReference w:id="10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هذا الحدیث تختلف بشیء من الزیادة والنقص، لکنّ الکلّ یتضمّن الواجب وفضیلته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منقولة بالاختلاف فی بعض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وهی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جلست فی الرکعة الثانیة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والحمد للّه، وخیر الأسماء للّه، أشهد أن لا إله إلاّ اللّه وحده لا شریک له، وأشهد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محمّداً عبده ورسوله، أرسله بالحقّ بشیراً ونذیراً بین یدی الساعة، أشهد أنّک نعم الربّ، وأنّ محمَّداً نعم الرسول، اللهمّ صلِّ علی محمّدٍ وآل محمّد، وتقبّل شفاعته فی اُمّته وارفع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تحمد اللّه مرّتین أو ثلاثاً، ثمّ تقوم، فإذا جلست فی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وخیر الأسماء للّه، أشهد أن لا إله إلاّ اللّه وحده لا شریک له، وأشهد أنّ محمّداً عبده ورسوله، أرسله بالحقّ بشیراً ونذیراً بین یدی الساعة، أشهد أ نّک نعم الربّ، وأنّ محمّداً نعم الرسول، التحیّات للّه، والصلوات الطاهرات الطیّبات</w:t>
      </w:r>
      <w:bookmarkStart w:id="918" w:name="pg13278_326672"/>
    </w:p>
    <w:p>
      <w:pPr>
        <w:pStyle w:val="BookText"/>
        <w:rPr/>
      </w:pPr>
      <w:bookmarkEnd w:id="918"/>
      <w:r>
        <w:rPr>
          <w:rFonts w:ascii="Amiri" w:hAnsi="Amiri" w:eastAsia="Amiri" w:cs="Amiri"/>
          <w:color w:val="111111"/>
          <w:sz w:val="28"/>
          <w:sz w:val="28"/>
          <w:szCs w:val="28"/>
          <w:rtl w:val="true"/>
          <w:lang w:bidi="ar-SA"/>
        </w:rPr>
        <w:t>الزاکیات الغادیات الرائحات السابغات الناعمات ما طاب وزکی وطهر وخلص وصفی فللّه، أشهد أن لا إله إلاّ اللّه وحده لا شریک له، وأشهد أنّ محمّداً عبده ورسوله، أرسله بالحقّ بشیراً ونذیراً بین یدی الساعة، أشهد أنّ ربّی نعم الربّ، وأنّ محمّداً نعم الرسول، وأشهد أنّ الساعة آتیة لا ریب فیها، وأنّ اللّه یبعث مَن فی القبور، الحمد للّه الذی هدانا لهذا وما کنّا لنهتدی لولا أن هدانا اللّه، الحمد للّه ربّ العالمین، اللهمّ صلِّ علی محمّدٍ وآل محمَّد، وبارک علی محمّدٍ وآل محمّد، وسلّم علی محمّدٍ وآل محمّد، وترحّم علی محمّدٍ وآل محمّد، کما صلّیت وبارکت وترحّمت علی إبراهیم وآلِ إبراهیم إنّک حمید مجید، اللهمّ صلِّ علی محمّدٍ وآل محمّد، واغفر لنا ولإخواننا الذین سبقونا بالإیمان، ولا تجعل فی قلوبنا غِلاًّ للّذین آمنوا، ربّنا إنّک روءوف رحیم، اللهمّ صلِّ علی محمّدٍ وآل محمّد، وامنُن علیَّ بالجنّة، وعافنی من النار، اللهمّ صلِّ علی محمّدٍ وآل محمّد، واغفر للموءمنین والموءمنات</w:t>
      </w:r>
      <w:r>
        <w:rPr>
          <w:rStyle w:val="FootnoteAnchor"/>
          <w:rtl w:val="true"/>
        </w:rPr>
        <w:footnoteReference w:id="1075"/>
      </w:r>
      <w:r>
        <w:rPr>
          <w:rFonts w:ascii="IRNazanin" w:hAnsi="IRNazanin" w:eastAsia="IRNazanin"/>
          <w:color w:val="111111"/>
          <w:sz w:val="28"/>
          <w:sz w:val="28"/>
          <w:szCs w:val="28"/>
          <w:rtl w:val="true"/>
          <w:lang w:bidi="fa-IR"/>
        </w:rPr>
        <w:t>، ولا تَزِدِ الظالمینَ إلاّ 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 السلام علی أنبیاء اللّه ورسله، السلام علی جبرئیل ومیکائیل والملائکة المقرّبین، السلام علی محمّد بن عبداللّه خاتم النبیّین، لا نبیّ بعده، والسلام علینا وعلی عباد اللّه الصالحین، ثمّ تسلّم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التشهّد،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919" w:name="__RefHeading___Toc1841273_2322387425"/>
      <w:bookmarkStart w:id="920" w:name="_Toc354"/>
      <w:bookmarkEnd w:id="919"/>
      <w:r>
        <w:rPr>
          <w:rtl w:val="true"/>
        </w:rPr>
        <w:t>الثامن</w:t>
      </w:r>
      <w:r>
        <w:rPr>
          <w:rtl w:val="true"/>
        </w:rPr>
        <w:t xml:space="preserve">: </w:t>
      </w:r>
      <w:r>
        <w:rPr>
          <w:rtl w:val="true"/>
        </w:rPr>
        <w:t>التسبیح سبعاً بعد التشهد الأول</w:t>
      </w:r>
      <w:bookmarkEnd w:id="92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یسبّح سبعاً بعد التشهّد الأوّل بأن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ثمّ یقوم</w:t>
      </w:r>
      <w:r>
        <w:rPr>
          <w:rFonts w:eastAsia="Amiri" w:cs="Amiri" w:ascii="Amiri" w:hAnsi="Amiri"/>
          <w:color w:val="111111"/>
          <w:sz w:val="28"/>
          <w:szCs w:val="28"/>
          <w:rtl w:val="true"/>
          <w:lang w:bidi="ar-SA"/>
        </w:rPr>
        <w:t xml:space="preserve">. </w:t>
      </w:r>
      <w:bookmarkStart w:id="921" w:name="pg13278_326673"/>
    </w:p>
    <w:p>
      <w:pPr>
        <w:pStyle w:val="Heading3"/>
        <w:numPr>
          <w:ilvl w:val="2"/>
          <w:numId w:val="1"/>
        </w:numPr>
        <w:rPr/>
      </w:pPr>
      <w:bookmarkStart w:id="922" w:name="__RefHeading___Toc1841275_2322387425"/>
      <w:bookmarkStart w:id="923" w:name="_Toc355"/>
      <w:bookmarkEnd w:id="921"/>
      <w:bookmarkEnd w:id="922"/>
      <w:r>
        <w:rPr>
          <w:rtl w:val="true"/>
        </w:rPr>
        <w:t>التاسع</w:t>
      </w:r>
      <w:r>
        <w:rPr>
          <w:rtl w:val="true"/>
        </w:rPr>
        <w:t xml:space="preserve">: </w:t>
      </w:r>
      <w:r>
        <w:rPr>
          <w:rtl w:val="true"/>
        </w:rPr>
        <w:t xml:space="preserve">قول </w:t>
      </w:r>
      <w:r>
        <w:rPr>
          <w:rtl w:val="true"/>
        </w:rPr>
        <w:t>«</w:t>
      </w:r>
      <w:r>
        <w:rPr>
          <w:rtl w:val="true"/>
        </w:rPr>
        <w:t>بحول الله و قوته</w:t>
      </w:r>
      <w:r>
        <w:rPr>
          <w:rtl w:val="true"/>
        </w:rPr>
        <w:t xml:space="preserve">...» </w:t>
      </w:r>
      <w:r>
        <w:rPr>
          <w:rtl w:val="true"/>
        </w:rPr>
        <w:t>حین القیام عن التشهد الأول</w:t>
      </w:r>
      <w:bookmarkEnd w:id="923"/>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حین القیام</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النهوض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حال النهوض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النهوض عنه إلی القیام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التشهّد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تضمّ المرأة فخذیها حال الجلوس للتشهّد</w:t>
      </w:r>
      <w:r>
        <w:rPr>
          <w:rFonts w:eastAsia="IRNazanin" w:cs="IRNazanin"/>
          <w:color w:val="111111"/>
          <w:sz w:val="28"/>
          <w:szCs w:val="28"/>
          <w:rtl w:val="true"/>
          <w:lang w:bidi="fa-IR"/>
        </w:rPr>
        <w:t>.</w:t>
      </w:r>
    </w:p>
    <w:p>
      <w:pPr>
        <w:pStyle w:val="Heading3"/>
        <w:numPr>
          <w:ilvl w:val="2"/>
          <w:numId w:val="1"/>
        </w:numPr>
        <w:rPr/>
      </w:pPr>
      <w:bookmarkStart w:id="924" w:name="__RefHeading___Toc1841277_2322387425"/>
      <w:bookmarkStart w:id="925" w:name="_Toc356"/>
      <w:bookmarkEnd w:id="924"/>
      <w:r>
        <w:rPr>
          <w:rtl w:val="true"/>
        </w:rPr>
        <w:t>کراهة الإقعاء حال التشهد</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الإقعاء</w:t>
      </w:r>
      <w:r>
        <w:rPr>
          <w:rStyle w:val="FootnoteAnchor"/>
          <w:rtl w:val="true"/>
        </w:rPr>
        <w:footnoteReference w:id="10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الأحوط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الإجزاء به غیر بعید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 ترکه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التشهّد علی نحو ما مرّ فی الجلوس بین السجدتین،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یُترک، کما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الأوجه ذلک فی حال التشهّد بخصوصه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کما تقدّم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بتفسیره الثانی المتقدّم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یُترک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کما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لزوم الاحتیاط فی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6" w:name="pg13278_326674"/>
    </w:p>
    <w:p>
      <w:pPr>
        <w:pStyle w:val="Heading2"/>
        <w:numPr>
          <w:ilvl w:val="1"/>
          <w:numId w:val="1"/>
        </w:numPr>
        <w:rPr/>
      </w:pPr>
      <w:bookmarkStart w:id="927" w:name="__RefHeading___Toc1841279_2322387425"/>
      <w:bookmarkStart w:id="928" w:name="_Toc357"/>
      <w:bookmarkEnd w:id="926"/>
      <w:bookmarkEnd w:id="927"/>
      <w:r>
        <w:rPr>
          <w:rtl w:val="true"/>
        </w:rPr>
        <w:t>فصل فی التسلیم</w:t>
      </w:r>
      <w:bookmarkEnd w:id="928"/>
    </w:p>
    <w:p>
      <w:pPr>
        <w:pStyle w:val="Heading3"/>
        <w:numPr>
          <w:ilvl w:val="2"/>
          <w:numId w:val="1"/>
        </w:numPr>
        <w:rPr/>
      </w:pPr>
      <w:bookmarkStart w:id="929" w:name="__RefHeading___Toc1841281_2322387425"/>
      <w:bookmarkStart w:id="930" w:name="_Toc358"/>
      <w:bookmarkEnd w:id="929"/>
      <w:r>
        <w:rPr>
          <w:rtl w:val="true"/>
        </w:rPr>
        <w:t>حکم التسلیم و حزئیته للصلاة و جمیع ما یعتبر فیها</w:t>
      </w:r>
      <w:bookmarkEnd w:id="930"/>
    </w:p>
    <w:p>
      <w:pPr>
        <w:pStyle w:val="BookText"/>
        <w:rPr/>
      </w:pPr>
      <w:r>
        <w:rPr>
          <w:rFonts w:ascii="IRNazanin" w:hAnsi="IRNazanin" w:eastAsia="IRNazanin"/>
          <w:color w:val="111111"/>
          <w:sz w:val="28"/>
          <w:sz w:val="28"/>
          <w:szCs w:val="28"/>
          <w:rtl w:val="true"/>
          <w:lang w:bidi="fa-IR"/>
        </w:rPr>
        <w:t>وهو واجب علی الأقوی، وجزء من الصلاة</w:t>
      </w:r>
      <w:r>
        <w:rPr>
          <w:rStyle w:val="FootnoteAnchor"/>
          <w:rtl w:val="true"/>
        </w:rPr>
        <w:footnoteReference w:id="10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الأحوط فی ما إذا لم یدرک من أول الوقت إلاّ التسلیم وقد وقعت الصلاة قبل دخوله أنْ یعیدها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واجب فی کلّ صلاةٍ وآخر أجزائها، وبه یخرج عنها وتحلّ له منافیاتها، فلو دخل الوقت مثلاً بعد التشهّد وقبل التسلیم فلا إعادة للصلاة، بخلاف مَن نفی الجزئیة عنها وقال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فیجب فیه جمیع ما یشترط فیها من الاستقبال وستر العورة والطهارة وغیرها، ومُخرِج منها، ومحلّل للمنافیات المحرّمة بتکبیرة الإحرام، ولیس رکناً،</w:t>
      </w:r>
    </w:p>
    <w:p>
      <w:pPr>
        <w:pStyle w:val="Heading3"/>
        <w:numPr>
          <w:ilvl w:val="2"/>
          <w:numId w:val="1"/>
        </w:numPr>
        <w:rPr/>
      </w:pPr>
      <w:bookmarkStart w:id="931" w:name="__RefHeading___Toc1841283_2322387425"/>
      <w:bookmarkStart w:id="932" w:name="_Toc359"/>
      <w:bookmarkEnd w:id="931"/>
      <w:r>
        <w:rPr>
          <w:rtl w:val="true"/>
        </w:rPr>
        <w:t>حکم ترکه</w:t>
      </w:r>
      <w:bookmarkEnd w:id="932"/>
    </w:p>
    <w:p>
      <w:pPr>
        <w:pStyle w:val="BookText"/>
        <w:rPr/>
      </w:pPr>
      <w:r>
        <w:rPr>
          <w:rFonts w:ascii="IRNazanin" w:hAnsi="IRNazanin" w:eastAsia="IRNazanin"/>
          <w:color w:val="111111"/>
          <w:sz w:val="28"/>
          <w:sz w:val="28"/>
          <w:szCs w:val="28"/>
          <w:rtl w:val="true"/>
          <w:lang w:bidi="fa-IR"/>
        </w:rPr>
        <w:t>فترکه عمداً مبطل لا سهواً</w:t>
      </w:r>
      <w:r>
        <w:rPr>
          <w:rStyle w:val="FootnoteAnchor"/>
          <w:rtl w:val="true"/>
        </w:rPr>
        <w:footnoteReference w:id="10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فلا یُترک الاحتیاط بإعادة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حینئذٍ بطلان الصلاة؛ لاستناده إلی الأفعال المنافیة، لا فوت السلام، کیف وهو علة لصدق فوت محلّه نفی الرتبة السابقة بصدق وقوعها فی الصلاة، فیبطل بها قبل وصول النوبة إلی فوت السلام، کما لا یخفی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0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الخروج عن الصلاة بنسیانه، فلو وقعت إحدی المنافیات أو انمحت صورة الصلاة قبل التذکّر کانت صلاته باطلة فعلیه الإعادة، وأمّا لو تذکّر ولم یقع المنافی ولا طرأ الانمحاء فیأتی به وصلاته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بعد إتیان شیء من المنافیات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عمداً وسهواً أو بعد فوات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الموالاة 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تدارکه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إعادة الصلاة فی غیر مورد قبول التدارک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فلا یُترک الاحتیاط بالجمع بین إتیان سجدتی السهو احتیاطاً للنقصان بترکه وإعادة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بطلان الصلاة إذا أتی بما یبطلها عمداً وسهواً قبل فوات الموالاة، وأمّا إذا استمرّ السهو إلی أن فات الموالاة وسقط عن قابلیّة اللحوق فالأقوی هو الصحّة، وإن أتی بالمنافی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ویعید الصلاة إذا أتی بالمنافی قبل فوات الموالاة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خروج المصلّی من الصلاة بمجرّد نسیان السلام، ولکنّه ممنوع؛ ولذا لو تذکّر قبل فعل المنافی وبقاء المحلّ السهویّ یجب تدارکه، فعلیه لو أحدث أو استدبر لکان المنافی واقعاً فی الأثناء وقبل الخروج، فلا مجال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أمّا قبل محو الصورة فواضح، وأمّا بعد المحو وعروض المنافی فلا معنی له؛ حیث إنّه لا تکون الإعادة إلاّ لأجل بطلان الصلاة بالمنافی، وإلاّ لکان اللازم علیه إتیان السلام، فیکون حال التذکّر بعد حصول الماحی کحاله قبل تحقّق الماحی أو غیره من المنافیات، وفساده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 الصلاة بوقوع کلّ ما یبطلها عمداً أو سهواً، ووجوب إعادتها فی هذه الصورة؛ وذلک لوقوع المنافیات فی الصلاة؛ لعدم کون سهو السلام مخرجاً، فلو تذکّر قبل صدور المنافیات والسکوت الطویل الموجب لانمحاء صورة الصلاة یجب علیه التدارک والإتیان به، ولو تکلّم قبل تحقّق المنافیات وجب علیه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بإعادة الصلاة بعد الإتیان بسجدتَی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بطلان الصلاة فی صورة إتیان المنافی العمدی والسهوی قبل فوات الموالاة لا یخلو من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الأحوط الراجح التدارک فی الصورة الاُولی ثمّ 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بإعادتها لو أتی بالمنافیات قبل فوات الموالاة، وإن کان عدم وجوبها وصحّة صلاته مطلقاً لا یخلو من قوّة، والأقوی عدم وجوب سجدتَی السهو لترکه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 الصلاة؛ لانحصار المُخرِج بالسلام فیقع المنافی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فالأحوط إعادة الصلاة، إلاّ إذا لم یأتِ بالمنافی قبل فوات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والأحوط إعادة الصلاة بعد الإتیان بسجدة السهو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بصحّة الصلاة فی من نسی التسلیم حتّی صدر منه ما ینافی الصلاة عمداً وسهواً، سواء فاتت الموالاة أم لا، وکذا إذا فاتت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یصدر منه ما ینافی الصلاة فالأحوط إعادة الصلاة، بل إعادة الصلاة، ولا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والأحوط إعادة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فرض فوات الموالاة ، وأمّا فی فرض التذکّر بعد الإتیان بالمنافی مطلقاً قبل فوات الموالاة فالظاهر هو البطلان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علیه سجدتا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وإعادة الصلاة أیضاً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فعل المنافی عمداً وسهواً وتذکّر قبل فوات المولاة فالأحوط إعادة الصلاة، ولا یجب سجدتا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بوجوبها لکلّ نقیصة، وسیأتی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bookmarkStart w:id="933" w:name="pg13278_326678"/>
    </w:p>
    <w:p>
      <w:pPr>
        <w:pStyle w:val="BookText"/>
        <w:rPr/>
      </w:pPr>
      <w:bookmarkEnd w:id="933"/>
      <w:r>
        <w:rPr>
          <w:rFonts w:ascii="IRNazanin" w:hAnsi="IRNazanin" w:eastAsia="IRNazanin"/>
          <w:color w:val="111111"/>
          <w:sz w:val="28"/>
          <w:sz w:val="28"/>
          <w:szCs w:val="28"/>
          <w:rtl w:val="true"/>
          <w:lang w:bidi="fa-IR"/>
        </w:rPr>
        <w:t>للنقصان</w:t>
      </w:r>
      <w:r>
        <w:rPr>
          <w:rStyle w:val="FootnoteAnchor"/>
          <w:rtl w:val="true"/>
        </w:rPr>
        <w:footnoteReference w:id="10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بترکه، وإن تذکّر قبل ذلک أتی به ولا شیء علیه، إلاّ إذا تکلّم فیجب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سجدتا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1841285_2322387425"/>
      <w:bookmarkStart w:id="935" w:name="_Toc360"/>
      <w:bookmarkEnd w:id="934"/>
      <w:r>
        <w:rPr>
          <w:rtl w:val="true"/>
        </w:rPr>
        <w:t>حکم الجلوس فی التسلیم و الاطمئنان</w:t>
      </w:r>
      <w:bookmarkEnd w:id="935"/>
    </w:p>
    <w:p>
      <w:pPr>
        <w:pStyle w:val="BookText"/>
        <w:rPr/>
      </w:pPr>
      <w:r>
        <w:rPr>
          <w:rFonts w:ascii="IRNazanin" w:hAnsi="IRNazanin" w:eastAsia="IRNazanin"/>
          <w:color w:val="111111"/>
          <w:sz w:val="28"/>
          <w:sz w:val="28"/>
          <w:szCs w:val="28"/>
          <w:rtl w:val="true"/>
          <w:lang w:bidi="fa-IR"/>
        </w:rPr>
        <w:t>ویجب فیه الجلوس، وکونه مطمئنّاً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1841287_2322387425"/>
      <w:bookmarkStart w:id="937" w:name="_Toc361"/>
      <w:bookmarkEnd w:id="936"/>
      <w:r>
        <w:rPr>
          <w:rtl w:val="true"/>
        </w:rPr>
        <w:t>کیفیة التسلیم و صیغته</w:t>
      </w:r>
      <w:bookmarkEnd w:id="937"/>
    </w:p>
    <w:p>
      <w:pPr>
        <w:pStyle w:val="BookText"/>
        <w:rPr/>
      </w:pPr>
      <w:r>
        <w:rPr>
          <w:rFonts w:ascii="IRNazanin" w:hAnsi="IRNazanin" w:eastAsia="IRNazanin"/>
          <w:color w:val="111111"/>
          <w:sz w:val="28"/>
          <w:sz w:val="28"/>
          <w:szCs w:val="28"/>
          <w:rtl w:val="true"/>
          <w:lang w:bidi="fa-IR"/>
        </w:rPr>
        <w:t>وله صیغتان،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والواجب إحداهما</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وعندی أنّ الواجب هو التسلیمة الأخیرة، وإن کان الأحوط الإتیان بالصیغتین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قدّم الصیغة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کانت الثانیة مستحبّة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یقصد فیها الوجُوب والاستحباب حینئذٍ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بل الأحوط عدم ترکها فی الصورة المزبورة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الاقتصار علی الاُولی، بل یأتی بعدها بالثانیة أیضاً، نعم، لا بأس بالاقتصار علی الثانیة وحدها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ترکها بعد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الاکتفاء بالاُولی وحدها، بخلاف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حینئذٍ ینبغی الاحتیاط بإتیانها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ترکها فی الصورة المفروضة، نعم، لو اقتصر بالثانیة کفی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بها بدون قصد الاستحباب أو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الاقتصار علی الاُولی، فیأتی بالثانیة أیضاً، نعم، لا بأس بالاقتصار علی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الاقتصار علی الاُولی، ولا بأس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ترکها فی هذه الصورة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الاقتصار علی الاُولی، نعم، لا بأس بالاقتصار علی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لزوماً عدم ترک الصیغة الثانیة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الإتیان بها مطلقاً ، سواء کانت بعد الاُولی أو مجردّة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بمعنی کونها جزءاً</w:t>
      </w:r>
      <w:r>
        <w:rPr>
          <w:rStyle w:val="FootnoteAnchor"/>
          <w:rtl w:val="true"/>
        </w:rPr>
        <w:footnoteReference w:id="1085"/>
      </w:r>
      <w:r>
        <w:rPr>
          <w:rFonts w:ascii="Amiri" w:hAnsi="Amiri" w:eastAsia="Amiri" w:cs="Amiri"/>
          <w:color w:val="111111"/>
          <w:sz w:val="28"/>
          <w:sz w:val="28"/>
          <w:szCs w:val="28"/>
          <w:rtl w:val="true"/>
          <w:lang w:bidi="ar-SA"/>
        </w:rPr>
        <w:t>مستحبّیّاً</w:t>
      </w:r>
      <w:r>
        <w:rPr>
          <w:rStyle w:val="FootnoteAnchor"/>
          <w:rtl w:val="true"/>
        </w:rPr>
        <w:footnoteReference w:id="10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تأمّل، بل الأظهر کونه من المستحبّات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خارجاً، وإن قدّم الثانیة اقتصر علیها</w:t>
      </w:r>
      <w:r>
        <w:rPr>
          <w:rFonts w:eastAsia="IRNazanin" w:cs="IRNazanin"/>
          <w:color w:val="111111"/>
          <w:sz w:val="28"/>
          <w:szCs w:val="28"/>
          <w:rtl w:val="true"/>
          <w:lang w:bidi="fa-IR"/>
        </w:rPr>
        <w:t>.</w:t>
      </w:r>
      <w:bookmarkStart w:id="938" w:name="pg13278_326680"/>
    </w:p>
    <w:p>
      <w:pPr>
        <w:pStyle w:val="Heading3"/>
        <w:numPr>
          <w:ilvl w:val="2"/>
          <w:numId w:val="1"/>
        </w:numPr>
        <w:rPr/>
      </w:pPr>
      <w:bookmarkStart w:id="939" w:name="__RefHeading___Toc1841289_2322387425"/>
      <w:bookmarkStart w:id="940" w:name="_Toc362"/>
      <w:bookmarkEnd w:id="938"/>
      <w:bookmarkEnd w:id="939"/>
      <w:r>
        <w:rPr>
          <w:rtl w:val="true"/>
        </w:rPr>
        <w:t>حکم تأدیته</w:t>
      </w:r>
      <w:bookmarkEnd w:id="940"/>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صیغ السلام، بل هو من توابع التشهّد</w:t>
      </w:r>
      <w:r>
        <w:rPr>
          <w:rStyle w:val="FootnoteAnchor"/>
          <w:rtl w:val="true"/>
        </w:rPr>
        <w:footnoteReference w:id="1087"/>
      </w:r>
      <w:r>
        <w:rPr>
          <w:rFonts w:ascii="IRNazanin" w:hAnsi="IRNazanin" w:eastAsia="IRNazanin"/>
          <w:color w:val="111111"/>
          <w:sz w:val="28"/>
          <w:sz w:val="28"/>
          <w:szCs w:val="28"/>
          <w:rtl w:val="true"/>
          <w:lang w:bidi="fa-IR"/>
        </w:rPr>
        <w:t>، ولیس واجباً، بل هو مستحبّ، وإن کان الأحوط</w:t>
      </w:r>
      <w:r>
        <w:rPr>
          <w:rStyle w:val="FootnoteAnchor"/>
          <w:rtl w:val="true"/>
        </w:rPr>
        <w:footnoteReference w:id="1088"/>
      </w:r>
      <w:r>
        <w:rPr>
          <w:rFonts w:ascii="IRNazanin" w:hAnsi="IRNazanin" w:eastAsia="IRNazanin"/>
          <w:color w:val="111111"/>
          <w:sz w:val="28"/>
          <w:sz w:val="28"/>
          <w:szCs w:val="28"/>
          <w:rtl w:val="true"/>
          <w:lang w:bidi="fa-IR"/>
        </w:rPr>
        <w:t>عدم ترکه؛ لوجود القائل بوجوبه، ویکفی فی الصیغة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الأحوط</w:t>
      </w:r>
      <w:r>
        <w:rPr>
          <w:rStyle w:val="FootnoteAnchor"/>
          <w:rtl w:val="true"/>
        </w:rPr>
        <w:footnoteReference w:id="10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المرعشی، تقی القمّی،اللنکرانی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آل یاسین، صدر الدین الصدر، الإصطهباناتی، البروجردی ، الشاهرودی ،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الجمع بین الصیغتین بالترتیب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فیه المحافظة علی أداء الحروف والکلمات علی النهج الصحیح مع العربیّة والموالاة، والأقوی عدم کفایة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الألف واللام</w:t>
      </w:r>
      <w:r>
        <w:rPr>
          <w:rFonts w:eastAsia="IRNazanin" w:cs="IRNazanin"/>
          <w:color w:val="111111"/>
          <w:sz w:val="28"/>
          <w:szCs w:val="28"/>
          <w:rtl w:val="true"/>
          <w:lang w:bidi="fa-IR"/>
        </w:rPr>
        <w:t>.</w:t>
      </w:r>
    </w:p>
    <w:p>
      <w:pPr>
        <w:pStyle w:val="Heading3"/>
        <w:numPr>
          <w:ilvl w:val="2"/>
          <w:numId w:val="1"/>
        </w:numPr>
        <w:rPr/>
      </w:pPr>
      <w:bookmarkStart w:id="941" w:name="__RefHeading___Toc1841291_2322387425"/>
      <w:bookmarkStart w:id="942" w:name="_Toc363"/>
      <w:bookmarkEnd w:id="941"/>
      <w:r>
        <w:rPr>
          <w:rtl w:val="true"/>
        </w:rPr>
        <w:t>حکم الصلاة فی الحدث أو الإتیان ببعض المنافیات قبل السلام</w:t>
      </w:r>
      <w:bookmarkEnd w:id="94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w:t>
      </w:r>
      <w:r>
        <w:rPr>
          <w:rStyle w:val="FootnoteAnchor"/>
          <w:rtl w:val="true"/>
        </w:rPr>
        <w:footnoteReference w:id="1090"/>
      </w:r>
      <w:r>
        <w:rPr>
          <w:rFonts w:ascii="IRNazanin" w:hAnsi="IRNazanin" w:eastAsia="IRNazanin"/>
          <w:color w:val="111111"/>
          <w:sz w:val="28"/>
          <w:sz w:val="28"/>
          <w:szCs w:val="28"/>
          <w:rtl w:val="true"/>
          <w:lang w:bidi="fa-IR"/>
        </w:rPr>
        <w:t>أو أتی ببعض المنافیات الاُخر قبل السلام بطلت</w:t>
      </w:r>
      <w:r>
        <w:rPr>
          <w:rStyle w:val="FootnoteAnchor"/>
          <w:rtl w:val="true"/>
        </w:rPr>
        <w:footnoteReference w:id="1091"/>
      </w:r>
      <w:r>
        <w:rPr>
          <w:rFonts w:ascii="IRNazanin" w:hAnsi="IRNazanin" w:eastAsia="IRNazanin"/>
          <w:color w:val="111111"/>
          <w:sz w:val="28"/>
          <w:sz w:val="28"/>
          <w:szCs w:val="28"/>
          <w:rtl w:val="true"/>
          <w:lang w:bidi="fa-IR"/>
        </w:rPr>
        <w:t>الصلاة، نعم، لو کان ذلک بعد نسیانه</w:t>
      </w:r>
      <w:r>
        <w:rPr>
          <w:rStyle w:val="FootnoteAnchor"/>
          <w:rtl w:val="true"/>
        </w:rPr>
        <w:footnoteReference w:id="1092"/>
      </w:r>
      <w:r>
        <w:rPr>
          <w:rFonts w:ascii="IRNazanin" w:hAnsi="IRNazanin" w:eastAsia="IRNazanin"/>
          <w:color w:val="111111"/>
          <w:sz w:val="28"/>
          <w:sz w:val="28"/>
          <w:szCs w:val="28"/>
          <w:rtl w:val="true"/>
          <w:lang w:bidi="fa-IR"/>
        </w:rPr>
        <w:t xml:space="preserve">بأن </w:t>
      </w:r>
    </w:p>
    <w:p>
      <w:pPr>
        <w:pStyle w:val="BookText"/>
        <w:rPr/>
      </w:pPr>
      <w:r>
        <w:rPr>
          <w:rFonts w:ascii="Amiri" w:hAnsi="Amiri" w:eastAsia="Amiri" w:cs="Amiri"/>
          <w:color w:val="111111"/>
          <w:sz w:val="28"/>
          <w:sz w:val="28"/>
          <w:szCs w:val="28"/>
          <w:rtl w:val="true"/>
          <w:lang w:bidi="ar-SA"/>
        </w:rPr>
        <w:t>اعتقد خروجه من الصلاة</w:t>
      </w:r>
      <w:r>
        <w:rPr>
          <w:rStyle w:val="FootnoteAnchor"/>
          <w:rtl w:val="true"/>
        </w:rPr>
        <w:footnoteReference w:id="1093"/>
      </w:r>
      <w:r>
        <w:rPr>
          <w:rFonts w:ascii="IRNazanin" w:hAnsi="IRNazanin" w:eastAsia="IRNazanin"/>
          <w:color w:val="111111"/>
          <w:sz w:val="28"/>
          <w:sz w:val="28"/>
          <w:szCs w:val="28"/>
          <w:rtl w:val="true"/>
          <w:lang w:bidi="fa-IR"/>
        </w:rPr>
        <w:t>لم تبطل</w:t>
      </w:r>
      <w:r>
        <w:rPr>
          <w:rStyle w:val="FootnoteAnchor"/>
          <w:rtl w:val="true"/>
        </w:rPr>
        <w:footnoteReference w:id="10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تبطل مطلقاً،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البطلان؛ لعین ما ذکرنا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ذلک، والفرق المزبور بین الصورتین لا یخلو من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الاحتیاط بإعادة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تبطل،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الاحتیاط بالإعادة، والفرق غیر وجیه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یُترک الاحتیاط بإعادة الصلاة، کما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التأمّل فیه، ولزوم الاحتیاط بالنحو المتقدّم، والفرق المزبور محلّ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ذلک بعد فوات الموالاة، وبهِ یتمّ الفرق المذکور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تبطل،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تبطل علی الأقوی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تبطل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کانت الموالاة وصورة الصلاة باقیة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نسیان السلام لا یکون موجباً للخروج عن الصلاة، فالحدث أو الإتیان بالمنافیات الاُخر واقع فی أثناء الصلاة، والفرق الذی ذکره فی المتن غیر وجیه؛ لعدم کون الحدث خارج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البطلان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الراجح هو الإعادة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مرّ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قبل فوات الموالاة، وفی الفرق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لزوم الاحتیاط بالإعادة بعد الإتیان بسجدتَی السهو، وما ذکره قدس‌سره من الفرق مشکل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ذلک، وأنّه لابدّ من إعادة الصلاة، سواء فاتت الموالاة قبل المنافی أم لا علی الأحوط،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أنّه مشکل، والأحوط إعادة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المنافی بعد فوات الموالاة، وأمّا إن کان قبل فوات الموالاة فلا یخلو من شائبة إشکال، فلا یُترک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عدم البطلان إشکال؛ للشبهة فی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التفصیل فی أوّل البحث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w:t>
      </w:r>
      <w:r>
        <w:rPr>
          <w:rStyle w:val="FootnoteAnchor"/>
          <w:rtl w:val="true"/>
        </w:rPr>
        <w:footnoteReference w:id="1095"/>
      </w:r>
      <w:r>
        <w:rPr>
          <w:rFonts w:ascii="IRNazanin" w:hAnsi="IRNazanin" w:eastAsia="IRNazanin"/>
          <w:color w:val="111111"/>
          <w:sz w:val="28"/>
          <w:sz w:val="28"/>
          <w:szCs w:val="28"/>
          <w:rtl w:val="true"/>
          <w:lang w:bidi="fa-IR"/>
        </w:rPr>
        <w:t>أنّ مع الأوّل یصدق الحدث فی الأثناء</w:t>
      </w:r>
      <w:r>
        <w:rPr>
          <w:rStyle w:val="FootnoteAnchor"/>
          <w:rtl w:val="true"/>
        </w:rPr>
        <w:footnoteReference w:id="1096"/>
      </w:r>
      <w:r>
        <w:rPr>
          <w:rFonts w:ascii="IRNazanin" w:hAnsi="IRNazanin" w:eastAsia="IRNazanin"/>
          <w:color w:val="111111"/>
          <w:sz w:val="28"/>
          <w:sz w:val="28"/>
          <w:szCs w:val="28"/>
          <w:rtl w:val="true"/>
          <w:lang w:bidi="fa-IR"/>
        </w:rPr>
        <w:t>، ومع الثانی لا یصدق؛ لأنّ المفروض</w:t>
      </w:r>
      <w:r>
        <w:rPr>
          <w:rStyle w:val="FootnoteAnchor"/>
          <w:rtl w:val="true"/>
        </w:rPr>
        <w:footnoteReference w:id="1097"/>
      </w:r>
      <w:r>
        <w:rPr>
          <w:rFonts w:ascii="Amiri" w:hAnsi="Amiri" w:eastAsia="Amiri" w:cs="Amiri"/>
          <w:color w:val="111111"/>
          <w:sz w:val="28"/>
          <w:sz w:val="28"/>
          <w:szCs w:val="28"/>
          <w:rtl w:val="true"/>
          <w:lang w:bidi="ar-SA"/>
        </w:rPr>
        <w:t xml:space="preserve">أ نّه ترک نسیاناً جزءاً غیر رکنیّ، </w:t>
      </w:r>
      <w:bookmarkStart w:id="943" w:name="pg13278_326683"/>
    </w:p>
    <w:p>
      <w:pPr>
        <w:pStyle w:val="BookText"/>
        <w:rPr/>
      </w:pPr>
      <w:bookmarkEnd w:id="943"/>
      <w:r>
        <w:rPr>
          <w:rFonts w:ascii="IRNazanin" w:hAnsi="IRNazanin" w:eastAsia="IRNazanin"/>
          <w:color w:val="111111"/>
          <w:sz w:val="28"/>
          <w:sz w:val="28"/>
          <w:szCs w:val="28"/>
          <w:rtl w:val="true"/>
          <w:lang w:bidi="fa-IR"/>
        </w:rPr>
        <w:t>فیکون</w:t>
      </w:r>
      <w:r>
        <w:rPr>
          <w:rStyle w:val="FootnoteAnchor"/>
          <w:rtl w:val="true"/>
        </w:rPr>
        <w:footnoteReference w:id="1098"/>
      </w:r>
      <w:r>
        <w:rPr>
          <w:rFonts w:ascii="Amiri" w:hAnsi="Amiri" w:eastAsia="Amiri" w:cs="Amiri"/>
          <w:color w:val="111111"/>
          <w:sz w:val="28"/>
          <w:sz w:val="28"/>
          <w:szCs w:val="28"/>
          <w:rtl w:val="true"/>
          <w:lang w:bidi="ar-SA"/>
        </w:rPr>
        <w:t>الحدث خارج الصلاة</w:t>
      </w:r>
      <w:r>
        <w:rPr>
          <w:rStyle w:val="FootnoteAnchor"/>
          <w:rtl w:val="true"/>
        </w:rPr>
        <w:footnoteReference w:id="10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Heading3"/>
        <w:numPr>
          <w:ilvl w:val="2"/>
          <w:numId w:val="1"/>
        </w:numPr>
        <w:rPr/>
      </w:pPr>
      <w:bookmarkStart w:id="944" w:name="__RefHeading___Toc1841293_2322387425"/>
      <w:bookmarkStart w:id="945" w:name="_Toc364"/>
      <w:bookmarkEnd w:id="944"/>
      <w:r>
        <w:rPr>
          <w:rtl w:val="true"/>
        </w:rPr>
        <w:t>ما لا یشترط فی التسلیم</w:t>
      </w:r>
      <w:bookmarkEnd w:id="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w:t>
      </w:r>
      <w:r>
        <w:rPr>
          <w:rStyle w:val="FootnoteAnchor"/>
          <w:rtl w:val="true"/>
        </w:rPr>
        <w:footnoteReference w:id="1100"/>
      </w:r>
      <w:r>
        <w:rPr>
          <w:rFonts w:ascii="IRNazanin" w:hAnsi="IRNazanin" w:eastAsia="IRNazanin"/>
          <w:color w:val="111111"/>
          <w:sz w:val="28"/>
          <w:sz w:val="28"/>
          <w:szCs w:val="28"/>
          <w:rtl w:val="true"/>
          <w:lang w:bidi="fa-IR"/>
        </w:rPr>
        <w:t>فیه</w:t>
      </w:r>
      <w:r>
        <w:rPr>
          <w:rStyle w:val="FootnoteAnchor"/>
          <w:rtl w:val="true"/>
        </w:rPr>
        <w:footnoteReference w:id="1101"/>
      </w:r>
      <w:r>
        <w:rPr>
          <w:rFonts w:ascii="IRNazanin" w:hAnsi="IRNazanin" w:eastAsia="IRNazanin"/>
          <w:color w:val="111111"/>
          <w:sz w:val="28"/>
          <w:sz w:val="28"/>
          <w:szCs w:val="28"/>
          <w:rtl w:val="true"/>
          <w:lang w:bidi="fa-IR"/>
        </w:rPr>
        <w:t>نیّة الخروج من الصلاة، بل هو مُخرِج قهراً وإن قصد عدم الخروج</w:t>
      </w:r>
      <w:r>
        <w:rPr>
          <w:rStyle w:val="FootnoteAnchor"/>
          <w:rtl w:val="true"/>
        </w:rPr>
        <w:footnoteReference w:id="1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الأوّل إلی عدم قصد الامتثال أو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قصد عدم</w:t>
      </w:r>
      <w:bookmarkStart w:id="946" w:name="pg13278_326684"/>
    </w:p>
    <w:p>
      <w:pPr>
        <w:pStyle w:val="BookText"/>
        <w:rPr/>
      </w:pPr>
      <w:bookmarkEnd w:id="946"/>
      <w:r>
        <w:rPr>
          <w:rFonts w:ascii="IRNazanin" w:hAnsi="IRNazanin" w:eastAsia="IRNazanin"/>
          <w:color w:val="111111"/>
          <w:sz w:val="28"/>
          <w:sz w:val="28"/>
          <w:szCs w:val="28"/>
          <w:rtl w:val="true"/>
          <w:lang w:bidi="fa-IR"/>
        </w:rPr>
        <w:t>الخروج، بل لو قصد ذلک فالأحوط</w:t>
      </w:r>
      <w:r>
        <w:rPr>
          <w:rStyle w:val="FootnoteAnchor"/>
          <w:rtl w:val="true"/>
        </w:rPr>
        <w:footnoteReference w:id="1103"/>
      </w:r>
      <w:r>
        <w:rPr>
          <w:rFonts w:ascii="Amiri" w:hAnsi="Amiri" w:eastAsia="Amiri" w:cs="Amiri"/>
          <w:color w:val="111111"/>
          <w:sz w:val="28"/>
          <w:sz w:val="28"/>
          <w:szCs w:val="28"/>
          <w:rtl w:val="true"/>
          <w:lang w:bidi="ar-SA"/>
        </w:rPr>
        <w:t>إعادة الصلاة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841295_2322387425"/>
      <w:bookmarkStart w:id="948" w:name="_Toc365"/>
      <w:bookmarkEnd w:id="947"/>
      <w:r>
        <w:rPr>
          <w:rtl w:val="true"/>
        </w:rPr>
        <w:t>حکم تعلم صیغة التسلیم</w:t>
      </w:r>
      <w:bookmarkEnd w:id="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تعلّم السلام علی نحو ما مرّ فی التشهّد، وقبله یجب متابعة الملقّن</w:t>
      </w:r>
      <w:r>
        <w:rPr>
          <w:rStyle w:val="FootnoteAnchor"/>
          <w:rtl w:val="true"/>
        </w:rPr>
        <w:footnoteReference w:id="1105"/>
      </w:r>
      <w:r>
        <w:rPr>
          <w:rFonts w:ascii="IRNazanin" w:hAnsi="IRNazanin" w:eastAsia="IRNazanin"/>
          <w:color w:val="111111"/>
          <w:sz w:val="28"/>
          <w:sz w:val="28"/>
          <w:szCs w:val="28"/>
          <w:rtl w:val="true"/>
          <w:lang w:bidi="fa-IR"/>
        </w:rPr>
        <w:t>إن کان، وإلاّ اکتفی</w:t>
      </w:r>
      <w:r>
        <w:rPr>
          <w:rStyle w:val="FootnoteAnchor"/>
          <w:rtl w:val="true"/>
        </w:rPr>
        <w:footnoteReference w:id="1106"/>
      </w:r>
      <w:r>
        <w:rPr>
          <w:rFonts w:ascii="Amiri" w:hAnsi="Amiri" w:eastAsia="Amiri" w:cs="Amiri"/>
          <w:color w:val="111111"/>
          <w:sz w:val="28"/>
          <w:sz w:val="28"/>
          <w:szCs w:val="28"/>
          <w:rtl w:val="true"/>
          <w:lang w:bidi="ar-SA"/>
        </w:rPr>
        <w:t>بالترجمة</w:t>
      </w:r>
      <w:r>
        <w:rPr>
          <w:rStyle w:val="FootnoteAnchor"/>
          <w:rtl w:val="true"/>
        </w:rPr>
        <w:footnoteReference w:id="1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یقدر علی الأصل ولو ملحوناً ـ کما مرّ فی التشهّد ـ وحکم عدم التمکّن من تعلّم بعضه مع القدرة علی بعضه یعلم من العجز عن الکلّ ولو ملحوناً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الترجمة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وجوبها کوجوب الترجمة فی التشهّد مبنیّ علی الاحتیاط، وقد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949" w:name="__RefHeading___Toc1841297_2322387425"/>
      <w:bookmarkStart w:id="950" w:name="_Toc366"/>
      <w:bookmarkEnd w:id="949"/>
      <w:r>
        <w:rPr>
          <w:rtl w:val="true"/>
        </w:rPr>
        <w:t>حکم العاجز عن التسلیم و الأخرس</w:t>
      </w:r>
      <w:bookmarkEnd w:id="950"/>
    </w:p>
    <w:p>
      <w:pPr>
        <w:pStyle w:val="BookText"/>
        <w:rPr/>
      </w:pPr>
      <w:r>
        <w:rPr>
          <w:rFonts w:ascii="IRNazanin" w:hAnsi="IRNazanin" w:eastAsia="IRNazanin"/>
          <w:color w:val="111111"/>
          <w:sz w:val="28"/>
          <w:sz w:val="28"/>
          <w:szCs w:val="28"/>
          <w:rtl w:val="true"/>
          <w:lang w:bidi="fa-IR"/>
        </w:rPr>
        <w:t>وإن عجز فبالقلب ینویه مع الإشارة بالید</w:t>
      </w:r>
      <w:r>
        <w:rPr>
          <w:rStyle w:val="FootnoteAnchor"/>
          <w:rtl w:val="true"/>
        </w:rPr>
        <w:footnoteReference w:id="1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القدماء مَن أضاف علیها التحریک باللسان ـ کما مرّ فی التشهّد ـ وهو وجه حسن غیر ملزم به، والتزام بما لا ملزم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یُخطِر ألفاظه بالبال، ویشیر إلیها بالید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bookmarkStart w:id="951" w:name="pg13278_326685"/>
    </w:p>
    <w:p>
      <w:pPr>
        <w:pStyle w:val="Heading3"/>
        <w:numPr>
          <w:ilvl w:val="2"/>
          <w:numId w:val="1"/>
        </w:numPr>
        <w:rPr/>
      </w:pPr>
      <w:bookmarkStart w:id="952" w:name="__RefHeading___Toc1841299_2322387425"/>
      <w:bookmarkStart w:id="953" w:name="_Toc367"/>
      <w:bookmarkEnd w:id="951"/>
      <w:bookmarkEnd w:id="952"/>
      <w:r>
        <w:rPr>
          <w:rtl w:val="true"/>
        </w:rPr>
        <w:t>مستحبات الجلوس فیه</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التورّک فی الجلوس حاله</w:t>
      </w:r>
      <w:r>
        <w:rPr>
          <w:rStyle w:val="FootnoteAnchor"/>
          <w:rtl w:val="true"/>
        </w:rPr>
        <w:footnoteReference w:id="1109"/>
      </w:r>
      <w:r>
        <w:rPr>
          <w:rFonts w:ascii="IRNazanin" w:hAnsi="IRNazanin" w:eastAsia="IRNazanin"/>
          <w:color w:val="111111"/>
          <w:sz w:val="28"/>
          <w:sz w:val="28"/>
          <w:szCs w:val="28"/>
          <w:rtl w:val="true"/>
          <w:lang w:bidi="fa-IR"/>
        </w:rPr>
        <w:t>علی نحو ما مرّ، ووضع الیدین علی الفخذین، ویکره الإقعاء</w:t>
      </w:r>
      <w:r>
        <w:rPr>
          <w:rStyle w:val="FootnoteAnchor"/>
          <w:rtl w:val="true"/>
        </w:rPr>
        <w:footnoteReference w:id="1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المختار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الاحتیاط فی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بتفسیره الثانی المتقدّم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الاحتیاط فی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1841301_2322387425"/>
      <w:bookmarkStart w:id="955" w:name="_Toc368"/>
      <w:bookmarkEnd w:id="954"/>
      <w:r>
        <w:rPr>
          <w:rtl w:val="true"/>
        </w:rPr>
        <w:t>کفایة الإخطار الإجمالی بالبال فی السلام</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1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استعمال اللفظ فی ما یستعمل فیه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وجوب القصد ولو إجمالاً إلی معنی الکلام علی حسب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قصد ما هو مدلول الکلام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 یجرّده عن التحیّة، بل یأتی به بقصد ما هو المطلوب شرعاً ولو ارتکازاً، کما هو المتعارف عند عامّة المکلّفین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القصد له وجه، ولکن لا یُترک الاحتیاط بالترک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بالتسلیم التحیّة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مرتبط بالسلام والصلاة فلا محلّ لذکره هنا لو سلّمنا تعقّل انفکاکه عن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السلام المحلِّل ذات هذه الألفاظ مجرّدة عن کلّ قید، لا بقید التجرّد، فله أن یقصد ما قصده الشارع، أو یقصد الإمام المأمومین، وبالعکس، ولکلٍّ منهما أن یقصد المَلَکَین، نعم، لو قصد تحیّة الحاضرین أو الداخلین أو ردّ سلامٍ مفردٍ أو جماعةٍ کان للإشکال مجال، والأحوط الترک</w:t>
      </w:r>
      <w:r>
        <w:rPr>
          <w:rFonts w:eastAsia="IRNazanin" w:cs="IRNazanin"/>
          <w:color w:val="111111"/>
          <w:sz w:val="28"/>
          <w:szCs w:val="28"/>
          <w:rtl w:val="true"/>
          <w:lang w:bidi="fa-IR"/>
        </w:rPr>
        <w:t>.</w:t>
      </w:r>
      <w:bookmarkStart w:id="956" w:name="pg13278_326686"/>
    </w:p>
    <w:p>
      <w:pPr>
        <w:pStyle w:val="BookText"/>
        <w:rPr/>
      </w:pPr>
      <w:bookmarkEnd w:id="956"/>
      <w:r>
        <w:rPr>
          <w:rFonts w:ascii="Amiri" w:hAnsi="Amiri" w:eastAsia="Amiri" w:cs="Amiri"/>
          <w:color w:val="111111"/>
          <w:sz w:val="28"/>
          <w:sz w:val="28"/>
          <w:szCs w:val="28"/>
          <w:rtl w:val="true"/>
          <w:lang w:bidi="ar-SA"/>
        </w:rPr>
        <w:t>حقیقةً</w:t>
      </w:r>
      <w:r>
        <w:rPr>
          <w:rStyle w:val="FootnoteAnchor"/>
          <w:rtl w:val="true"/>
        </w:rPr>
        <w:footnoteReference w:id="1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إذا قصد به تحیّة المقصودین بها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یقصد بألفاظ التسلیم معانیها المقصودة فی الشریعة، کسائر ألفاظ الصلاة، ویکفی هذا القصد الإجمالی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الأولی أن یقصد ولو إجمالاً لتحیّة من شرع التسلیم لتحیّته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بأن یقصد السلام علی الإمام أو المأمومین أو المَلَکَین، نعم، لا بأس بإخطار ذلک بالبال، فالمنفرد یخطر بباله المَلَکَین الکاتِبَین حین السلام الثانی، والإمام یُخطِرهما مع المأمومین، والمأموم یُخطِرهم مع الإمام،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یُخطِر بباله الأنبیاء والأئمّة علیهم‌السلام والحفظة</w:t>
      </w:r>
      <w:r>
        <w:rPr>
          <w:rFonts w:eastAsia="IRNazanin" w:cs="IRNazanin"/>
          <w:color w:val="111111"/>
          <w:sz w:val="28"/>
          <w:szCs w:val="28"/>
          <w:rtl w:val="true"/>
          <w:lang w:bidi="fa-IR"/>
        </w:rPr>
        <w:t>.</w:t>
      </w:r>
    </w:p>
    <w:p>
      <w:pPr>
        <w:pStyle w:val="Heading3"/>
        <w:numPr>
          <w:ilvl w:val="2"/>
          <w:numId w:val="1"/>
        </w:numPr>
        <w:rPr/>
      </w:pPr>
      <w:bookmarkStart w:id="957" w:name="__RefHeading___Toc1841303_2322387425"/>
      <w:bookmarkStart w:id="958" w:name="_Toc369"/>
      <w:bookmarkEnd w:id="957"/>
      <w:r>
        <w:rPr>
          <w:rtl w:val="true"/>
        </w:rPr>
        <w:t>استحباب الإیماء بالتسلیم</w:t>
      </w:r>
      <w:bookmarkEnd w:id="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للمنفرد</w:t>
      </w:r>
      <w:r>
        <w:rPr>
          <w:rStyle w:val="FootnoteAnchor"/>
          <w:rtl w:val="true"/>
        </w:rPr>
        <w:footnoteReference w:id="1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الإتیان بالکیفیّة المذکورة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والأولی قصد الرجاء بهذا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الإیماء بالتسلیم</w:t>
      </w:r>
      <w:bookmarkStart w:id="959" w:name="pg13278_326687"/>
    </w:p>
    <w:p>
      <w:pPr>
        <w:pStyle w:val="BookText"/>
        <w:rPr/>
      </w:pPr>
      <w:bookmarkEnd w:id="959"/>
      <w:r>
        <w:rPr>
          <w:rFonts w:ascii="IRNazanin" w:hAnsi="IRNazanin" w:eastAsia="IRNazanin"/>
          <w:color w:val="111111"/>
          <w:sz w:val="28"/>
          <w:sz w:val="28"/>
          <w:szCs w:val="28"/>
          <w:rtl w:val="true"/>
          <w:lang w:bidi="fa-IR"/>
        </w:rPr>
        <w:t>الأخیر</w:t>
      </w:r>
      <w:r>
        <w:rPr>
          <w:rStyle w:val="FootnoteAnchor"/>
          <w:rtl w:val="true"/>
        </w:rPr>
        <w:footnoteReference w:id="1114"/>
      </w:r>
      <w:r>
        <w:rPr>
          <w:rFonts w:ascii="IRNazanin" w:hAnsi="IRNazanin" w:eastAsia="IRNazanin"/>
          <w:color w:val="111111"/>
          <w:sz w:val="28"/>
          <w:sz w:val="28"/>
          <w:szCs w:val="28"/>
          <w:rtl w:val="true"/>
          <w:lang w:bidi="fa-IR"/>
        </w:rPr>
        <w:t>إلی یمینه بموءخّر عینه أو بأنفه أو غیرهما علی وجه لا ینافی الاستقبال، وأمّا المأموم فإن لم یکن علی یساره أحد فکذلک، وإن کان علی یساره بعض المأمومین فیأتی بتسلیمة اُخری مومئاً إلی یساره، ویحتمل استحباب تسلیم آخر للمأموم بقصد الإمام فیکون ثلاث مرّات</w:t>
      </w:r>
      <w:r>
        <w:rPr>
          <w:rFonts w:eastAsia="IRNazanin" w:cs="IRNazanin"/>
          <w:color w:val="111111"/>
          <w:sz w:val="28"/>
          <w:szCs w:val="28"/>
          <w:rtl w:val="true"/>
          <w:lang w:bidi="fa-IR"/>
        </w:rPr>
        <w:t>.</w:t>
      </w:r>
    </w:p>
    <w:p>
      <w:pPr>
        <w:pStyle w:val="Heading3"/>
        <w:numPr>
          <w:ilvl w:val="2"/>
          <w:numId w:val="1"/>
        </w:numPr>
        <w:rPr/>
      </w:pPr>
      <w:bookmarkStart w:id="960" w:name="__RefHeading___Toc1841305_2322387425"/>
      <w:bookmarkStart w:id="961" w:name="_Toc370"/>
      <w:bookmarkEnd w:id="960"/>
      <w:r>
        <w:rPr>
          <w:rtl w:val="true"/>
        </w:rPr>
        <w:t>فی ما لو دخل وقت الصلاة أثناء التسلیم</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سابقاً فی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شرع فی الصلاة قبل الوقت ودخل علیه وهو فی الصلاة صحّت</w:t>
      </w:r>
      <w:r>
        <w:rPr>
          <w:rStyle w:val="FootnoteAnchor"/>
          <w:rtl w:val="true"/>
        </w:rPr>
        <w:footnoteReference w:id="1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الإشکال فی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صلاته، 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فی أثنائه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الأحوط قصر الحکم بالصحّة علی ما إذا دخل علیه الوقت قبل الفراغ من التشهّد الواجب،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 بالسلام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ودخل علیه الوقت فی أثنائه تصحّ صلاته، وأمّا إذا دخل بعده قبل السلام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الإعادة فی هذه الصورة؛ لِمَا تقدّم من عدم کون الثانی جزءاً علی تقدیر الإتیان بالأول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أثنائه</w:t>
      </w:r>
    </w:p>
    <w:p>
      <w:pPr>
        <w:pStyle w:val="BookText"/>
        <w:rPr/>
      </w:pPr>
      <w:r>
        <w:rPr>
          <w:rFonts w:ascii="IRNazanin" w:hAnsi="IRNazanin" w:eastAsia="IRNazanin"/>
          <w:color w:val="111111"/>
          <w:sz w:val="28"/>
          <w:sz w:val="28"/>
          <w:szCs w:val="28"/>
          <w:rtl w:val="true"/>
          <w:lang w:bidi="fa-IR"/>
        </w:rPr>
        <w:t>ففیه إشکال، وإن کان یمکن القول بالصحّة</w:t>
      </w:r>
      <w:r>
        <w:rPr>
          <w:rStyle w:val="FootnoteAnchor"/>
          <w:rtl w:val="true"/>
        </w:rPr>
        <w:footnoteReference w:id="1116"/>
      </w:r>
      <w:r>
        <w:rPr>
          <w:rFonts w:ascii="IRNazanin" w:hAnsi="IRNazanin" w:eastAsia="IRNazanin"/>
          <w:color w:val="111111"/>
          <w:sz w:val="28"/>
          <w:sz w:val="28"/>
          <w:szCs w:val="28"/>
          <w:rtl w:val="true"/>
          <w:lang w:bidi="fa-IR"/>
        </w:rPr>
        <w:t>لأنّه وإن کان یکفی الأوّل فی الخروج عن الصلاة لکن علی فرض الإتیان بالصیغتین یکون الثانی أیضاً جزءاً، فیصدق</w:t>
      </w:r>
      <w:r>
        <w:rPr>
          <w:rStyle w:val="FootnoteAnchor"/>
          <w:rtl w:val="true"/>
        </w:rPr>
        <w:footnoteReference w:id="1117"/>
      </w:r>
      <w:r>
        <w:rPr>
          <w:rFonts w:ascii="IRNazanin" w:hAnsi="IRNazanin" w:eastAsia="IRNazanin"/>
          <w:color w:val="111111"/>
          <w:sz w:val="28"/>
          <w:sz w:val="28"/>
          <w:szCs w:val="28"/>
          <w:rtl w:val="true"/>
          <w:lang w:bidi="fa-IR"/>
        </w:rPr>
        <w:t>دخول الوقت فی الأثناء، فالأحوط</w:t>
      </w:r>
      <w:r>
        <w:rPr>
          <w:rStyle w:val="FootnoteAnchor"/>
          <w:rtl w:val="true"/>
        </w:rPr>
        <w:footnoteReference w:id="1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 البروجردی، أحمد الخونساری، الخمینی، المرعشی، الآملی، محمدرضا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وکون الثانی جزءاً مع الخروج عن الصلاة بالأول متنافیان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2" w:name="pg13278_326689"/>
    </w:p>
    <w:p>
      <w:pPr>
        <w:pStyle w:val="Heading2"/>
        <w:numPr>
          <w:ilvl w:val="1"/>
          <w:numId w:val="1"/>
        </w:numPr>
        <w:rPr/>
      </w:pPr>
      <w:bookmarkStart w:id="963" w:name="__RefHeading___Toc1841307_2322387425"/>
      <w:bookmarkStart w:id="964" w:name="_Toc371"/>
      <w:bookmarkEnd w:id="962"/>
      <w:bookmarkEnd w:id="963"/>
      <w:r>
        <w:rPr>
          <w:rtl w:val="true"/>
        </w:rPr>
        <w:t>فصل فی الترتیب</w:t>
      </w:r>
      <w:bookmarkEnd w:id="964"/>
    </w:p>
    <w:p>
      <w:pPr>
        <w:pStyle w:val="Heading3"/>
        <w:numPr>
          <w:ilvl w:val="2"/>
          <w:numId w:val="1"/>
        </w:numPr>
        <w:rPr/>
      </w:pPr>
      <w:bookmarkStart w:id="965" w:name="__RefHeading___Toc1841309_2322387425"/>
      <w:bookmarkStart w:id="966" w:name="_Toc372"/>
      <w:bookmarkEnd w:id="965"/>
      <w:r>
        <w:rPr>
          <w:rtl w:val="true"/>
        </w:rPr>
        <w:t>حکم الترتیب بین الأفغال اصلاة</w:t>
      </w:r>
      <w:bookmarkEnd w:id="96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الإتیان بأفعال الصلاة علی حسب ما عرفت من الترتیب، بأن یقدِّم تکبیرة الإحرام علی القراءة، والقراءة علی الرکوع، وهکذا، فلو خالفه عمداً بطل ما أتی به مقدّماً، وأبطل</w:t>
      </w:r>
      <w:r>
        <w:rPr>
          <w:rStyle w:val="FootnoteAnchor"/>
          <w:rtl w:val="true"/>
        </w:rPr>
        <w:footnoteReference w:id="1119"/>
      </w:r>
      <w:r>
        <w:rPr>
          <w:rFonts w:ascii="IRNazanin" w:hAnsi="IRNazanin" w:eastAsia="IRNazanin"/>
          <w:color w:val="111111"/>
          <w:sz w:val="28"/>
          <w:sz w:val="28"/>
          <w:szCs w:val="28"/>
          <w:rtl w:val="true"/>
          <w:lang w:bidi="fa-IR"/>
        </w:rPr>
        <w:t>من جهة لزوم الزیادة</w:t>
      </w:r>
      <w:r>
        <w:rPr>
          <w:rStyle w:val="FootnoteAnchor"/>
          <w:rtl w:val="true"/>
        </w:rPr>
        <w:footnoteReference w:id="1120"/>
      </w:r>
      <w:r>
        <w:rPr>
          <w:rFonts w:ascii="IRNazanin" w:hAnsi="IRNazanin" w:eastAsia="IRNazanin"/>
          <w:color w:val="111111"/>
          <w:sz w:val="28"/>
          <w:sz w:val="28"/>
          <w:szCs w:val="28"/>
          <w:rtl w:val="true"/>
          <w:lang w:bidi="fa-IR"/>
        </w:rPr>
        <w:t>، سواء کان ذلک فی الأفعال أم الأقوال</w:t>
      </w:r>
      <w:r>
        <w:rPr>
          <w:rStyle w:val="FootnoteAnchor"/>
          <w:rtl w:val="true"/>
        </w:rPr>
        <w:footnoteReference w:id="1121"/>
      </w:r>
      <w:r>
        <w:rPr>
          <w:rFonts w:ascii="IRNazanin" w:hAnsi="IRNazanin" w:eastAsia="IRNazanin"/>
          <w:color w:val="111111"/>
          <w:sz w:val="28"/>
          <w:sz w:val="28"/>
          <w:szCs w:val="28"/>
          <w:rtl w:val="true"/>
          <w:lang w:bidi="fa-IR"/>
        </w:rPr>
        <w:t>، وفی الأرکان أو غیرها</w:t>
      </w:r>
      <w:r>
        <w:rPr>
          <w:rStyle w:val="FootnoteAnchor"/>
          <w:rtl w:val="true"/>
        </w:rPr>
        <w:footnoteReference w:id="1122"/>
      </w:r>
      <w:r>
        <w:rPr>
          <w:rFonts w:ascii="IRNazanin" w:hAnsi="IRNazanin" w:eastAsia="IRNazanin"/>
          <w:color w:val="111111"/>
          <w:sz w:val="28"/>
          <w:sz w:val="28"/>
          <w:szCs w:val="28"/>
          <w:rtl w:val="true"/>
          <w:lang w:bidi="fa-IR"/>
        </w:rPr>
        <w:t>، وإن کان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الأرکان بأن قدّم رکناً علی رکن، کما إذا قدّم السجدتین علی الرکوع فکذلک</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قدّم رکناً علی غیر الرکن، کما إذا قدّم الرکوع علی القراءة، أو قدّم غیر الرکن علی الرکن، کما إذا قدّم التشهّد علی السجدتین، أو قدّم غیر الأرکان بعضها علی بعض، کما </w:t>
      </w:r>
    </w:p>
    <w:p>
      <w:pPr>
        <w:pStyle w:val="BookText"/>
        <w:rPr/>
      </w:pPr>
      <w:r>
        <w:rPr>
          <w:rFonts w:ascii="IRNazanin" w:hAnsi="IRNazanin" w:eastAsia="IRNazanin"/>
          <w:color w:val="111111"/>
          <w:sz w:val="28"/>
          <w:sz w:val="28"/>
          <w:szCs w:val="28"/>
          <w:rtl w:val="true"/>
          <w:lang w:bidi="fa-IR"/>
        </w:rPr>
        <w:t>إذا قدّم السورة مثلاً علی الحمد فلا تبطل الصلاة إذا کان ذلک سهواً، وحینئذٍ فإن أمکن التدارک بالعود بأن لم یستلزم زیادة رکن وجب</w:t>
      </w:r>
      <w:r>
        <w:rPr>
          <w:rStyle w:val="FootnoteAnchor"/>
          <w:rtl w:val="true"/>
        </w:rPr>
        <w:footnoteReference w:id="1124"/>
      </w:r>
      <w:r>
        <w:rPr>
          <w:rFonts w:ascii="IRNazanin" w:hAnsi="IRNazanin" w:eastAsia="IRNazanin"/>
          <w:color w:val="111111"/>
          <w:sz w:val="28"/>
          <w:sz w:val="28"/>
          <w:szCs w:val="28"/>
          <w:rtl w:val="true"/>
          <w:lang w:bidi="fa-IR"/>
        </w:rPr>
        <w:t>، وإلاّ فلا، نعم، یجب</w:t>
      </w:r>
      <w:r>
        <w:rPr>
          <w:rStyle w:val="FootnoteAnchor"/>
          <w:rtl w:val="true"/>
        </w:rPr>
        <w:footnoteReference w:id="1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تقی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والأظهر العدم، إلاّ فی موارد خاصّة ستأتی فی محالّها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سجدتان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إحتیاطاً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سجدتی السهو لکلّ زیادة ونقیصة، ویأتی الکلام فیه وأنّه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وجوبهما إنّما هو فی بعض الموارد، لا فی کلّ زیادة ونقیصة علی الأقوی، کما 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سیجیء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وجوبهما لکلّ زیادة ونقیصة، وسیأتی الکلام فی المبنی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زیادة أو نقیصة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علی إطلاقه، وسیأتی الحکم فی محلّه إن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الکلّیة لیست علی الوجوب، بل علی سبیل الاستحباب، إلاّ فی موارد خاصّة، وأمر الاحتیاط واضح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وسیجیء الکلام فی لزومهما لکلٍّ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تلزم من</w:t>
      </w:r>
      <w:bookmarkStart w:id="967" w:name="pg13278_326691"/>
    </w:p>
    <w:p>
      <w:pPr>
        <w:pStyle w:val="BookText"/>
        <w:rPr/>
      </w:pPr>
      <w:bookmarkEnd w:id="967"/>
      <w:r>
        <w:rPr>
          <w:rFonts w:ascii="IRNazanin" w:hAnsi="IRNazanin" w:eastAsia="IRNazanin"/>
          <w:color w:val="111111"/>
          <w:sz w:val="28"/>
          <w:sz w:val="28"/>
          <w:szCs w:val="28"/>
          <w:rtl w:val="true"/>
          <w:lang w:bidi="fa-IR"/>
        </w:rPr>
        <w:t>ذلک</w:t>
      </w:r>
      <w:r>
        <w:rPr>
          <w:rStyle w:val="FootnoteAnchor"/>
          <w:rtl w:val="true"/>
        </w:rPr>
        <w:footnoteReference w:id="1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وسیأتی بیان موارد وجوب سجود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968" w:name="__RefHeading___Toc1841311_2322387425"/>
      <w:bookmarkStart w:id="969" w:name="_Toc373"/>
      <w:bookmarkEnd w:id="968"/>
      <w:r>
        <w:rPr>
          <w:rtl w:val="true"/>
        </w:rPr>
        <w:t>حکم ما لو خالف الترتیب</w:t>
      </w:r>
      <w:bookmarkEnd w:id="96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الترتیب</w:t>
      </w:r>
      <w:r>
        <w:rPr>
          <w:rStyle w:val="FootnoteAnchor"/>
          <w:rtl w:val="true"/>
        </w:rPr>
        <w:footnoteReference w:id="1127"/>
      </w:r>
      <w:r>
        <w:rPr>
          <w:rFonts w:ascii="IRNazanin" w:hAnsi="IRNazanin" w:eastAsia="IRNazanin"/>
          <w:color w:val="111111"/>
          <w:sz w:val="28"/>
          <w:sz w:val="28"/>
          <w:szCs w:val="28"/>
          <w:rtl w:val="true"/>
          <w:lang w:bidi="fa-IR"/>
        </w:rPr>
        <w:t>فی الرکعات سهواً، کأن أتی بالرکعة الثالثة فی محلّ الثانیة بأن تخیّل بعد الرکعة الاُولی أنّ ما قام إلیه ثالثة، فأتی بالتسبیحات الأربعة ورکع وسجد وقام إلی الثالثة وتخیّل أ نّها ثانیة فأتی بالقراءة والقنوت لم تبطل</w:t>
      </w:r>
      <w:r>
        <w:rPr>
          <w:rStyle w:val="FootnoteAnchor"/>
          <w:rtl w:val="true"/>
        </w:rPr>
        <w:footnoteReference w:id="1128"/>
      </w:r>
      <w:r>
        <w:rPr>
          <w:rFonts w:ascii="IRNazanin" w:hAnsi="IRNazanin" w:eastAsia="IRNazanin"/>
          <w:color w:val="111111"/>
          <w:sz w:val="28"/>
          <w:sz w:val="28"/>
          <w:szCs w:val="28"/>
          <w:rtl w:val="true"/>
          <w:lang w:bidi="fa-IR"/>
        </w:rPr>
        <w:t>صلاته، بل یکون ماقصده ثالثةً ثانیةً وما قصده ثانیةً ثالثةً قهراً، وکذا لو سجد الاُولی بقصد الثانیة، والثانیة بقصد الاُولی</w:t>
      </w:r>
      <w:r>
        <w:rPr>
          <w:rFonts w:eastAsia="IRNazanin" w:cs="IRNazanin"/>
          <w:color w:val="111111"/>
          <w:sz w:val="28"/>
          <w:szCs w:val="28"/>
          <w:rtl w:val="true"/>
          <w:lang w:bidi="fa-IR"/>
        </w:rPr>
        <w:t>.</w:t>
      </w:r>
      <w:bookmarkStart w:id="970" w:name="pg13278_326692"/>
    </w:p>
    <w:p>
      <w:pPr>
        <w:pStyle w:val="Heading2"/>
        <w:numPr>
          <w:ilvl w:val="1"/>
          <w:numId w:val="1"/>
        </w:numPr>
        <w:rPr/>
      </w:pPr>
      <w:bookmarkStart w:id="971" w:name="__RefHeading___Toc1841313_2322387425"/>
      <w:bookmarkStart w:id="972" w:name="_Toc374"/>
      <w:bookmarkEnd w:id="970"/>
      <w:bookmarkEnd w:id="971"/>
      <w:r>
        <w:rPr>
          <w:rtl w:val="true"/>
        </w:rPr>
        <w:t>فصل فی الموالاة</w:t>
      </w:r>
      <w:bookmarkEnd w:id="972"/>
    </w:p>
    <w:p>
      <w:pPr>
        <w:pStyle w:val="Heading3"/>
        <w:numPr>
          <w:ilvl w:val="2"/>
          <w:numId w:val="1"/>
        </w:numPr>
        <w:rPr/>
      </w:pPr>
      <w:bookmarkStart w:id="973" w:name="__RefHeading___Toc1841315_2322387425"/>
      <w:bookmarkStart w:id="974" w:name="_Toc375"/>
      <w:bookmarkEnd w:id="973"/>
      <w:r>
        <w:rPr>
          <w:rtl w:val="true"/>
        </w:rPr>
        <w:t>اشارة</w:t>
      </w:r>
      <w:bookmarkEnd w:id="974"/>
    </w:p>
    <w:p>
      <w:pPr>
        <w:pStyle w:val="BookText"/>
        <w:rPr/>
      </w:pP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وظهر أیضاً أنّ الماحی للصورة أعمّ من الفعل الکثیر وغیره، فکلّ فعلٍ کثیرٍ فی أثنائها ماحٍ لصورتها، ولا عکس، وکلّ کثیرٍ أیضاً مفوّتٌ للموالاة، ولا عکس، وکلّ مفوّتٍ للموالاة ماحٍ للصورة، ولا عکس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الصلاة وراء أجزائها الخارجیّة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الأجزاء بعضها ببعض، واتّصالها بنحو مخصوص، والصورة المخصوصة والهیئة المعیّنة، ولیس المدار علی کثرة الفعل وقلّته، بل علی حفظ الارتباط وصلاحیّة انضمام الأجزاء اللاحقة بالسابقة، فربّ کثیرٍ لا یضرّ عرفاً وشرعاً، کهزّ المهد، وقتل العقرب، وشرب الماء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قلیلٍ یضرّ، کالوثبة ونظائرها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ما ذکرناه فی أجزاء الصلاة یجری فی القراءة، فإنّ لها أیضاً هیئة اتّصالیّة توجب وحدتها، ولا یتحقّق امتثال أمرها إلاّ بالإتیان بها بتلک الهیئة الاتّصالیة، فإذا ورد الأمر بقراءة الفاتحة مثلاً فاللازم الإتیان بها متوالیة الکلمات والحروف، بنحو یصدق علیها الوحدة العرفیّة، لا قراءة کلّ کلمة مستقلّة عمّا بعدها، أو حرف من کلّ کلمة منقطع عن بقیّة حروفها، سوی أنّ من المعلوم أنّ السکوت الطویل أو الفعل الکثیر الذی یقدح فی موالاة القراءة ویقطع هیئتها قد لا یکون قادحاً أو قاطعاً لارتباط الأجزاء الصلاتیّة، ولا مفوّتاً لموالاتها، فلو قرأ فی أثناء الفاتحة بعض الذکر أو الدعاء بمقدار عشر کلمات،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أتمّ الحمد فقد یعدّ عرفاً أنّه خرج عنها وفاتت موالاتها، ولکنّه لو قرأها بعد الفاتحة أو بعد السورة قبل الرکوع لم یقدح فی موالاة الأجزاء الصلاتیّة، فماحی صورة القراءة طبعاً أوسع من ماحی صورة الصلاة، وکلّ ما یمحو صورة الصلاة لو وقع فی أثناء القراءة أبطلها، ولا عکس، وما لا ینافی وحدة القراءة کالعطسة والتسمیت والتنفس للاستراحة وأمثالها لا تضرّ فی وحدة الصلاة ولا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الکلام فی مثل الحیاکة والکتابة والنقش والتطریز وأمثالها ممّا یقدح فی حفظ صورة الصلاة وإن لم یقدح فی هیئتها الاتصالیّة وموالاة أجزائها، فهل مثل هذه الاُمور تقدح فی القراءة وتمحو صورتها؟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الاجتناب، ولا سیّما حیث یسری من القراءة إلی نفس الصلاة وحفظ صورتها، أمّا لو اشتغل المأموم بها وقت قراءة الإمام وعدم سماع صوته فالصحّة هنا لا تخلو من وجه، ولکنّ الاحتیاط بالاجتناب لا یُترک، فاغتنم تحریر هذه المباحث وتحقیقها وتدبّره، وللّه المِنّة ومنه التوفیق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5" w:name="pg13278_326694"/>
      <w:bookmarkStart w:id="976" w:name="pg13278_326694"/>
      <w:bookmarkEnd w:id="976"/>
    </w:p>
    <w:p>
      <w:pPr>
        <w:pStyle w:val="Heading3"/>
        <w:numPr>
          <w:ilvl w:val="2"/>
          <w:numId w:val="1"/>
        </w:numPr>
        <w:rPr/>
      </w:pPr>
      <w:bookmarkStart w:id="977" w:name="pg13278_326694"/>
      <w:bookmarkStart w:id="978" w:name="__RefHeading___Toc1841317_2322387425"/>
      <w:bookmarkStart w:id="979" w:name="_Toc376"/>
      <w:bookmarkEnd w:id="977"/>
      <w:bookmarkEnd w:id="978"/>
      <w:r>
        <w:rPr>
          <w:rtl w:val="true"/>
        </w:rPr>
        <w:t>حکم الموالاة بین أفعال الصلاة و أجزاءها</w:t>
      </w:r>
      <w:bookmarkEnd w:id="979"/>
    </w:p>
    <w:p>
      <w:pPr>
        <w:pStyle w:val="BookText"/>
        <w:rPr/>
      </w:pPr>
      <w:r>
        <w:rPr>
          <w:rFonts w:ascii="IRNazanin" w:hAnsi="IRNazanin" w:eastAsia="IRNazanin"/>
          <w:color w:val="111111"/>
          <w:sz w:val="28"/>
          <w:sz w:val="28"/>
          <w:szCs w:val="28"/>
          <w:rtl w:val="true"/>
          <w:lang w:bidi="fa-IR"/>
        </w:rPr>
        <w:t>قد عرفت سابقاً وجوب الموالاة فی کلٍّ من القراءة والتکبیر والتسبیح والأذکار بالنسبة إلی الآیات والکلمات والحروف،</w:t>
      </w:r>
    </w:p>
    <w:p>
      <w:pPr>
        <w:pStyle w:val="Heading3"/>
        <w:numPr>
          <w:ilvl w:val="2"/>
          <w:numId w:val="1"/>
        </w:numPr>
        <w:rPr/>
      </w:pPr>
      <w:bookmarkStart w:id="980" w:name="__RefHeading___Toc1841319_2322387425"/>
      <w:bookmarkStart w:id="981" w:name="_Toc377"/>
      <w:bookmarkEnd w:id="980"/>
      <w:r>
        <w:rPr>
          <w:rtl w:val="true"/>
        </w:rPr>
        <w:t>ترک الموالاة</w:t>
      </w:r>
      <w:bookmarkEnd w:id="981"/>
    </w:p>
    <w:p>
      <w:pPr>
        <w:pStyle w:val="BookText"/>
        <w:rPr/>
      </w:pPr>
      <w:r>
        <w:rPr>
          <w:rFonts w:ascii="IRNazanin" w:hAnsi="IRNazanin" w:eastAsia="IRNazanin"/>
          <w:color w:val="111111"/>
          <w:sz w:val="28"/>
          <w:sz w:val="28"/>
          <w:szCs w:val="28"/>
          <w:rtl w:val="true"/>
          <w:lang w:bidi="fa-IR"/>
        </w:rPr>
        <w:t>وأ نّه لو ترکها عمداً علی وجه یوجب محو الاسم بطلت الصلاة</w:t>
      </w:r>
      <w:r>
        <w:rPr>
          <w:rStyle w:val="FootnoteAnchor"/>
          <w:rtl w:val="true"/>
        </w:rPr>
        <w:footnoteReference w:id="1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بما مرّ فی خلاف الترتیب ما لم یوجب محو اسم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ما إذا کان سهواً فإنّه لا تبطل الصلاة، وإن بطلت تلک الآیة أو الکلمة فیجب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أوجب فوات الموالاة فیها محو اسم الصلاة بطلت، وکذا إذا کان ذلک فی تکبیرة الإحرام؛</w:t>
      </w:r>
    </w:p>
    <w:p>
      <w:pPr>
        <w:pStyle w:val="BookText"/>
        <w:rPr/>
      </w:pPr>
      <w:r>
        <w:rPr>
          <w:rFonts w:ascii="IRNazanin" w:hAnsi="IRNazanin" w:eastAsia="IRNazanin"/>
          <w:color w:val="111111"/>
          <w:sz w:val="28"/>
          <w:sz w:val="28"/>
          <w:szCs w:val="28"/>
          <w:rtl w:val="true"/>
          <w:lang w:bidi="fa-IR"/>
        </w:rPr>
        <w:t>فإنّ فوات الموالاة فیها سهواً بمنزلة نسیانها، وکذا فی السلام</w:t>
      </w:r>
      <w:r>
        <w:rPr>
          <w:rStyle w:val="FootnoteAnchor"/>
          <w:rtl w:val="true"/>
        </w:rPr>
        <w:footnoteReference w:id="1131"/>
      </w:r>
      <w:r>
        <w:rPr>
          <w:rFonts w:ascii="IRNazanin" w:hAnsi="IRNazanin" w:eastAsia="IRNazanin"/>
          <w:color w:val="111111"/>
          <w:sz w:val="28"/>
          <w:sz w:val="28"/>
          <w:szCs w:val="28"/>
          <w:rtl w:val="true"/>
          <w:lang w:bidi="fa-IR"/>
        </w:rPr>
        <w:t>فإنّه بمنزلة عدم الإتیان به</w:t>
      </w:r>
      <w:r>
        <w:rPr>
          <w:rStyle w:val="FootnoteAnchor"/>
          <w:rtl w:val="true"/>
        </w:rPr>
        <w:footnoteReference w:id="1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من الإتیان به، ولو تذکّر قبل تحقّق ما ینافی الصلاة مطلق وجوده، ولو تذکّر بعد تخلّله فالصحّة أظهر،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تذکّر ذلک ومع ذلک أتی بالمنافی بطلت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إذا أتی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التذکّر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أتی بالمنافی بعد نسیان السلام الحکم بالصحّة وأدخل المفروض فیه، وقد مرّ منّا الإشکال علی إطلاقه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کالإتیان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بطلان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تذکّر قبل الإتیان بالمنافی یأتی به وصحّت صلاته، ولو تذکّر بعده فالأقوی البطلان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بطلان الصلاة ووجهه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فلا یُترک الاحتیاط بإعادة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شائبة الإشکال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نسیانه</w:t>
      </w:r>
      <w:r>
        <w:rPr>
          <w:rStyle w:val="FootnoteAnchor"/>
          <w:rtl w:val="true"/>
        </w:rPr>
        <w:footnoteReference w:id="1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الکلام فی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تقدّم فی فصل التسلیم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بطلان الصلاة فی صورة نسیان السلام وإتیانه بالمنافی قبل أن یتذکّر، وکذلک فی المقام، فالأقوی هو البطلان لو تذکّر بعد الإتیان بالمنافی، نعم، لو تذکّر قبل الإتیان به صحّت صلاته ویأتی بالسلام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الاحتیاط فی نظیره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ما یتعلّق بالمقام فی نسیان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بما ینافی الصلاة عمداً وسهواً قبل أن یتذکّر فالأحوط إن لم یکن أقوی إعادة الصلاة، وإن أتی بما ینافیها عمداً لا سهواً وجب علیه إعادة التسلیم، وصحّت صلاته وسجد للسهو للکلام السهوی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تجب الموالاة فی المذکورات تجب فی أفعال الصلاة، بمعنی عدم الفصل بینها علی وجه یوجب محو صورة الصلاة، سواء کان عمداً أم سهواً</w:t>
      </w:r>
      <w:r>
        <w:rPr>
          <w:rStyle w:val="FootnoteAnchor"/>
          <w:rtl w:val="true"/>
        </w:rPr>
        <w:footnoteReference w:id="1134"/>
      </w:r>
      <w:r>
        <w:rPr>
          <w:rFonts w:ascii="IRNazanin" w:hAnsi="IRNazanin" w:eastAsia="IRNazanin"/>
          <w:color w:val="111111"/>
          <w:sz w:val="28"/>
          <w:sz w:val="28"/>
          <w:szCs w:val="28"/>
          <w:rtl w:val="true"/>
          <w:lang w:bidi="fa-IR"/>
        </w:rPr>
        <w:t>مع حصول المحو المذکور، بخلاف ما إذا لم یحصل المحو المذکور فإنّه لا یوجب</w:t>
      </w:r>
      <w:r>
        <w:rPr>
          <w:rStyle w:val="FootnoteAnchor"/>
          <w:rtl w:val="true"/>
        </w:rPr>
        <w:footnoteReference w:id="1135"/>
      </w:r>
      <w:bookmarkStart w:id="982" w:name="pg13278_326697"/>
    </w:p>
    <w:p>
      <w:pPr>
        <w:pStyle w:val="BookText"/>
        <w:rPr/>
      </w:pPr>
      <w:bookmarkEnd w:id="982"/>
      <w:r>
        <w:rPr>
          <w:rFonts w:ascii="IRNazanin" w:hAnsi="IRNazanin" w:eastAsia="IRNazanin"/>
          <w:color w:val="111111"/>
          <w:sz w:val="28"/>
          <w:sz w:val="28"/>
          <w:szCs w:val="28"/>
          <w:rtl w:val="true"/>
          <w:lang w:bidi="fa-IR"/>
        </w:rPr>
        <w:t>البطلان</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واجباً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Heading3"/>
        <w:numPr>
          <w:ilvl w:val="2"/>
          <w:numId w:val="1"/>
        </w:numPr>
        <w:rPr/>
      </w:pPr>
      <w:bookmarkStart w:id="983" w:name="__RefHeading___Toc1841321_2322387425"/>
      <w:bookmarkStart w:id="984" w:name="_Toc378"/>
      <w:bookmarkEnd w:id="983"/>
      <w:r>
        <w:rPr>
          <w:rtl w:val="true"/>
        </w:rPr>
        <w:t>التطویل لا یوجب فوات الموالاة</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تطویل الرکوع</w:t>
      </w:r>
      <w:r>
        <w:rPr>
          <w:rStyle w:val="FootnoteAnchor"/>
          <w:rtl w:val="true"/>
        </w:rPr>
        <w:footnoteReference w:id="1137"/>
      </w:r>
      <w:r>
        <w:rPr>
          <w:rFonts w:ascii="IRNazanin" w:hAnsi="IRNazanin" w:eastAsia="IRNazanin"/>
          <w:color w:val="111111"/>
          <w:sz w:val="28"/>
          <w:sz w:val="28"/>
          <w:szCs w:val="28"/>
          <w:rtl w:val="true"/>
          <w:lang w:bidi="fa-IR"/>
        </w:rPr>
        <w:t>أو السجود أو إکثار الأذکار أو قراءة السور الطوال لا تُعدّ من المحو</w:t>
      </w:r>
      <w:r>
        <w:rPr>
          <w:rStyle w:val="FootnoteAnchor"/>
          <w:rtl w:val="true"/>
        </w:rPr>
        <w:footnoteReference w:id="1138"/>
      </w:r>
      <w:r>
        <w:rPr>
          <w:rFonts w:ascii="IRNazanin" w:hAnsi="IRNazanin" w:eastAsia="IRNazanin"/>
          <w:color w:val="111111"/>
          <w:sz w:val="28"/>
          <w:sz w:val="28"/>
          <w:szCs w:val="28"/>
          <w:rtl w:val="true"/>
          <w:lang w:bidi="fa-IR"/>
        </w:rPr>
        <w:t>فلا إشکال فیها</w:t>
      </w:r>
      <w:r>
        <w:rPr>
          <w:rFonts w:eastAsia="IRNazanin" w:cs="IRNazanin"/>
          <w:color w:val="111111"/>
          <w:sz w:val="28"/>
          <w:szCs w:val="28"/>
          <w:rtl w:val="true"/>
          <w:lang w:bidi="fa-IR"/>
        </w:rPr>
        <w:t>.</w:t>
      </w:r>
    </w:p>
    <w:p>
      <w:pPr>
        <w:pStyle w:val="Heading3"/>
        <w:numPr>
          <w:ilvl w:val="2"/>
          <w:numId w:val="1"/>
        </w:numPr>
        <w:rPr/>
      </w:pPr>
      <w:bookmarkStart w:id="985" w:name="__RefHeading___Toc1841323_2322387425"/>
      <w:bookmarkStart w:id="986" w:name="_Toc379"/>
      <w:bookmarkEnd w:id="985"/>
      <w:r>
        <w:rPr>
          <w:rtl w:val="true"/>
        </w:rPr>
        <w:t>مراعاة التتابع العرفی بالأفعال و القراءة و الأذکار</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1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وجوب مراعاتهما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مراعاة الموالاة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العرفیّة، بمعنی متابعة الأفعال بلا فصل، وإن لم تُمحَ معه صورة الصلاة، وإن کان الأقوی عدم وجوبها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 لإمکان انصراف أدلّتها فی أمثال هذه المرکّبات إلی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یمحو صورة الجزء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حفظ الوحدة العرفیّة، والتحرّز عن کلّ ما ینافیها من الفصل بالأجنبی والفصل الطویل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التتابع علی ما هو المتعارف عند المتشرِّعة، ولکنّ بطلان الصلاة بترکه سهواً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فوجوبها محلّ تأمّل، والأحوط وجوباً اعتبارها أیضاً ولو لم یحصل محو الصورة، ولکن لا تبطل الصلاة مع فقدها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w:t>
      </w:r>
      <w:bookmarkStart w:id="987" w:name="pg13278_326698"/>
    </w:p>
    <w:p>
      <w:pPr>
        <w:pStyle w:val="BookText"/>
        <w:rPr/>
      </w:pPr>
      <w:bookmarkEnd w:id="987"/>
      <w:r>
        <w:rPr>
          <w:rFonts w:ascii="Amiri" w:hAnsi="Amiri" w:eastAsia="Amiri" w:cs="Amiri"/>
          <w:color w:val="111111"/>
          <w:sz w:val="28"/>
          <w:sz w:val="28"/>
          <w:szCs w:val="28"/>
          <w:rtl w:val="true"/>
          <w:lang w:bidi="ar-SA"/>
        </w:rPr>
        <w:t>القراءة</w:t>
      </w:r>
      <w:r>
        <w:rPr>
          <w:rStyle w:val="FootnoteAnchor"/>
          <w:rtl w:val="true"/>
        </w:rPr>
        <w:footnoteReference w:id="1140"/>
      </w:r>
      <w:r>
        <w:rPr>
          <w:rFonts w:ascii="IRNazanin" w:hAnsi="IRNazanin" w:eastAsia="IRNazanin"/>
          <w:color w:val="111111"/>
          <w:sz w:val="28"/>
          <w:sz w:val="28"/>
          <w:szCs w:val="28"/>
          <w:rtl w:val="true"/>
          <w:lang w:bidi="fa-IR"/>
        </w:rPr>
        <w:t>والأذکار</w:t>
      </w:r>
      <w:r>
        <w:rPr>
          <w:rFonts w:eastAsia="IRNazanin" w:cs="IRNazanin"/>
          <w:color w:val="111111"/>
          <w:sz w:val="28"/>
          <w:szCs w:val="28"/>
          <w:rtl w:val="true"/>
          <w:lang w:bidi="fa-IR"/>
        </w:rPr>
        <w:t>.</w:t>
      </w:r>
    </w:p>
    <w:p>
      <w:pPr>
        <w:pStyle w:val="Heading3"/>
        <w:numPr>
          <w:ilvl w:val="2"/>
          <w:numId w:val="1"/>
        </w:numPr>
        <w:rPr/>
      </w:pPr>
      <w:bookmarkStart w:id="988" w:name="__RefHeading___Toc1841325_2322387425"/>
      <w:bookmarkStart w:id="989" w:name="_Toc380"/>
      <w:bookmarkEnd w:id="988"/>
      <w:r>
        <w:rPr>
          <w:rtl w:val="true"/>
        </w:rPr>
        <w:t>فی ما لو نذر الموالاة</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الموالاة بالمعنی المذکور فالظاهر انعقاد</w:t>
      </w:r>
      <w:r>
        <w:rPr>
          <w:rStyle w:val="FootnoteAnchor"/>
          <w:rtl w:val="true"/>
        </w:rPr>
        <w:footnoteReference w:id="1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بالانعقاد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المتعلّق هو بعنوان الاحتیاط،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بانعقاده محلّ نظر، إلاّ أن یکون تعلّق النذر بعنوان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لرجحانها ولو من باب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المنذر هو مراعاتها لأجله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تعلّق النذر بعنوان الاحتیاط، وإلاّ فانعقاده فی ما إذا تعلّق بالخصوصیّة محلّ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خالف</w:t>
      </w:r>
    </w:p>
    <w:p>
      <w:pPr>
        <w:pStyle w:val="BookText"/>
        <w:rPr/>
      </w:pPr>
      <w:r>
        <w:rPr>
          <w:rFonts w:ascii="Amiri" w:hAnsi="Amiri" w:eastAsia="Amiri" w:cs="Amiri"/>
          <w:color w:val="111111"/>
          <w:sz w:val="28"/>
          <w:sz w:val="28"/>
          <w:szCs w:val="28"/>
          <w:rtl w:val="true"/>
          <w:lang w:bidi="ar-SA"/>
        </w:rPr>
        <w:t>عمداً عصی، لکنّ الأظهر</w:t>
      </w:r>
      <w:r>
        <w:rPr>
          <w:rStyle w:val="FootnoteAnchor"/>
          <w:rtl w:val="true"/>
        </w:rPr>
        <w:footnoteReference w:id="1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البطلان، کما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إن لم یکن أقوی لزوم الإعادة،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ولو علی القول بعدم وجوب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فلا یُترک الاحتیاط، بل لا یخلو من قوّة؛ لأنّه یوجب تفویت متعلّق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0" w:name="pg13278_326700"/>
    </w:p>
    <w:p>
      <w:pPr>
        <w:pStyle w:val="Heading2"/>
        <w:numPr>
          <w:ilvl w:val="1"/>
          <w:numId w:val="1"/>
        </w:numPr>
        <w:rPr/>
      </w:pPr>
      <w:bookmarkStart w:id="991" w:name="__RefHeading___Toc1841327_2322387425"/>
      <w:bookmarkStart w:id="992" w:name="_Toc381"/>
      <w:bookmarkEnd w:id="990"/>
      <w:bookmarkEnd w:id="991"/>
      <w:r>
        <w:rPr>
          <w:rtl w:val="true"/>
        </w:rPr>
        <w:t>فصل فی القنوت</w:t>
      </w:r>
      <w:bookmarkEnd w:id="992"/>
    </w:p>
    <w:p>
      <w:pPr>
        <w:pStyle w:val="Heading3"/>
        <w:numPr>
          <w:ilvl w:val="2"/>
          <w:numId w:val="1"/>
        </w:numPr>
        <w:rPr/>
      </w:pPr>
      <w:bookmarkStart w:id="993" w:name="__RefHeading___Toc1841329_2322387425"/>
      <w:bookmarkStart w:id="994" w:name="_Toc382"/>
      <w:bookmarkEnd w:id="993"/>
      <w:r>
        <w:rPr>
          <w:rtl w:val="true"/>
        </w:rPr>
        <w:t>حکم القنوت فی جمیع الفرائض و النوافل</w:t>
      </w:r>
      <w:bookmarkEnd w:id="994"/>
    </w:p>
    <w:p>
      <w:pPr>
        <w:pStyle w:val="BookText"/>
        <w:rPr/>
      </w:pPr>
      <w:r>
        <w:rPr>
          <w:rFonts w:ascii="Amiri" w:hAnsi="Amiri" w:eastAsia="Amiri" w:cs="Amiri"/>
          <w:color w:val="111111"/>
          <w:sz w:val="28"/>
          <w:sz w:val="28"/>
          <w:szCs w:val="28"/>
          <w:rtl w:val="true"/>
          <w:lang w:bidi="ar-SA"/>
        </w:rPr>
        <w:t>وهو مستحبّ</w:t>
      </w:r>
      <w:r>
        <w:rPr>
          <w:rStyle w:val="FootnoteAnchor"/>
          <w:rtl w:val="true"/>
        </w:rPr>
        <w:footnoteReference w:id="1143"/>
      </w:r>
      <w:r>
        <w:rPr>
          <w:rFonts w:ascii="IRNazanin" w:hAnsi="IRNazanin" w:eastAsia="IRNazanin"/>
          <w:color w:val="111111"/>
          <w:sz w:val="28"/>
          <w:sz w:val="28"/>
          <w:szCs w:val="28"/>
          <w:rtl w:val="true"/>
          <w:lang w:bidi="fa-IR"/>
        </w:rPr>
        <w:t>فی جمیع الفرائض</w:t>
      </w:r>
      <w:r>
        <w:rPr>
          <w:rStyle w:val="FootnoteAnchor"/>
          <w:rtl w:val="true"/>
        </w:rPr>
        <w:footnoteReference w:id="1144"/>
      </w:r>
      <w:r>
        <w:rPr>
          <w:rFonts w:ascii="IRNazanin" w:hAnsi="IRNazanin" w:eastAsia="IRNazanin"/>
          <w:color w:val="111111"/>
          <w:sz w:val="28"/>
          <w:sz w:val="28"/>
          <w:szCs w:val="28"/>
          <w:rtl w:val="true"/>
          <w:lang w:bidi="fa-IR"/>
        </w:rPr>
        <w:t>الیومیّة ونوافلها، بل جمیع النوافل حتّی صلاة الشَفع</w:t>
      </w:r>
      <w:r>
        <w:rPr>
          <w:rStyle w:val="FootnoteAnchor"/>
          <w:rtl w:val="true"/>
        </w:rPr>
        <w:footnoteReference w:id="1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الإتیان به فیها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الأولی الإتیان به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 فیها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بل الأحوط قصد الرجاء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بالقنوت فیها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إتیانه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یستحبّ فی صلاة الشَفع إذا أتی بها مفصولةً عن الوَتر، نعم، لو أتی بالشَفع وبالوَتر متّصلتَین ـ بناءً علی جواز ذلک ـ فاستحباب إتیانه فی الرکعة الثانیة محلّ منع، بل فی الرکعة الثالثة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القوّة منع، بل یؤتی به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995" w:name="__RefHeading___Toc1841331_2322387425"/>
      <w:bookmarkStart w:id="996" w:name="_Toc383"/>
      <w:bookmarkEnd w:id="995"/>
      <w:r>
        <w:rPr>
          <w:rtl w:val="true"/>
        </w:rPr>
        <w:t>تأکد القنوت فی الصلوات</w:t>
      </w:r>
      <w:bookmarkEnd w:id="99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ویتأکّد فی الجهریّة من </w:t>
      </w:r>
      <w:bookmarkStart w:id="997" w:name="pg13278_326701"/>
    </w:p>
    <w:p>
      <w:pPr>
        <w:pStyle w:val="BookText"/>
        <w:rPr/>
      </w:pPr>
      <w:bookmarkEnd w:id="997"/>
      <w:r>
        <w:rPr>
          <w:rFonts w:ascii="IRNazanin" w:hAnsi="IRNazanin" w:eastAsia="IRNazanin"/>
          <w:color w:val="111111"/>
          <w:sz w:val="28"/>
          <w:sz w:val="28"/>
          <w:szCs w:val="28"/>
          <w:rtl w:val="true"/>
          <w:lang w:bidi="fa-IR"/>
        </w:rPr>
        <w:t>الفرائض، خصوصاً</w:t>
      </w:r>
      <w:r>
        <w:rPr>
          <w:rStyle w:val="FootnoteAnchor"/>
          <w:rtl w:val="true"/>
        </w:rPr>
        <w:footnoteReference w:id="1146"/>
      </w:r>
      <w:r>
        <w:rPr>
          <w:rFonts w:ascii="IRNazanin" w:hAnsi="IRNazanin" w:eastAsia="IRNazanin"/>
          <w:color w:val="111111"/>
          <w:sz w:val="28"/>
          <w:sz w:val="28"/>
          <w:szCs w:val="28"/>
          <w:rtl w:val="true"/>
          <w:lang w:bidi="fa-IR"/>
        </w:rPr>
        <w:t>فی الصبح والوَتر</w:t>
      </w:r>
      <w:r>
        <w:rPr>
          <w:rStyle w:val="FootnoteAnchor"/>
          <w:rtl w:val="true"/>
        </w:rPr>
        <w:footnoteReference w:id="1147"/>
      </w:r>
      <w:r>
        <w:rPr>
          <w:rFonts w:ascii="Amiri" w:hAnsi="Amiri" w:eastAsia="Amiri" w:cs="Amiri"/>
          <w:color w:val="111111"/>
          <w:sz w:val="28"/>
          <w:sz w:val="28"/>
          <w:szCs w:val="28"/>
          <w:rtl w:val="true"/>
          <w:lang w:bidi="ar-SA"/>
        </w:rPr>
        <w:t>والجمعة</w:t>
      </w:r>
      <w:r>
        <w:rPr>
          <w:rStyle w:val="FootnoteAnchor"/>
          <w:rtl w:val="true"/>
        </w:rPr>
        <w:footnoteReference w:id="1148"/>
      </w:r>
      <w:r>
        <w:rPr>
          <w:rFonts w:ascii="IRNazanin" w:hAnsi="IRNazanin" w:eastAsia="IRNazanin"/>
          <w:color w:val="111111"/>
          <w:sz w:val="28"/>
          <w:sz w:val="28"/>
          <w:szCs w:val="28"/>
          <w:rtl w:val="true"/>
          <w:lang w:bidi="fa-IR"/>
        </w:rPr>
        <w:t>، بل الأحوط عدم ترکه فی الجهریّة، بل فی مطلق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بوجوبه فی الفرائض</w:t>
      </w:r>
      <w:r>
        <w:rPr>
          <w:rStyle w:val="FootnoteAnchor"/>
          <w:rtl w:val="true"/>
        </w:rPr>
        <w:footnoteReference w:id="1149"/>
      </w:r>
    </w:p>
    <w:p>
      <w:pPr>
        <w:pStyle w:val="Heading3"/>
        <w:numPr>
          <w:ilvl w:val="2"/>
          <w:numId w:val="1"/>
        </w:numPr>
        <w:rPr/>
      </w:pPr>
      <w:bookmarkStart w:id="998" w:name="__RefHeading___Toc1841333_2322387425"/>
      <w:bookmarkStart w:id="999" w:name="_Toc384"/>
      <w:bookmarkEnd w:id="998"/>
      <w:r>
        <w:rPr>
          <w:rtl w:val="true"/>
        </w:rPr>
        <w:t>محل القنوت فی الصلوات</w:t>
      </w:r>
      <w:bookmarkEnd w:id="999"/>
    </w:p>
    <w:p>
      <w:pPr>
        <w:pStyle w:val="BookText"/>
        <w:rPr/>
      </w:pPr>
      <w:r>
        <w:rPr>
          <w:rFonts w:ascii="IRNazanin" w:hAnsi="IRNazanin" w:eastAsia="IRNazanin"/>
          <w:color w:val="111111"/>
          <w:sz w:val="28"/>
          <w:sz w:val="28"/>
          <w:szCs w:val="28"/>
          <w:rtl w:val="true"/>
          <w:lang w:bidi="fa-IR"/>
        </w:rPr>
        <w:t>أو فی خصوص الجهریّة منها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کلّ صلاة مرّة قبل الرکوع من الرکعة الثانیة، وقبل</w:t>
      </w:r>
      <w:r>
        <w:rPr>
          <w:rStyle w:val="FootnoteAnchor"/>
          <w:rtl w:val="true"/>
        </w:rPr>
        <w:footnoteReference w:id="1150"/>
      </w:r>
      <w:r>
        <w:rPr>
          <w:rFonts w:ascii="IRNazanin" w:hAnsi="IRNazanin" w:eastAsia="IRNazanin"/>
          <w:color w:val="111111"/>
          <w:sz w:val="28"/>
          <w:sz w:val="28"/>
          <w:szCs w:val="28"/>
          <w:rtl w:val="true"/>
          <w:lang w:bidi="fa-IR"/>
        </w:rPr>
        <w:t>الرکوع فی صلاة الوَتر، إلاّ</w:t>
      </w:r>
      <w:r>
        <w:rPr>
          <w:rStyle w:val="FootnoteAnchor"/>
          <w:rtl w:val="true"/>
        </w:rPr>
        <w:footnoteReference w:id="1151"/>
      </w:r>
      <w:r>
        <w:rPr>
          <w:rFonts w:ascii="IRNazanin" w:hAnsi="IRNazanin" w:eastAsia="IRNazanin"/>
          <w:color w:val="111111"/>
          <w:sz w:val="28"/>
          <w:sz w:val="28"/>
          <w:szCs w:val="28"/>
          <w:rtl w:val="true"/>
          <w:lang w:bidi="fa-IR"/>
        </w:rPr>
        <w:t>فی صلاة العیدین</w:t>
      </w:r>
      <w:r>
        <w:rPr>
          <w:rStyle w:val="FootnoteAnchor"/>
          <w:rtl w:val="true"/>
        </w:rPr>
        <w:footnoteReference w:id="1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وجوب قنوتاتها، کما سیأتی فی صلاة العیدین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إن لم یکن أقوی أنّ القنوتات فیها شرط صحّتها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الکلام فیها فی محلّه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ففیها فی الرکعة الاُولی خمس مرّات، وفی الثانیة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فی صلاة الآیات ففیها مرّتان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التأمّل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بالأول منهما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قبل الرکوع الخامس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یثبت فی 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یقصد الورود فیه؛ حیث لم یثبت استحبابه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استحبابه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یؤتی به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ومرّة قبل الرکوع العاشر، بل لا یبعد</w:t>
      </w:r>
      <w:r>
        <w:rPr>
          <w:rStyle w:val="FootnoteAnchor"/>
          <w:rtl w:val="true"/>
        </w:rPr>
        <w:footnoteReference w:id="1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وأمّا استحبابه قبل الرکوع الخامس فغیر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الأقرب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والموافق للأخبار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اختار ذلک فی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صلاة الآیات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الظاهر، ولم یثبت ما ذکره من استحباب قنوتَین ، الذی لازمه استحباب القنوت قبل الرکوع 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قنوتات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کلّ زوج من الرکوعات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فی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ففیها قنوتان فی الرکعة الاُولی قبل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000" w:name="pg13278_326703"/>
    </w:p>
    <w:p>
      <w:pPr>
        <w:pStyle w:val="BookText"/>
        <w:rPr/>
      </w:pPr>
      <w:bookmarkEnd w:id="1000"/>
      <w:r>
        <w:rPr>
          <w:rFonts w:ascii="IRNazanin" w:hAnsi="IRNazanin" w:eastAsia="IRNazanin"/>
          <w:color w:val="111111"/>
          <w:sz w:val="28"/>
          <w:sz w:val="28"/>
          <w:szCs w:val="28"/>
          <w:rtl w:val="true"/>
          <w:lang w:bidi="fa-IR"/>
        </w:rPr>
        <w:t>وفی الثانیة بعده</w:t>
      </w:r>
      <w:r>
        <w:rPr>
          <w:rFonts w:eastAsia="IRNazanin" w:cs="IRNazanin"/>
          <w:color w:val="111111"/>
          <w:sz w:val="28"/>
          <w:szCs w:val="28"/>
          <w:rtl w:val="true"/>
          <w:lang w:bidi="fa-IR"/>
        </w:rPr>
        <w:t>.</w:t>
      </w:r>
    </w:p>
    <w:p>
      <w:pPr>
        <w:pStyle w:val="Heading3"/>
        <w:numPr>
          <w:ilvl w:val="2"/>
          <w:numId w:val="1"/>
        </w:numPr>
        <w:rPr/>
      </w:pPr>
      <w:bookmarkStart w:id="1001" w:name="__RefHeading___Toc1841335_2322387425"/>
      <w:bookmarkStart w:id="1002" w:name="_Toc385"/>
      <w:bookmarkEnd w:id="1001"/>
      <w:r>
        <w:rPr>
          <w:rtl w:val="true"/>
        </w:rPr>
        <w:t>عدم اشتراط رفع الیدین و لا الذکر الخاص فیه</w:t>
      </w:r>
      <w:bookmarkEnd w:id="1002"/>
    </w:p>
    <w:p>
      <w:pPr>
        <w:pStyle w:val="BookText"/>
        <w:rPr/>
      </w:pPr>
      <w:r>
        <w:rPr>
          <w:rFonts w:ascii="IRNazanin" w:hAnsi="IRNazanin" w:eastAsia="IRNazanin"/>
          <w:color w:val="111111"/>
          <w:sz w:val="28"/>
          <w:sz w:val="28"/>
          <w:szCs w:val="28"/>
          <w:rtl w:val="true"/>
          <w:lang w:bidi="fa-IR"/>
        </w:rPr>
        <w:t>ولا یشترط فیه</w:t>
      </w:r>
      <w:r>
        <w:rPr>
          <w:rStyle w:val="FootnoteAnchor"/>
          <w:rtl w:val="true"/>
        </w:rPr>
        <w:footnoteReference w:id="1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یُشترط فیه ذلک لَما انحصر فی کلّ صلاة بواحد، ولَما اختُصّ مورده بما قبل الرکوع، ضرورة أنّ الدعاء فضلاً عن مطلق الذکر الذی یُجتزأ به فی القنوت مسنون فی کثیر من مواضع الصلاة، ولا یسمّی قنوتاً، فتراهم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صلاة الآیات خمس قنوتات، ولا یقولون بمثله فی صلاة الأموات، فالظاهر أنّ القنوت فی عرف الشارع والمتشرّعة عبارة عن رفع الیدین بالدعاء فی الصلاة، کما فسّره به فی کنز العرفان، ویظهر من کثیر من الأخبار، ویشهد له السیرة المستمرّة من عصر الأئمّة علیهم‌السلام ولهم ـ سلام اللّه علیهم ـ قنوتات فی کتب الأدعیة، کما فی مُهَج الدعوات وغیره، ولو کانت القنوتات مطلق الدعاء لم یکن معنیً لعقد باب خاصّ لها، نعم، لا یختصّ القنوت بدعاء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الدعاء فیه بالفارسیة فقد أجازه الاُستاد قدس‌سرهم فی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لا تتحقّق وظیفة القنوت إلاّ بالعربی، وکذا فی سائر أحوال الصلاة وأذکارها، وزاد الأخ ـ رضوان اللّه علیه ـ فی تعلیقاته، فمنع عدم تأدّی الوظیفة بغیر العربی؛ لعموم مثل قوله علیه‌السلام حیث سئل عن القنوت وما یقال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قضی اللّه علی لسانک، ولا أعلم فیه شیئاً موقّتاً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القنوت،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مساق هذه الکلمات هو عدم تعیین دعاء عربی خاصّ، کالفاتحة وتکبیرة الإحرام والتشهّد والسلام، بل له أن یدعو بما شاء من کلّ ذکر ودعاء، لا بکلّ لغة أو لسان، فالمنظور عدم الألفاظ المخصوصة، لا عدم اللغة المخصوصة، بل یمکن دعوی أنّ الدعاء بالفارسیّة ماحٍ لصورة الصلاة عرفاً، وعلی کلٍّ فالاقتصار علی العربیّة إن لم یکن أقوی فلا ریب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فالأحوط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اشتراطه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ینبغی ترک هذا الاحتیاط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 فینبغی أن لا یُترک احتیاطه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یُترک إلاّ مع 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اعتبار ذلک فی عنوان القنوت إمّا جزءاً أو شرطاً، وإنّما یسقط عند الضرورة کمورد التقیّة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فالأولی عدم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فالأحوط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إلاّ فی مورد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برفعهما إلاّ فی التقیّة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ذلک، إلاّ فی ضرورة شدیدة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فالأحوط عدم ترکه إلاّ مع الضرورة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 . . . . . . . . .</w:t>
      </w:r>
      <w:bookmarkStart w:id="1003" w:name="pg13278_326705"/>
    </w:p>
    <w:p>
      <w:pPr>
        <w:pStyle w:val="BookText"/>
        <w:rPr/>
      </w:pPr>
      <w:bookmarkEnd w:id="1003"/>
      <w:r>
        <w:rPr>
          <w:rFonts w:ascii="IRNazanin" w:hAnsi="IRNazanin" w:eastAsia="IRNazanin"/>
          <w:color w:val="111111"/>
          <w:sz w:val="28"/>
          <w:sz w:val="28"/>
          <w:szCs w:val="28"/>
          <w:rtl w:val="true"/>
          <w:lang w:bidi="fa-IR"/>
        </w:rPr>
        <w:t>ولا ذکر</w:t>
      </w:r>
      <w:r>
        <w:rPr>
          <w:rStyle w:val="FootnoteAnchor"/>
          <w:rtl w:val="true"/>
        </w:rPr>
        <w:footnoteReference w:id="1156"/>
      </w:r>
      <w:r>
        <w:rPr>
          <w:rFonts w:ascii="IRNazanin" w:hAnsi="IRNazanin" w:eastAsia="IRNazanin"/>
          <w:color w:val="111111"/>
          <w:sz w:val="28"/>
          <w:sz w:val="28"/>
          <w:szCs w:val="28"/>
          <w:rtl w:val="true"/>
          <w:lang w:bidi="fa-IR"/>
        </w:rPr>
        <w:t>مخصوص، بل یجوز ما یجری علی لسانه من الذکر والدعاء والمناجاة وطلب الحاجات،</w:t>
      </w:r>
    </w:p>
    <w:p>
      <w:pPr>
        <w:pStyle w:val="Heading3"/>
        <w:numPr>
          <w:ilvl w:val="2"/>
          <w:numId w:val="1"/>
        </w:numPr>
        <w:rPr/>
      </w:pPr>
      <w:bookmarkStart w:id="1004" w:name="__RefHeading___Toc1841337_2322387425"/>
      <w:bookmarkStart w:id="1005" w:name="_Toc386"/>
      <w:bookmarkEnd w:id="1004"/>
      <w:r>
        <w:rPr>
          <w:rtl w:val="true"/>
        </w:rPr>
        <w:t>أقل ما یجزی فی القنوت</w:t>
      </w:r>
      <w:bookmarkEnd w:id="1005"/>
    </w:p>
    <w:p>
      <w:pPr>
        <w:pStyle w:val="BookText"/>
        <w:rPr/>
      </w:pPr>
      <w:r>
        <w:rPr>
          <w:rFonts w:ascii="IRNazanin" w:hAnsi="IRNazanin" w:eastAsia="IRNazanin"/>
          <w:color w:val="111111"/>
          <w:sz w:val="28"/>
          <w:sz w:val="28"/>
          <w:szCs w:val="28"/>
          <w:rtl w:val="true"/>
          <w:lang w:bidi="fa-IR"/>
        </w:rPr>
        <w:t>وأقلّه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مرّات، أو ثلاث مرّات،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بل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سائر ما ذکر مرّة واحدة، کما یجزی الاقتصار علی الصلاة علی النبیّ وآله صلی‌الله‌علیه‌و‌آله ، ومثل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یکون جامعاً للثناء علی اللّه تعالی، والصلاة علی محمَّدٍ وآله، وطلب المغفرة له وللموءمنین والموءمنات</w:t>
      </w:r>
      <w:r>
        <w:rPr>
          <w:rFonts w:eastAsia="IRNazanin" w:cs="IRNazanin"/>
          <w:color w:val="111111"/>
          <w:sz w:val="28"/>
          <w:szCs w:val="28"/>
          <w:rtl w:val="true"/>
          <w:lang w:bidi="fa-IR"/>
        </w:rPr>
        <w:t>.</w:t>
      </w:r>
    </w:p>
    <w:p>
      <w:pPr>
        <w:pStyle w:val="Heading3"/>
        <w:numPr>
          <w:ilvl w:val="2"/>
          <w:numId w:val="1"/>
        </w:numPr>
        <w:rPr/>
      </w:pPr>
      <w:bookmarkStart w:id="1006" w:name="__RefHeading___Toc1841339_2322387425"/>
      <w:bookmarkStart w:id="1007" w:name="_Toc387"/>
      <w:bookmarkEnd w:id="1006"/>
      <w:r>
        <w:rPr>
          <w:rtl w:val="true"/>
        </w:rPr>
        <w:t>جواز قراءة القرآن فی القنوت</w:t>
      </w:r>
      <w:bookmarkEnd w:id="1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قراءة القرآن</w:t>
      </w:r>
      <w:r>
        <w:rPr>
          <w:rStyle w:val="FootnoteAnchor"/>
          <w:rtl w:val="true"/>
        </w:rPr>
        <w:footnoteReference w:id="1157"/>
      </w:r>
      <w:r>
        <w:rPr>
          <w:rFonts w:ascii="IRNazanin" w:hAnsi="IRNazanin" w:eastAsia="IRNazanin"/>
          <w:color w:val="111111"/>
          <w:sz w:val="28"/>
          <w:sz w:val="28"/>
          <w:szCs w:val="28"/>
          <w:rtl w:val="true"/>
          <w:lang w:bidi="fa-IR"/>
        </w:rPr>
        <w:t>فی القنوت، خصوصاً</w:t>
      </w:r>
      <w:r>
        <w:rPr>
          <w:rStyle w:val="FootnoteAnchor"/>
          <w:rtl w:val="true"/>
        </w:rPr>
        <w:footnoteReference w:id="1158"/>
      </w:r>
      <w:r>
        <w:rPr>
          <w:rFonts w:ascii="Amiri" w:hAnsi="Amiri" w:eastAsia="Amiri" w:cs="Amiri"/>
          <w:color w:val="111111"/>
          <w:sz w:val="28"/>
          <w:sz w:val="28"/>
          <w:szCs w:val="28"/>
          <w:rtl w:val="true"/>
          <w:lang w:bidi="ar-SA"/>
        </w:rPr>
        <w:t>الآیات المشتملة علی الدعاء،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ذلک</w:t>
      </w:r>
      <w:r>
        <w:rPr>
          <w:rFonts w:eastAsia="IRNazanin" w:cs="IRNazanin"/>
          <w:color w:val="111111"/>
          <w:sz w:val="28"/>
          <w:szCs w:val="28"/>
          <w:rtl w:val="true"/>
          <w:lang w:bidi="fa-IR"/>
        </w:rPr>
        <w:t>.</w:t>
      </w:r>
    </w:p>
    <w:p>
      <w:pPr>
        <w:pStyle w:val="Heading3"/>
        <w:numPr>
          <w:ilvl w:val="2"/>
          <w:numId w:val="1"/>
        </w:numPr>
        <w:rPr/>
      </w:pPr>
      <w:bookmarkStart w:id="1008" w:name="__RefHeading___Toc1841341_2322387425"/>
      <w:bookmarkStart w:id="1009" w:name="_Toc388"/>
      <w:bookmarkEnd w:id="1008"/>
      <w:r>
        <w:rPr>
          <w:rtl w:val="true"/>
        </w:rPr>
        <w:t>جواز قراءة الأشعار فی القنوت</w:t>
      </w:r>
      <w:bookmarkEnd w:id="1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1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عدم خروجه عن الصلاة به عرفاً، یعنی عدم منافاته لهیئة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قراءة الأشعار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الأحری ترکها ولو کان الشعر عن منظومات المعصومین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المشتملة علی الدعاء</w:t>
      </w:r>
      <w:bookmarkStart w:id="1010" w:name="pg13278_326706"/>
    </w:p>
    <w:p>
      <w:pPr>
        <w:pStyle w:val="BookText"/>
        <w:rPr/>
      </w:pPr>
      <w:bookmarkEnd w:id="1010"/>
      <w:r>
        <w:rPr>
          <w:rFonts w:ascii="Amiri" w:hAnsi="Amiri" w:eastAsia="Amiri" w:cs="Amiri"/>
          <w:color w:val="111111"/>
          <w:sz w:val="28"/>
          <w:sz w:val="28"/>
          <w:szCs w:val="28"/>
          <w:rtl w:val="true"/>
          <w:lang w:bidi="ar-SA"/>
        </w:rPr>
        <w:t>والمناجاة،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عبدُک العاصی أتاکَا مُقِرّاً بالذُنُوبِ وقد دَعاکَا</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Heading3"/>
        <w:numPr>
          <w:ilvl w:val="2"/>
          <w:numId w:val="1"/>
        </w:numPr>
        <w:rPr/>
      </w:pPr>
      <w:bookmarkStart w:id="1011" w:name="__RefHeading___Toc1841343_2322387425"/>
      <w:bookmarkStart w:id="1012" w:name="_Toc389"/>
      <w:bookmarkEnd w:id="1011"/>
      <w:r>
        <w:rPr>
          <w:rtl w:val="true"/>
        </w:rPr>
        <w:t>جواز الدعاء فیه بسائر اللغات إلا الأذکار المخصوصة</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1161"/>
      </w:r>
      <w:r>
        <w:rPr>
          <w:rFonts w:ascii="IRNazanin" w:hAnsi="IRNazanin" w:eastAsia="IRNazanin"/>
          <w:color w:val="111111"/>
          <w:sz w:val="28"/>
          <w:sz w:val="28"/>
          <w:szCs w:val="28"/>
          <w:rtl w:val="true"/>
          <w:lang w:bidi="fa-IR"/>
        </w:rPr>
        <w:t>الدعاء فیه</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والأحسن هو الاقتصار علی العربیة مهما تیسّرت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لزوماً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بالفارسیّة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 جمال الدین الگلپایگانی ، الشاهرودی، الآملی،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الدعاء بغیر العربیة فیه وفی سائر أحوال الصلاة لا سیّما ممّن یحسنها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مخالف للحزم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ترک غیر العربیة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العربیة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فالأحوط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کلّ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بالاقتصار علی العربیة فقط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الاحتیاط بترکه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 مخالف للاحتیاط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من اللغات غیر العربیّة، وإن کان لا</w:t>
      </w:r>
      <w:bookmarkStart w:id="1013" w:name="pg13278_326707"/>
    </w:p>
    <w:p>
      <w:pPr>
        <w:pStyle w:val="BookText"/>
        <w:rPr/>
      </w:pPr>
      <w:bookmarkEnd w:id="1013"/>
      <w:r>
        <w:rPr>
          <w:rFonts w:ascii="Amiri" w:hAnsi="Amiri" w:eastAsia="Amiri" w:cs="Amiri"/>
          <w:color w:val="111111"/>
          <w:sz w:val="28"/>
          <w:sz w:val="28"/>
          <w:szCs w:val="28"/>
          <w:rtl w:val="true"/>
          <w:lang w:bidi="ar-SA"/>
        </w:rPr>
        <w:t>یتحقّق</w:t>
      </w:r>
      <w:r>
        <w:rPr>
          <w:rStyle w:val="FootnoteAnchor"/>
          <w:rtl w:val="true"/>
        </w:rPr>
        <w:footnoteReference w:id="1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تحقّقه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وظیفة القنوت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بالعربیّ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فی سائر أحوال الصلاة وأذکارها، نعم، الأذکار المخصوصة لا یجوز إتیانها بغیر العربیّ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1841345_2322387425"/>
      <w:bookmarkStart w:id="1015" w:name="_Toc390"/>
      <w:bookmarkEnd w:id="1014"/>
      <w:r>
        <w:rPr>
          <w:rtl w:val="true"/>
        </w:rPr>
        <w:t>قراءة الأدعیة الواردة عن الأئمة</w:t>
      </w:r>
      <w:r>
        <w:rPr>
          <w:rtl w:val="true"/>
        </w:rPr>
        <w:t xml:space="preserve">: </w:t>
      </w:r>
      <w:r>
        <w:rPr>
          <w:rtl w:val="true"/>
        </w:rPr>
        <w:t>فی القنوت</w:t>
      </w:r>
      <w:bookmarkEnd w:id="1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یقرأ الأدعیة الواردة عن الأئمّة علیهم‌السلام ، والأفضل کلمات الفرج</w:t>
      </w:r>
      <w:r>
        <w:rPr>
          <w:rStyle w:val="FootnoteAnchor"/>
          <w:rtl w:val="true"/>
        </w:rPr>
        <w:footnoteReference w:id="1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یأتیها بقصد المحبوبیة، أو رجاء الأفضلیة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الحلیمُ الکریم، لا إلهَ إلاّ اللّه‌ُ العلیُّ العظیم، سبحانَ اللّه‌ِ ربّ السماواتِ السَبعِ ورَبِّ الأرضینَ السبعَ، وما فیهنّ وما بینهنّ وربِّ العرشِ العظیم، 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بقصد الخصوصیّة، وکذا ما بعده، وإن کان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بقصد الورود، ولو زاد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بها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بینهنّ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فوقهنّ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تحتهنّ</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الإتیان بهما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یختصّ بصورة قصد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ترکه، أو الإتیان به بقصد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ترکه، أو الإتیان به بقصد الحکایة وقراءة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بقصد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ترکه، أو إتیانه بقصد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نعم، لا بأس به إذا کان بقصد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بقصد القرآنیة علی الأحوط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بقصد الخصوصیة، بل بقصد قراءة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الدعاء أو القرآنیة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ترکه، أو إتیانه بقصد القرآنیة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ترکه، أو قصد القرآنیة، أو الدعاء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یقرأها بقصد القرآنیة؛ لأنّها لیست من کلمات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هذه الزیادة فی صلاة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والأحسن أن یقول بعد کلمات</w:t>
      </w:r>
      <w:bookmarkStart w:id="1016" w:name="pg13278_326709"/>
    </w:p>
    <w:p>
      <w:pPr>
        <w:pStyle w:val="BookText"/>
        <w:rPr/>
      </w:pPr>
      <w:bookmarkEnd w:id="1016"/>
      <w:r>
        <w:rPr>
          <w:rFonts w:ascii="IRNazanin" w:hAnsi="IRNazanin" w:eastAsia="IRNazanin"/>
          <w:color w:val="111111"/>
          <w:sz w:val="28"/>
          <w:sz w:val="28"/>
          <w:szCs w:val="28"/>
          <w:rtl w:val="true"/>
          <w:lang w:bidi="fa-IR"/>
        </w:rPr>
        <w:t>الفرج</w:t>
      </w:r>
      <w:r>
        <w:rPr>
          <w:rStyle w:val="FootnoteAnchor"/>
          <w:rtl w:val="true"/>
        </w:rPr>
        <w:footnoteReference w:id="1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وارحمنا، وعافنا واعفُ عنّا، إنّک علی کلّ شیء قدیر</w:t>
      </w:r>
      <w:r>
        <w:rPr>
          <w:rFonts w:eastAsia="IRNazanin" w:cs="IRNazanin"/>
          <w:color w:val="111111"/>
          <w:sz w:val="28"/>
          <w:szCs w:val="28"/>
          <w:rtl w:val="true"/>
          <w:lang w:bidi="fa-IR"/>
        </w:rPr>
        <w:t>».</w:t>
      </w:r>
    </w:p>
    <w:p>
      <w:pPr>
        <w:pStyle w:val="Heading3"/>
        <w:numPr>
          <w:ilvl w:val="2"/>
          <w:numId w:val="1"/>
        </w:numPr>
        <w:rPr/>
      </w:pPr>
      <w:bookmarkStart w:id="1017" w:name="__RefHeading___Toc1841347_2322387425"/>
      <w:bookmarkStart w:id="1018" w:name="_Toc391"/>
      <w:bookmarkEnd w:id="1017"/>
      <w:r>
        <w:rPr>
          <w:rtl w:val="true"/>
        </w:rPr>
        <w:t>ما یبدء به فی القنوت</w:t>
      </w:r>
      <w:bookmarkEnd w:id="101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Style w:val="FootnoteAnchor"/>
          <w:rtl w:val="true"/>
        </w:rPr>
        <w:footnoteReference w:id="1167"/>
      </w:r>
      <w:r>
        <w:rPr>
          <w:rFonts w:ascii="IRNazanin" w:hAnsi="IRNazanin" w:eastAsia="IRNazanin"/>
          <w:color w:val="111111"/>
          <w:sz w:val="28"/>
          <w:sz w:val="28"/>
          <w:szCs w:val="28"/>
          <w:rtl w:val="true"/>
          <w:lang w:bidi="fa-IR"/>
        </w:rPr>
        <w:t>ختم القنوت</w:t>
      </w:r>
      <w:r>
        <w:rPr>
          <w:rStyle w:val="FootnoteAnchor"/>
          <w:rtl w:val="true"/>
        </w:rPr>
        <w:footnoteReference w:id="1168"/>
      </w:r>
      <w:r>
        <w:rPr>
          <w:rFonts w:ascii="IRNazanin" w:hAnsi="IRNazanin" w:eastAsia="IRNazanin"/>
          <w:color w:val="111111"/>
          <w:sz w:val="28"/>
          <w:sz w:val="28"/>
          <w:szCs w:val="28"/>
          <w:rtl w:val="true"/>
          <w:lang w:bidi="fa-IR"/>
        </w:rPr>
        <w:t>بالصلاة علی محمَّدٍ وآله، بل الابتداء بها أیضاً، أو الابتداء فی طلب المغفرة، أو قضاء الحوائج بها، 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سبحانه یستجیب الدعاء للنبیّ صلی‌الله‌علیه‌و‌آله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الدعاء،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لک إلی اللّه حاجة فابدأ بمسألة الصلاة علی النبی صلی‌الله‌علیه‌و‌آله‌وسلم ثمّ سل حاجتک، فإنّ اللّه أکرم من أن یُسأل حاجتین فیقضی إحداهما ویمنع الاُخری</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 وبعید من رحمته أن یستجیب الأوّل والآخر ولا یستجیب الوسط، فینبغی أن یکون </w:t>
      </w:r>
      <w:bookmarkStart w:id="1019" w:name="pg13278_326710"/>
    </w:p>
    <w:p>
      <w:pPr>
        <w:pStyle w:val="BookText"/>
        <w:rPr/>
      </w:pPr>
      <w:bookmarkEnd w:id="1019"/>
      <w:r>
        <w:rPr>
          <w:rFonts w:ascii="IRNazanin" w:hAnsi="IRNazanin" w:eastAsia="IRNazanin"/>
          <w:color w:val="111111"/>
          <w:sz w:val="28"/>
          <w:sz w:val="28"/>
          <w:szCs w:val="28"/>
          <w:rtl w:val="true"/>
          <w:lang w:bidi="fa-IR"/>
        </w:rPr>
        <w:t xml:space="preserve">طلب المغفرة والحاجات بین الدعاءین للصلاة علی النبیّ صلی‌الله‌علیه‌و‌آله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وآله؛ حتّی لا تکون من الصلاة البتراء المنهیّ عنها، کما هو المرویّ فی کتب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بالکیفیّة المتعارفة المشتملة علی الصلاة علی الآل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1841349_2322387425"/>
      <w:bookmarkStart w:id="1021" w:name="_Toc392"/>
      <w:bookmarkEnd w:id="1020"/>
      <w:r>
        <w:rPr>
          <w:rtl w:val="true"/>
        </w:rPr>
        <w:t>بعض ما ورد من القنوت الجامع</w:t>
      </w:r>
      <w:bookmarkEnd w:id="102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القنوت الجامع الموجب لقضاء الحوائج علی ما ذکره بعض العلماء</w:t>
      </w:r>
      <w:r>
        <w:rPr>
          <w:rStyle w:val="FootnoteAnchor"/>
          <w:rtl w:val="true"/>
        </w:rPr>
        <w:footnoteReference w:id="1171"/>
      </w:r>
      <w:r>
        <w:rPr>
          <w:rFonts w:ascii="Amiri" w:hAnsi="Amiri" w:eastAsia="Amiri" w:cs="Amiri"/>
          <w:color w:val="111111"/>
          <w:sz w:val="28"/>
          <w:sz w:val="28"/>
          <w:szCs w:val="28"/>
          <w:rtl w:val="true"/>
          <w:lang w:bidi="ar-SA"/>
        </w:rPr>
        <w:t>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دانت له السماوات والأرض بالعبودیّة، سبحان من تفرّد بالوحدانیّة، اللهمّ صلِّ علی محمّدٍ وآل محمّدٍ وعجِّل فَرَجهم، اللهمّ اغفر لی ولجمیع الموءمنین والموءمنات، واقضِ حوائجی وحوائجهم بحقّ حبیبک محمَّدٍ وآله الطاهرین، صلّی اللّه علیه وآله أجمعین</w:t>
      </w:r>
      <w:r>
        <w:rPr>
          <w:rFonts w:eastAsia="Amiri" w:cs="Amiri" w:ascii="Amiri" w:hAnsi="Amiri"/>
          <w:color w:val="111111"/>
          <w:sz w:val="28"/>
          <w:szCs w:val="28"/>
          <w:rtl w:val="true"/>
          <w:lang w:bidi="ar-SA"/>
        </w:rPr>
        <w:t xml:space="preserve">». </w:t>
      </w:r>
      <w:bookmarkStart w:id="1022" w:name="pg13278_326711"/>
    </w:p>
    <w:p>
      <w:pPr>
        <w:pStyle w:val="Heading3"/>
        <w:numPr>
          <w:ilvl w:val="2"/>
          <w:numId w:val="1"/>
        </w:numPr>
        <w:rPr/>
      </w:pPr>
      <w:bookmarkStart w:id="1023" w:name="__RefHeading___Toc1841351_2322387425"/>
      <w:bookmarkStart w:id="1024" w:name="_Toc393"/>
      <w:bookmarkEnd w:id="1022"/>
      <w:bookmarkEnd w:id="1023"/>
      <w:r>
        <w:rPr>
          <w:rtl w:val="true"/>
        </w:rPr>
        <w:t>حکم القنوت بالدعاء الملحون</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القنوت</w:t>
      </w:r>
      <w:r>
        <w:rPr>
          <w:rStyle w:val="FootnoteAnchor"/>
          <w:rtl w:val="true"/>
        </w:rPr>
        <w:footnoteReference w:id="1172"/>
      </w:r>
      <w:r>
        <w:rPr>
          <w:rFonts w:ascii="IRNazanin" w:hAnsi="IRNazanin" w:eastAsia="IRNazanin"/>
          <w:color w:val="111111"/>
          <w:sz w:val="28"/>
          <w:sz w:val="28"/>
          <w:szCs w:val="28"/>
          <w:rtl w:val="true"/>
          <w:lang w:bidi="fa-IR"/>
        </w:rPr>
        <w:t>الدعاء الملحون</w:t>
      </w:r>
      <w:r>
        <w:rPr>
          <w:rStyle w:val="FootnoteAnchor"/>
          <w:rtl w:val="true"/>
        </w:rPr>
        <w:footnoteReference w:id="1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تتحقّق به وظیفة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التمکّن من صحیحه ولو بالتعلم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تحصل به وظیفة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یجعله من وظیفة القنوت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 کما تقدّم فی الدعاء بالفارسیة، ولا تتأدّی به وظیفة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مادّةً أو إعراباً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لحنه فاحشاً 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مغیّراً للمعنی،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عبدالهادی الشیرازی، 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مع العلم بکونه غلطاً ولو بالإجمال، وإن کان الحکم ببطلان الصلاة لأجل مثل هذه الزیادة لا یخلو من 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یُترک، خصوصاً فی الملحون مادّةً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بالترک، سیّما فی الملحون مادّةً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یُترک 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اللحن المادّی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5" w:name="pg13278_326712"/>
    </w:p>
    <w:p>
      <w:pPr>
        <w:pStyle w:val="Heading3"/>
        <w:numPr>
          <w:ilvl w:val="2"/>
          <w:numId w:val="1"/>
        </w:numPr>
        <w:rPr/>
      </w:pPr>
      <w:bookmarkStart w:id="1026" w:name="__RefHeading___Toc1841353_2322387425"/>
      <w:bookmarkStart w:id="1027" w:name="_Toc394"/>
      <w:bookmarkEnd w:id="1025"/>
      <w:bookmarkEnd w:id="1026"/>
      <w:r>
        <w:rPr>
          <w:rtl w:val="true"/>
        </w:rPr>
        <w:t>جواز الدعاء لشخص أو علیه</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القنوت</w:t>
      </w:r>
      <w:r>
        <w:rPr>
          <w:rStyle w:val="FootnoteAnchor"/>
          <w:rtl w:val="true"/>
        </w:rPr>
        <w:footnoteReference w:id="1174"/>
      </w:r>
      <w:r>
        <w:rPr>
          <w:rFonts w:ascii="IRNazanin" w:hAnsi="IRNazanin" w:eastAsia="IRNazanin"/>
          <w:color w:val="111111"/>
          <w:sz w:val="28"/>
          <w:sz w:val="28"/>
          <w:szCs w:val="28"/>
          <w:rtl w:val="true"/>
          <w:lang w:bidi="fa-IR"/>
        </w:rPr>
        <w:t>الدعاء علی العدوّ بغیر ظلم وتسمیته، کما یجوز الدعاء لشخصٍ خاصٍّ مع ذکر اسمه</w:t>
      </w:r>
      <w:r>
        <w:rPr>
          <w:rFonts w:eastAsia="IRNazanin" w:cs="IRNazanin"/>
          <w:color w:val="111111"/>
          <w:sz w:val="28"/>
          <w:szCs w:val="28"/>
          <w:rtl w:val="true"/>
          <w:lang w:bidi="fa-IR"/>
        </w:rPr>
        <w:t>.</w:t>
      </w:r>
    </w:p>
    <w:p>
      <w:pPr>
        <w:pStyle w:val="Heading3"/>
        <w:numPr>
          <w:ilvl w:val="2"/>
          <w:numId w:val="1"/>
        </w:numPr>
        <w:rPr/>
      </w:pPr>
      <w:bookmarkStart w:id="1028" w:name="__RefHeading___Toc1841355_2322387425"/>
      <w:bookmarkStart w:id="1029" w:name="_Toc395"/>
      <w:bookmarkEnd w:id="1028"/>
      <w:r>
        <w:rPr>
          <w:rtl w:val="true"/>
        </w:rPr>
        <w:t>حکم الدعاء لطلب الحرام</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الدعاء</w:t>
      </w:r>
      <w:r>
        <w:rPr>
          <w:rStyle w:val="FootnoteAnchor"/>
          <w:rtl w:val="true"/>
        </w:rPr>
        <w:footnoteReference w:id="1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بطلان الصلاة به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إتمام المدّعی بالصناعة مشکل، فالحکم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لطلب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بطلان الصلاة به، والأحوط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الأحوط إعادة الصلاة بعد إتمامها إذا أتی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مبطلیّته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تبطل الصلاة به علی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1841357_2322387425"/>
      <w:bookmarkStart w:id="1031" w:name="_Toc396"/>
      <w:bookmarkEnd w:id="1030"/>
      <w:r>
        <w:rPr>
          <w:rtl w:val="true"/>
        </w:rPr>
        <w:t>استحباب إطالة القنوت</w:t>
      </w:r>
      <w:bookmarkEnd w:id="103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إطالة</w:t>
      </w:r>
      <w:r>
        <w:rPr>
          <w:rStyle w:val="FootnoteAnchor"/>
          <w:rtl w:val="true"/>
        </w:rPr>
        <w:footnoteReference w:id="1176"/>
      </w:r>
      <w:r>
        <w:rPr>
          <w:rFonts w:ascii="IRNazanin" w:hAnsi="IRNazanin" w:eastAsia="IRNazanin"/>
          <w:color w:val="111111"/>
          <w:sz w:val="28"/>
          <w:sz w:val="28"/>
          <w:szCs w:val="28"/>
          <w:rtl w:val="true"/>
          <w:lang w:bidi="fa-IR"/>
        </w:rPr>
        <w:t xml:space="preserve">القنوت خصوصاً فی صلاة الوَتْر، فعن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أطولُکُم قنوتاً فی دار الدنیا أطولُکُم راحةً یوم القیامة فی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بعض الروایات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أطولُکُم قنوتاً فی الوَتر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إطالة الدعاء فی الصلاة </w:t>
      </w:r>
      <w:bookmarkStart w:id="1032" w:name="pg13278_326713"/>
    </w:p>
    <w:p>
      <w:pPr>
        <w:pStyle w:val="BookText"/>
        <w:rPr/>
      </w:pPr>
      <w:bookmarkEnd w:id="1032"/>
      <w:r>
        <w:rPr>
          <w:rFonts w:ascii="Amiri" w:hAnsi="Amiri" w:eastAsia="Amiri" w:cs="Amiri"/>
          <w:color w:val="111111"/>
          <w:sz w:val="28"/>
          <w:sz w:val="28"/>
          <w:szCs w:val="28"/>
          <w:rtl w:val="true"/>
          <w:lang w:bidi="ar-SA"/>
        </w:rPr>
        <w:t>أفضل من إطالة القراءة</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1841359_2322387425"/>
      <w:bookmarkStart w:id="1034" w:name="_Toc397"/>
      <w:bookmarkEnd w:id="1033"/>
      <w:r>
        <w:rPr>
          <w:rtl w:val="true"/>
        </w:rPr>
        <w:t>استحبابیة و کرهیة جملة من الأمور حین القنوت</w:t>
      </w:r>
      <w:bookmarkEnd w:id="1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التکبیر</w:t>
      </w:r>
      <w:r>
        <w:rPr>
          <w:rStyle w:val="FootnoteAnchor"/>
          <w:rtl w:val="true"/>
        </w:rPr>
        <w:footnoteReference w:id="1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ما ذکر لم یثبت، یأتی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القنوت، ورفع الیدین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التکبیر ووضعهما، ثمّ رفعهما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أنّه لا ینبغی ترک الاحتیاط فی أصل الرفع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حیال الوجه وبسطهما، جاعلاً باطنهما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نحو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وظاهرهما نحو الأرض، وأن یکونا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منضمّتین مضمومتَی الأصابع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الإبهامَین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عدم قصد الورود فی هذه الکیفیة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 یکون نظره إلی کفّیه، ویکره أن یجاوز بهما الرأس، وکذا یکره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فی خصوص الفرائض دون النوافل علی الأظهر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هذه الکراهة مختصّة بالفرائض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اختصاصها بقنوت الفریضة دون النافلة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w:t>
      </w:r>
      <w:bookmarkStart w:id="1035" w:name="pg13278_326714"/>
    </w:p>
    <w:p>
      <w:pPr>
        <w:pStyle w:val="BookText"/>
        <w:rPr/>
      </w:pPr>
      <w:bookmarkEnd w:id="1035"/>
      <w:r>
        <w:rPr>
          <w:rFonts w:ascii="Amiri" w:hAnsi="Amiri" w:eastAsia="Amiri" w:cs="Amiri"/>
          <w:color w:val="111111"/>
          <w:sz w:val="28"/>
          <w:sz w:val="28"/>
          <w:szCs w:val="28"/>
          <w:rtl w:val="true"/>
          <w:lang w:bidi="ar-SA"/>
        </w:rPr>
        <w:t>یمرّ</w:t>
      </w:r>
      <w:r>
        <w:rPr>
          <w:rStyle w:val="FootnoteAnchor"/>
          <w:rtl w:val="true"/>
        </w:rPr>
        <w:footnoteReference w:id="1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الفرائض دون النوافل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علی 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الوضع</w:t>
      </w:r>
      <w:r>
        <w:rPr>
          <w:rFonts w:eastAsia="IRNazanin" w:cs="IRNazanin"/>
          <w:color w:val="111111"/>
          <w:sz w:val="28"/>
          <w:szCs w:val="28"/>
          <w:rtl w:val="true"/>
          <w:lang w:bidi="fa-IR"/>
        </w:rPr>
        <w:t>.</w:t>
      </w:r>
    </w:p>
    <w:p>
      <w:pPr>
        <w:pStyle w:val="Heading3"/>
        <w:numPr>
          <w:ilvl w:val="2"/>
          <w:numId w:val="1"/>
        </w:numPr>
        <w:rPr/>
      </w:pPr>
      <w:bookmarkStart w:id="1036" w:name="__RefHeading___Toc1841361_2322387425"/>
      <w:bookmarkStart w:id="1037" w:name="_Toc398"/>
      <w:bookmarkEnd w:id="1036"/>
      <w:r>
        <w:rPr>
          <w:rtl w:val="true"/>
        </w:rPr>
        <w:t>استحباب الجهر بالقنوت</w:t>
      </w:r>
      <w:bookmarkEnd w:id="1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الجهر</w:t>
      </w:r>
      <w:r>
        <w:rPr>
          <w:rStyle w:val="FootnoteAnchor"/>
          <w:rtl w:val="true"/>
        </w:rPr>
        <w:footnoteReference w:id="1179"/>
      </w:r>
      <w:r>
        <w:rPr>
          <w:rFonts w:ascii="IRNazanin" w:hAnsi="IRNazanin" w:eastAsia="IRNazanin"/>
          <w:color w:val="111111"/>
          <w:sz w:val="28"/>
          <w:sz w:val="28"/>
          <w:szCs w:val="28"/>
          <w:rtl w:val="true"/>
          <w:lang w:bidi="fa-IR"/>
        </w:rPr>
        <w:t>بالقنوت، سواء کانت الصلاة جهریّة أم إخفاتیّة</w:t>
      </w:r>
      <w:r>
        <w:rPr>
          <w:rStyle w:val="FootnoteAnchor"/>
          <w:rtl w:val="true"/>
        </w:rPr>
        <w:footnoteReference w:id="1180"/>
      </w:r>
      <w:r>
        <w:rPr>
          <w:rFonts w:ascii="IRNazanin" w:hAnsi="IRNazanin" w:eastAsia="IRNazanin"/>
          <w:color w:val="111111"/>
          <w:sz w:val="28"/>
          <w:sz w:val="28"/>
          <w:szCs w:val="28"/>
          <w:rtl w:val="true"/>
          <w:lang w:bidi="fa-IR"/>
        </w:rPr>
        <w:t>، وسواء کان إماماً أم منفرداً، بل أو مأموماً إذا لم یسمع الإمام صوته</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سَمِع؛ فإنّ النهی عن سماع المأموم الإمام منصرف إلی القراءة، ولکنّ سقوط الجهرفی الواجب قد یقتضی سقوطه بالأولویّة بالمندوب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Heading3"/>
        <w:numPr>
          <w:ilvl w:val="2"/>
          <w:numId w:val="1"/>
        </w:numPr>
        <w:rPr/>
      </w:pPr>
      <w:bookmarkStart w:id="1038" w:name="__RefHeading___Toc1841363_2322387425"/>
      <w:bookmarkStart w:id="1039" w:name="_Toc399"/>
      <w:bookmarkEnd w:id="1038"/>
      <w:r>
        <w:rPr>
          <w:rtl w:val="true"/>
        </w:rPr>
        <w:t>فی ما إذا نذر القنوت</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القنوت فی کلِّ صلاةٍ أو صلاةٍ خاصّة وجب</w:t>
      </w:r>
      <w:r>
        <w:rPr>
          <w:rStyle w:val="FootnoteAnchor"/>
          <w:rtl w:val="true"/>
        </w:rPr>
        <w:footnoteReference w:id="1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بعنوان القنوت ، بل بعنوان الوفاء بالنذر، کما مرّ مراراً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تبطل الصلاة بترکه سهواً، بل ولا بترکه عمداً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1841365_2322387425"/>
      <w:bookmarkStart w:id="1041" w:name="_Toc400"/>
      <w:bookmarkEnd w:id="1040"/>
      <w:r>
        <w:rPr>
          <w:rtl w:val="true"/>
        </w:rPr>
        <w:t>حکم نسیان القنوت و ما یتعلق به</w:t>
      </w:r>
      <w:bookmarkEnd w:id="104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تذکّر قبل الوصول إلی حدّ الرکوع </w:t>
      </w:r>
      <w:bookmarkStart w:id="1042" w:name="pg13278_326715"/>
    </w:p>
    <w:p>
      <w:pPr>
        <w:pStyle w:val="BookText"/>
        <w:rPr/>
      </w:pPr>
      <w:bookmarkEnd w:id="1042"/>
      <w:r>
        <w:rPr>
          <w:rFonts w:ascii="IRNazanin" w:hAnsi="IRNazanin" w:eastAsia="IRNazanin"/>
          <w:color w:val="111111"/>
          <w:sz w:val="28"/>
          <w:sz w:val="28"/>
          <w:szCs w:val="28"/>
          <w:rtl w:val="true"/>
          <w:lang w:bidi="fa-IR"/>
        </w:rPr>
        <w:t>قام وأتی به، وإن تذکّر بعد الدخول فی الرکوع قضاه بعد الرفع منه، بل وکذا لو تذکّر بعد الهویِّ للسجود قبل وضع الجبهة، وإن کان الأحوط</w:t>
      </w:r>
      <w:r>
        <w:rPr>
          <w:rStyle w:val="FootnoteAnchor"/>
          <w:rtl w:val="true"/>
        </w:rPr>
        <w:footnoteReference w:id="1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 المرعشی، محمدرضا الگلپایگانی، تقی القمّی،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العَود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تذکّر بعد الدخول فی السجود أو بعد الصلاة قضاه بعد الصلاة وإن طالت المدّة، والأولی الإتیان به إذا کان بعد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بدون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مستقبلاً، وإن ترکه عمداً فی محلّه أو بعد الرکوع فلا 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1841367_2322387425"/>
      <w:bookmarkStart w:id="1044" w:name="_Toc401"/>
      <w:bookmarkEnd w:id="1043"/>
      <w:r>
        <w:rPr>
          <w:rtl w:val="true"/>
        </w:rPr>
        <w:t>فی شرطیة القیام فی القنوت</w:t>
      </w:r>
      <w:bookmarkEnd w:id="104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اشتراط</w:t>
      </w:r>
      <w:r>
        <w:rPr>
          <w:rStyle w:val="FootnoteAnchor"/>
          <w:rtl w:val="true"/>
        </w:rPr>
        <w:footnoteReference w:id="1184"/>
      </w:r>
      <w:r>
        <w:rPr>
          <w:rFonts w:ascii="IRNazanin" w:hAnsi="IRNazanin" w:eastAsia="IRNazanin"/>
          <w:color w:val="111111"/>
          <w:sz w:val="28"/>
          <w:sz w:val="28"/>
          <w:szCs w:val="28"/>
          <w:rtl w:val="true"/>
          <w:lang w:bidi="fa-IR"/>
        </w:rPr>
        <w:t>القیام فی القنوت مع التمکّن منه</w:t>
      </w:r>
      <w:r>
        <w:rPr>
          <w:rStyle w:val="FootnoteAnchor"/>
          <w:rtl w:val="true"/>
        </w:rPr>
        <w:footnoteReference w:id="1185"/>
      </w:r>
      <w:r>
        <w:rPr>
          <w:rFonts w:ascii="IRNazanin" w:hAnsi="IRNazanin" w:eastAsia="IRNazanin"/>
          <w:color w:val="111111"/>
          <w:sz w:val="28"/>
          <w:sz w:val="28"/>
          <w:szCs w:val="28"/>
          <w:rtl w:val="true"/>
          <w:lang w:bidi="fa-IR"/>
        </w:rPr>
        <w:t>، إلاّ إذا کانت الصلاة من جلوس، أو کانت نافلة، حیث یجوز الجلوس فی أثنائها کما یجوز فی ابتدائها اختیاراً</w:t>
      </w:r>
      <w:r>
        <w:rPr>
          <w:rFonts w:eastAsia="IRNazanin" w:cs="IRNazanin"/>
          <w:color w:val="111111"/>
          <w:sz w:val="28"/>
          <w:szCs w:val="28"/>
          <w:rtl w:val="true"/>
          <w:lang w:bidi="fa-IR"/>
        </w:rPr>
        <w:t xml:space="preserve">. </w:t>
      </w:r>
      <w:bookmarkStart w:id="1045" w:name="pg13278_326716"/>
    </w:p>
    <w:p>
      <w:pPr>
        <w:pStyle w:val="Heading3"/>
        <w:numPr>
          <w:ilvl w:val="2"/>
          <w:numId w:val="1"/>
        </w:numPr>
        <w:rPr/>
      </w:pPr>
      <w:bookmarkStart w:id="1046" w:name="__RefHeading___Toc1841369_2322387425"/>
      <w:bookmarkStart w:id="1047" w:name="_Toc402"/>
      <w:bookmarkEnd w:id="1045"/>
      <w:bookmarkEnd w:id="1046"/>
      <w:r>
        <w:rPr>
          <w:rtl w:val="true"/>
        </w:rPr>
        <w:t>صلاة المرأة کالرجل فی الواجبات و المستحبات، و بعض ما یستحب فی صلاتها</w:t>
      </w:r>
      <w:bookmarkEnd w:id="1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کالرجل فی الواجبات والمستحبّات، إلاّ فی اُمور قد مرّ کثیر منها فی تضاعیف ما قدّمنا من المسائل، وجملتها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یستحبّ لها</w:t>
      </w:r>
      <w:r>
        <w:rPr>
          <w:rStyle w:val="FootnoteAnchor"/>
          <w:rtl w:val="true"/>
        </w:rPr>
        <w:footnoteReference w:id="1186"/>
      </w:r>
      <w:r>
        <w:rPr>
          <w:rFonts w:ascii="IRNazanin" w:hAnsi="IRNazanin" w:eastAsia="IRNazanin"/>
          <w:color w:val="111111"/>
          <w:sz w:val="28"/>
          <w:sz w:val="28"/>
          <w:szCs w:val="28"/>
          <w:rtl w:val="true"/>
          <w:lang w:bidi="fa-IR"/>
        </w:rPr>
        <w:t>الزینة حال الصلاة بالحلیّ والخضاب</w:t>
      </w:r>
      <w:r>
        <w:rPr>
          <w:rStyle w:val="FootnoteAnchor"/>
          <w:rtl w:val="true"/>
        </w:rPr>
        <w:footnoteReference w:id="1187"/>
      </w:r>
      <w:r>
        <w:rPr>
          <w:rFonts w:ascii="IRNazanin" w:hAnsi="IRNazanin" w:eastAsia="IRNazanin"/>
          <w:color w:val="111111"/>
          <w:sz w:val="28"/>
          <w:sz w:val="28"/>
          <w:szCs w:val="28"/>
          <w:rtl w:val="true"/>
          <w:lang w:bidi="fa-IR"/>
        </w:rPr>
        <w:t>، والإخفات فی الأقوال</w:t>
      </w:r>
      <w:r>
        <w:rPr>
          <w:rStyle w:val="FootnoteAnchor"/>
          <w:rtl w:val="true"/>
        </w:rPr>
        <w:footnoteReference w:id="1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نعثر علی دلیل علی إطلاقه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والجمع بین قدمیها حال القیام، وضمّ ثدییها إلی صدرها بیدیها حاله أیضاً، ووضع یدیها علی فخذیها حال الرکوع، وأن لا تردّ رکبتیها حاله إلی وراء، وأن تبدأ بالقعود للسجود، وأن تجلس معتدلة، ثمّ تسجد، وأن تجتمع وتضمّ أعضاءها حال السجود، وأن تلتصق بالأرض بلا تجاف وتفترش ذراعیها، وأن تنسلّ انسلالاً إذا أرادت القیام، أی تنهض بتأنٍّ وتدریج عدلاً لئلاّ تبدو عجیزتها، وأن تجلس علی ألْیَتَیها إذا جلست رافعة رکبتیها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ضامّة لهما</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841371_2322387425"/>
      <w:bookmarkStart w:id="1049" w:name="_Toc403"/>
      <w:bookmarkEnd w:id="1048"/>
      <w:r>
        <w:rPr>
          <w:rtl w:val="true"/>
        </w:rPr>
        <w:t>صلاة الصبی کالرجل، و الصبیة کالمرأة</w:t>
      </w:r>
      <w:bookmarkEnd w:id="10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الصبیّ کالرجل، والصبیّة کالمرأة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0" w:name="__RefHeading___Toc1841373_2322387425"/>
      <w:bookmarkStart w:id="1051" w:name="_Toc404"/>
      <w:bookmarkEnd w:id="1050"/>
      <w:r>
        <w:rPr>
          <w:rtl w:val="true"/>
        </w:rPr>
        <w:t>بعض ما یستحب فی حال الصلاة</w:t>
      </w:r>
      <w:bookmarkEnd w:id="10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المسائل المتقدّمة متفرّقةً حکم النظر والیدین حال الصلاة، ولا بأس بإعادته جملةً، فشغل النظر حال القیام أن یکون علی موضع السجود، وحال الرکوع بین القدمین</w:t>
      </w:r>
      <w:r>
        <w:rPr>
          <w:rStyle w:val="FootnoteAnchor"/>
          <w:rtl w:val="true"/>
        </w:rPr>
        <w:footnoteReference w:id="11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الأوجه التخییر بینه وبین غمض العینین حال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وحال السجود إلی</w:t>
      </w:r>
    </w:p>
    <w:p>
      <w:pPr>
        <w:pStyle w:val="BookText"/>
        <w:rPr/>
      </w:pPr>
      <w:r>
        <w:rPr>
          <w:rFonts w:ascii="IRNazanin" w:hAnsi="IRNazanin" w:eastAsia="IRNazanin"/>
          <w:color w:val="111111"/>
          <w:sz w:val="28"/>
          <w:sz w:val="28"/>
          <w:szCs w:val="28"/>
          <w:rtl w:val="true"/>
          <w:lang w:bidi="fa-IR"/>
        </w:rPr>
        <w:t>طرف الأنف</w:t>
      </w:r>
      <w:r>
        <w:rPr>
          <w:rStyle w:val="FootnoteAnchor"/>
          <w:rtl w:val="true"/>
        </w:rPr>
        <w:footnoteReference w:id="1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یراعیه رجاءً؛ لضعف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وحال الجلوس إلی حجره، وأمّا الیدان فیرسلهما حال القیام ویضعهما علی الفخذین، وحال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الرکوع علی الرکبتین مفرّجة الأصابع، وحال السجود علی الأرض مبسوطتین مستقبلاً بأصابعهما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یراعیه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منضمّة حذاء الاُذُنین، وحال الجلوس علی الفَخِذَین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یراعیه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وحال القنوت تلقاء 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اختصاص هذا الأدب بقنوت الوَتر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2" w:name="pg13278_326718"/>
    </w:p>
    <w:p>
      <w:pPr>
        <w:pStyle w:val="Heading2"/>
        <w:numPr>
          <w:ilvl w:val="1"/>
          <w:numId w:val="1"/>
        </w:numPr>
        <w:rPr/>
      </w:pPr>
      <w:bookmarkStart w:id="1053" w:name="__RefHeading___Toc1841375_2322387425"/>
      <w:bookmarkStart w:id="1054" w:name="_Toc405"/>
      <w:bookmarkEnd w:id="1052"/>
      <w:bookmarkEnd w:id="1053"/>
      <w:r>
        <w:rPr>
          <w:rtl w:val="true"/>
        </w:rPr>
        <w:t>فصل فی التعقیب</w:t>
      </w:r>
      <w:bookmarkEnd w:id="1054"/>
    </w:p>
    <w:p>
      <w:pPr>
        <w:pStyle w:val="Heading3"/>
        <w:numPr>
          <w:ilvl w:val="2"/>
          <w:numId w:val="1"/>
        </w:numPr>
        <w:rPr/>
      </w:pPr>
      <w:bookmarkStart w:id="1055" w:name="__RefHeading___Toc1841377_2322387425"/>
      <w:bookmarkStart w:id="1056" w:name="_Toc406"/>
      <w:bookmarkEnd w:id="1055"/>
      <w:r>
        <w:rPr>
          <w:rtl w:val="true"/>
        </w:rPr>
        <w:t>مالمراد من التعقیب</w:t>
      </w:r>
      <w:bookmarkEnd w:id="1056"/>
    </w:p>
    <w:p>
      <w:pPr>
        <w:pStyle w:val="BookText"/>
        <w:rPr/>
      </w:pPr>
      <w:r>
        <w:rPr>
          <w:rFonts w:ascii="IRNazanin" w:hAnsi="IRNazanin" w:eastAsia="IRNazanin"/>
          <w:color w:val="111111"/>
          <w:sz w:val="28"/>
          <w:sz w:val="28"/>
          <w:szCs w:val="28"/>
          <w:rtl w:val="true"/>
          <w:lang w:bidi="fa-IR"/>
        </w:rPr>
        <w:t>وهو الاشتغال عَقیب الصلاة</w:t>
      </w:r>
      <w:r>
        <w:rPr>
          <w:rStyle w:val="FootnoteAnchor"/>
          <w:rtl w:val="true"/>
        </w:rPr>
        <w:footnoteReference w:id="1192"/>
      </w:r>
      <w:r>
        <w:rPr>
          <w:rFonts w:ascii="IRNazanin" w:hAnsi="IRNazanin" w:eastAsia="IRNazanin"/>
          <w:color w:val="111111"/>
          <w:sz w:val="28"/>
          <w:sz w:val="28"/>
          <w:szCs w:val="28"/>
          <w:rtl w:val="true"/>
          <w:lang w:bidi="fa-IR"/>
        </w:rPr>
        <w:t>بالدعاء أو الذکر أو التلاوة أو غیرها من الأفعال الحسنة</w:t>
      </w:r>
      <w:r>
        <w:rPr>
          <w:rStyle w:val="FootnoteAnchor"/>
          <w:rtl w:val="true"/>
        </w:rPr>
        <w:footnoteReference w:id="1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التعقیب علی مطلقها، بل وعلی مثل التذکّر غیر معلوم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شموله لمطلق الأفعال الحسنة محلّ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التعقیب علی مطلق الأفعال الحسنة حتّی الأفعال الجوانحیة کالتدبّر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إطلاقه مشکل، بل ممنوع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یصدق علیها التعقیب فی عرف المتشرّعة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إطلاقه محلّ إشکال، بل منع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مثل التفکّر فی عظمة اللّه ونحوه، ومثل البکاء لخشیة اللّه أو للرغبة إلیه، وغیر ذلک</w:t>
      </w:r>
      <w:r>
        <w:rPr>
          <w:rFonts w:eastAsia="IRNazanin" w:cs="IRNazanin"/>
          <w:color w:val="111111"/>
          <w:sz w:val="28"/>
          <w:szCs w:val="28"/>
          <w:rtl w:val="true"/>
          <w:lang w:bidi="fa-IR"/>
        </w:rPr>
        <w:t>.</w:t>
      </w:r>
    </w:p>
    <w:p>
      <w:pPr>
        <w:pStyle w:val="Heading3"/>
        <w:numPr>
          <w:ilvl w:val="2"/>
          <w:numId w:val="1"/>
        </w:numPr>
        <w:rPr/>
      </w:pPr>
      <w:bookmarkStart w:id="1057" w:name="__RefHeading___Toc1841379_2322387425"/>
      <w:bookmarkStart w:id="1058" w:name="_Toc407"/>
      <w:bookmarkEnd w:id="1057"/>
      <w:r>
        <w:rPr>
          <w:rtl w:val="true"/>
        </w:rPr>
        <w:t>حکم التعقیب و ما یقصد فیه</w:t>
      </w:r>
      <w:bookmarkEnd w:id="105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السُنَن الأکیدة، ومنافعه فی الدین والدنیا کثیرة، 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عقّب فی صلاته فهو فی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الفایق فی غریب الحدیث للزمخشری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الحدائق الناضرة للبحرانی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مستند الشیعة للنراقی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التعقیب أبلغ فی طلب الرزق من الضرب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التعقیب وما یناسبه،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استحبابه بعد النوافل أیضاً، وإن </w:t>
      </w:r>
      <w:bookmarkStart w:id="1059" w:name="pg13278_326719"/>
    </w:p>
    <w:p>
      <w:pPr>
        <w:pStyle w:val="BookText"/>
        <w:rPr/>
      </w:pPr>
      <w:bookmarkEnd w:id="1059"/>
      <w:r>
        <w:rPr>
          <w:rFonts w:ascii="IRNazanin" w:hAnsi="IRNazanin" w:eastAsia="IRNazanin"/>
          <w:color w:val="111111"/>
          <w:sz w:val="28"/>
          <w:sz w:val="28"/>
          <w:szCs w:val="28"/>
          <w:rtl w:val="true"/>
          <w:lang w:bidi="fa-IR"/>
        </w:rPr>
        <w:t>کان بعد الفرائض آکد، ویعتبر أن یکون متّصلاً بالفراغ منها، غیر مشتغلٍ بفعلٍ آخر ینافی صدقه الذی یختلف بحسب المقامات من السفر والحضر والاضطرار والاختیار، ففی السفر یمکن صدقه حال الرکوب أو المشی أیضاً، کحال الاضطرار، والمدار علی بقاء الصدق والهیئة فی نظر المتشرّعة، والقدر المتیقّن فی الحضر الجلوس مشتغلاً بما ذکر من الدعاء ونحوه، والظاهر عدم صدقه علی الجلوس بلا دعاء، أو الدعاء بلا جلوس إلاّ فی مثل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فیه الاستقبال والطهارة</w:t>
      </w:r>
      <w:r>
        <w:rPr>
          <w:rStyle w:val="FootnoteAnchor"/>
          <w:rtl w:val="true"/>
        </w:rPr>
        <w:footnoteReference w:id="1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عدمها لا بأس بالإتیان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والکون فی المصلّی، ولا یعتبر فیه کون الأذکار والدعاء بالعربیّة، وإن کان هو الأفضل، کما أنّ الأفضل الأذکار والأدعیة المأثورة المذکورة فی کتب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060" w:name="__RefHeading___Toc1841381_2322387425"/>
      <w:bookmarkStart w:id="1061" w:name="_Toc408"/>
      <w:bookmarkEnd w:id="1060"/>
      <w:r>
        <w:rPr>
          <w:rtl w:val="true"/>
        </w:rPr>
        <w:t>ذکر امور فی التعقیب</w:t>
      </w:r>
      <w:r>
        <w:rPr>
          <w:rtl w:val="true"/>
        </w:rPr>
        <w:t>:</w:t>
      </w:r>
      <w:bookmarkEnd w:id="1061"/>
    </w:p>
    <w:p>
      <w:pPr>
        <w:pStyle w:val="BookText"/>
        <w:rPr/>
      </w:pPr>
      <w:r>
        <w:rPr>
          <w:rFonts w:ascii="Amiri" w:hAnsi="Amiri" w:eastAsia="Amiri" w:cs="Amiri"/>
          <w:color w:val="111111"/>
          <w:sz w:val="28"/>
          <w:sz w:val="28"/>
          <w:szCs w:val="28"/>
          <w:rtl w:val="true"/>
          <w:lang w:bidi="ar-SA"/>
        </w:rPr>
        <w:t>ونذکر جملة منها تیمّناً</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1841383_2322387425"/>
      <w:bookmarkStart w:id="1063" w:name="_Toc409"/>
      <w:bookmarkEnd w:id="1062"/>
      <w:r>
        <w:rPr>
          <w:rtl w:val="true"/>
        </w:rPr>
        <w:t>أحدها</w:t>
      </w:r>
      <w:r>
        <w:rPr>
          <w:rtl w:val="true"/>
        </w:rPr>
        <w:t xml:space="preserve">: </w:t>
      </w:r>
      <w:r>
        <w:rPr>
          <w:rtl w:val="true"/>
        </w:rPr>
        <w:t>أن یکبر ثلاثاً بعد التسلیم</w:t>
      </w:r>
      <w:bookmarkEnd w:id="1063"/>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یکبّر ثلاثاً بعد التسلیم، رافعاً یدیه علی هیئة غیره من التکبیرات</w:t>
      </w:r>
      <w:r>
        <w:rPr>
          <w:rFonts w:eastAsia="IRNazanin" w:cs="IRNazanin"/>
          <w:color w:val="111111"/>
          <w:sz w:val="28"/>
          <w:szCs w:val="28"/>
          <w:rtl w:val="true"/>
          <w:lang w:bidi="fa-IR"/>
        </w:rPr>
        <w:t>.</w:t>
      </w:r>
    </w:p>
    <w:p>
      <w:pPr>
        <w:pStyle w:val="Heading3"/>
        <w:numPr>
          <w:ilvl w:val="2"/>
          <w:numId w:val="1"/>
        </w:numPr>
        <w:rPr/>
      </w:pPr>
      <w:bookmarkStart w:id="1064" w:name="__RefHeading___Toc1841385_2322387425"/>
      <w:bookmarkStart w:id="1065" w:name="_Toc410"/>
      <w:bookmarkEnd w:id="1064"/>
      <w:r>
        <w:rPr>
          <w:rtl w:val="true"/>
        </w:rPr>
        <w:t>الثانی</w:t>
      </w:r>
      <w:r>
        <w:rPr>
          <w:rtl w:val="true"/>
        </w:rPr>
        <w:t xml:space="preserve">: </w:t>
      </w:r>
      <w:r>
        <w:rPr>
          <w:rtl w:val="true"/>
        </w:rPr>
        <w:t>تسبیح الزهراء علیهاالسلام، و ذکر فضله و کیفیته</w:t>
      </w:r>
      <w:bookmarkEnd w:id="106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الزهراء</w:t>
      </w:r>
      <w:r>
        <w:rPr>
          <w:rStyle w:val="FootnoteAnchor"/>
          <w:rtl w:val="true"/>
        </w:rPr>
        <w:footnoteReference w:id="1195"/>
      </w:r>
      <w:r>
        <w:rPr>
          <w:rFonts w:ascii="IRNazanin" w:hAnsi="IRNazanin" w:eastAsia="IRNazanin"/>
          <w:color w:val="111111"/>
          <w:sz w:val="28"/>
          <w:sz w:val="28"/>
          <w:szCs w:val="28"/>
          <w:rtl w:val="true"/>
          <w:lang w:bidi="fa-IR"/>
        </w:rPr>
        <w:t xml:space="preserve">صلوات اللّه علیها، وهو أفضلها علی ما ذکره </w:t>
      </w:r>
    </w:p>
    <w:p>
      <w:pPr>
        <w:pStyle w:val="BookText"/>
        <w:rPr/>
      </w:pPr>
      <w:r>
        <w:rPr>
          <w:rFonts w:ascii="IRNazanin" w:hAnsi="IRNazanin" w:eastAsia="IRNazanin"/>
          <w:color w:val="111111"/>
          <w:sz w:val="28"/>
          <w:sz w:val="28"/>
          <w:szCs w:val="28"/>
          <w:rtl w:val="true"/>
          <w:lang w:bidi="fa-IR"/>
        </w:rPr>
        <w:t>جملة من العلماء،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عُبِداللّه بشیء من التحمید أفضل من تسبیح فاطمة، ولو کان شیء أفضل منه لنحله رسول اللّه صلی‌الله‌علیه‌و‌آله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التعقیب،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 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فاطمة الزهراء الذکر الکثیر الذی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التعقیب،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اُخری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فاطمة کلّ یومٍ فی دُبُر کلّ صلاة أحبّ إلیّ من صلاة ألف رکعة</w:t>
      </w:r>
      <w:r>
        <w:rPr>
          <w:rStyle w:val="FootnoteAnchor"/>
          <w:rtl w:val="true"/>
        </w:rPr>
        <w:footnoteReference w:id="1196"/>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التعقیب، 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استحبابه فی غیر التعقیب أیضاً، بل فی نفسه، نعم، هو موءکّد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إرادة النوم لدفع الروءیا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الظاهر عدم اختصاصه بالفرائض، بل هو مستحبّ عقیب کلّ صلاة</w:t>
      </w:r>
      <w:r>
        <w:rPr>
          <w:rStyle w:val="FootnoteAnchor"/>
          <w:rtl w:val="true"/>
        </w:rPr>
        <w:footnoteReference w:id="1197"/>
      </w:r>
      <w:r>
        <w:rPr>
          <w:rFonts w:ascii="Amiri" w:hAnsi="Amiri" w:eastAsia="Amiri" w:cs="Amiri"/>
          <w:color w:val="111111"/>
          <w:sz w:val="28"/>
          <w:sz w:val="28"/>
          <w:szCs w:val="28"/>
          <w:rtl w:val="true"/>
          <w:lang w:bidi="ar-SA"/>
        </w:rPr>
        <w:t>، وکیفیّته</w:t>
      </w:r>
      <w:r>
        <w:rPr>
          <w:rStyle w:val="FootnoteAnchor"/>
          <w:rtl w:val="true"/>
        </w:rPr>
        <w:footnoteReference w:id="1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bookmarkStart w:id="1066" w:name="pg13278_326721"/>
    </w:p>
    <w:p>
      <w:pPr>
        <w:pStyle w:val="BookText"/>
        <w:rPr/>
      </w:pPr>
      <w:bookmarkEnd w:id="1066"/>
      <w:r>
        <w:rPr>
          <w:rFonts w:ascii="IRNazanin" w:hAnsi="IRNazanin" w:eastAsia="IRNazanin"/>
          <w:color w:val="111111"/>
          <w:sz w:val="28"/>
          <w:sz w:val="28"/>
          <w:szCs w:val="28"/>
          <w:rtl w:val="true"/>
          <w:lang w:bidi="fa-IR"/>
        </w:rPr>
        <w:t>وثلاثون مرّة، 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وثلاثون، 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فمجموعها مائة، ویجوز تقدیم التسبیح</w:t>
      </w:r>
      <w:r>
        <w:rPr>
          <w:rStyle w:val="FootnoteAnchor"/>
          <w:rtl w:val="true"/>
        </w:rPr>
        <w:footnoteReference w:id="1199"/>
      </w:r>
      <w:r>
        <w:rPr>
          <w:rFonts w:ascii="IRNazanin" w:hAnsi="IRNazanin" w:eastAsia="IRNazanin"/>
          <w:color w:val="111111"/>
          <w:sz w:val="28"/>
          <w:sz w:val="28"/>
          <w:szCs w:val="28"/>
          <w:rtl w:val="true"/>
          <w:lang w:bidi="fa-IR"/>
        </w:rPr>
        <w:t>علی التحمید وإن کان الأولی الأوّل</w:t>
      </w:r>
      <w:r>
        <w:rPr>
          <w:rStyle w:val="FootnoteAnchor"/>
          <w:rtl w:val="true"/>
        </w:rPr>
        <w:footnoteReference w:id="1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Heading3"/>
        <w:numPr>
          <w:ilvl w:val="2"/>
          <w:numId w:val="1"/>
        </w:numPr>
        <w:rPr/>
      </w:pPr>
      <w:bookmarkStart w:id="1067" w:name="__RefHeading___Toc1841387_2322387425"/>
      <w:bookmarkStart w:id="1068" w:name="_Toc411"/>
      <w:bookmarkEnd w:id="1067"/>
      <w:r>
        <w:rPr>
          <w:rtl w:val="true"/>
        </w:rPr>
        <w:t>استحباب کون السبحة من طین قبر الحسین علیه السلام</w:t>
      </w:r>
      <w:bookmarkEnd w:id="10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تکون السبحة بطین قبر الحسین علیه‌السلام </w:t>
      </w:r>
      <w:r>
        <w:rPr>
          <w:rStyle w:val="FootnoteAnchor"/>
          <w:rtl w:val="true"/>
        </w:rPr>
        <w:footnoteReference w:id="1201"/>
      </w:r>
      <w:r>
        <w:rPr>
          <w:rFonts w:ascii="IRNazanin" w:hAnsi="IRNazanin" w:eastAsia="IRNazanin"/>
          <w:color w:val="111111"/>
          <w:sz w:val="28"/>
          <w:sz w:val="28"/>
          <w:szCs w:val="28"/>
          <w:rtl w:val="true"/>
          <w:lang w:bidi="fa-IR"/>
        </w:rPr>
        <w:t>، وفی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نّها تسبّح إذا کانت بید الرجل من غیر أن یسبّح، ویکتب له ذلک التسبیح وإن کان غافلاً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التعقیب،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وکذا غیره من الأحادیث بهذا المضمون</w:t>
      </w:r>
      <w:r>
        <w:rPr>
          <w:rFonts w:eastAsia="IRNazanin" w:cs="IRNazanin"/>
          <w:color w:val="111111"/>
          <w:sz w:val="28"/>
          <w:szCs w:val="28"/>
          <w:rtl w:val="true"/>
          <w:lang w:bidi="fa-IR"/>
        </w:rPr>
        <w:t>.).</w:t>
      </w:r>
    </w:p>
    <w:p>
      <w:pPr>
        <w:pStyle w:val="Heading3"/>
        <w:numPr>
          <w:ilvl w:val="2"/>
          <w:numId w:val="1"/>
        </w:numPr>
        <w:rPr/>
      </w:pPr>
      <w:bookmarkStart w:id="1069" w:name="__RefHeading___Toc1841389_2322387425"/>
      <w:bookmarkStart w:id="1070" w:name="_Toc412"/>
      <w:bookmarkEnd w:id="1069"/>
      <w:r>
        <w:rPr>
          <w:rtl w:val="true"/>
        </w:rPr>
        <w:t>فی ما لو شک فی تسبیح الزهراء علیهاالسلام</w:t>
      </w:r>
      <w:bookmarkEnd w:id="107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عدد التکبیرات أو التسبیحات أو التحمیدات </w:t>
      </w:r>
    </w:p>
    <w:p>
      <w:pPr>
        <w:pStyle w:val="BookText"/>
        <w:rPr/>
      </w:pPr>
      <w:r>
        <w:rPr>
          <w:rFonts w:ascii="IRNazanin" w:hAnsi="IRNazanin" w:eastAsia="IRNazanin"/>
          <w:color w:val="111111"/>
          <w:sz w:val="28"/>
          <w:sz w:val="28"/>
          <w:szCs w:val="28"/>
          <w:rtl w:val="true"/>
          <w:lang w:bidi="fa-IR"/>
        </w:rPr>
        <w:t>بنی علی الأقلّ</w:t>
      </w:r>
      <w:r>
        <w:rPr>
          <w:rStyle w:val="FootnoteAnchor"/>
          <w:rtl w:val="true"/>
        </w:rPr>
        <w:footnoteReference w:id="1202"/>
      </w:r>
      <w:r>
        <w:rPr>
          <w:rFonts w:ascii="IRNazanin" w:hAnsi="IRNazanin" w:eastAsia="IRNazanin"/>
          <w:color w:val="111111"/>
          <w:sz w:val="28"/>
          <w:sz w:val="28"/>
          <w:szCs w:val="28"/>
          <w:rtl w:val="true"/>
          <w:lang w:bidi="fa-IR"/>
        </w:rPr>
        <w:t>إن لم یتجاوز المحلّ، وإلاّ بنی</w:t>
      </w:r>
      <w:r>
        <w:rPr>
          <w:rStyle w:val="FootnoteAnchor"/>
          <w:rtl w:val="true"/>
        </w:rPr>
        <w:footnoteReference w:id="1203"/>
      </w:r>
      <w:r>
        <w:rPr>
          <w:rFonts w:ascii="IRNazanin" w:hAnsi="IRNazanin" w:eastAsia="IRNazanin"/>
          <w:color w:val="111111"/>
          <w:sz w:val="28"/>
          <w:sz w:val="28"/>
          <w:szCs w:val="28"/>
          <w:rtl w:val="true"/>
          <w:lang w:bidi="fa-IR"/>
        </w:rPr>
        <w:t>علی الإتیان به</w:t>
      </w:r>
      <w:r>
        <w:rPr>
          <w:rStyle w:val="FootnoteAnchor"/>
          <w:rtl w:val="true"/>
        </w:rPr>
        <w:footnoteReference w:id="1204"/>
      </w:r>
      <w:r>
        <w:rPr>
          <w:rFonts w:ascii="IRNazanin" w:hAnsi="IRNazanin" w:eastAsia="IRNazanin"/>
          <w:color w:val="111111"/>
          <w:sz w:val="28"/>
          <w:sz w:val="28"/>
          <w:szCs w:val="28"/>
          <w:rtl w:val="true"/>
          <w:lang w:bidi="fa-IR"/>
        </w:rPr>
        <w:t>، وإن زاد علی الأعداد</w:t>
      </w:r>
      <w:r>
        <w:rPr>
          <w:rStyle w:val="FootnoteAnchor"/>
          <w:rtl w:val="true"/>
        </w:rPr>
        <w:footnoteReference w:id="1205"/>
      </w:r>
      <w:r>
        <w:rPr>
          <w:rFonts w:ascii="IRNazanin" w:hAnsi="IRNazanin" w:eastAsia="IRNazanin"/>
          <w:color w:val="111111"/>
          <w:sz w:val="28"/>
          <w:sz w:val="28"/>
          <w:szCs w:val="28"/>
          <w:rtl w:val="true"/>
          <w:lang w:bidi="fa-IR"/>
        </w:rPr>
        <w:t>بنی علیها</w:t>
      </w:r>
      <w:r>
        <w:rPr>
          <w:rStyle w:val="FootnoteAnchor"/>
          <w:rtl w:val="true"/>
        </w:rPr>
        <w:footnoteReference w:id="1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أحد الوجوه فی الزیادة، وهناک وجوه اُخر اُشیر إلیها فی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ورفع الید عن الزائد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توقیع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جاز فی التکبیر عن أربعٍ وثلاثین ألغی الزائد ورجع إلی ثلاثٍ وثلاثین، ویأتی بتکبیرة یُتمّ بها عدد التکبیر، ثمّ یأتی بالجزء الذی بعده، وکذا فی الثانی، ولو زاد فی الثالث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التعقیب،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الحمیری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إلیه یسأله عن تسبیح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سها فجاز التکبیر أکثر من أربع وثلاثین هل یرجع إلی أربع وثلاثین أو یستأنف؟، وإذا سبّح تمام سبعة وستّین هل یرجع إلی ستٍّ وستّین أو یستأنف؟، وما الذی یجب فی ذلک؟، فأجاب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سها فی التکبیر حتّی تجاوز أربعاً وثلاثین عاد إلی ثلاث و ثلاثین ویبنی علیها، وإذا سَها فی التسبیح فتجاوز سبعاً وستّین تسبیحة عاد إلی ستّةٍ وستّین وبنی علیها، فإذا جاوز التحمید مائة فلا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والاُولی حینئذٍ أن یأتی بواحدة أیضاً ممّا زید فیه، ثمّ یشرع فی الذِکر اللاحق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التکبیر والتحمید أن یُضیف إلیها واحدة بعد رفع الید عن الزائد، کما فی خبر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التعقیب،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العمل بما فی التوقیع الشریف من البناء علی النقصان بواحدة ، وتکمیلها ، إلاّ فی الزائد عن المائة فیرفع الید عن الزائد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1" w:name="pg13278_326723"/>
    </w:p>
    <w:p>
      <w:pPr>
        <w:pStyle w:val="Heading3"/>
        <w:numPr>
          <w:ilvl w:val="2"/>
          <w:numId w:val="1"/>
        </w:numPr>
        <w:rPr/>
      </w:pPr>
      <w:bookmarkStart w:id="1072" w:name="__RefHeading___Toc1841391_2322387425"/>
      <w:bookmarkStart w:id="1073" w:name="_Toc413"/>
      <w:bookmarkEnd w:id="1071"/>
      <w:bookmarkEnd w:id="1072"/>
      <w:r>
        <w:rPr>
          <w:rtl w:val="true"/>
        </w:rPr>
        <w:t>الثالث</w:t>
      </w:r>
      <w:r>
        <w:rPr>
          <w:rtl w:val="true"/>
        </w:rPr>
        <w:t xml:space="preserve">: </w:t>
      </w:r>
      <w:r>
        <w:rPr>
          <w:rtl w:val="true"/>
        </w:rPr>
        <w:t xml:space="preserve">دعاء </w:t>
      </w:r>
      <w:r>
        <w:rPr>
          <w:rtl w:val="true"/>
        </w:rPr>
        <w:t>«</w:t>
      </w:r>
      <w:r>
        <w:rPr>
          <w:rtl w:val="true"/>
        </w:rPr>
        <w:t xml:space="preserve">لا إله إلا الله وحده وحده </w:t>
      </w:r>
      <w:r>
        <w:rPr>
          <w:rtl w:val="true"/>
        </w:rPr>
        <w:t xml:space="preserve">... </w:t>
      </w:r>
      <w:r>
        <w:rPr>
          <w:rtl w:val="true"/>
        </w:rPr>
        <w:t>إنک علی کل شیءٍ قدیر</w:t>
      </w:r>
      <w:r>
        <w:rPr>
          <w:rtl w:val="true"/>
        </w:rPr>
        <w:t>»</w:t>
      </w:r>
      <w:bookmarkEnd w:id="107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w:t>
      </w:r>
      <w:r>
        <w:rPr>
          <w:rStyle w:val="FootnoteAnchor"/>
          <w:rtl w:val="true"/>
        </w:rPr>
        <w:footnoteReference w:id="1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الواردة فی هذا المقام مختلفة بالزیادة والنقصان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أنجز وعده، ونصر عبده، وأعزّ جنده، وغلب الأحزاب وحده، فله الملک وله الحمد، یحیی ویمیت، وهو حیّ لا یموت، بیده الخیر، وهو علی کلّ شیء قدیر</w:t>
      </w:r>
      <w:r>
        <w:rPr>
          <w:rFonts w:eastAsia="IRNazanin" w:cs="IRNazanin"/>
          <w:color w:val="111111"/>
          <w:sz w:val="28"/>
          <w:szCs w:val="28"/>
          <w:rtl w:val="true"/>
          <w:lang w:bidi="fa-IR"/>
        </w:rPr>
        <w:t>».</w:t>
      </w:r>
    </w:p>
    <w:p>
      <w:pPr>
        <w:pStyle w:val="Heading3"/>
        <w:numPr>
          <w:ilvl w:val="2"/>
          <w:numId w:val="1"/>
        </w:numPr>
        <w:rPr/>
      </w:pPr>
      <w:bookmarkStart w:id="1074" w:name="__RefHeading___Toc1841393_2322387425"/>
      <w:bookmarkStart w:id="1075" w:name="_Toc414"/>
      <w:bookmarkEnd w:id="1074"/>
      <w:r>
        <w:rPr>
          <w:rtl w:val="true"/>
        </w:rPr>
        <w:t>الرابع</w:t>
      </w:r>
      <w:r>
        <w:rPr>
          <w:rtl w:val="true"/>
        </w:rPr>
        <w:t>:«</w:t>
      </w:r>
      <w:r>
        <w:rPr>
          <w:rtl w:val="true"/>
        </w:rPr>
        <w:t xml:space="preserve">اللهم اهدنی من عندک، و أفض علی </w:t>
      </w:r>
      <w:r>
        <w:rPr>
          <w:rtl w:val="true"/>
        </w:rPr>
        <w:t xml:space="preserve">... </w:t>
      </w:r>
      <w:r>
        <w:rPr>
          <w:rtl w:val="true"/>
        </w:rPr>
        <w:t>من برکاتک</w:t>
      </w:r>
      <w:r>
        <w:rPr>
          <w:rtl w:val="true"/>
        </w:rPr>
        <w:t>»</w:t>
      </w:r>
      <w:bookmarkEnd w:id="107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اهدِنی من عندک، وأفِض علیَّ من فضلک، وانشُر علیَّ من رحمتک، وأنزل علیَّ من برکاتک</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1841395_2322387425"/>
      <w:bookmarkStart w:id="1077" w:name="_Toc415"/>
      <w:bookmarkEnd w:id="1076"/>
      <w:r>
        <w:rPr>
          <w:rtl w:val="true"/>
        </w:rPr>
        <w:t>الخامس</w:t>
      </w:r>
      <w:r>
        <w:rPr>
          <w:rtl w:val="true"/>
        </w:rPr>
        <w:t>:«</w:t>
      </w:r>
      <w:r>
        <w:rPr>
          <w:rtl w:val="true"/>
        </w:rPr>
        <w:t>سبحان الله، والحمد لله، و لا إله إلا الله و الله أکبر</w:t>
      </w:r>
      <w:r>
        <w:rPr>
          <w:rtl w:val="true"/>
        </w:rPr>
        <w:t xml:space="preserve">» </w:t>
      </w:r>
      <w:r>
        <w:rPr>
          <w:rtl w:val="true"/>
        </w:rPr>
        <w:t>مائة مرة أو أربعین أو ثلاثین</w:t>
      </w:r>
      <w:bookmarkEnd w:id="107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w:t>
      </w:r>
      <w:r>
        <w:rPr>
          <w:rStyle w:val="FootnoteAnchor"/>
          <w:rtl w:val="true"/>
        </w:rPr>
        <w:footnoteReference w:id="1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بالمائة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علی دلیل ذکرها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أربعین، أو ثلاثین</w:t>
      </w:r>
      <w:r>
        <w:rPr>
          <w:rFonts w:eastAsia="IRNazanin" w:cs="IRNazanin"/>
          <w:color w:val="111111"/>
          <w:sz w:val="28"/>
          <w:szCs w:val="28"/>
          <w:rtl w:val="true"/>
          <w:lang w:bidi="fa-IR"/>
        </w:rPr>
        <w:t>.</w:t>
      </w:r>
    </w:p>
    <w:p>
      <w:pPr>
        <w:pStyle w:val="Heading3"/>
        <w:numPr>
          <w:ilvl w:val="2"/>
          <w:numId w:val="1"/>
        </w:numPr>
        <w:rPr/>
      </w:pPr>
      <w:bookmarkStart w:id="1078" w:name="__RefHeading___Toc1841397_2322387425"/>
      <w:bookmarkStart w:id="1079" w:name="_Toc416"/>
      <w:bookmarkEnd w:id="1078"/>
      <w:r>
        <w:rPr>
          <w:rtl w:val="true"/>
        </w:rPr>
        <w:t>السادس</w:t>
      </w:r>
      <w:r>
        <w:rPr>
          <w:rtl w:val="true"/>
        </w:rPr>
        <w:t xml:space="preserve">:« </w:t>
      </w:r>
      <w:r>
        <w:rPr>
          <w:rtl w:val="true"/>
        </w:rPr>
        <w:t>اللهم صل علی محمد و آل محمد، و أجرنی من النار</w:t>
      </w:r>
      <w:r>
        <w:rPr>
          <w:rtl w:val="true"/>
        </w:rPr>
        <w:t xml:space="preserve">... </w:t>
      </w:r>
      <w:r>
        <w:rPr>
          <w:rtl w:val="true"/>
        </w:rPr>
        <w:t>الحور العین</w:t>
      </w:r>
      <w:r>
        <w:rPr>
          <w:rtl w:val="true"/>
        </w:rPr>
        <w:t>»</w:t>
      </w:r>
      <w:bookmarkEnd w:id="107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 وأجرنی من النار، وارزقنی الجنّة، وزوّجنی من الحور العین</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1841399_2322387425"/>
      <w:bookmarkStart w:id="1081" w:name="_Toc417"/>
      <w:bookmarkEnd w:id="1080"/>
      <w:r>
        <w:rPr>
          <w:rtl w:val="true"/>
        </w:rPr>
        <w:t>السابع</w:t>
      </w:r>
      <w:r>
        <w:rPr>
          <w:rtl w:val="true"/>
        </w:rPr>
        <w:t>:«</w:t>
      </w:r>
      <w:r>
        <w:rPr>
          <w:rtl w:val="true"/>
        </w:rPr>
        <w:t>أعوذ بوجهک الکریم</w:t>
      </w:r>
      <w:r>
        <w:rPr>
          <w:rtl w:val="true"/>
        </w:rPr>
        <w:t xml:space="preserve">... </w:t>
      </w:r>
      <w:r>
        <w:rPr>
          <w:rtl w:val="true"/>
        </w:rPr>
        <w:t>و لا قوة إلا بالله العلی العظیم</w:t>
      </w:r>
      <w:r>
        <w:rPr>
          <w:rtl w:val="true"/>
        </w:rPr>
        <w:t>»</w:t>
      </w:r>
      <w:bookmarkEnd w:id="108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بوجهک الکریم، وعزّتک التی لا تُرام، وقدرتک التی لا </w:t>
      </w:r>
      <w:bookmarkStart w:id="1082" w:name="pg13278_326724"/>
    </w:p>
    <w:p>
      <w:pPr>
        <w:pStyle w:val="BookText"/>
        <w:rPr/>
      </w:pPr>
      <w:bookmarkEnd w:id="1082"/>
      <w:r>
        <w:rPr>
          <w:rFonts w:ascii="IRNazanin" w:hAnsi="IRNazanin" w:eastAsia="IRNazanin"/>
          <w:color w:val="111111"/>
          <w:sz w:val="28"/>
          <w:sz w:val="28"/>
          <w:szCs w:val="28"/>
          <w:rtl w:val="true"/>
          <w:lang w:bidi="fa-IR"/>
        </w:rPr>
        <w:t>یمتنع منها شیء من شرّ الدنیا والآخرة، ومن شرّ الأوجاع کلّها، ولا حول ولا قوّة إلاّ باللّه العلیّ العظیم</w:t>
      </w:r>
      <w:r>
        <w:rPr>
          <w:rFonts w:eastAsia="IRNazanin" w:cs="IRNazanin"/>
          <w:color w:val="111111"/>
          <w:sz w:val="28"/>
          <w:szCs w:val="28"/>
          <w:rtl w:val="true"/>
          <w:lang w:bidi="fa-IR"/>
        </w:rPr>
        <w:t>».</w:t>
      </w:r>
    </w:p>
    <w:p>
      <w:pPr>
        <w:pStyle w:val="Heading3"/>
        <w:numPr>
          <w:ilvl w:val="2"/>
          <w:numId w:val="1"/>
        </w:numPr>
        <w:rPr/>
      </w:pPr>
      <w:bookmarkStart w:id="1083" w:name="__RefHeading___Toc1841401_2322387425"/>
      <w:bookmarkStart w:id="1084" w:name="_Toc418"/>
      <w:bookmarkEnd w:id="1083"/>
      <w:r>
        <w:rPr>
          <w:rtl w:val="true"/>
        </w:rPr>
        <w:t>الثامن</w:t>
      </w:r>
      <w:r>
        <w:rPr>
          <w:rtl w:val="true"/>
        </w:rPr>
        <w:t xml:space="preserve">: </w:t>
      </w:r>
      <w:r>
        <w:rPr>
          <w:rtl w:val="true"/>
        </w:rPr>
        <w:t xml:space="preserve">قراءة الحمد و آیة الکرسی و آیة </w:t>
      </w:r>
      <w:r>
        <w:rPr>
          <w:rtl w:val="true"/>
        </w:rPr>
        <w:t>«</w:t>
      </w:r>
      <w:r>
        <w:rPr>
          <w:rtl w:val="true"/>
        </w:rPr>
        <w:t>شهد الله أنه</w:t>
      </w:r>
      <w:r>
        <w:rPr>
          <w:rtl w:val="true"/>
        </w:rPr>
        <w:t xml:space="preserve">...» </w:t>
      </w:r>
      <w:r>
        <w:rPr>
          <w:rtl w:val="true"/>
        </w:rPr>
        <w:t>و آیة الملک</w:t>
      </w:r>
      <w:bookmarkEnd w:id="1084"/>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الحمد وآیة الکرسیّ، 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 نَّهُ لا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وآیة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841403_2322387425"/>
      <w:bookmarkStart w:id="1086" w:name="_Toc419"/>
      <w:bookmarkEnd w:id="1085"/>
      <w:r>
        <w:rPr>
          <w:rtl w:val="true"/>
        </w:rPr>
        <w:t>التاسع</w:t>
      </w:r>
      <w:r>
        <w:rPr>
          <w:rtl w:val="true"/>
        </w:rPr>
        <w:t>: «</w:t>
      </w:r>
      <w:r>
        <w:rPr>
          <w:rtl w:val="true"/>
        </w:rPr>
        <w:t xml:space="preserve">اللهم إنی أسألک من کل خیر أحاط به علمک </w:t>
      </w:r>
      <w:r>
        <w:rPr>
          <w:rtl w:val="true"/>
        </w:rPr>
        <w:t xml:space="preserve">... </w:t>
      </w:r>
      <w:r>
        <w:rPr>
          <w:rtl w:val="true"/>
        </w:rPr>
        <w:t>و عذاب الآخرة</w:t>
      </w:r>
      <w:r>
        <w:rPr>
          <w:rtl w:val="true"/>
        </w:rPr>
        <w:t>»</w:t>
      </w:r>
      <w:bookmarkEnd w:id="1086"/>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کلّ خیرٍ أحاط به علمک، وأعوذ بک من کلّ شرٍّ أحاط به علمک، اللهمّ إنّی أسألک عافیتک فی اُموری کلّها، وأعوذ بک من خزی الدنیا وعذاب الآخرة</w:t>
      </w:r>
      <w:r>
        <w:rPr>
          <w:rFonts w:eastAsia="IRNazanin" w:cs="IRNazanin"/>
          <w:color w:val="111111"/>
          <w:sz w:val="28"/>
          <w:szCs w:val="28"/>
          <w:rtl w:val="true"/>
          <w:lang w:bidi="fa-IR"/>
        </w:rPr>
        <w:t>».</w:t>
      </w:r>
    </w:p>
    <w:p>
      <w:pPr>
        <w:pStyle w:val="Heading3"/>
        <w:numPr>
          <w:ilvl w:val="2"/>
          <w:numId w:val="1"/>
        </w:numPr>
        <w:rPr/>
      </w:pPr>
      <w:bookmarkStart w:id="1087" w:name="__RefHeading___Toc1841405_2322387425"/>
      <w:bookmarkStart w:id="1088" w:name="_Toc420"/>
      <w:bookmarkEnd w:id="1087"/>
      <w:r>
        <w:rPr>
          <w:rtl w:val="true"/>
        </w:rPr>
        <w:t>العاشر</w:t>
      </w:r>
      <w:r>
        <w:rPr>
          <w:rtl w:val="true"/>
        </w:rPr>
        <w:t>: «</w:t>
      </w:r>
      <w:r>
        <w:rPr>
          <w:rtl w:val="true"/>
        </w:rPr>
        <w:t>اعیذ نفسی و ما رزقنی ربی</w:t>
      </w:r>
      <w:r>
        <w:rPr>
          <w:rtl w:val="true"/>
        </w:rPr>
        <w:t>...»</w:t>
      </w:r>
      <w:r>
        <w:rPr>
          <w:rtl w:val="true"/>
        </w:rPr>
        <w:t xml:space="preserve">، و </w:t>
      </w:r>
      <w:r>
        <w:rPr>
          <w:rtl w:val="true"/>
        </w:rPr>
        <w:t>«</w:t>
      </w:r>
      <w:r>
        <w:rPr>
          <w:rtl w:val="true"/>
        </w:rPr>
        <w:t>اعیذ نفسی</w:t>
      </w:r>
      <w:r>
        <w:rPr>
          <w:rtl w:val="true"/>
        </w:rPr>
        <w:t>...»</w:t>
      </w:r>
      <w:bookmarkEnd w:id="1088"/>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نفسی وما رزقنی ربّی باللّه الواحد الأحد الصمد، الذی لم یلد ولم یولد ولم یکن له کُفُواً أحد، واُعیذ نفسی وما رزقنی ربّی بربّ الفلق، 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 نفسی وما رزقنی ربّی بربّ الناس 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Heading3"/>
        <w:numPr>
          <w:ilvl w:val="2"/>
          <w:numId w:val="1"/>
        </w:numPr>
        <w:rPr/>
      </w:pPr>
      <w:bookmarkStart w:id="1089" w:name="__RefHeading___Toc1841407_2322387425"/>
      <w:bookmarkStart w:id="1090" w:name="_Toc421"/>
      <w:bookmarkEnd w:id="1089"/>
      <w:r>
        <w:rPr>
          <w:rtl w:val="true"/>
        </w:rPr>
        <w:t>الحادی عشر</w:t>
      </w:r>
      <w:r>
        <w:rPr>
          <w:rtl w:val="true"/>
        </w:rPr>
        <w:t xml:space="preserve">: </w:t>
      </w:r>
      <w:r>
        <w:rPr>
          <w:rtl w:val="true"/>
        </w:rPr>
        <w:t>أن یقرأ سورة التوحید اثنتی عشرة مرة، ثم یقرأ الدعاء الوارد بعدها</w:t>
      </w:r>
      <w:bookmarkEnd w:id="109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 عشرة مرّة، ثمّ یبسط یدیه ویرفعهما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باسمک المکنون المخزون الطُهر الطاهر المبارک، وأسألک باسمک العظیم، وسلطانک القدیم، أن تصلّیَ علی محمّدٍ وآل محمّد، یا واهبَ العطایا، یا مُطلِقَ الاُساری، یا فکّاک الرقاب من النار، أسألک أن تصلّی علی محمّدٍ وآل محمّد، وأن تعتقَ رقبتی من النار، وتُخرجنی من الدنیا آمناً، وتُدخلنی الجنّة سالماً، وأن تجعل دعائی أوّله فلاحاً، وأوسطه نجاحاً، وآخره صلاحاً، إنّک أنت علاّم الغُیُوب</w:t>
      </w:r>
      <w:r>
        <w:rPr>
          <w:rFonts w:eastAsia="Amiri" w:cs="Amiri" w:ascii="Amiri" w:hAnsi="Amiri"/>
          <w:color w:val="111111"/>
          <w:sz w:val="28"/>
          <w:szCs w:val="28"/>
          <w:rtl w:val="true"/>
          <w:lang w:bidi="ar-SA"/>
        </w:rPr>
        <w:t xml:space="preserve">». </w:t>
      </w:r>
      <w:bookmarkStart w:id="1091" w:name="pg13278_326725"/>
    </w:p>
    <w:p>
      <w:pPr>
        <w:pStyle w:val="Heading3"/>
        <w:numPr>
          <w:ilvl w:val="2"/>
          <w:numId w:val="1"/>
        </w:numPr>
        <w:rPr/>
      </w:pPr>
      <w:bookmarkStart w:id="1092" w:name="__RefHeading___Toc1841409_2322387425"/>
      <w:bookmarkStart w:id="1093" w:name="_Toc422"/>
      <w:bookmarkEnd w:id="1091"/>
      <w:bookmarkEnd w:id="1092"/>
      <w:r>
        <w:rPr>
          <w:rtl w:val="true"/>
        </w:rPr>
        <w:t>الثانی عشر</w:t>
      </w:r>
      <w:r>
        <w:rPr>
          <w:rtl w:val="true"/>
        </w:rPr>
        <w:t xml:space="preserve">: </w:t>
      </w:r>
      <w:r>
        <w:rPr>
          <w:rtl w:val="true"/>
        </w:rPr>
        <w:t>الشهادتان والإقرار بالأئمة علیهم السلام</w:t>
      </w:r>
      <w:bookmarkEnd w:id="1093"/>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w:t>
      </w:r>
      <w:r>
        <w:rPr>
          <w:rStyle w:val="FootnoteAnchor"/>
          <w:rtl w:val="true"/>
        </w:rPr>
        <w:footnoteReference w:id="1209"/>
      </w:r>
      <w:r>
        <w:rPr>
          <w:rFonts w:ascii="IRNazanin" w:hAnsi="IRNazanin" w:eastAsia="IRNazanin"/>
          <w:color w:val="111111"/>
          <w:sz w:val="28"/>
          <w:sz w:val="28"/>
          <w:szCs w:val="28"/>
          <w:rtl w:val="true"/>
          <w:lang w:bidi="fa-IR"/>
        </w:rPr>
        <w:t>والإقرار</w:t>
      </w:r>
      <w:r>
        <w:rPr>
          <w:rStyle w:val="FootnoteAnchor"/>
          <w:rtl w:val="true"/>
        </w:rPr>
        <w:footnoteReference w:id="1210"/>
      </w:r>
      <w:r>
        <w:rPr>
          <w:rFonts w:ascii="IRNazanin" w:hAnsi="IRNazanin" w:eastAsia="IRNazanin"/>
          <w:color w:val="111111"/>
          <w:sz w:val="28"/>
          <w:sz w:val="28"/>
          <w:szCs w:val="28"/>
          <w:rtl w:val="true"/>
          <w:lang w:bidi="fa-IR"/>
        </w:rPr>
        <w:t xml:space="preserve">بالأئمّة علیهم‌السلام </w:t>
      </w:r>
      <w:r>
        <w:rPr>
          <w:rFonts w:eastAsia="IRNazanin" w:cs="IRNazanin"/>
          <w:color w:val="111111"/>
          <w:sz w:val="28"/>
          <w:szCs w:val="28"/>
          <w:rtl w:val="true"/>
          <w:lang w:bidi="fa-IR"/>
        </w:rPr>
        <w:t>.</w:t>
      </w:r>
    </w:p>
    <w:p>
      <w:pPr>
        <w:pStyle w:val="Heading3"/>
        <w:numPr>
          <w:ilvl w:val="2"/>
          <w:numId w:val="1"/>
        </w:numPr>
        <w:rPr/>
      </w:pPr>
      <w:bookmarkStart w:id="1094" w:name="__RefHeading___Toc1841411_2322387425"/>
      <w:bookmarkStart w:id="1095" w:name="_Toc423"/>
      <w:bookmarkEnd w:id="1094"/>
      <w:r>
        <w:rPr>
          <w:rtl w:val="true"/>
        </w:rPr>
        <w:t>الثالث عشر</w:t>
      </w:r>
      <w:r>
        <w:rPr>
          <w:rtl w:val="true"/>
        </w:rPr>
        <w:t xml:space="preserve">: </w:t>
      </w:r>
      <w:r>
        <w:rPr>
          <w:rtl w:val="true"/>
        </w:rPr>
        <w:t>قبل أن یثنی رجلیه یقول ثلاث مرات</w:t>
      </w:r>
      <w:r>
        <w:rPr>
          <w:rtl w:val="true"/>
        </w:rPr>
        <w:t xml:space="preserve">»« </w:t>
      </w:r>
      <w:r>
        <w:rPr>
          <w:rtl w:val="true"/>
        </w:rPr>
        <w:t>أستغفر الله الذی</w:t>
      </w:r>
      <w:r>
        <w:rPr>
          <w:rtl w:val="true"/>
        </w:rPr>
        <w:t xml:space="preserve">... </w:t>
      </w:r>
      <w:r>
        <w:rPr>
          <w:rtl w:val="true"/>
        </w:rPr>
        <w:t>و أتوب إلیه</w:t>
      </w:r>
      <w:r>
        <w:rPr>
          <w:rtl w:val="true"/>
        </w:rPr>
        <w:t>»</w:t>
      </w:r>
      <w:bookmarkEnd w:id="1095"/>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یُثنی رجلیه یقول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ذوالجلال والإکرام وأتوب إلیه</w:t>
      </w:r>
      <w:r>
        <w:rPr>
          <w:rFonts w:eastAsia="IRNazanin" w:cs="IRNazanin"/>
          <w:color w:val="111111"/>
          <w:sz w:val="28"/>
          <w:szCs w:val="28"/>
          <w:rtl w:val="true"/>
          <w:lang w:bidi="fa-IR"/>
        </w:rPr>
        <w:t>».</w:t>
      </w:r>
    </w:p>
    <w:p>
      <w:pPr>
        <w:pStyle w:val="Heading3"/>
        <w:numPr>
          <w:ilvl w:val="2"/>
          <w:numId w:val="1"/>
        </w:numPr>
        <w:rPr/>
      </w:pPr>
      <w:bookmarkStart w:id="1096" w:name="__RefHeading___Toc1841413_2322387425"/>
      <w:bookmarkStart w:id="1097" w:name="_Toc424"/>
      <w:bookmarkEnd w:id="1096"/>
      <w:r>
        <w:rPr>
          <w:rtl w:val="true"/>
        </w:rPr>
        <w:t>الرابع عشر</w:t>
      </w:r>
      <w:r>
        <w:rPr>
          <w:rtl w:val="true"/>
        </w:rPr>
        <w:t xml:space="preserve">: </w:t>
      </w:r>
      <w:r>
        <w:rPr>
          <w:rtl w:val="true"/>
        </w:rPr>
        <w:t xml:space="preserve">دعاء الحفظ من النسیان، و هو </w:t>
      </w:r>
      <w:r>
        <w:rPr>
          <w:rtl w:val="true"/>
        </w:rPr>
        <w:t>:«</w:t>
      </w:r>
      <w:r>
        <w:rPr>
          <w:rtl w:val="true"/>
        </w:rPr>
        <w:t>سبحان من لا یعتدی علی أهل مملکته قدیر</w:t>
      </w:r>
      <w:r>
        <w:rPr>
          <w:rtl w:val="true"/>
        </w:rPr>
        <w:t>»</w:t>
      </w:r>
      <w:bookmarkEnd w:id="1097"/>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الحفظ</w:t>
      </w:r>
      <w:r>
        <w:rPr>
          <w:rStyle w:val="FootnoteAnchor"/>
          <w:rtl w:val="true"/>
        </w:rPr>
        <w:footnoteReference w:id="1211"/>
      </w:r>
      <w:r>
        <w:rPr>
          <w:rFonts w:ascii="IRNazanin" w:hAnsi="IRNazanin" w:eastAsia="IRNazanin"/>
          <w:color w:val="111111"/>
          <w:sz w:val="28"/>
          <w:sz w:val="28"/>
          <w:szCs w:val="28"/>
          <w:rtl w:val="true"/>
          <w:lang w:bidi="fa-IR"/>
        </w:rPr>
        <w:t>من النسیان،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یعتدی علی أهل مملکته، سبحان مَن لا یأخذ أهل الأرض بألوان العذاب، سبحان الروءوفِ الرحیم، اللهمّ اجعل لی فی قلبی نوراً وبصراً وفهماً وعلماً، إنّک علی کلّ شیء قدیر</w:t>
      </w:r>
      <w:r>
        <w:rPr>
          <w:rFonts w:eastAsia="IRNazanin" w:cs="IRNazanin"/>
          <w:color w:val="111111"/>
          <w:sz w:val="28"/>
          <w:szCs w:val="28"/>
          <w:rtl w:val="true"/>
          <w:lang w:bidi="fa-IR"/>
        </w:rPr>
        <w:t>».</w:t>
      </w:r>
    </w:p>
    <w:p>
      <w:pPr>
        <w:pStyle w:val="Heading3"/>
        <w:numPr>
          <w:ilvl w:val="2"/>
          <w:numId w:val="1"/>
        </w:numPr>
        <w:rPr/>
      </w:pPr>
      <w:bookmarkStart w:id="1098" w:name="__RefHeading___Toc1841415_2322387425"/>
      <w:bookmarkStart w:id="1099" w:name="_Toc425"/>
      <w:bookmarkEnd w:id="1098"/>
      <w:r>
        <w:rPr>
          <w:rtl w:val="true"/>
        </w:rPr>
        <w:t>استحباب الجلوس فی المصلی بعد صلاة الصبح إلی طلوع الشمس مشتغلاً بذکر الله</w:t>
      </w:r>
      <w:bookmarkEnd w:id="10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صلاة الصبح أن یجلس بعدها فی مصلاّهُ إلی طلوع الشمس مشتغلاً بذکر اللّه</w:t>
      </w:r>
      <w:r>
        <w:rPr>
          <w:rFonts w:eastAsia="IRNazanin" w:cs="IRNazanin"/>
          <w:color w:val="111111"/>
          <w:sz w:val="28"/>
          <w:szCs w:val="28"/>
          <w:rtl w:val="true"/>
          <w:lang w:bidi="fa-IR"/>
        </w:rPr>
        <w:t>.</w:t>
      </w:r>
    </w:p>
    <w:p>
      <w:pPr>
        <w:pStyle w:val="Heading3"/>
        <w:numPr>
          <w:ilvl w:val="2"/>
          <w:numId w:val="1"/>
        </w:numPr>
        <w:rPr/>
      </w:pPr>
      <w:bookmarkStart w:id="1100" w:name="__RefHeading___Toc1841417_2322387425"/>
      <w:bookmarkStart w:id="1101" w:name="_Toc426"/>
      <w:bookmarkEnd w:id="1100"/>
      <w:r>
        <w:rPr>
          <w:rtl w:val="true"/>
        </w:rPr>
        <w:t>الدعاء بعد الفریضة أفضل من الصلاة بعدها، و هو أفضل من الدعاء بعد النافلة</w:t>
      </w:r>
      <w:bookmarkEnd w:id="1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الفریضة أفضل من الصلاة تنفّلاً، وکذا الدعاء بعد الفریضة أفضل من الدعاء بعد النافلة</w:t>
      </w:r>
      <w:r>
        <w:rPr>
          <w:rFonts w:eastAsia="IRNazanin" w:cs="IRNazanin"/>
          <w:color w:val="111111"/>
          <w:sz w:val="28"/>
          <w:szCs w:val="28"/>
          <w:rtl w:val="true"/>
          <w:lang w:bidi="fa-IR"/>
        </w:rPr>
        <w:t>.</w:t>
      </w:r>
    </w:p>
    <w:p>
      <w:pPr>
        <w:pStyle w:val="Heading3"/>
        <w:numPr>
          <w:ilvl w:val="2"/>
          <w:numId w:val="1"/>
        </w:numPr>
        <w:rPr/>
      </w:pPr>
      <w:bookmarkStart w:id="1102" w:name="__RefHeading___Toc1841419_2322387425"/>
      <w:bookmarkStart w:id="1103" w:name="_Toc427"/>
      <w:bookmarkEnd w:id="1102"/>
      <w:r>
        <w:rPr>
          <w:rtl w:val="true"/>
        </w:rPr>
        <w:t>استحباب سجود الشکر بعد کل صلاة</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سجود الشکر بعد کلّ صلاة، فریضةً کانت أو نافلة</w:t>
      </w:r>
      <w:r>
        <w:rPr>
          <w:rStyle w:val="FootnoteAnchor"/>
          <w:rtl w:val="true"/>
        </w:rPr>
        <w:footnoteReference w:id="1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نظفر بدلیل استحبابه بعد النافلة بالخصوص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بها بعدها رجاءً، إلاّ فی موارد مأثورة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مرّت کیفیّته سابقاً</w:t>
      </w:r>
      <w:r>
        <w:rPr>
          <w:rFonts w:eastAsia="Amiri" w:cs="Amiri" w:ascii="Amiri" w:hAnsi="Amiri"/>
          <w:color w:val="111111"/>
          <w:sz w:val="28"/>
          <w:szCs w:val="28"/>
          <w:rtl w:val="true"/>
          <w:lang w:bidi="ar-SA"/>
        </w:rPr>
        <w:t>.</w:t>
      </w:r>
      <w:bookmarkStart w:id="1104" w:name="pg13278_326726"/>
    </w:p>
    <w:p>
      <w:pPr>
        <w:pStyle w:val="Heading2"/>
        <w:numPr>
          <w:ilvl w:val="1"/>
          <w:numId w:val="1"/>
        </w:numPr>
        <w:rPr/>
      </w:pPr>
      <w:bookmarkStart w:id="1105" w:name="__RefHeading___Toc1841421_2322387425"/>
      <w:bookmarkStart w:id="1106" w:name="_Toc428"/>
      <w:bookmarkEnd w:id="1104"/>
      <w:bookmarkEnd w:id="1105"/>
      <w:r>
        <w:rPr>
          <w:rtl w:val="true"/>
        </w:rPr>
        <w:t>فصل استحباب الصلاة علی النبیّ صلی‌الله‌علیه‌و‌آله</w:t>
      </w:r>
      <w:bookmarkEnd w:id="1106"/>
    </w:p>
    <w:p>
      <w:pPr>
        <w:pStyle w:val="Heading3"/>
        <w:numPr>
          <w:ilvl w:val="2"/>
          <w:numId w:val="1"/>
        </w:numPr>
        <w:rPr/>
      </w:pPr>
      <w:bookmarkStart w:id="1107" w:name="__RefHeading___Toc1841423_2322387425"/>
      <w:bookmarkStart w:id="1108" w:name="_Toc429"/>
      <w:bookmarkEnd w:id="1107"/>
      <w:r>
        <w:rPr>
          <w:rtl w:val="true"/>
        </w:rPr>
        <w:t>استحباب الصلاة علی النبی حیثما ذکر أو ذکر عنده</w:t>
      </w:r>
      <w:bookmarkEnd w:id="1108"/>
    </w:p>
    <w:p>
      <w:pPr>
        <w:pStyle w:val="BookText"/>
        <w:rPr/>
      </w:pPr>
      <w:r>
        <w:rPr>
          <w:rFonts w:ascii="IRNazanin" w:hAnsi="IRNazanin" w:eastAsia="IRNazanin"/>
          <w:color w:val="111111"/>
          <w:sz w:val="28"/>
          <w:sz w:val="28"/>
          <w:szCs w:val="28"/>
          <w:rtl w:val="true"/>
          <w:lang w:bidi="fa-IR"/>
        </w:rPr>
        <w:t>یستحبّ الصلاة</w:t>
      </w:r>
      <w:r>
        <w:rPr>
          <w:rStyle w:val="FootnoteAnchor"/>
          <w:rtl w:val="true"/>
        </w:rPr>
        <w:footnoteReference w:id="1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مؤکّداً فی غایة التأ 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صلی‌الله‌علیه‌و‌آله حیثما ذَکَر أو ذُکِر عنده، ولو کان فی الصلاة، وفی أثناء القراءة، بل الأحوط عدم ترکها لفتوی جماعة من العلماء بوجوبها، ولا فرق بین أن یکون ذکره باسمه العَلَمیّ کمحمّدٍ وأحمد، أو بالکُنیة واللقب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کأبی القاسم والمصطفی والرسول والنبیّ، أو بالضمیر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الخبر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علی النبیّ صلی‌الله‌علیه‌و‌آله کلّما ذکرته، أو ذکره ذاکر عندک فی الأذان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الأذان والإقامة،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ذُکِرتُ عنده ونسی أن یصلّی علیَّ خَطَّأَ اللّه به طریق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الذکر،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09" w:name="__RefHeading___Toc1841425_2322387425"/>
      <w:bookmarkStart w:id="1110" w:name="_Toc430"/>
      <w:bookmarkEnd w:id="1109"/>
      <w:r>
        <w:rPr>
          <w:rtl w:val="true"/>
        </w:rPr>
        <w:t>یستحب تکرار الصلاة علیه إذا ذکر اسمه صلی الله علیه و آله مکرراً</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اسمه صلی‌الله‌علیه‌و‌آله مکرّراً یستحبّ</w:t>
      </w:r>
      <w:r>
        <w:rPr>
          <w:rStyle w:val="FootnoteAnchor"/>
          <w:rtl w:val="true"/>
        </w:rPr>
        <w:footnoteReference w:id="1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کفایة المرّة إذا ذکر اسمه الشریف مراراً ولم یُصلّ علیه، نعم، لا ریب فی رجحان تکثیر الصلاة علیه فی کلّ حال ومورد، ولو ذکر اسمه الشریف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ذکر اسمه صلی‌الله‌علیه‌و‌آله مکرّراً من غیر تخلّل الصلاة علیه الأظهر تحقّق أداء الوظیفة بإتیانها 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تکرارها، وعلی القول</w:t>
      </w:r>
      <w:bookmarkStart w:id="1111" w:name="pg13278_326727"/>
    </w:p>
    <w:p>
      <w:pPr>
        <w:pStyle w:val="BookText"/>
        <w:rPr/>
      </w:pPr>
      <w:bookmarkEnd w:id="1111"/>
      <w:r>
        <w:rPr>
          <w:rFonts w:ascii="IRNazanin" w:hAnsi="IRNazanin" w:eastAsia="IRNazanin"/>
          <w:color w:val="111111"/>
          <w:sz w:val="28"/>
          <w:sz w:val="28"/>
          <w:szCs w:val="28"/>
          <w:rtl w:val="true"/>
          <w:lang w:bidi="fa-IR"/>
        </w:rPr>
        <w:t>بالوجوب یجب، نعم، ذَکر بعض القائلین بالوجوب</w:t>
      </w:r>
      <w:r>
        <w:rPr>
          <w:rStyle w:val="FootnoteAnchor"/>
          <w:rtl w:val="true"/>
        </w:rPr>
        <w:footnoteReference w:id="1215"/>
      </w:r>
      <w:r>
        <w:rPr>
          <w:rFonts w:ascii="IRNazanin" w:hAnsi="IRNazanin" w:eastAsia="IRNazanin"/>
          <w:color w:val="111111"/>
          <w:sz w:val="28"/>
          <w:sz w:val="28"/>
          <w:szCs w:val="28"/>
          <w:rtl w:val="true"/>
          <w:lang w:bidi="fa-IR"/>
        </w:rPr>
        <w:t>یکفی مرّة، إلاّ إذا ذُکر بعدها فیجب إعادتها، وبعضهم علی أ نّه یجب فی کلّ مجلس مرّة</w:t>
      </w:r>
      <w:r>
        <w:rPr>
          <w:rFonts w:eastAsia="IRNazanin" w:cs="IRNazanin"/>
          <w:color w:val="111111"/>
          <w:sz w:val="28"/>
          <w:szCs w:val="28"/>
          <w:rtl w:val="true"/>
          <w:lang w:bidi="fa-IR"/>
        </w:rPr>
        <w:t>.</w:t>
      </w:r>
    </w:p>
    <w:p>
      <w:pPr>
        <w:pStyle w:val="Heading3"/>
        <w:numPr>
          <w:ilvl w:val="2"/>
          <w:numId w:val="1"/>
        </w:numPr>
        <w:rPr/>
      </w:pPr>
      <w:bookmarkStart w:id="1112" w:name="__RefHeading___Toc1841427_2322387425"/>
      <w:bookmarkStart w:id="1113" w:name="_Toc431"/>
      <w:bookmarkEnd w:id="1112"/>
      <w:r>
        <w:rPr>
          <w:rtl w:val="true"/>
        </w:rPr>
        <w:t>إذا کان فی أثناء التشهد فسمع اسمه لا یکتفی بالصلاة التی تجب للتشهد</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أثناء التشهّد فسَمِع اسمَه لا یکتفی</w:t>
      </w:r>
      <w:r>
        <w:rPr>
          <w:rStyle w:val="FootnoteAnchor"/>
          <w:rtl w:val="true"/>
        </w:rPr>
        <w:footnoteReference w:id="1216"/>
      </w:r>
      <w:r>
        <w:rPr>
          <w:rFonts w:ascii="Amiri" w:hAnsi="Amiri" w:eastAsia="Amiri" w:cs="Amiri"/>
          <w:color w:val="111111"/>
          <w:sz w:val="28"/>
          <w:sz w:val="28"/>
          <w:szCs w:val="28"/>
          <w:rtl w:val="true"/>
          <w:lang w:bidi="ar-SA"/>
        </w:rPr>
        <w:t>بالصلاة</w:t>
      </w:r>
      <w:r>
        <w:rPr>
          <w:rStyle w:val="FootnoteAnchor"/>
          <w:rtl w:val="true"/>
        </w:rPr>
        <w:footnoteReference w:id="1217"/>
      </w:r>
      <w:r>
        <w:rPr>
          <w:rFonts w:ascii="Amiri" w:hAnsi="Amiri" w:eastAsia="Amiri" w:cs="Amiri"/>
          <w:color w:val="111111"/>
          <w:sz w:val="28"/>
          <w:sz w:val="28"/>
          <w:szCs w:val="28"/>
          <w:rtl w:val="true"/>
          <w:lang w:bidi="ar-SA"/>
        </w:rPr>
        <w:t>الّتی تجب للتشهّد</w:t>
      </w:r>
      <w:r>
        <w:rPr>
          <w:rStyle w:val="FootnoteAnchor"/>
          <w:rtl w:val="true"/>
        </w:rPr>
        <w:footnoteReference w:id="1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ذکره فی ضمن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تکرارها، وإلاّ لزم التسلسل</w:t>
      </w:r>
      <w:r>
        <w:rPr>
          <w:rFonts w:eastAsia="IRNazanin" w:cs="IRNazanin"/>
          <w:color w:val="111111"/>
          <w:sz w:val="28"/>
          <w:szCs w:val="28"/>
          <w:rtl w:val="true"/>
          <w:lang w:bidi="fa-IR"/>
        </w:rPr>
        <w:t>.</w:t>
      </w:r>
    </w:p>
    <w:p>
      <w:pPr>
        <w:pStyle w:val="Heading3"/>
        <w:numPr>
          <w:ilvl w:val="2"/>
          <w:numId w:val="1"/>
        </w:numPr>
        <w:rPr/>
      </w:pPr>
      <w:bookmarkStart w:id="1114" w:name="__RefHeading___Toc1841429_2322387425"/>
      <w:bookmarkStart w:id="1115" w:name="_Toc432"/>
      <w:bookmarkEnd w:id="1114"/>
      <w:r>
        <w:rPr>
          <w:rtl w:val="true"/>
        </w:rPr>
        <w:t>عدم الفصل الطویل بین ذکره و الصلاة علیه صلی الله علیه و آله</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الفصل</w:t>
      </w:r>
      <w:r>
        <w:rPr>
          <w:rStyle w:val="FootnoteAnchor"/>
          <w:rtl w:val="true"/>
        </w:rPr>
        <w:footnoteReference w:id="1219"/>
      </w:r>
      <w:r>
        <w:rPr>
          <w:rFonts w:ascii="IRNazanin" w:hAnsi="IRNazanin" w:eastAsia="IRNazanin"/>
          <w:color w:val="111111"/>
          <w:sz w:val="28"/>
          <w:sz w:val="28"/>
          <w:szCs w:val="28"/>
          <w:rtl w:val="true"/>
          <w:lang w:bidi="fa-IR"/>
        </w:rPr>
        <w:t>الطویل بین ذکره والصلاة علیه بناءً علی الوجوب، وکذا بناءً علی الاستحباب فی إدراک فضلها، وامتثال الأمر الندبیّ، فلو ذَکَره أو سَمِعه فی أثناء القراءة فی الصلاة لا یوءخّر إلی آخرها إلاّ إذا کان فی أواخرها</w:t>
      </w:r>
      <w:r>
        <w:rPr>
          <w:rFonts w:eastAsia="IRNazanin" w:cs="IRNazanin"/>
          <w:color w:val="111111"/>
          <w:sz w:val="28"/>
          <w:szCs w:val="28"/>
          <w:rtl w:val="true"/>
          <w:lang w:bidi="fa-IR"/>
        </w:rPr>
        <w:t>.</w:t>
      </w:r>
    </w:p>
    <w:p>
      <w:pPr>
        <w:pStyle w:val="Heading3"/>
        <w:numPr>
          <w:ilvl w:val="2"/>
          <w:numId w:val="1"/>
        </w:numPr>
        <w:rPr/>
      </w:pPr>
      <w:bookmarkStart w:id="1116" w:name="__RefHeading___Toc1841431_2322387425"/>
      <w:bookmarkStart w:id="1117" w:name="_Toc433"/>
      <w:bookmarkEnd w:id="1116"/>
      <w:r>
        <w:rPr>
          <w:rtl w:val="true"/>
        </w:rPr>
        <w:t>لا تعتبر کیفیة خاصة فی الصلاة علیه صلی الله علیه و آله، بل یکفی کل ما یدل علیها</w:t>
      </w:r>
      <w:bookmarkEnd w:id="111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کیفیّة خاصّة</w:t>
      </w:r>
      <w:r>
        <w:rPr>
          <w:rStyle w:val="FootnoteAnchor"/>
          <w:rtl w:val="true"/>
        </w:rPr>
        <w:footnoteReference w:id="1220"/>
      </w:r>
      <w:r>
        <w:rPr>
          <w:rFonts w:ascii="IRNazanin" w:hAnsi="IRNazanin" w:eastAsia="IRNazanin"/>
          <w:color w:val="111111"/>
          <w:sz w:val="28"/>
          <w:sz w:val="28"/>
          <w:szCs w:val="28"/>
          <w:rtl w:val="true"/>
          <w:lang w:bidi="fa-IR"/>
        </w:rPr>
        <w:t xml:space="preserve">فی الصلاة، بل یکفی فی الصلاة </w:t>
      </w:r>
      <w:bookmarkStart w:id="1118" w:name="pg13278_326728"/>
    </w:p>
    <w:p>
      <w:pPr>
        <w:pStyle w:val="BookText"/>
        <w:rPr/>
      </w:pPr>
      <w:bookmarkEnd w:id="1118"/>
      <w:r>
        <w:rPr>
          <w:rFonts w:ascii="IRNazanin" w:hAnsi="IRNazanin" w:eastAsia="IRNazanin"/>
          <w:color w:val="111111"/>
          <w:sz w:val="28"/>
          <w:sz w:val="28"/>
          <w:szCs w:val="28"/>
          <w:rtl w:val="true"/>
          <w:lang w:bidi="fa-IR"/>
        </w:rPr>
        <w:t>علیه کلّ ما یدلّ علیها، مثل صلّی اللّه علیه، والأولی</w:t>
      </w:r>
      <w:r>
        <w:rPr>
          <w:rStyle w:val="FootnoteAnchor"/>
          <w:rtl w:val="true"/>
        </w:rPr>
        <w:footnoteReference w:id="1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لو لم یکن أقوی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 حسن القمّی ، 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 الآل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إن لم یکن الأقوی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ینبغی أن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ذلک؛ للنهی المرویّ فی کتب الفریقین عن الصلاة البتراء، أی بدون ضمّ الآل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بدّ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الصلاة علی محمدٍ وآله فوریّ، ولا یعتبر فیها کیفیة خاصّة، نعم، لابدّ من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فی الصلاة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ینبغی 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1841433_2322387425"/>
      <w:bookmarkStart w:id="1120" w:name="_Toc434"/>
      <w:bookmarkEnd w:id="1119"/>
      <w:r>
        <w:rPr>
          <w:rtl w:val="true"/>
        </w:rPr>
        <w:t>إذا کتب اسمه صلی الله علیه و آله یستحب أن یکتب الصلاة علیه</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کَتَبَ اسمَه صلی‌الله‌علیه‌و‌آله </w:t>
      </w:r>
      <w:r>
        <w:rPr>
          <w:rStyle w:val="FootnoteAnchor"/>
          <w:rtl w:val="true"/>
        </w:rPr>
        <w:footnoteReference w:id="1222"/>
      </w:r>
      <w:r>
        <w:rPr>
          <w:rFonts w:ascii="IRNazanin" w:hAnsi="IRNazanin" w:eastAsia="IRNazanin"/>
          <w:color w:val="111111"/>
          <w:sz w:val="28"/>
          <w:sz w:val="28"/>
          <w:szCs w:val="28"/>
          <w:rtl w:val="true"/>
          <w:lang w:bidi="fa-IR"/>
        </w:rPr>
        <w:t>یستحبّ أن یکتب الصلاة</w:t>
      </w:r>
      <w:r>
        <w:rPr>
          <w:rStyle w:val="FootnoteAnchor"/>
          <w:rtl w:val="true"/>
        </w:rPr>
        <w:footnoteReference w:id="1223"/>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3"/>
        <w:numPr>
          <w:ilvl w:val="2"/>
          <w:numId w:val="1"/>
        </w:numPr>
        <w:rPr/>
      </w:pPr>
      <w:bookmarkStart w:id="1121" w:name="__RefHeading___Toc1841435_2322387425"/>
      <w:bookmarkStart w:id="1122" w:name="_Toc435"/>
      <w:bookmarkEnd w:id="1121"/>
      <w:r>
        <w:rPr>
          <w:rtl w:val="true"/>
        </w:rPr>
        <w:t>فی ما لو تذکر اسمه صلی الله علیه و آله فی قلبه</w:t>
      </w:r>
      <w:bookmarkEnd w:id="112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تذکّره بقلبه فالأولی</w:t>
      </w:r>
      <w:r>
        <w:rPr>
          <w:rStyle w:val="FootnoteAnchor"/>
          <w:rtl w:val="true"/>
        </w:rPr>
        <w:footnoteReference w:id="1224"/>
      </w:r>
      <w:r>
        <w:rPr>
          <w:rFonts w:ascii="IRNazanin" w:hAnsi="IRNazanin" w:eastAsia="IRNazanin"/>
          <w:color w:val="111111"/>
          <w:sz w:val="28"/>
          <w:sz w:val="28"/>
          <w:szCs w:val="28"/>
          <w:rtl w:val="true"/>
          <w:lang w:bidi="fa-IR"/>
        </w:rPr>
        <w:t xml:space="preserve">أن یصلّی علیه؛ </w:t>
      </w:r>
      <w:bookmarkStart w:id="1123" w:name="pg13278_326729"/>
    </w:p>
    <w:p>
      <w:pPr>
        <w:pStyle w:val="BookText"/>
        <w:rPr/>
      </w:pPr>
      <w:bookmarkEnd w:id="1123"/>
      <w:r>
        <w:rPr>
          <w:rFonts w:ascii="IRNazanin" w:hAnsi="IRNazanin" w:eastAsia="IRNazanin"/>
          <w:color w:val="111111"/>
          <w:sz w:val="28"/>
          <w:sz w:val="28"/>
          <w:szCs w:val="28"/>
          <w:rtl w:val="true"/>
          <w:lang w:bidi="fa-IR"/>
        </w:rPr>
        <w:t>لاحتمال</w:t>
      </w:r>
      <w:r>
        <w:rPr>
          <w:rStyle w:val="FootnoteAnchor"/>
          <w:rtl w:val="true"/>
        </w:rPr>
        <w:footnoteReference w:id="1225"/>
      </w:r>
      <w:r>
        <w:rPr>
          <w:rFonts w:ascii="IRNazanin" w:hAnsi="IRNazanin" w:eastAsia="IRNazanin"/>
          <w:color w:val="111111"/>
          <w:sz w:val="28"/>
          <w:sz w:val="28"/>
          <w:szCs w:val="28"/>
          <w:rtl w:val="true"/>
          <w:lang w:bidi="fa-IR"/>
        </w:rPr>
        <w:t xml:space="preserve">شمول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لکنّ الظاهر إرادة الذکر اللسانیّ دون القلبیّ</w:t>
      </w:r>
      <w:r>
        <w:rPr>
          <w:rFonts w:eastAsia="IRNazanin" w:cs="IRNazanin"/>
          <w:color w:val="111111"/>
          <w:sz w:val="28"/>
          <w:szCs w:val="28"/>
          <w:rtl w:val="true"/>
          <w:lang w:bidi="fa-IR"/>
        </w:rPr>
        <w:t>.</w:t>
      </w:r>
    </w:p>
    <w:p>
      <w:pPr>
        <w:pStyle w:val="Heading3"/>
        <w:numPr>
          <w:ilvl w:val="2"/>
          <w:numId w:val="1"/>
        </w:numPr>
        <w:rPr/>
      </w:pPr>
      <w:bookmarkStart w:id="1124" w:name="__RefHeading___Toc1841437_2322387425"/>
      <w:bookmarkStart w:id="1125" w:name="_Toc436"/>
      <w:bookmarkEnd w:id="1124"/>
      <w:r>
        <w:rPr>
          <w:rtl w:val="true"/>
        </w:rPr>
        <w:t>استحباب الصلاة علیه صلی الله علیه و آله عند ذکر سائر الأنبیاء و الأئمة علیهم السلام و کیفیتها</w:t>
      </w:r>
      <w:bookmarkEnd w:id="112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عند ذکر</w:t>
      </w:r>
      <w:r>
        <w:rPr>
          <w:rStyle w:val="FootnoteAnchor"/>
          <w:rtl w:val="true"/>
        </w:rPr>
        <w:footnoteReference w:id="1226"/>
      </w:r>
      <w:r>
        <w:rPr>
          <w:rFonts w:ascii="IRNazanin" w:hAnsi="IRNazanin" w:eastAsia="IRNazanin"/>
          <w:color w:val="111111"/>
          <w:sz w:val="28"/>
          <w:sz w:val="28"/>
          <w:szCs w:val="28"/>
          <w:rtl w:val="true"/>
          <w:lang w:bidi="fa-IR"/>
        </w:rPr>
        <w:t>سائر الأنبیاء والأئمّة علیهم‌السلام أیضاً ذلک، نعم، إذا أراد أن یصلّی علی الأنبیاء أوّلاً یصلّی علی النبیّ وآله صلی‌الله‌علیه‌و‌آله ، ثمّ علیهم، إلاّ فی ذکر إبراهیم</w:t>
      </w:r>
      <w:r>
        <w:rPr>
          <w:rStyle w:val="FootnoteAnchor"/>
          <w:rtl w:val="true"/>
        </w:rPr>
        <w:footnoteReference w:id="1227"/>
      </w:r>
      <w:r>
        <w:rPr>
          <w:rFonts w:ascii="IRNazanin" w:hAnsi="IRNazanin" w:eastAsia="IRNazanin"/>
          <w:color w:val="111111"/>
          <w:sz w:val="28"/>
          <w:sz w:val="28"/>
          <w:szCs w:val="28"/>
          <w:rtl w:val="true"/>
          <w:lang w:bidi="fa-IR"/>
        </w:rPr>
        <w:t>علیه‌السلام ، ففی الخبر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عند أبی عبداللّه الصادق علیه‌السلام بعض الأنبیاء فصلّیت علیه،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أحدٌ من الأنبیاء فابدأ بالصلاة علی محمَّدٍ وآله 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الذکر، ح</w:t>
      </w:r>
      <w:r>
        <w:rPr>
          <w:rFonts w:eastAsia="IRNazanin" w:cs="IRNazanin"/>
          <w:color w:val="111111"/>
          <w:sz w:val="28"/>
          <w:szCs w:val="28"/>
          <w:lang w:bidi="fa-IR"/>
        </w:rPr>
        <w:t>1</w:t>
      </w:r>
      <w:r>
        <w:rPr>
          <w:rFonts w:eastAsia="IRNazanin" w:cs="IRNazanin"/>
          <w:color w:val="111111"/>
          <w:sz w:val="28"/>
          <w:szCs w:val="28"/>
          <w:rtl w:val="true"/>
          <w:lang w:bidi="fa-IR"/>
        </w:rPr>
        <w:t>.).</w:t>
      </w:r>
      <w:bookmarkStart w:id="1126" w:name="pg13278_326730"/>
    </w:p>
    <w:p>
      <w:pPr>
        <w:pStyle w:val="Heading2"/>
        <w:numPr>
          <w:ilvl w:val="1"/>
          <w:numId w:val="1"/>
        </w:numPr>
        <w:rPr/>
      </w:pPr>
      <w:bookmarkStart w:id="1127" w:name="__RefHeading___Toc1841439_2322387425"/>
      <w:bookmarkStart w:id="1128" w:name="_Toc437"/>
      <w:bookmarkEnd w:id="1126"/>
      <w:bookmarkEnd w:id="1127"/>
      <w:r>
        <w:rPr>
          <w:rtl w:val="true"/>
        </w:rPr>
        <w:t>فصل فی مبطلات الصلاة</w:t>
      </w:r>
      <w:bookmarkEnd w:id="1128"/>
    </w:p>
    <w:p>
      <w:pPr>
        <w:pStyle w:val="Heading3"/>
        <w:numPr>
          <w:ilvl w:val="2"/>
          <w:numId w:val="1"/>
        </w:numPr>
        <w:rPr/>
      </w:pPr>
      <w:bookmarkStart w:id="1129" w:name="__RefHeading___Toc1841441_2322387425"/>
      <w:bookmarkStart w:id="1130" w:name="_Toc438"/>
      <w:bookmarkEnd w:id="1129"/>
      <w:r>
        <w:rPr>
          <w:rtl w:val="true"/>
        </w:rPr>
        <w:t>الامور المبطلة للصلاة</w:t>
      </w:r>
      <w:bookmarkEnd w:id="1130"/>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1841443_2322387425"/>
      <w:bookmarkStart w:id="1132" w:name="_Toc439"/>
      <w:bookmarkEnd w:id="1131"/>
      <w:r>
        <w:rPr>
          <w:rtl w:val="true"/>
        </w:rPr>
        <w:t>أحدها</w:t>
      </w:r>
      <w:r>
        <w:rPr>
          <w:rtl w:val="true"/>
        </w:rPr>
        <w:t xml:space="preserve">: </w:t>
      </w:r>
      <w:r>
        <w:rPr>
          <w:rtl w:val="true"/>
        </w:rPr>
        <w:t>فقدان بعض الشرائط فی الصلاة، کالستر و إباحة المکان و غیرهما</w:t>
      </w:r>
      <w:bookmarkEnd w:id="1132"/>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بعض الشرائط فی أثناء الصلاة، کالسَتر وإباحة المکان واللباس ونحو ذلک ممّا مرّ فی المسائل المتقدّمة</w:t>
      </w:r>
      <w:r>
        <w:rPr>
          <w:rFonts w:eastAsia="IRNazanin" w:cs="IRNazanin"/>
          <w:color w:val="111111"/>
          <w:sz w:val="28"/>
          <w:szCs w:val="28"/>
          <w:rtl w:val="true"/>
          <w:lang w:bidi="fa-IR"/>
        </w:rPr>
        <w:t>.</w:t>
      </w:r>
    </w:p>
    <w:p>
      <w:pPr>
        <w:pStyle w:val="Heading3"/>
        <w:numPr>
          <w:ilvl w:val="2"/>
          <w:numId w:val="1"/>
        </w:numPr>
        <w:rPr/>
      </w:pPr>
      <w:bookmarkStart w:id="1133" w:name="__RefHeading___Toc1841445_2322387425"/>
      <w:bookmarkStart w:id="1134" w:name="_Toc440"/>
      <w:bookmarkEnd w:id="1133"/>
      <w:r>
        <w:rPr>
          <w:rtl w:val="true"/>
        </w:rPr>
        <w:t>الثانی</w:t>
      </w:r>
      <w:r>
        <w:rPr>
          <w:rtl w:val="true"/>
        </w:rPr>
        <w:t xml:space="preserve">: </w:t>
      </w:r>
      <w:r>
        <w:rPr>
          <w:rtl w:val="true"/>
        </w:rPr>
        <w:t>إتیان الحدث الأکبر أو الأصغر</w:t>
      </w:r>
      <w:bookmarkEnd w:id="113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الأکبر أو الأصغر فإنّه مبطل</w:t>
      </w:r>
      <w:r>
        <w:rPr>
          <w:rStyle w:val="FootnoteAnchor"/>
          <w:rtl w:val="true"/>
        </w:rPr>
        <w:footnoteReference w:id="1228"/>
      </w:r>
      <w:r>
        <w:rPr>
          <w:rFonts w:ascii="IRNazanin" w:hAnsi="IRNazanin" w:eastAsia="IRNazanin"/>
          <w:color w:val="111111"/>
          <w:sz w:val="28"/>
          <w:sz w:val="28"/>
          <w:szCs w:val="28"/>
          <w:rtl w:val="true"/>
          <w:lang w:bidi="fa-IR"/>
        </w:rPr>
        <w:t>أینما وقع فیها، ولو قبل الآخر بحرف، من غیر فرقٍ بین أن یکون عمداً أو سهواً</w:t>
      </w:r>
      <w:r>
        <w:rPr>
          <w:rStyle w:val="FootnoteAnchor"/>
          <w:rtl w:val="true"/>
        </w:rPr>
        <w:footnoteReference w:id="1229"/>
      </w:r>
      <w:r>
        <w:rPr>
          <w:rFonts w:ascii="Amiri" w:hAnsi="Amiri" w:eastAsia="Amiri" w:cs="Amiri"/>
          <w:color w:val="111111"/>
          <w:sz w:val="28"/>
          <w:sz w:val="28"/>
          <w:szCs w:val="28"/>
          <w:rtl w:val="true"/>
          <w:lang w:bidi="ar-SA"/>
        </w:rPr>
        <w:t>أو اضطراراً</w:t>
      </w:r>
      <w:r>
        <w:rPr>
          <w:rStyle w:val="FootnoteAnchor"/>
          <w:rtl w:val="true"/>
        </w:rPr>
        <w:footnoteReference w:id="1230"/>
      </w:r>
      <w:r>
        <w:rPr>
          <w:rFonts w:ascii="IRNazanin" w:hAnsi="IRNazanin" w:eastAsia="IRNazanin"/>
          <w:color w:val="111111"/>
          <w:sz w:val="28"/>
          <w:sz w:val="28"/>
          <w:szCs w:val="28"/>
          <w:rtl w:val="true"/>
          <w:lang w:bidi="fa-IR"/>
        </w:rPr>
        <w:t>، عدا ما مرّ فی حکم المسلوس والمبطون والمستحاضة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نسی السلام</w:t>
      </w:r>
      <w:r>
        <w:rPr>
          <w:rStyle w:val="FootnoteAnchor"/>
          <w:rtl w:val="true"/>
        </w:rPr>
        <w:footnoteReference w:id="1231"/>
      </w:r>
      <w:r>
        <w:rPr>
          <w:rFonts w:ascii="Amiri" w:hAnsi="Amiri" w:eastAsia="Amiri" w:cs="Amiri"/>
          <w:color w:val="111111"/>
          <w:sz w:val="28"/>
          <w:sz w:val="28"/>
          <w:szCs w:val="28"/>
          <w:rtl w:val="true"/>
          <w:lang w:bidi="ar-SA"/>
        </w:rPr>
        <w:t>ثمّ أحدث</w:t>
      </w:r>
      <w:r>
        <w:rPr>
          <w:rStyle w:val="FootnoteAnchor"/>
          <w:rtl w:val="true"/>
        </w:rPr>
        <w:footnoteReference w:id="1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فیه فی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البطلان،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بحث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البطلان</w:t>
      </w:r>
      <w:r>
        <w:rPr>
          <w:rStyle w:val="FootnoteAnchor"/>
          <w:rtl w:val="true"/>
        </w:rPr>
        <w:footnoteReference w:id="1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هوالأقوی،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وأنّ الاحتیاط بالإعادة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 فصل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تقدّم فی فصل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بطلان الصلاة، کوقوع الحدث فی أثنائها؛ لعدم وجود المُخرِج، وأمّا لو کان بعد السکوت الطویل الماحی لصورة الصلاة فبطلانها بنفس ذلک السکوت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فی السلام، وأنّ الاحتیاط لا یُترک بإتیان سجدتَی السهو وإعادة الصلاة 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 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بصحّة صلاته مشکل، وإن کان الأحوط وجوبا إعادة الصلاة ثمّ إتیان سجدتَی السهو لنسیان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أحدث قبل فوات الموالاة،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5" w:name="pg13278_326732"/>
    </w:p>
    <w:p>
      <w:pPr>
        <w:pStyle w:val="Heading3"/>
        <w:numPr>
          <w:ilvl w:val="2"/>
          <w:numId w:val="1"/>
        </w:numPr>
        <w:rPr/>
      </w:pPr>
      <w:bookmarkStart w:id="1136" w:name="__RefHeading___Toc1841447_2322387425"/>
      <w:bookmarkStart w:id="1137" w:name="_Toc441"/>
      <w:bookmarkEnd w:id="1135"/>
      <w:bookmarkEnd w:id="1136"/>
      <w:r>
        <w:rPr>
          <w:rtl w:val="true"/>
        </w:rPr>
        <w:t>الثالث</w:t>
      </w:r>
      <w:r>
        <w:rPr>
          <w:rtl w:val="true"/>
        </w:rPr>
        <w:t xml:space="preserve">: </w:t>
      </w:r>
      <w:r>
        <w:rPr>
          <w:rtl w:val="true"/>
        </w:rPr>
        <w:t>التکفیر</w:t>
      </w:r>
      <w:bookmarkEnd w:id="113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w:t>
      </w:r>
      <w:r>
        <w:rPr>
          <w:rStyle w:val="FootnoteAnchor"/>
          <w:rtl w:val="true"/>
        </w:rPr>
        <w:footnoteReference w:id="1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مبطلاً محلّ إشکال، وإن کان الأحوط، نعم، لا إشکال فی حرمته النفسیة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نعم، یحرم تشریعاً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وضعاً وتکلیفاً، والأحوط ترکه وإعادة الصلاة إن کان عمداً، هذا، ولکن لوأتی به بعنوان التشریع فلا إشکال فی حرمته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حرمته ومبطلیته إشکال، إلاّ أن یکون بقصد التشریع فیکون حراماً قطعاً، والأحوط ترکه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یختصّ الحکم بالنحو الذی یصنعه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بقصد الجزئیّة، وإلاّ فهو مبطل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مانعیّته للصلاة مشکل، وکونه حراماً ذاتاً غیر مبطلٍ أشکل، نعم، یحرم تشریعاً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حرمة التکفیر حرمة تشریعیة لا نفسیة، وإنّما تبطل الصلاة إذا أتی به بقصد الجزئیة للصلاة، أو قیّد به امتثاله لأمر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الجزئیة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حرمته التشریعیة، وأمّا الحرمة التکلیفیة والوضعیة فمبنیّة علی الاحتیاط اللزومی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بمعنی وضع إحدی الیدین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الاُخری علی</w:t>
      </w:r>
    </w:p>
    <w:p>
      <w:pPr>
        <w:pStyle w:val="BookText"/>
        <w:rPr/>
      </w:pPr>
      <w:r>
        <w:rPr>
          <w:rFonts w:ascii="IRNazanin" w:hAnsi="IRNazanin" w:eastAsia="IRNazanin"/>
          <w:color w:val="111111"/>
          <w:sz w:val="28"/>
          <w:sz w:val="28"/>
          <w:szCs w:val="28"/>
          <w:rtl w:val="true"/>
          <w:lang w:bidi="fa-IR"/>
        </w:rPr>
        <w:t>النحو الذی یصنعه غیرنا</w:t>
      </w:r>
      <w:r>
        <w:rPr>
          <w:rStyle w:val="FootnoteAnchor"/>
          <w:rtl w:val="true"/>
        </w:rPr>
        <w:footnoteReference w:id="1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اختصاص للحکم بالنحو الذی یصنعه غیرنا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الجزئیة مُبطل للصلاة، ولو لم یقصد به الجزئیة بل أتی به بقصد الخضوع والتَّأدُّب ففی بطلانهِ تأمّل، فالأحوط الإتمام والإعادة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إن کان عمداً لغیر ضرورة فلا بأس به سهواً،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الإعادة معه أیضاً، وکذا 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لو ترکه حالها أشکلت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الصحّة وإن کانت 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وقد تقدّم منه الإشکال فی نظیر المقام فی أفعال الوضوء المسألة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إشکال إن لم یکن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وضع إحدی الیدین علی الاُخری بأیّ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فی أیّ حالةٍ من</w:t>
      </w:r>
      <w:bookmarkStart w:id="1138" w:name="pg13278_326734"/>
    </w:p>
    <w:p>
      <w:pPr>
        <w:pStyle w:val="BookText"/>
        <w:rPr/>
      </w:pPr>
      <w:bookmarkEnd w:id="1138"/>
      <w:r>
        <w:rPr>
          <w:rFonts w:ascii="IRNazanin" w:hAnsi="IRNazanin" w:eastAsia="IRNazanin"/>
          <w:color w:val="111111"/>
          <w:sz w:val="28"/>
          <w:sz w:val="28"/>
          <w:szCs w:val="28"/>
          <w:rtl w:val="true"/>
          <w:lang w:bidi="fa-IR"/>
        </w:rPr>
        <w:t>حالات</w:t>
      </w:r>
      <w:r>
        <w:rPr>
          <w:rStyle w:val="FootnoteAnchor"/>
          <w:rtl w:val="true"/>
        </w:rPr>
        <w:footnoteReference w:id="1236"/>
      </w:r>
      <w:r>
        <w:rPr>
          <w:rFonts w:ascii="IRNazanin" w:hAnsi="IRNazanin" w:eastAsia="IRNazanin"/>
          <w:color w:val="111111"/>
          <w:sz w:val="28"/>
          <w:sz w:val="28"/>
          <w:szCs w:val="28"/>
          <w:rtl w:val="true"/>
          <w:lang w:bidi="fa-IR"/>
        </w:rPr>
        <w:t>الصلاة وإن لم یکن متعارفاً بینهم، لکن بشرط أن یکون بعنوان الخضوع</w:t>
      </w:r>
      <w:r>
        <w:rPr>
          <w:rStyle w:val="FootnoteAnchor"/>
          <w:rtl w:val="true"/>
        </w:rPr>
        <w:footnoteReference w:id="1237"/>
      </w:r>
      <w:r>
        <w:rPr>
          <w:rFonts w:ascii="IRNazanin" w:hAnsi="IRNazanin" w:eastAsia="IRNazanin"/>
          <w:color w:val="111111"/>
          <w:sz w:val="28"/>
          <w:sz w:val="28"/>
          <w:szCs w:val="28"/>
          <w:rtl w:val="true"/>
          <w:lang w:bidi="fa-IR"/>
        </w:rPr>
        <w:t>والتأدّب، وأمّا إذا کان لغرض آخر کالحکّ ونحوه فلا بأس به مطلقاً</w:t>
      </w:r>
      <w:r>
        <w:rPr>
          <w:rStyle w:val="FootnoteAnchor"/>
          <w:rtl w:val="true"/>
        </w:rPr>
        <w:footnoteReference w:id="1238"/>
      </w:r>
      <w:r>
        <w:rPr>
          <w:rFonts w:ascii="IRNazanin" w:hAnsi="IRNazanin" w:eastAsia="IRNazanin"/>
          <w:color w:val="111111"/>
          <w:sz w:val="28"/>
          <w:sz w:val="28"/>
          <w:szCs w:val="28"/>
          <w:rtl w:val="true"/>
          <w:lang w:bidi="fa-IR"/>
        </w:rPr>
        <w:t>، حتّی علی الوضع</w:t>
      </w:r>
      <w:r>
        <w:rPr>
          <w:rStyle w:val="FootnoteAnchor"/>
          <w:rtl w:val="true"/>
        </w:rPr>
        <w:footnoteReference w:id="1239"/>
      </w:r>
      <w:r>
        <w:rPr>
          <w:rFonts w:ascii="IRNazanin" w:hAnsi="IRNazanin" w:eastAsia="IRNazanin"/>
          <w:color w:val="111111"/>
          <w:sz w:val="28"/>
          <w:sz w:val="28"/>
          <w:szCs w:val="28"/>
          <w:rtl w:val="true"/>
          <w:lang w:bidi="fa-IR"/>
        </w:rPr>
        <w:t>المتعارف</w:t>
      </w:r>
      <w:r>
        <w:rPr>
          <w:rStyle w:val="FootnoteAnchor"/>
          <w:rtl w:val="true"/>
        </w:rPr>
        <w:footnoteReference w:id="1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Heading3"/>
        <w:numPr>
          <w:ilvl w:val="2"/>
          <w:numId w:val="1"/>
        </w:numPr>
        <w:rPr/>
      </w:pPr>
      <w:bookmarkStart w:id="1139" w:name="__RefHeading___Toc1841449_2322387425"/>
      <w:bookmarkStart w:id="1140" w:name="_Toc442"/>
      <w:bookmarkEnd w:id="1139"/>
      <w:r>
        <w:rPr>
          <w:rtl w:val="true"/>
        </w:rPr>
        <w:t>الرابع</w:t>
      </w:r>
      <w:r>
        <w:rPr>
          <w:rtl w:val="true"/>
        </w:rPr>
        <w:t xml:space="preserve">: </w:t>
      </w:r>
      <w:r>
        <w:rPr>
          <w:rtl w:val="true"/>
        </w:rPr>
        <w:t>تعمد الالتفات بتمام البدن دون الرأس</w:t>
      </w:r>
      <w:bookmarkEnd w:id="114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الالتفات بتمام البدن إلی الخلف</w:t>
      </w:r>
      <w:r>
        <w:rPr>
          <w:rStyle w:val="FootnoteAnchor"/>
          <w:rtl w:val="true"/>
        </w:rPr>
        <w:footnoteReference w:id="1241"/>
      </w:r>
      <w:r>
        <w:rPr>
          <w:rFonts w:ascii="IRNazanin" w:hAnsi="IRNazanin" w:eastAsia="IRNazanin"/>
          <w:color w:val="111111"/>
          <w:sz w:val="28"/>
          <w:sz w:val="28"/>
          <w:szCs w:val="28"/>
          <w:rtl w:val="true"/>
          <w:lang w:bidi="fa-IR"/>
        </w:rPr>
        <w:t>أو إلی الیمین أو الیسار، بل وإلی ما بینهما علی وجه یخرج عن الاستقبال</w:t>
      </w:r>
      <w:r>
        <w:rPr>
          <w:rStyle w:val="FootnoteAnchor"/>
          <w:rtl w:val="true"/>
        </w:rPr>
        <w:footnoteReference w:id="12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مسألة الخروج عن الاستقبال التی مرجعها إلی الإخلال بشرطیّة القبلة غیر مسألة الالتفات التی هی من المبطلات والقواطع، والمفروض فی هذه المسألة الالتفات بالوجه فقط مع کون المقادیم إلی القبلة، وحینئذٍ فالالتفات المبطل هو الالتفات بالوجه إلی الخلف، لا بمعنی جعل الوجه بحذاء الخلف حتّی یستشکل فی إمکانه، بل المراد الالتفات به بحیث یری خلفه، ولازمه توجیه الوجه نحو الیمین أو الیسار، وأمّا التفات الوجه بحیث یری ما فیهما من دون توجیه فالظاهر کراهته، والمراد من الفاحش فی النصوص 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یصل</w:t>
      </w:r>
    </w:p>
    <w:p>
      <w:pPr>
        <w:pStyle w:val="BookText"/>
        <w:rPr/>
      </w:pPr>
      <w:r>
        <w:rPr>
          <w:rFonts w:ascii="IRNazanin" w:hAnsi="IRNazanin" w:eastAsia="IRNazanin"/>
          <w:color w:val="111111"/>
          <w:sz w:val="28"/>
          <w:sz w:val="28"/>
          <w:szCs w:val="28"/>
          <w:rtl w:val="true"/>
          <w:lang w:bidi="fa-IR"/>
        </w:rPr>
        <w:t>إلی حدّهما، وإن لم یکن الالتفات حال القراءة أو الذکر، بل الأقوی</w:t>
      </w:r>
      <w:r>
        <w:rPr>
          <w:rStyle w:val="FootnoteAnchor"/>
          <w:rtl w:val="true"/>
        </w:rPr>
        <w:footnoteReference w:id="1243"/>
      </w:r>
      <w:r>
        <w:rPr>
          <w:rFonts w:ascii="IRNazanin" w:hAnsi="IRNazanin" w:eastAsia="IRNazanin"/>
          <w:color w:val="111111"/>
          <w:sz w:val="28"/>
          <w:sz w:val="28"/>
          <w:szCs w:val="28"/>
          <w:rtl w:val="true"/>
          <w:lang w:bidi="fa-IR"/>
        </w:rPr>
        <w:t>ذلک</w:t>
      </w:r>
      <w:r>
        <w:rPr>
          <w:rStyle w:val="FootnoteAnchor"/>
          <w:rtl w:val="true"/>
        </w:rPr>
        <w:footnoteReference w:id="1244"/>
      </w:r>
      <w:r>
        <w:rPr>
          <w:rFonts w:ascii="IRNazanin" w:hAnsi="IRNazanin" w:eastAsia="IRNazanin"/>
          <w:color w:val="111111"/>
          <w:sz w:val="28"/>
          <w:sz w:val="28"/>
          <w:szCs w:val="28"/>
          <w:rtl w:val="true"/>
          <w:lang w:bidi="fa-IR"/>
        </w:rPr>
        <w:t>فی الالتفات بالوجه</w:t>
      </w:r>
      <w:r>
        <w:rPr>
          <w:rStyle w:val="FootnoteAnchor"/>
          <w:rtl w:val="true"/>
        </w:rPr>
        <w:footnoteReference w:id="1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مبطلیة الالتفات بالوجه مطلقاً إذا لم یکن مستلزماً للالتفات بمقادیم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الإبطال الالتفات بالوجه التفاتاً فاحشاً بحیث یوجب لَیَّ العُنُق ورؤیة الخلف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الیسار، وأمّا کراهة الالتفات إلیهما فهو ما کان بطرف الوجه، لا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أنّ ما ذکر من البطلان یختص بالفریضة دون النافلة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إمکانه</w:t>
      </w:r>
      <w:r>
        <w:rPr>
          <w:rStyle w:val="FootnoteAnchor"/>
          <w:rtl w:val="true"/>
        </w:rPr>
        <w:footnoteReference w:id="1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إمکانه؛ إذ الظاهر أنّ مرادهم بالالتفات إلی ما ورائه أنّه یتعمّد الالتفات بالوجه إلی حیث یری ما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بحیث یشاهد ما خلفه، والمدار فی الجمیع عدم الاستقبال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المراد به جعل الوجه مواجهاً إلی الخلف فإمکانه مشکل، وأمّا لو کان المقصود الالتفات به علی نحوٍ یری الخلف فلا ارتیاب فی إمکانه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بمیل البدن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وجه لا یخرج عن الاستقبال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بالبدن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w:t>
      </w:r>
    </w:p>
    <w:p>
      <w:pPr>
        <w:pStyle w:val="BookText"/>
        <w:rPr/>
      </w:pPr>
      <w:r>
        <w:rPr>
          <w:rFonts w:ascii="IRNazanin" w:hAnsi="IRNazanin" w:eastAsia="IRNazanin"/>
          <w:color w:val="111111"/>
          <w:sz w:val="28"/>
          <w:sz w:val="28"/>
          <w:szCs w:val="28"/>
          <w:rtl w:val="true"/>
          <w:lang w:bidi="fa-IR"/>
        </w:rPr>
        <w:t>الالتفات</w:t>
      </w:r>
      <w:r>
        <w:rPr>
          <w:rStyle w:val="FootnoteAnchor"/>
          <w:rtl w:val="true"/>
        </w:rPr>
        <w:footnoteReference w:id="1247"/>
      </w:r>
      <w:r>
        <w:rPr>
          <w:rFonts w:ascii="IRNazanin" w:hAnsi="IRNazanin" w:eastAsia="IRNazanin"/>
          <w:color w:val="111111"/>
          <w:sz w:val="28"/>
          <w:sz w:val="28"/>
          <w:szCs w:val="28"/>
          <w:rtl w:val="true"/>
          <w:lang w:bidi="fa-IR"/>
        </w:rPr>
        <w:t>بالوجه یمیناً</w:t>
      </w:r>
      <w:r>
        <w:rPr>
          <w:rStyle w:val="FootnoteAnchor"/>
          <w:rtl w:val="true"/>
        </w:rPr>
        <w:footnoteReference w:id="1248"/>
      </w:r>
      <w:r>
        <w:rPr>
          <w:rFonts w:ascii="Amiri" w:hAnsi="Amiri" w:eastAsia="Amiri" w:cs="Amiri"/>
          <w:color w:val="111111"/>
          <w:sz w:val="28"/>
          <w:sz w:val="28"/>
          <w:szCs w:val="28"/>
          <w:rtl w:val="true"/>
          <w:lang w:bidi="ar-SA"/>
        </w:rPr>
        <w:t>ویساراً</w:t>
      </w:r>
      <w:r>
        <w:rPr>
          <w:rStyle w:val="FootnoteAnchor"/>
          <w:rtl w:val="true"/>
        </w:rPr>
        <w:footnoteReference w:id="1249"/>
      </w:r>
      <w:r>
        <w:rPr>
          <w:rFonts w:ascii="IRNazanin" w:hAnsi="IRNazanin" w:eastAsia="IRNazanin"/>
          <w:color w:val="111111"/>
          <w:sz w:val="28"/>
          <w:sz w:val="28"/>
          <w:szCs w:val="28"/>
          <w:rtl w:val="true"/>
          <w:lang w:bidi="fa-IR"/>
        </w:rPr>
        <w:t>مع بقاء البدن مستقبلاً</w:t>
      </w:r>
      <w:r>
        <w:rPr>
          <w:rStyle w:val="FootnoteAnchor"/>
          <w:rtl w:val="true"/>
        </w:rPr>
        <w:footnoteReference w:id="1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کراهته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الإبطال بالالتفات بوجهه عمداً؛ إذ أوقع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أفعال الصلاة حال التفاته وکان التفاته بنحو یخرجه عن الاستقبال بوجهه، ویکره فی ما سوی ذلک إذا لم یکن إلی الخلف،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خرج عن‌الاستقبال‌بالوجه‌فالأحوط بطلان‌الصلاة،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کونه فاحشاً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بحیث لا یکون الوجه بحذاءِ الیمین أو الیسار، وأمّا توجیهه إلیهما فلا ریب فی إبطاله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إبطاله الصلاة إذا خرج عن الاستقبال بوجهه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ترک الالتفات الفاحش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الالتفات بالرأس خاصّةً مع بقاء البدن علی استقبالهِ مبطل للصلاة إن کان عمدا، ولا یبطل إن کان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الالتفات بالرأس یسیرا بحیث یصدق معه الاستقبال فلا بطلان، بل یُکره، فالمدار فی جمیع حالات البطلان هو عدم الاستقبال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251"/>
      </w:r>
      <w:r>
        <w:rPr>
          <w:rFonts w:ascii="IRNazanin" w:hAnsi="IRNazanin" w:eastAsia="IRNazanin"/>
          <w:color w:val="111111"/>
          <w:sz w:val="28"/>
          <w:sz w:val="28"/>
          <w:szCs w:val="28"/>
          <w:rtl w:val="true"/>
          <w:lang w:bidi="fa-IR"/>
        </w:rPr>
        <w:t>اجتنابه</w:t>
      </w:r>
      <w:r>
        <w:rPr>
          <w:rStyle w:val="FootnoteAnchor"/>
          <w:rtl w:val="true"/>
        </w:rPr>
        <w:footnoteReference w:id="1252"/>
      </w:r>
      <w:r>
        <w:rPr>
          <w:rFonts w:ascii="Amiri" w:hAnsi="Amiri" w:eastAsia="Amiri" w:cs="Amiri"/>
          <w:color w:val="111111"/>
          <w:sz w:val="28"/>
          <w:sz w:val="28"/>
          <w:szCs w:val="28"/>
          <w:rtl w:val="true"/>
          <w:lang w:bidi="ar-SA"/>
        </w:rPr>
        <w:t>أیضاً، خصوصاً إذا کان طویلاً</w:t>
      </w:r>
      <w:r>
        <w:rPr>
          <w:rStyle w:val="FootnoteAnchor"/>
          <w:rtl w:val="true"/>
        </w:rPr>
        <w:footnoteReference w:id="1253"/>
      </w:r>
      <w:r>
        <w:rPr>
          <w:rFonts w:ascii="IRNazanin" w:hAnsi="IRNazanin" w:eastAsia="IRNazanin"/>
          <w:color w:val="111111"/>
          <w:sz w:val="28"/>
          <w:sz w:val="28"/>
          <w:szCs w:val="28"/>
          <w:rtl w:val="true"/>
          <w:lang w:bidi="fa-IR"/>
        </w:rPr>
        <w:t>، وسیّما إذا کان مقارناً لبعض أفعال الصلاة</w:t>
      </w:r>
      <w:r>
        <w:rPr>
          <w:rStyle w:val="FootnoteAnchor"/>
          <w:rtl w:val="true"/>
        </w:rPr>
        <w:footnoteReference w:id="1254"/>
      </w:r>
      <w:r>
        <w:rPr>
          <w:rFonts w:ascii="IRNazanin" w:hAnsi="IRNazanin" w:eastAsia="IRNazanin"/>
          <w:color w:val="111111"/>
          <w:sz w:val="28"/>
          <w:sz w:val="28"/>
          <w:szCs w:val="28"/>
          <w:rtl w:val="true"/>
          <w:lang w:bidi="fa-IR"/>
        </w:rPr>
        <w:t>خصوصاً الأرکان، سیّما تکبیرة الإحرام، وأمّا إذا کان فاحشاً ففیه إشکال</w:t>
      </w:r>
      <w:r>
        <w:rPr>
          <w:rStyle w:val="FootnoteAnchor"/>
          <w:rtl w:val="true"/>
        </w:rPr>
        <w:footnoteReference w:id="1255"/>
      </w:r>
      <w:r>
        <w:rPr>
          <w:rFonts w:ascii="IRNazanin" w:hAnsi="IRNazanin" w:eastAsia="IRNazanin"/>
          <w:color w:val="111111"/>
          <w:sz w:val="28"/>
          <w:sz w:val="28"/>
          <w:szCs w:val="28"/>
          <w:rtl w:val="true"/>
          <w:lang w:bidi="fa-IR"/>
        </w:rPr>
        <w:t>، فلا یُترک الاحتیاط</w:t>
      </w:r>
      <w:r>
        <w:rPr>
          <w:rStyle w:val="FootnoteAnchor"/>
          <w:rtl w:val="true"/>
        </w:rPr>
        <w:footnoteReference w:id="1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مبطلیته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ما ذکرناه فالمشهور علی عدم البطلان إذا صدر سهواً، لکنّه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فی صورة الوصول إلی حدّهما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تبطل مع الالتفات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الالتفات بکلّ البدن بما یخرج به عمّا بین المشرق والمغرب، وإذا کان الالتفات فاحشاً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تفصیل تقدّم فی أحکام الخلل فی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141" w:name="pg13278_326739"/>
    </w:p>
    <w:p>
      <w:pPr>
        <w:pStyle w:val="BookText"/>
        <w:rPr/>
      </w:pPr>
      <w:bookmarkEnd w:id="1141"/>
      <w:r>
        <w:rPr>
          <w:rFonts w:ascii="IRNazanin" w:hAnsi="IRNazanin" w:eastAsia="IRNazanin"/>
          <w:color w:val="111111"/>
          <w:sz w:val="28"/>
          <w:sz w:val="28"/>
          <w:szCs w:val="28"/>
          <w:rtl w:val="true"/>
          <w:lang w:bidi="fa-IR"/>
        </w:rPr>
        <w:t>فی ما کان عمده مبطلاً</w:t>
      </w:r>
      <w:r>
        <w:rPr>
          <w:rStyle w:val="FootnoteAnchor"/>
          <w:rtl w:val="true"/>
        </w:rPr>
        <w:footnoteReference w:id="1257"/>
      </w:r>
      <w:r>
        <w:rPr>
          <w:rFonts w:ascii="Amiri" w:hAnsi="Amiri" w:eastAsia="Amiri" w:cs="Amiri"/>
          <w:color w:val="111111"/>
          <w:sz w:val="28"/>
          <w:sz w:val="28"/>
          <w:szCs w:val="28"/>
          <w:rtl w:val="true"/>
          <w:lang w:bidi="ar-SA"/>
        </w:rPr>
        <w:t>، إلاّ</w:t>
      </w:r>
      <w:r>
        <w:rPr>
          <w:rStyle w:val="FootnoteAnchor"/>
          <w:rtl w:val="true"/>
        </w:rPr>
        <w:footnoteReference w:id="1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فی صورة الوصول إلی حدّهما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یصل إلی حدّ الیمین والیسار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کان فی ما بینهما فإنّه غیر مبطلٍ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سهواً، وإن کان بکلّ البدن</w:t>
      </w:r>
      <w:r>
        <w:rPr>
          <w:rFonts w:eastAsia="IRNazanin" w:cs="IRNazanin"/>
          <w:color w:val="111111"/>
          <w:sz w:val="28"/>
          <w:szCs w:val="28"/>
          <w:rtl w:val="true"/>
          <w:lang w:bidi="fa-IR"/>
        </w:rPr>
        <w:t>.</w:t>
      </w:r>
    </w:p>
    <w:p>
      <w:pPr>
        <w:pStyle w:val="Heading3"/>
        <w:numPr>
          <w:ilvl w:val="2"/>
          <w:numId w:val="1"/>
        </w:numPr>
        <w:rPr/>
      </w:pPr>
      <w:bookmarkStart w:id="1142" w:name="__RefHeading___Toc1841451_2322387425"/>
      <w:bookmarkStart w:id="1143" w:name="_Toc443"/>
      <w:bookmarkEnd w:id="1142"/>
      <w:r>
        <w:rPr>
          <w:rtl w:val="true"/>
        </w:rPr>
        <w:t>الخامس</w:t>
      </w:r>
      <w:r>
        <w:rPr>
          <w:rtl w:val="true"/>
        </w:rPr>
        <w:t xml:space="preserve">: </w:t>
      </w:r>
      <w:r>
        <w:rPr>
          <w:rtl w:val="true"/>
        </w:rPr>
        <w:t>تعمد الکلام بحرفین ولو مهملین، أو بحرف واحد مفهم للمعنی</w:t>
      </w:r>
      <w:bookmarkEnd w:id="114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الکلام بحرفَین</w:t>
      </w:r>
      <w:r>
        <w:rPr>
          <w:rStyle w:val="FootnoteAnchor"/>
          <w:rtl w:val="true"/>
        </w:rPr>
        <w:footnoteReference w:id="1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بحرف واحد علی الأحوط، ومنه یظهر الحکم فی ما یتفرّع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الحرف مستعملاً ولو لم یکن موضوعاً فالظاهر إبطاله للصلاة، سواء کان واحداً أو أزید، کاستعماله فی نوعه أو صنفه أو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به الحکایة عن معناه فالظاهر أنّه کذلک مطلقاً، أی ولو کان واحداً، وإلاّ فإن کان واحداً فغیر مبطل، وإلاّ فالأحوط کونه کذلک، إلاّ إذا بلغ إلی محو اسم الصلاة فالأقوی حینئذٍ الإبطال، وکذلک إذا لم یکن مستعملاً ولا موضوعاً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مهمَلَین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استعمل اللفظ المهمل المرکّب من حَرفَین فی معنیً کنوعه وصنفه یکون مبطلاً علی الأقوی، وإلاّ فکذلک علی الأحوط، وکذا الحرف الواحد المستعمل کذلک،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رمزاً إلی أوّل بعض الأسماء بقصد إفهامه کما هوالمتعارف علی الأحوط، بل لا یخلو إبطاله من قوّة، فالحرف المفهم مطلقاً وإن لم یکن موضوعاً إذا تلفّظ به بقصد الحکایة لا تخلو مبطلیته من قوّة، کما أنّ اللفظ الموضوع إذا تلفّظ به لا بقصد الحکایة وکان حرفاً واحداً فالأقوی عدم مبطلیته، وإن کان حَرفَین فصاعداً فالأحوط مبطلیته‌مالم‌یصل‌إلی حدّ محواسم الصلاة، وإلاّ فالأقوی مبطلیته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بحرف واحد أیضاً علی الأظهر، ومنه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الحکم لغیر الکلام المفهم المؤلّف من المسند والمسند إلیه مبنیّ علی الاحتیاط أنّه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صدق التکلّم، وهو یصدق بالتلفّظ ولو بالحرف الواحد إذا کان مفهماً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لمعناه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من الوقایة، أو لغیره کما لو تلفّظ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للتلقین أو جواباً عمّن سأله عن ثانی حروف المعجم، وأمّا التلفّظ بغیر المفهِم مطلقاً فلا یُترک الاحتیاط بالاجتناب عنه إذا کان مرکّباً من حرفَین فما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مُفهِمَین للمعنی،</w:t>
      </w:r>
    </w:p>
    <w:p>
      <w:pPr>
        <w:pStyle w:val="BookText"/>
        <w:rPr/>
      </w:pPr>
      <w:r>
        <w:rPr>
          <w:rFonts w:ascii="Amiri" w:hAnsi="Amiri" w:eastAsia="Amiri" w:cs="Amiri"/>
          <w:color w:val="111111"/>
          <w:sz w:val="28"/>
          <w:sz w:val="28"/>
          <w:szCs w:val="28"/>
          <w:rtl w:val="true"/>
          <w:lang w:bidi="ar-SA"/>
        </w:rPr>
        <w:t>أو بحرفٍ واحدٍ</w:t>
      </w:r>
      <w:r>
        <w:rPr>
          <w:rStyle w:val="FootnoteAnchor"/>
          <w:rtl w:val="true"/>
        </w:rPr>
        <w:footnoteReference w:id="1260"/>
      </w:r>
      <w:r>
        <w:rPr>
          <w:rFonts w:ascii="Amiri" w:hAnsi="Amiri" w:eastAsia="Amiri" w:cs="Amiri"/>
          <w:color w:val="111111"/>
          <w:sz w:val="28"/>
          <w:sz w:val="28"/>
          <w:szCs w:val="28"/>
          <w:rtl w:val="true"/>
          <w:lang w:bidi="ar-SA"/>
        </w:rPr>
        <w:t>بشرط کونه مفهِماً</w:t>
      </w:r>
      <w:r>
        <w:rPr>
          <w:rStyle w:val="FootnoteAnchor"/>
          <w:rtl w:val="true"/>
        </w:rPr>
        <w:footnoteReference w:id="1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مطلقاً علی الأحوط؛ لقوّة منع دَخَل المُفهِمِیّة لصدق التکلّم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آقاضیاء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 وإن کان من حروف المبانی فضلاً عن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النُّطقَ بحرفٍ واحدٍ مُفْهِم عمدا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وهی فعل أمرٍ للوقایة ـ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النطق بحرفٍ واحدٍ مُبهَمٍ غیر مُفهِمٍ غیر قادح، ومنه یظهر الحال فی جملةٍ من الفروع الآتیة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حاکیاً ومشیراً إلی شیءٍ لم یوضع هو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من</w:t>
      </w:r>
      <w:bookmarkStart w:id="1144" w:name="pg13278_326741"/>
    </w:p>
    <w:p>
      <w:pPr>
        <w:pStyle w:val="BookText"/>
        <w:rPr/>
      </w:pPr>
      <w:bookmarkEnd w:id="1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یکون عالماً بمعناه وقاصداً له ، بل أو غیر قاصد</w:t>
      </w:r>
      <w:r>
        <w:rPr>
          <w:rStyle w:val="FootnoteAnchor"/>
          <w:rtl w:val="true"/>
        </w:rPr>
        <w:footnoteReference w:id="1262"/>
      </w:r>
      <w:r>
        <w:rPr>
          <w:rFonts w:ascii="IRNazanin" w:hAnsi="IRNazanin" w:eastAsia="IRNazanin"/>
          <w:color w:val="111111"/>
          <w:sz w:val="28"/>
          <w:sz w:val="28"/>
          <w:szCs w:val="28"/>
          <w:rtl w:val="true"/>
          <w:lang w:bidi="fa-IR"/>
        </w:rPr>
        <w:t>أیضاً مع التفاته إلی معناه</w:t>
      </w:r>
      <w:r>
        <w:rPr>
          <w:rStyle w:val="FootnoteAnchor"/>
          <w:rtl w:val="true"/>
        </w:rPr>
        <w:footnoteReference w:id="1263"/>
      </w:r>
      <w:r>
        <w:rPr>
          <w:rFonts w:ascii="IRNazanin" w:hAnsi="IRNazanin" w:eastAsia="IRNazanin"/>
          <w:color w:val="111111"/>
          <w:sz w:val="28"/>
          <w:sz w:val="28"/>
          <w:szCs w:val="28"/>
          <w:rtl w:val="true"/>
          <w:lang w:bidi="fa-IR"/>
        </w:rPr>
        <w:t>علی الأحوط</w:t>
      </w:r>
      <w:r>
        <w:rPr>
          <w:rStyle w:val="FootnoteAnchor"/>
          <w:rtl w:val="true"/>
        </w:rPr>
        <w:footnoteReference w:id="1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Heading3"/>
        <w:numPr>
          <w:ilvl w:val="2"/>
          <w:numId w:val="1"/>
        </w:numPr>
        <w:rPr/>
      </w:pPr>
      <w:bookmarkStart w:id="1145" w:name="__RefHeading___Toc1841453_2322387425"/>
      <w:bookmarkStart w:id="1146" w:name="_Toc444"/>
      <w:bookmarkEnd w:id="1145"/>
      <w:r>
        <w:rPr>
          <w:rtl w:val="true"/>
        </w:rPr>
        <w:t>حکم تکلم بحرفین فحصل ثانیهما من إشباع حرکة الأول</w:t>
      </w:r>
      <w:bookmarkEnd w:id="1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تکلّم بحرفَین</w:t>
      </w:r>
      <w:r>
        <w:rPr>
          <w:rStyle w:val="FootnoteAnchor"/>
          <w:rtl w:val="true"/>
        </w:rPr>
        <w:footnoteReference w:id="1265"/>
      </w:r>
      <w:r>
        <w:rPr>
          <w:rFonts w:ascii="IRNazanin" w:hAnsi="IRNazanin" w:eastAsia="IRNazanin"/>
          <w:color w:val="111111"/>
          <w:sz w:val="28"/>
          <w:sz w:val="28"/>
          <w:szCs w:val="28"/>
          <w:rtl w:val="true"/>
          <w:lang w:bidi="fa-IR"/>
        </w:rPr>
        <w:t>حصل ثانیهما من إشباع حرکة الأوّل بطلت</w:t>
      </w:r>
      <w:r>
        <w:rPr>
          <w:rStyle w:val="FootnoteAnchor"/>
          <w:rtl w:val="true"/>
        </w:rPr>
        <w:footnoteReference w:id="1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بتفصیل تقدّم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ما لو لم یصل الإشباع إلی حدّ حصول حرفٍ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1841455_2322387425"/>
      <w:bookmarkStart w:id="1148" w:name="_Toc445"/>
      <w:bookmarkEnd w:id="1147"/>
      <w:r>
        <w:rPr>
          <w:rtl w:val="true"/>
        </w:rPr>
        <w:t>حکم التکلم بحرفین من غیر ترکیب</w:t>
      </w:r>
      <w:bookmarkEnd w:id="1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بحرفین من غیر ترکیب،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ففی کونه مبطلاً أو لا وجهان، والأحوط</w:t>
      </w:r>
      <w:r>
        <w:rPr>
          <w:rStyle w:val="FootnoteAnchor"/>
          <w:rtl w:val="true"/>
        </w:rPr>
        <w:footnoteReference w:id="1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لومرّصوت‌واحدبمخرج‌الحرفَین‌کان‌مبطلاً،وإلاّفلا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النائینی،جمال‌الدین‌الگلپایگانی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یستعمل واحد منهما فی معنی، وإلاّ فلا یخلو الإبطال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الأقوی الإبطال فی ما لو قصد بهما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وإلاّ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کان الأقوی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بصورة الانفصال، وأمّا بصورة الاتّصال فالأقوی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الحرف الواحد إن کان مشیراً إلی مستعملٍ وحاکیاً عنه،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واُرید منه زید فی الدار، وکان مُفهِماً لهذا المعنی لدی المخاطب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ذلک إذا تحقّق الترکیب وإن لم یقصده المتکلّم، وإن لم یتحقّق الترکیب فالأظهر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فیه التفصیل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واحد منهما مستعملاً فی شیءٍ فالأقوی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9" w:name="pg13278_326742"/>
    </w:p>
    <w:p>
      <w:pPr>
        <w:pStyle w:val="Heading3"/>
        <w:numPr>
          <w:ilvl w:val="2"/>
          <w:numId w:val="1"/>
        </w:numPr>
        <w:rPr/>
      </w:pPr>
      <w:bookmarkStart w:id="1150" w:name="__RefHeading___Toc1841457_2322387425"/>
      <w:bookmarkStart w:id="1151" w:name="_Toc446"/>
      <w:bookmarkEnd w:id="1149"/>
      <w:bookmarkEnd w:id="1150"/>
      <w:r>
        <w:rPr>
          <w:rtl w:val="true"/>
        </w:rPr>
        <w:t>فی ما لو تکلم بحرف واحد غیر مفهم للمعنی و وصله بإحدی کلمات الذکر أو القراءة</w:t>
      </w:r>
      <w:bookmarkEnd w:id="1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بحرف واحد غیر مُفهِمٍ للمعنی لکن وصله بإحدی کلمات القراءة أو الأذکار أبطل؛ من حیث إفساد</w:t>
      </w:r>
      <w:r>
        <w:rPr>
          <w:rStyle w:val="FootnoteAnchor"/>
          <w:rtl w:val="true"/>
        </w:rPr>
        <w:footnoteReference w:id="1268"/>
      </w:r>
      <w:r>
        <w:rPr>
          <w:rFonts w:ascii="IRNazanin" w:hAnsi="IRNazanin" w:eastAsia="IRNazanin"/>
          <w:color w:val="111111"/>
          <w:sz w:val="28"/>
          <w:sz w:val="28"/>
          <w:szCs w:val="28"/>
          <w:rtl w:val="true"/>
          <w:lang w:bidi="fa-IR"/>
        </w:rPr>
        <w:t>تلک الکلمة إذا خرجت</w:t>
      </w:r>
      <w:r>
        <w:rPr>
          <w:rStyle w:val="FootnoteAnchor"/>
          <w:rtl w:val="true"/>
        </w:rPr>
        <w:footnoteReference w:id="1269"/>
      </w:r>
      <w:r>
        <w:rPr>
          <w:rFonts w:ascii="IRNazanin" w:hAnsi="IRNazanin" w:eastAsia="IRNazanin"/>
          <w:color w:val="111111"/>
          <w:sz w:val="28"/>
          <w:sz w:val="28"/>
          <w:szCs w:val="28"/>
          <w:rtl w:val="true"/>
          <w:lang w:bidi="fa-IR"/>
        </w:rPr>
        <w:t>تلک الکلمة</w:t>
      </w:r>
      <w:r>
        <w:rPr>
          <w:rStyle w:val="FootnoteAnchor"/>
          <w:rtl w:val="true"/>
        </w:rPr>
        <w:footnoteReference w:id="1270"/>
      </w:r>
      <w:r>
        <w:rPr>
          <w:rFonts w:ascii="IRNazanin" w:hAnsi="IRNazanin" w:eastAsia="IRNazanin"/>
          <w:color w:val="111111"/>
          <w:sz w:val="28"/>
          <w:sz w:val="28"/>
          <w:szCs w:val="28"/>
          <w:rtl w:val="true"/>
          <w:lang w:bidi="fa-IR"/>
        </w:rPr>
        <w:t>عن حقیقتها</w:t>
      </w:r>
      <w:r>
        <w:rPr>
          <w:rStyle w:val="FootnoteAnchor"/>
          <w:rtl w:val="true"/>
        </w:rPr>
        <w:footnoteReference w:id="1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من الزیادة العمدیة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عامداً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خرجت الکلمة عن حقیقتها، وکانت من الزیادة العمدیة فصار الحرف المبُهمَ مُفهما کان فسادها موجبا لبطلان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خروجاً مبطلاً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2" w:name="pg13278_326743"/>
    </w:p>
    <w:p>
      <w:pPr>
        <w:pStyle w:val="Heading3"/>
        <w:numPr>
          <w:ilvl w:val="2"/>
          <w:numId w:val="1"/>
        </w:numPr>
        <w:rPr/>
      </w:pPr>
      <w:bookmarkStart w:id="1153" w:name="__RefHeading___Toc1841459_2322387425"/>
      <w:bookmarkStart w:id="1154" w:name="_Toc447"/>
      <w:bookmarkEnd w:id="1152"/>
      <w:bookmarkEnd w:id="1153"/>
      <w:r>
        <w:rPr>
          <w:rtl w:val="true"/>
        </w:rPr>
        <w:t>عدم بطلان الصلاة بمد حرف المد و اللین و إن زاد حرف آخر</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w:t>
      </w:r>
      <w:r>
        <w:rPr>
          <w:rStyle w:val="FootnoteAnchor"/>
          <w:rtl w:val="true"/>
        </w:rPr>
        <w:footnoteReference w:id="1272"/>
      </w:r>
      <w:r>
        <w:rPr>
          <w:rFonts w:ascii="Amiri" w:hAnsi="Amiri" w:eastAsia="Amiri" w:cs="Amiri"/>
          <w:color w:val="111111"/>
          <w:sz w:val="28"/>
          <w:sz w:val="28"/>
          <w:szCs w:val="28"/>
          <w:rtl w:val="true"/>
          <w:lang w:bidi="ar-SA"/>
        </w:rPr>
        <w:t>بمدّ</w:t>
      </w:r>
      <w:r>
        <w:rPr>
          <w:rStyle w:val="FootnoteAnchor"/>
          <w:rtl w:val="true"/>
        </w:rPr>
        <w:footnoteReference w:id="1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وکذا فی حروف المعانی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المدّ واللینِ وإن زاد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تخرج الکلمة عن متعارفها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بمقدار حرف آخر؛ فإنّه محسوب حرفاً واحداً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1841461_2322387425"/>
      <w:bookmarkStart w:id="1156" w:name="_Toc448"/>
      <w:bookmarkEnd w:id="1155"/>
      <w:r>
        <w:rPr>
          <w:rtl w:val="true"/>
        </w:rPr>
        <w:t>حکم ما لو تکلم بأحد حروف المعانی، کحرف الجر و التعلیل والعطف مع عدم قصدها</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البطلان</w:t>
      </w:r>
      <w:r>
        <w:rPr>
          <w:rStyle w:val="FootnoteAnchor"/>
          <w:rtl w:val="true"/>
        </w:rPr>
        <w:footnoteReference w:id="1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الظاهر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اسُتعملت فی معانیها لا یخلو الإبطال من قوّة،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بحروف المعانی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إنّه لمعنی التعلیل أو التملیک أو نحوهما، وکذا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یفید معنی العطف أو القسم،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حرف الجرّ وله معانٍ،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مطلقاً، ولا یُترک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الشریعتمداری، السبزواری،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یلاحظ المعنی الاسمی الاستقلالی ولو مجازاً، أو معناه الربطی الکلّی الّذی هو الموضوع له علی قول، و إلاّ فالبطلان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والأحوط الإتمام صحیحاً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قصد هذه المعانی، وفرق واضح بینها وبین</w:t>
      </w:r>
      <w:bookmarkStart w:id="1157" w:name="pg13278_326744"/>
    </w:p>
    <w:p>
      <w:pPr>
        <w:pStyle w:val="BookText"/>
        <w:rPr/>
      </w:pPr>
      <w:bookmarkEnd w:id="1157"/>
      <w:r>
        <w:rPr>
          <w:rFonts w:ascii="IRNazanin" w:hAnsi="IRNazanin" w:eastAsia="IRNazanin"/>
          <w:color w:val="111111"/>
          <w:sz w:val="28"/>
          <w:sz w:val="28"/>
          <w:szCs w:val="28"/>
          <w:rtl w:val="true"/>
          <w:lang w:bidi="fa-IR"/>
        </w:rPr>
        <w:t>حروف المبانی</w:t>
      </w:r>
      <w:r>
        <w:rPr>
          <w:rStyle w:val="FootnoteAnchor"/>
          <w:rtl w:val="true"/>
        </w:rPr>
        <w:footnoteReference w:id="1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الحروف التی تترکّب منها الکلمات الموضوعة المقابلة للأسماء والأفعال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التلفّظ بنفس تلک الحروف بدون إلحاق هاء السَکت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یقدح بصحّة الصلاة لو کان حرفا واحدا غیر مفهم مثل حروف المبانی أو المعانی، ولا فرق فی ذلک بین صورتَی الاختیار والاضطرار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1841463_2322387425"/>
      <w:bookmarkStart w:id="1159" w:name="_Toc449"/>
      <w:bookmarkEnd w:id="1158"/>
      <w:r>
        <w:rPr>
          <w:rtl w:val="true"/>
        </w:rPr>
        <w:t>عدم بطلان الصلاة بصوت التنحنح أو النفخ والأنین و التأوه من دون حکایتها</w:t>
      </w:r>
      <w:bookmarkEnd w:id="1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بصوت التَنَحْنُح</w:t>
      </w:r>
      <w:r>
        <w:rPr>
          <w:rStyle w:val="FootnoteAnchor"/>
          <w:rtl w:val="true"/>
        </w:rPr>
        <w:footnoteReference w:id="1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 نّها لیست من کلام الآدمیّین وإن حدث منها صوت یشبه الحروف، وأمّا التأوُّه والأنین فإن حدث منهما حرفان فهما من کلام الآدمیّین، فالأحوط الاجتناب، وإلاّ فلا، نعم، إذا کان من خشیة اللّه والآخرة فأنعِم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بصوت النفخ والأنین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یحدث منه حرفان، وإلاّ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bookmarkStart w:id="1160" w:name="pg13278_326745"/>
    </w:p>
    <w:p>
      <w:pPr>
        <w:pStyle w:val="BookText"/>
        <w:rPr/>
      </w:pPr>
      <w:bookmarkEnd w:id="1160"/>
      <w:r>
        <w:rPr>
          <w:rFonts w:ascii="Amiri" w:hAnsi="Amiri" w:eastAsia="Amiri" w:cs="Amiri"/>
          <w:color w:val="111111"/>
          <w:sz w:val="28"/>
          <w:sz w:val="28"/>
          <w:szCs w:val="28"/>
          <w:rtl w:val="true"/>
          <w:lang w:bidi="ar-SA"/>
        </w:rPr>
        <w:t>والتأوّه</w:t>
      </w:r>
      <w:r>
        <w:rPr>
          <w:rStyle w:val="FootnoteAnchor"/>
          <w:rtl w:val="true"/>
        </w:rPr>
        <w:footnoteReference w:id="1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بترکهما اختیاراً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تبطل بحکایة أسماء هذه الأصوات، مثل أحّ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أوهآ</w:t>
      </w:r>
      <w:r>
        <w:rPr>
          <w:rFonts w:eastAsia="IRNazanin" w:cs="IRNazanin"/>
          <w:color w:val="111111"/>
          <w:sz w:val="28"/>
          <w:szCs w:val="28"/>
          <w:rtl w:val="true"/>
          <w:lang w:bidi="fa-IR"/>
        </w:rPr>
        <w:t>».</w:t>
      </w:r>
    </w:p>
    <w:p>
      <w:pPr>
        <w:pStyle w:val="Heading3"/>
        <w:numPr>
          <w:ilvl w:val="2"/>
          <w:numId w:val="1"/>
        </w:numPr>
        <w:rPr/>
      </w:pPr>
      <w:bookmarkStart w:id="1161" w:name="__RefHeading___Toc1841465_2322387425"/>
      <w:bookmarkStart w:id="1162" w:name="_Toc450"/>
      <w:bookmarkEnd w:id="1161"/>
      <w:r>
        <w:rPr>
          <w:rtl w:val="true"/>
        </w:rPr>
        <w:t>ذکر التأوه من الذنب أو من نار جهنم ضمن الدعاء لا یبطل الصلاة بدون ذکر المتعلق</w:t>
      </w:r>
      <w:bookmarkEnd w:id="1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ذنوبی</w:t>
      </w:r>
      <w:r>
        <w:rPr>
          <w:rStyle w:val="FootnoteAnchor"/>
          <w:rtl w:val="true"/>
        </w:rPr>
        <w:footnoteReference w:id="127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جهنّم لا تبطل الصلاة قطعاً</w:t>
      </w:r>
      <w:r>
        <w:rPr>
          <w:rStyle w:val="FootnoteAnchor"/>
          <w:rtl w:val="true"/>
        </w:rPr>
        <w:footnoteReference w:id="1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بعنوان التشکّی إلی اللّه تعالی،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فی ضمن 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مناجاة، وأمّا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مانع من صدور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الشکوی إلی اللّه، سواء کانت فی ضمن دعاء أم فی غیره، وسواء ذکر المتعلّق أم لا، وسواء کان لسبب اُخروی أم دنیوی، وإن قالها لغیر ذلک أبطلت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ذکر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قدّره فکذلک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عبداللّه الشیرازی،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163" w:name="pg13278_326746"/>
    </w:p>
    <w:p>
      <w:pPr>
        <w:pStyle w:val="BookText"/>
        <w:rPr/>
      </w:pPr>
      <w:bookmarkEnd w:id="1163"/>
      <w:r>
        <w:rPr>
          <w:rFonts w:ascii="IRNazanin" w:hAnsi="IRNazanin" w:eastAsia="IRNazanin"/>
          <w:color w:val="111111"/>
          <w:sz w:val="28"/>
          <w:sz w:val="28"/>
          <w:szCs w:val="28"/>
          <w:rtl w:val="true"/>
          <w:lang w:bidi="fa-IR"/>
        </w:rPr>
        <w:t>وإن کان الأقوی</w:t>
      </w:r>
      <w:r>
        <w:rPr>
          <w:rStyle w:val="FootnoteAnchor"/>
          <w:rtl w:val="true"/>
        </w:rPr>
        <w:footnoteReference w:id="1280"/>
      </w:r>
      <w:r>
        <w:rPr>
          <w:rFonts w:ascii="IRNazanin" w:hAnsi="IRNazanin" w:eastAsia="IRNazanin"/>
          <w:color w:val="111111"/>
          <w:sz w:val="28"/>
          <w:sz w:val="28"/>
          <w:szCs w:val="28"/>
          <w:rtl w:val="true"/>
          <w:lang w:bidi="fa-IR"/>
        </w:rPr>
        <w:t>عدم البطلان</w:t>
      </w:r>
      <w:r>
        <w:rPr>
          <w:rStyle w:val="FootnoteAnchor"/>
          <w:rtl w:val="true"/>
        </w:rPr>
        <w:footnoteReference w:id="1281"/>
      </w:r>
      <w:r>
        <w:rPr>
          <w:rFonts w:ascii="IRNazanin" w:hAnsi="IRNazanin" w:eastAsia="IRNazanin"/>
          <w:color w:val="111111"/>
          <w:sz w:val="28"/>
          <w:sz w:val="28"/>
          <w:szCs w:val="28"/>
          <w:rtl w:val="true"/>
          <w:lang w:bidi="fa-IR"/>
        </w:rPr>
        <w:t>إذا کان فی مقام الخوف</w:t>
      </w:r>
      <w:r>
        <w:rPr>
          <w:rStyle w:val="FootnoteAnchor"/>
          <w:rtl w:val="true"/>
        </w:rPr>
        <w:footnoteReference w:id="1282"/>
      </w:r>
      <w:r>
        <w:rPr>
          <w:rFonts w:ascii="Amiri" w:hAnsi="Amiri" w:eastAsia="Amiri" w:cs="Amiri"/>
          <w:color w:val="111111"/>
          <w:sz w:val="28"/>
          <w:sz w:val="28"/>
          <w:szCs w:val="28"/>
          <w:rtl w:val="true"/>
          <w:lang w:bidi="ar-SA"/>
        </w:rPr>
        <w:t>من اللّه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1841467_2322387425"/>
      <w:bookmarkStart w:id="1165" w:name="_Toc451"/>
      <w:bookmarkEnd w:id="1164"/>
      <w:r>
        <w:rPr>
          <w:rtl w:val="true"/>
        </w:rPr>
        <w:t>عدم الفرق فی بطلان الصلاة بین وجود مخاطب أم لا، و کذا مع الاضطرار أو الاختیار</w:t>
      </w:r>
      <w:bookmarkEnd w:id="1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البطلان بالتکلّم بین أن یکون هناک مخاطب أم لا، وکذا لا فرق بین أن یکون مضطرّاً</w:t>
      </w:r>
      <w:r>
        <w:rPr>
          <w:rStyle w:val="FootnoteAnchor"/>
          <w:rtl w:val="true"/>
        </w:rPr>
        <w:footnoteReference w:id="1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الاضطرار مستوعباً للوقت فإنّه تصحّ الصلاة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فیه وفی المکره إذا لم یکن ماحیاً لصورة الصلاة، وإلاّ فلا إشکال فی مبطلیّته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التکلّم أو مختاراً، نعم، التکلّم سهواً لیس مبطلاً ولو کان بتخیّل الفراغ من الصلاة</w:t>
      </w:r>
      <w:r>
        <w:rPr>
          <w:rFonts w:eastAsia="IRNazanin" w:cs="IRNazanin"/>
          <w:color w:val="111111"/>
          <w:sz w:val="28"/>
          <w:szCs w:val="28"/>
          <w:rtl w:val="true"/>
          <w:lang w:bidi="fa-IR"/>
        </w:rPr>
        <w:t>.</w:t>
      </w:r>
    </w:p>
    <w:p>
      <w:pPr>
        <w:pStyle w:val="Heading3"/>
        <w:numPr>
          <w:ilvl w:val="2"/>
          <w:numId w:val="1"/>
        </w:numPr>
        <w:rPr/>
      </w:pPr>
      <w:bookmarkStart w:id="1166" w:name="__RefHeading___Toc1841469_2322387425"/>
      <w:bookmarkStart w:id="1167" w:name="_Toc452"/>
      <w:bookmarkEnd w:id="1166"/>
      <w:r>
        <w:rPr>
          <w:rtl w:val="true"/>
        </w:rPr>
        <w:t>لا بأس بالذکر والدعاء فی جمیع أحوال الصلاة بغیر المحرم، و معه لا یجوز و مبطل</w:t>
      </w:r>
      <w:bookmarkEnd w:id="1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بالذکر والدعاء فی جمیع أحوال الصلاة</w:t>
      </w:r>
      <w:r>
        <w:rPr>
          <w:rStyle w:val="FootnoteAnchor"/>
          <w:rtl w:val="true"/>
        </w:rPr>
        <w:footnoteReference w:id="1285"/>
      </w:r>
      <w:r>
        <w:rPr>
          <w:rFonts w:ascii="IRNazanin" w:hAnsi="IRNazanin" w:eastAsia="IRNazanin"/>
          <w:color w:val="111111"/>
          <w:sz w:val="28"/>
          <w:sz w:val="28"/>
          <w:szCs w:val="28"/>
          <w:rtl w:val="true"/>
          <w:lang w:bidi="fa-IR"/>
        </w:rPr>
        <w:t>بغیر المحرَّم، وکذا بقراءة القرآن</w:t>
      </w:r>
      <w:r>
        <w:rPr>
          <w:rStyle w:val="FootnoteAnchor"/>
          <w:rtl w:val="true"/>
        </w:rPr>
        <w:footnoteReference w:id="1286"/>
      </w:r>
      <w:r>
        <w:rPr>
          <w:rFonts w:ascii="IRNazanin" w:hAnsi="IRNazanin" w:eastAsia="IRNazanin"/>
          <w:color w:val="111111"/>
          <w:sz w:val="28"/>
          <w:sz w:val="28"/>
          <w:szCs w:val="28"/>
          <w:rtl w:val="true"/>
          <w:lang w:bidi="fa-IR"/>
        </w:rPr>
        <w:t>غیر ما یوجب السجود</w:t>
      </w:r>
      <w:r>
        <w:rPr>
          <w:rStyle w:val="FootnoteAnchor"/>
          <w:rtl w:val="true"/>
        </w:rPr>
        <w:footnoteReference w:id="1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الفریضة، لا فی النافلة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الدعاء</w:t>
      </w:r>
    </w:p>
    <w:p>
      <w:pPr>
        <w:pStyle w:val="BookText"/>
        <w:rPr/>
      </w:pPr>
      <w:r>
        <w:rPr>
          <w:rFonts w:ascii="IRNazanin" w:hAnsi="IRNazanin" w:eastAsia="IRNazanin"/>
          <w:color w:val="111111"/>
          <w:sz w:val="28"/>
          <w:sz w:val="28"/>
          <w:szCs w:val="28"/>
          <w:rtl w:val="true"/>
          <w:lang w:bidi="fa-IR"/>
        </w:rPr>
        <w:t>بالمحرّم کالدعاء علی موءمنٍ ظلماً فلا یجوز</w:t>
      </w:r>
      <w:r>
        <w:rPr>
          <w:rStyle w:val="FootnoteAnchor"/>
          <w:rtl w:val="true"/>
        </w:rPr>
        <w:footnoteReference w:id="1288"/>
      </w:r>
      <w:r>
        <w:rPr>
          <w:rFonts w:ascii="IRNazanin" w:hAnsi="IRNazanin" w:eastAsia="IRNazanin"/>
          <w:color w:val="111111"/>
          <w:sz w:val="28"/>
          <w:sz w:val="28"/>
          <w:szCs w:val="28"/>
          <w:rtl w:val="true"/>
          <w:lang w:bidi="fa-IR"/>
        </w:rPr>
        <w:t>، بل هو مبطل</w:t>
      </w:r>
      <w:r>
        <w:rPr>
          <w:rStyle w:val="FootnoteAnchor"/>
          <w:rtl w:val="true"/>
        </w:rPr>
        <w:footnoteReference w:id="1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عبداللّه الشیرازی،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الخونساری، 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جاء به بعنوان الصلاة، 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إبطاله للصلاة إشکال، والأحوط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إبطاله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کونه مبطلاً للصلاة محلّ تأمّل، والأحوط إتمام الصلاة ثمّ إعادتها ولو کان جاهلاً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جاهلاً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بحرمته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 و کان ذلک عن قصور لا تقصیر 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لا یبطل مع الجهل</w:t>
      </w:r>
      <w:bookmarkStart w:id="1168" w:name="pg13278_326748"/>
    </w:p>
    <w:p>
      <w:pPr>
        <w:pStyle w:val="BookText"/>
        <w:rPr/>
      </w:pPr>
      <w:bookmarkEnd w:id="1168"/>
      <w:r>
        <w:rPr>
          <w:rFonts w:ascii="IRNazanin" w:hAnsi="IRNazanin" w:eastAsia="IRNazanin"/>
          <w:color w:val="111111"/>
          <w:sz w:val="28"/>
          <w:sz w:val="28"/>
          <w:szCs w:val="28"/>
          <w:rtl w:val="true"/>
          <w:lang w:bidi="fa-IR"/>
        </w:rPr>
        <w:t>بالموضوع، کما إذا اعتقده کافراً فدعا علیه فبان أ نّه مسلم</w:t>
      </w:r>
      <w:r>
        <w:rPr>
          <w:rFonts w:eastAsia="IRNazanin" w:cs="IRNazanin"/>
          <w:color w:val="111111"/>
          <w:sz w:val="28"/>
          <w:szCs w:val="28"/>
          <w:rtl w:val="true"/>
          <w:lang w:bidi="fa-IR"/>
        </w:rPr>
        <w:t>.</w:t>
      </w:r>
    </w:p>
    <w:p>
      <w:pPr>
        <w:pStyle w:val="Heading3"/>
        <w:numPr>
          <w:ilvl w:val="2"/>
          <w:numId w:val="1"/>
        </w:numPr>
        <w:rPr/>
      </w:pPr>
      <w:bookmarkStart w:id="1169" w:name="__RefHeading___Toc1841471_2322387425"/>
      <w:bookmarkStart w:id="1170" w:name="_Toc453"/>
      <w:bookmarkEnd w:id="1169"/>
      <w:r>
        <w:rPr>
          <w:rtl w:val="true"/>
        </w:rPr>
        <w:t>جواز الذکر و الدعاء بغیر العربیة، و إن کانت أفضل</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بالذکر</w:t>
      </w:r>
      <w:r>
        <w:rPr>
          <w:rStyle w:val="FootnoteAnchor"/>
          <w:rtl w:val="true"/>
        </w:rPr>
        <w:footnoteReference w:id="1290"/>
      </w:r>
      <w:r>
        <w:rPr>
          <w:rFonts w:ascii="IRNazanin" w:hAnsi="IRNazanin" w:eastAsia="IRNazanin"/>
          <w:color w:val="111111"/>
          <w:sz w:val="28"/>
          <w:sz w:val="28"/>
          <w:szCs w:val="28"/>
          <w:rtl w:val="true"/>
          <w:lang w:bidi="fa-IR"/>
        </w:rPr>
        <w:t>والدعاء بغیر العربیّ</w:t>
      </w:r>
      <w:r>
        <w:rPr>
          <w:rStyle w:val="FootnoteAnchor"/>
          <w:rtl w:val="true"/>
        </w:rPr>
        <w:footnoteReference w:id="1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الاحتیاط بترکه،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مهدی الشیرازی، الشاهرودی، المرعشی، الآملی،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عدم الجواز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وجوبا ترک الدعاء بغیر اللغة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1841473_2322387425"/>
      <w:bookmarkStart w:id="1172" w:name="_Toc454"/>
      <w:bookmarkEnd w:id="1171"/>
      <w:r>
        <w:rPr>
          <w:rtl w:val="true"/>
        </w:rPr>
        <w:t>اعتبار قصد القرآنیة فی القراءة، و إن لم یکن بها و لم یکن دعاء أبطل</w:t>
      </w:r>
      <w:bookmarkEnd w:id="117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القرآن</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 . . . . </w:t>
      </w:r>
      <w:bookmarkStart w:id="1173" w:name="pg13278_326749"/>
    </w:p>
    <w:p>
      <w:pPr>
        <w:pStyle w:val="BookText"/>
        <w:rPr/>
      </w:pPr>
      <w:bookmarkEnd w:id="1173"/>
      <w:r>
        <w:rPr>
          <w:rFonts w:ascii="IRNazanin" w:hAnsi="IRNazanin" w:eastAsia="IRNazanin"/>
          <w:color w:val="111111"/>
          <w:sz w:val="28"/>
          <w:sz w:val="28"/>
          <w:szCs w:val="28"/>
          <w:rtl w:val="true"/>
          <w:lang w:bidi="fa-IR"/>
        </w:rPr>
        <w:t>قصد</w:t>
      </w:r>
      <w:r>
        <w:rPr>
          <w:rStyle w:val="FootnoteAnchor"/>
          <w:rtl w:val="true"/>
        </w:rPr>
        <w:footnoteReference w:id="1293"/>
      </w:r>
      <w:r>
        <w:rPr>
          <w:rFonts w:ascii="Amiri" w:hAnsi="Amiri" w:eastAsia="Amiri" w:cs="Amiri"/>
          <w:color w:val="111111"/>
          <w:sz w:val="28"/>
          <w:sz w:val="28"/>
          <w:szCs w:val="28"/>
          <w:rtl w:val="true"/>
          <w:lang w:bidi="ar-SA"/>
        </w:rPr>
        <w:t>القرآنیّة</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صدق قراءة القرآن عرفاً، ولا یعتبر فیه قصد القرآنیة، کما سبق فی أقسام السجود، ومنه یظهر النظر فی ما فرّعه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قرأ ما هو مشترک بین القرآن وغیره لا بقصد القرآنیّة ولم یکن دعاءً أیضاً أبطل، بل الآیة المختصّة بالقرآن أیضاً إذا قصد بها غیر القرآن أبطلت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إبطالها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علیها القرآن، وإلاّ ففی الإبطال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لم یعلم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وقصد غیر القرآن، وإلاّ فعلی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نّها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4" w:name="__RefHeading___Toc1841475_2322387425"/>
      <w:bookmarkStart w:id="1175" w:name="_Toc455"/>
      <w:bookmarkEnd w:id="1174"/>
      <w:r>
        <w:rPr>
          <w:rtl w:val="true"/>
        </w:rPr>
        <w:t>حکم ما لو أتی بالذکر بقصد تنبیه الغیر والدلالة، أو قصد به التنبیه من دون قصد الذکر</w:t>
      </w:r>
      <w:bookmarkEnd w:id="1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بالذکر بقصد تنبیه الغیر والدلالة علی أمر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به الذکر وقصد التنبیه برفع الصوت</w:t>
      </w:r>
      <w:r>
        <w:rPr>
          <w:rStyle w:val="FootnoteAnchor"/>
          <w:rtl w:val="true"/>
        </w:rPr>
        <w:footnoteReference w:id="1295"/>
      </w:r>
      <w:r>
        <w:rPr>
          <w:rFonts w:ascii="IRNazanin" w:hAnsi="IRNazanin" w:eastAsia="IRNazanin"/>
          <w:color w:val="111111"/>
          <w:sz w:val="28"/>
          <w:sz w:val="28"/>
          <w:szCs w:val="28"/>
          <w:rtl w:val="true"/>
          <w:lang w:bidi="fa-IR"/>
        </w:rPr>
        <w:t>مثلاً فلا إشکال فی الصحّة، وإن قصد به التنبیه من دون قصد الذکر أصلاً بأن استعمله فی التنبیه والدلالة لا إشکال فی کونه مبطلاً، وکذا</w:t>
      </w:r>
      <w:r>
        <w:rPr>
          <w:rStyle w:val="FootnoteAnchor"/>
          <w:rtl w:val="true"/>
        </w:rPr>
        <w:footnoteReference w:id="1296"/>
      </w:r>
      <w:r>
        <w:rPr>
          <w:rFonts w:ascii="IRNazanin" w:hAnsi="IRNazanin" w:eastAsia="IRNazanin"/>
          <w:color w:val="111111"/>
          <w:sz w:val="28"/>
          <w:sz w:val="28"/>
          <w:szCs w:val="28"/>
          <w:rtl w:val="true"/>
          <w:lang w:bidi="fa-IR"/>
        </w:rPr>
        <w:t>إن قصد</w:t>
      </w:r>
      <w:r>
        <w:rPr>
          <w:rStyle w:val="FootnoteAnchor"/>
          <w:rtl w:val="true"/>
        </w:rPr>
        <w:footnoteReference w:id="1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عدم البطلان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bookmarkStart w:id="1176" w:name="pg13278_326750"/>
    </w:p>
    <w:p>
      <w:pPr>
        <w:pStyle w:val="BookText"/>
        <w:rPr/>
      </w:pPr>
      <w:bookmarkEnd w:id="1176"/>
      <w:r>
        <w:rPr>
          <w:rFonts w:ascii="IRNazanin" w:hAnsi="IRNazanin" w:eastAsia="IRNazanin"/>
          <w:color w:val="111111"/>
          <w:sz w:val="28"/>
          <w:sz w:val="28"/>
          <w:szCs w:val="28"/>
          <w:rtl w:val="true"/>
          <w:lang w:bidi="fa-IR"/>
        </w:rPr>
        <w:t>الأمرین</w:t>
      </w:r>
      <w:r>
        <w:rPr>
          <w:rStyle w:val="FootnoteAnchor"/>
          <w:rtl w:val="true"/>
        </w:rPr>
        <w:footnoteReference w:id="1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إمکان ذلک یمکن القول بالصحّة، بل هو الظاهر؛ لصدق الذکر علیه، وعدم شمول مادلّ علی بطلان الکلام لمثل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ذلک خارجاً، ثمّ إنّ قصد الذکر لا یحتاج إلی الاستعمال، وجعله مشیراً إلی الإعلام ممکن، بل الإعلام لیس من الاستعمال فی شیء فالصلاة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علی فرض الإمکان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أن یکون له مدلولان واستعمله فیهما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إذا قصد الذکر وکان داعیه علی الإتیان بالذکر تنبیه الغیر فالأقوی الصحّة</w:t>
      </w:r>
      <w:r>
        <w:rPr>
          <w:rFonts w:eastAsia="IRNazanin" w:cs="IRNazanin"/>
          <w:color w:val="111111"/>
          <w:sz w:val="28"/>
          <w:szCs w:val="28"/>
          <w:rtl w:val="true"/>
          <w:lang w:bidi="fa-IR"/>
        </w:rPr>
        <w:t>.</w:t>
      </w:r>
    </w:p>
    <w:p>
      <w:pPr>
        <w:pStyle w:val="Heading3"/>
        <w:numPr>
          <w:ilvl w:val="2"/>
          <w:numId w:val="1"/>
        </w:numPr>
        <w:rPr/>
      </w:pPr>
      <w:bookmarkStart w:id="1177" w:name="__RefHeading___Toc1841477_2322387425"/>
      <w:bookmarkStart w:id="1178" w:name="_Toc456"/>
      <w:bookmarkEnd w:id="1177"/>
      <w:r>
        <w:rPr>
          <w:rtl w:val="true"/>
        </w:rPr>
        <w:t>جواز الدعاء مع مخاطبة الغیر بقول</w:t>
      </w:r>
      <w:r>
        <w:rPr>
          <w:rtl w:val="true"/>
        </w:rPr>
        <w:t>: «</w:t>
      </w:r>
      <w:r>
        <w:rPr>
          <w:rtl w:val="true"/>
        </w:rPr>
        <w:t>غفر الله لک</w:t>
      </w:r>
      <w:r>
        <w:rPr>
          <w:rtl w:val="true"/>
        </w:rPr>
        <w:t>»</w:t>
      </w:r>
      <w:bookmarkEnd w:id="1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مبطلیّة مطلق مخاطبة غیر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ومنه یظهر الحال فی بعض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مخاطبة الغیر مبطلة مطلقاً، ووجوب ردّ السلام لا دلالة له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الدعاء للغیر وإن کان بالخصوص إذا لم یکن هناک مخاطبة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الترک، وکذا المسألة الخامسة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مخاطبة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لا یخلو من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إذ لا یصدق علیه أ نّه ممّا کلّم أو ناجی اللّه تعالی به، وقول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للعاطس لم یثبت جوازه، ووجوب ردّ السلام مع أنّ المتعارف فیه عند العرب قصد الدعاء به لا یثبت به غیره، فالأحوط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مخاطبة الغیر فی الصلاة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مخاطبة الغیر إشکال، فلیراعَ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جوازها فی حال الصلاة مشکل، فالأحوط ترکها فیها، ومنه یظهر الحال فی المسائل الآتیة ممّا کان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الشریعتمداری،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وبه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المخاطبة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قصد من الدعاء القربة وکان الداعی علی الذِکر إفهام المخاطب فلا بأس، وإن کان الأحوط الترک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المخاطبة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فهو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w:t>
      </w:r>
      <w:bookmarkStart w:id="1179" w:name="pg13278_326752"/>
    </w:p>
    <w:p>
      <w:pPr>
        <w:pStyle w:val="BookText"/>
        <w:rPr/>
      </w:pPr>
      <w:bookmarkEnd w:id="1179"/>
      <w:r>
        <w:rPr>
          <w:rFonts w:ascii="IRNazanin" w:hAnsi="IRNazanin" w:eastAsia="IRNazanin"/>
          <w:color w:val="111111"/>
          <w:sz w:val="28"/>
          <w:sz w:val="28"/>
          <w:szCs w:val="28"/>
          <w:rtl w:val="true"/>
          <w:lang w:bidi="fa-IR"/>
        </w:rPr>
        <w:t>أو لفلان</w:t>
      </w:r>
      <w:r>
        <w:rPr>
          <w:rFonts w:eastAsia="IRNazanin" w:cs="IRNazanin"/>
          <w:color w:val="111111"/>
          <w:sz w:val="28"/>
          <w:szCs w:val="28"/>
          <w:rtl w:val="true"/>
          <w:lang w:bidi="fa-IR"/>
        </w:rPr>
        <w:t>.</w:t>
      </w:r>
    </w:p>
    <w:p>
      <w:pPr>
        <w:pStyle w:val="Heading3"/>
        <w:numPr>
          <w:ilvl w:val="2"/>
          <w:numId w:val="1"/>
        </w:numPr>
        <w:rPr/>
      </w:pPr>
      <w:bookmarkStart w:id="1180" w:name="__RefHeading___Toc1841479_2322387425"/>
      <w:bookmarkStart w:id="1181" w:name="_Toc457"/>
      <w:bookmarkEnd w:id="1180"/>
      <w:r>
        <w:rPr>
          <w:rtl w:val="true"/>
        </w:rPr>
        <w:t>جواز تکرار الذکر أو القراءة عمداً أو من باب الاحتیاط، و عدمه مع الوسوسة</w:t>
      </w:r>
      <w:bookmarkEnd w:id="1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بتکرار الذکر أو القراءة</w:t>
      </w:r>
      <w:r>
        <w:rPr>
          <w:rStyle w:val="FootnoteAnchor"/>
          <w:rtl w:val="true"/>
        </w:rPr>
        <w:footnoteReference w:id="1301"/>
      </w:r>
      <w:r>
        <w:rPr>
          <w:rFonts w:ascii="Amiri" w:hAnsi="Amiri" w:eastAsia="Amiri" w:cs="Amiri"/>
          <w:color w:val="111111"/>
          <w:sz w:val="28"/>
          <w:sz w:val="28"/>
          <w:szCs w:val="28"/>
          <w:rtl w:val="true"/>
          <w:lang w:bidi="ar-SA"/>
        </w:rPr>
        <w:t>عمداً</w:t>
      </w:r>
      <w:r>
        <w:rPr>
          <w:rStyle w:val="FootnoteAnchor"/>
          <w:rtl w:val="true"/>
        </w:rPr>
        <w:footnoteReference w:id="1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یکرّرها عمداً بقصد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باب الاحتیاط، نعم، إذا کان التکرار من باب الوسوسة فلا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عدم الجواز والبطلان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تکلیفاً أو وضعاً ممنوع إذا لم یخرج عن عنوان الذکر والقراءة بأن یُعدّ من المهمَل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بجوازه، وعدم بطلان الصلاة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استلزام الوسوسة بما هی للبطلان محلّ التأمّل، کما أنّ الجزم بکونها حراماً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1182" w:name="pg13278_326753"/>
    </w:p>
    <w:p>
      <w:pPr>
        <w:pStyle w:val="BookText"/>
        <w:rPr/>
      </w:pPr>
      <w:bookmarkEnd w:id="1182"/>
      <w:r>
        <w:rPr>
          <w:rFonts w:ascii="Amiri" w:hAnsi="Amiri" w:eastAsia="Amiri" w:cs="Amiri"/>
          <w:color w:val="111111"/>
          <w:sz w:val="28"/>
          <w:sz w:val="28"/>
          <w:szCs w:val="28"/>
          <w:rtl w:val="true"/>
          <w:lang w:bidi="ar-SA"/>
        </w:rPr>
        <w:t>الصلاة</w:t>
      </w:r>
      <w:r>
        <w:rPr>
          <w:rStyle w:val="FootnoteAnchor"/>
          <w:rtl w:val="true"/>
        </w:rPr>
        <w:footnoteReference w:id="1303"/>
      </w:r>
      <w:r>
        <w:rPr>
          <w:rFonts w:ascii="IRNazanin" w:hAnsi="IRNazanin" w:eastAsia="IRNazanin"/>
          <w:color w:val="111111"/>
          <w:sz w:val="28"/>
          <w:sz w:val="28"/>
          <w:szCs w:val="28"/>
          <w:rtl w:val="true"/>
          <w:lang w:bidi="fa-IR"/>
        </w:rPr>
        <w:t>به</w:t>
      </w:r>
      <w:r>
        <w:rPr>
          <w:rStyle w:val="FootnoteAnchor"/>
          <w:rtl w:val="true"/>
        </w:rPr>
        <w:footnoteReference w:id="1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یُبطل الصلاة تکرار الأذکار أو شیء من الحمد أو السورة عن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یُبطلهُ التکرار احتیاطا، ولا التکرار المتعمَّد إن لم یقصد به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1183" w:name="__RefHeading___Toc1841481_2322387425"/>
      <w:bookmarkStart w:id="1184" w:name="_Toc458"/>
      <w:bookmarkEnd w:id="1183"/>
      <w:r>
        <w:rPr>
          <w:rtl w:val="true"/>
        </w:rPr>
        <w:t>لا یجوز ابتداء السلام للمصلی و کذا سائر التحیات مع قصد التحیة، و إن قصد الدعاء بأس</w:t>
      </w:r>
      <w:bookmarkEnd w:id="1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ابتداءً السلام للمصلّی، وکذا سائر التحیّات مثل صبّحک اللّه بالخیر، أو مسّاک اللّه بالخیر، أو فی أمان الله، أو ادخلوها بسلام إذا قصد مجرّد التحیّة، وأمّا إذا قصد الدعاء</w:t>
      </w:r>
      <w:r>
        <w:rPr>
          <w:rStyle w:val="FootnoteAnchor"/>
          <w:rtl w:val="true"/>
        </w:rPr>
        <w:footnoteReference w:id="1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وإن قصد الدعاء مع کونه خطاباً إلی الغیر لا یرتفع به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بالسلامة أو الإصباح والإمساء بالخیر ونحو ذلک فلا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ما یکون بلفظ السلام، أو مشتملاً علی المخاطبة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یشتمل علی مخاطبة الغیر، وإلاّ فلا یخلو من بأس،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بترک المخاطبة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الدعاء مع مخاطبة الغیر، فالأحوط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 وإن قصد بها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1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المخاطبة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کما تقدّم،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مضی، فالاحتیاط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مخاطبة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 بأس، کما تقدّم،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الإشکال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یشتمل علی مخاطبة الغیر، وإلاّ ففیه إشکال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المطلوب منه هو اللّه تعالی، وفی غیره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قصد القرآنیّة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قراءة القرآن مع الاقتصار علی هذه الجملة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إشکال فی صدقها إذا قرأ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جاءَکَ الَّذِینَ یُوءْمِنُونَ بِآیاتِنا فَقُلْ سَلامٌ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نحوهما ولو بإخفات، ما عدا الجملة المذکورة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ادخلوها</w:t>
      </w:r>
      <w:bookmarkStart w:id="1185" w:name="pg13278_326755"/>
    </w:p>
    <w:p>
      <w:pPr>
        <w:pStyle w:val="BookText"/>
        <w:rPr/>
      </w:pPr>
      <w:bookmarkEnd w:id="1185"/>
      <w:r>
        <w:rPr>
          <w:rFonts w:ascii="IRNazanin" w:hAnsi="IRNazanin" w:eastAsia="IRNazanin"/>
          <w:color w:val="111111"/>
          <w:sz w:val="28"/>
          <w:sz w:val="28"/>
          <w:szCs w:val="28"/>
          <w:rtl w:val="true"/>
          <w:lang w:bidi="fa-IR"/>
        </w:rPr>
        <w:t>بسلام، وإن کان الغرض منه السلام أو بیان المطلب</w:t>
      </w:r>
      <w:r>
        <w:rPr>
          <w:rStyle w:val="FootnoteAnchor"/>
          <w:rtl w:val="true"/>
        </w:rPr>
        <w:footnoteReference w:id="1307"/>
      </w:r>
      <w:r>
        <w:rPr>
          <w:rFonts w:ascii="IRNazanin" w:hAnsi="IRNazanin" w:eastAsia="IRNazanin"/>
          <w:color w:val="111111"/>
          <w:sz w:val="28"/>
          <w:sz w:val="28"/>
          <w:szCs w:val="28"/>
          <w:rtl w:val="true"/>
          <w:lang w:bidi="fa-IR"/>
        </w:rPr>
        <w:t>بأن یکون من باب الداعی</w:t>
      </w:r>
      <w:r>
        <w:rPr>
          <w:rStyle w:val="FootnoteAnchor"/>
          <w:rtl w:val="true"/>
        </w:rPr>
        <w:footnoteReference w:id="1308"/>
      </w:r>
      <w:r>
        <w:rPr>
          <w:rFonts w:ascii="IRNazanin" w:hAnsi="IRNazanin" w:eastAsia="IRNazanin"/>
          <w:color w:val="111111"/>
          <w:sz w:val="28"/>
          <w:sz w:val="28"/>
          <w:szCs w:val="28"/>
          <w:rtl w:val="true"/>
          <w:lang w:bidi="fa-IR"/>
        </w:rPr>
        <w:t>علی الدعاء أو قراءة القرآن</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1841483_2322387425"/>
      <w:bookmarkStart w:id="1187" w:name="_Toc459"/>
      <w:bookmarkEnd w:id="1186"/>
      <w:r>
        <w:rPr>
          <w:rtl w:val="true"/>
        </w:rPr>
        <w:t>جواز رد سلام التحیة أثناء الصلاة، بل یجب، و إن عصی لم تبطل</w:t>
      </w:r>
      <w:bookmarkEnd w:id="1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1310"/>
      </w:r>
      <w:r>
        <w:rPr>
          <w:rFonts w:ascii="Amiri" w:hAnsi="Amiri" w:eastAsia="Amiri" w:cs="Amiri"/>
          <w:color w:val="111111"/>
          <w:sz w:val="28"/>
          <w:sz w:val="28"/>
          <w:szCs w:val="28"/>
          <w:rtl w:val="true"/>
          <w:lang w:bidi="ar-SA"/>
        </w:rPr>
        <w:t>ردّ سلام</w:t>
      </w:r>
      <w:r>
        <w:rPr>
          <w:rStyle w:val="FootnoteAnchor"/>
          <w:rtl w:val="true"/>
        </w:rPr>
        <w:footnoteReference w:id="1311"/>
      </w:r>
      <w:r>
        <w:rPr>
          <w:rFonts w:ascii="Amiri" w:hAnsi="Amiri" w:eastAsia="Amiri" w:cs="Amiri"/>
          <w:color w:val="111111"/>
          <w:sz w:val="28"/>
          <w:sz w:val="28"/>
          <w:szCs w:val="28"/>
          <w:rtl w:val="true"/>
          <w:lang w:bidi="ar-SA"/>
        </w:rPr>
        <w:t>التحیّة</w:t>
      </w:r>
      <w:r>
        <w:rPr>
          <w:rStyle w:val="FootnoteAnchor"/>
          <w:rtl w:val="true"/>
        </w:rPr>
        <w:footnoteReference w:id="1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قصد طلب السلامة من اللّه فی حقّ المُسلِّم بالکسر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أثناء الصلاة، بل یجب وإن لم یکن السلام أو الجواب بالصیغة القرآنیّة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عصی ولم یردّ الجواب واشتغل بالصلاة قبل فوات وقت الردّ لم تبطل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قاعدة الترتّب المحرّرة فی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الأولی إتمام الصّلاة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8" w:name="pg13278_326756"/>
    </w:p>
    <w:p>
      <w:pPr>
        <w:pStyle w:val="Heading3"/>
        <w:numPr>
          <w:ilvl w:val="2"/>
          <w:numId w:val="1"/>
        </w:numPr>
        <w:rPr/>
      </w:pPr>
      <w:bookmarkStart w:id="1189" w:name="__RefHeading___Toc1841485_2322387425"/>
      <w:bookmarkStart w:id="1190" w:name="_Toc460"/>
      <w:bookmarkEnd w:id="1188"/>
      <w:bookmarkEnd w:id="1189"/>
      <w:r>
        <w:rPr>
          <w:rtl w:val="true"/>
        </w:rPr>
        <w:t>وجوب رد السلام أثناء الصلاة بمثل ما سلم بنفس اللفظ والمماثلة</w:t>
      </w:r>
      <w:bookmarkEnd w:id="1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1313"/>
      </w:r>
      <w:r>
        <w:rPr>
          <w:rFonts w:ascii="IRNazanin" w:hAnsi="IRNazanin" w:eastAsia="IRNazanin"/>
          <w:color w:val="111111"/>
          <w:sz w:val="28"/>
          <w:sz w:val="28"/>
          <w:szCs w:val="28"/>
          <w:rtl w:val="true"/>
          <w:lang w:bidi="fa-IR"/>
        </w:rPr>
        <w:t>أن یکون الردّ فی أثناء الصلاة بمثل</w:t>
      </w:r>
      <w:r>
        <w:rPr>
          <w:rStyle w:val="FootnoteAnchor"/>
          <w:rtl w:val="true"/>
        </w:rPr>
        <w:footnoteReference w:id="1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الجمع‌بین النصوص وجوب الردّ خفیّاً بصیغة 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المماثلة الواجبة هی فی تقدیم السلام علی الظرف لا غیر، بل لو قدّم المسلِّم الظرف قدّم المجیب السلام علی الأقوی، وأمّا قصد القرآنیة ینافی ردّ السلام المتقوّم بالمخاطبة مع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السلام بصیغة علیکم السلام، وسیجیء حکمه فی المسألة الثامنة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یعتبر فی ردّ السلام أن یکون بإحدی الصیغ الأربع،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ردّ السلام بتقدیم الظرف ولو سلّم المصلّی معه، ولا یعتبر شیء أزید من ذلک، وبه یظهرالحال فی جملة من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لا یزید علیه، وکذا لایقدّم الظرف إذا سلّم علیه مع تقدیم السلام علی الأحوط لزوماً، وأمّا حکم عکسه فسیجیء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یقول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المماثلة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التعریف</w:t>
      </w:r>
    </w:p>
    <w:p>
      <w:pPr>
        <w:pStyle w:val="BookText"/>
        <w:rPr/>
      </w:pPr>
      <w:r>
        <w:rPr>
          <w:rFonts w:ascii="IRNazanin" w:hAnsi="IRNazanin" w:eastAsia="IRNazanin"/>
          <w:color w:val="111111"/>
          <w:sz w:val="28"/>
          <w:sz w:val="28"/>
          <w:szCs w:val="28"/>
          <w:rtl w:val="true"/>
          <w:lang w:bidi="fa-IR"/>
        </w:rPr>
        <w:t>والتنکیر والإفراد والجمع، فلا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وبالعکس، وإن کان لا یخلو من منع</w:t>
      </w:r>
      <w:r>
        <w:rPr>
          <w:rStyle w:val="FootnoteAnchor"/>
          <w:rtl w:val="true"/>
        </w:rPr>
        <w:footnoteReference w:id="1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فیجوز الردّ بکلّ واحد من الصیغ وإن سلّم بغیرها، نعم، الأحوط ـ کما فی المسألة التالیة ـ عدم الردّ بتقدیم الظرف وإن سلّم المسلِّم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لایُترک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ردّ التحیّة مع قصد القرآنیة محلّ تأمّل، فالعلاج بذلک فی جمیع ما یأتی من الفروع مشکل، وکذلک قصد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اجتماع قصد القرآنیة مع الجواب وردّ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قصدها ینافی کونه ردّاً للتحیّة علی الأصحّ فلا یجوز ذلک، ولا قصد الدعاء لا بعنوان الردّ فلاتکون الحیلة بذلک احتیاطاً، کما جعله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القرآنیة ینافی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داعیه أن یظهر بذلک ردّ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یؤدی به وظیفة ردّ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أحرز وجوب الردّ علیه فالأحوط عدم قصد القرآنیة لحفظ المماثلة فی القصد؛ لأنّ قصد القرآن ینافی قصد التحیّة، وأمّا إذا لم یحرز الوجوب لشبهة حکمیة أو موضوعیة فیجوز قصد القرآنیة؛ لأنّه لا ینافی صدق التحیّة خارجاً علی ما أتی به، أمّا قصد الدعائیة معها فلا منافاة بینهما، بل هی مؤکّدة للتحیّة، وبذلک یظهر حال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تمحُّل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قصد القرآنیة لا یُجمع مع قصد التحیّة، ومن هنا یظهر حال الفروع الآتیة، فلا یُترک الاحتیاط بإعادة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قصد القرآن مطابقةً وردّ الجواب بنحو الکنایة، بحیث یکون ردّ التحیّة ملحوظاً فی الجملة أیضاً مع مراعاة ترک مخاطبة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لزوماً عدم قصدها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وظیفة ردّ التحیّة لا تؤدّی بقراءة القرآن من غیر استعمال اللفظ فی معناها، کما ظهر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191" w:name="pg13278_326758"/>
    </w:p>
    <w:p>
      <w:pPr>
        <w:pStyle w:val="BookText"/>
        <w:rPr/>
      </w:pPr>
      <w:bookmarkEnd w:id="1191"/>
      <w:r>
        <w:rPr>
          <w:rFonts w:ascii="IRNazanin" w:hAnsi="IRNazanin" w:eastAsia="IRNazanin"/>
          <w:color w:val="111111"/>
          <w:sz w:val="28"/>
          <w:sz w:val="28"/>
          <w:szCs w:val="28"/>
          <w:rtl w:val="true"/>
          <w:lang w:bidi="fa-IR"/>
        </w:rPr>
        <w:t>فی الجواب</w:t>
      </w:r>
      <w:r>
        <w:rPr>
          <w:rStyle w:val="FootnoteAnchor"/>
          <w:rtl w:val="true"/>
        </w:rPr>
        <w:footnoteReference w:id="1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قصد ردّ التحیّة دون غیره، فلیلاحظ فی جمیع فروع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قصد القرآنیة ینافی التحیّة، فلا تتأدّی به وظیفة ردّ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کون ردّ السلام بقصد الردّ التحیّة المتعارفة بمثل ما سلّم، من دون قصد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بعدم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المماثلة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1841487_2322387425"/>
      <w:bookmarkStart w:id="1193" w:name="_Toc461"/>
      <w:bookmarkEnd w:id="1192"/>
      <w:r>
        <w:rPr>
          <w:rtl w:val="true"/>
        </w:rPr>
        <w:t>لو قال المسلم</w:t>
      </w:r>
      <w:r>
        <w:rPr>
          <w:rtl w:val="true"/>
        </w:rPr>
        <w:t>: «</w:t>
      </w:r>
      <w:r>
        <w:rPr>
          <w:rtl w:val="true"/>
        </w:rPr>
        <w:t>علیکم السلام</w:t>
      </w:r>
      <w:r>
        <w:rPr>
          <w:rtl w:val="true"/>
        </w:rPr>
        <w:t xml:space="preserve">» </w:t>
      </w:r>
      <w:r>
        <w:rPr>
          <w:rtl w:val="true"/>
        </w:rPr>
        <w:t>فالأحوط أن یقول</w:t>
      </w:r>
      <w:r>
        <w:rPr>
          <w:rtl w:val="true"/>
        </w:rPr>
        <w:t>: «</w:t>
      </w:r>
      <w:r>
        <w:rPr>
          <w:rtl w:val="true"/>
        </w:rPr>
        <w:t>سلام علیکم</w:t>
      </w:r>
      <w:r>
        <w:rPr>
          <w:rtl w:val="true"/>
        </w:rPr>
        <w:t xml:space="preserve">» </w:t>
      </w:r>
      <w:r>
        <w:rPr>
          <w:rtl w:val="true"/>
        </w:rPr>
        <w:t>بقصد القرآنیة أو الدعاء</w:t>
      </w:r>
      <w:bookmarkEnd w:id="1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w:t>
      </w:r>
      <w:r>
        <w:rPr>
          <w:rStyle w:val="FootnoteAnchor"/>
          <w:rtl w:val="true"/>
        </w:rPr>
        <w:footnoteReference w:id="1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ردّ السلام بأیّ صیغة شاء،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تقدیم السلام، وعدم قصد القرآنیة، وما فی المتن مع کونه ضعیفاً خلاف الاحتیاط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أحوط نظر ظاهر، والظاهر جواز ردّه بأیّ صیغةٍ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الجواب</w:t>
      </w:r>
      <w:r>
        <w:rPr>
          <w:rStyle w:val="FootnoteAnchor"/>
          <w:rtl w:val="true"/>
        </w:rPr>
        <w:footnoteReference w:id="1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المماثلة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وجوبا الجواب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القرآنیة، ولو بالتلفیق من آیتین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لزوم تقدیم السلام لا بقصد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قصد الدعاء، 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المماثلة بقصد القرآن ولو بلحاظ حکایة مفردَین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بمثل قوله فإنّه تحیّة تردّ بمثلها، وقد تقدّم الإشکال فی قصد القرآنیة أو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بقصد القرآنیّة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یقتصر علی قصد القرآنیة علی الأحوط، وکذا لو سلّم ملحوناً أو بغیر الصیغ الأربع، أو کان المسلِّم صبیّاً ولو ممیّزاً أو غیر ذلک ممّا یشکّ فی وجوب الردّ وعدمه؛ فإنّ الأحوط فی الجمیع هو الردّ بهذه الصیغة، أو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تحقّق الجمع،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تقدّمت المنافاة بین قصد القرآنیة والتحیّة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قصد ردّ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یقتصر علیه ویکون داعِیه ما تقدّم، وکذلک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ردّ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بقصد التحیّة، وأمّا قصد الدعاء فقد عرفت أنّه مؤکِّد للتحیّة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فیهما، والظاهر التخییر بین الردّ بالمثل بصیغة الجواب أو بتقدیم السلام، والأحوط إعادة الصلاة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بقصد</w:t>
      </w:r>
      <w:r>
        <w:rPr>
          <w:rStyle w:val="FootnoteAnchor"/>
          <w:rtl w:val="true"/>
        </w:rPr>
        <w:footnoteReference w:id="1319"/>
      </w:r>
      <w:r>
        <w:rPr>
          <w:rFonts w:ascii="IRNazanin" w:hAnsi="IRNazanin" w:eastAsia="IRNazanin"/>
          <w:color w:val="111111"/>
          <w:sz w:val="28"/>
          <w:sz w:val="28"/>
          <w:szCs w:val="28"/>
          <w:rtl w:val="true"/>
          <w:lang w:bidi="fa-IR"/>
        </w:rPr>
        <w:t>الدعاء</w:t>
      </w:r>
      <w:r>
        <w:rPr>
          <w:rStyle w:val="FootnoteAnchor"/>
          <w:rtl w:val="true"/>
        </w:rPr>
        <w:footnoteReference w:id="1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المخاطبة مع المخلوق ولو بالدعاء له لا یبعد أن یکون کلاماً آدمیّاً، فالأحوط ترک قصد الدعاء بالسلام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الدعائیة مع اشتماله علی مخاطبة الغیر محلّ إشکال، کما مرّ، فالأحوط الاقتصار علی قصد القرآنیة هنا وفی سائر المسائل الآتیة التی احتاط بها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 وکذا فی الفروع الآتیة، والأحوط فی الجمیع الاقتصار علی قصد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قصد الدعاء مع مخاطبة الغیر لا یرتفع به الإشکال، فالأحوط الممثالة بقصد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مِن اللّه تعالی قاصداً به ردّ التحیّة، کما أنّ المقصود من قصد القرآنیة قصد ردّ التحیّة بقراءة القرآن، وإلاّ فمجرد قصد القرآنیة والدعاء لا یکون 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تقدّم، وکذا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المخاطبة بغیر جواب السلام ولو بقصد القرآنیة أو الدعاء محلّ إشکال، ومنه یظهر الحال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الإشکال فیهما ممّا مرّ، والظاهر أنّه مخیَّر بین الردّ بالمثل وتقدیم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4" w:name="pg13278_326761"/>
    </w:p>
    <w:p>
      <w:pPr>
        <w:pStyle w:val="Heading3"/>
        <w:numPr>
          <w:ilvl w:val="2"/>
          <w:numId w:val="1"/>
        </w:numPr>
        <w:rPr/>
      </w:pPr>
      <w:bookmarkStart w:id="1195" w:name="__RefHeading___Toc1841489_2322387425"/>
      <w:bookmarkStart w:id="1196" w:name="_Toc462"/>
      <w:bookmarkEnd w:id="1194"/>
      <w:bookmarkEnd w:id="1195"/>
      <w:r>
        <w:rPr>
          <w:rtl w:val="true"/>
        </w:rPr>
        <w:t>وجوب رد جواب السلام صحیحاً ولو سلم بالملحون، والأفضل قصد القرآن و الدعاء</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بالملحون</w:t>
      </w:r>
      <w:r>
        <w:rPr>
          <w:rStyle w:val="FootnoteAnchor"/>
          <w:rtl w:val="true"/>
        </w:rPr>
        <w:footnoteReference w:id="1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السلام علیه فی العرف، وإلاّ لم یجب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لحناً لا یخرجه عن کونه تحیّةً وسلاماً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یخرجه اللحن عن صدق السلام، وإلاّ فالأقوی عدم وجوب الردّ، وقد تقدّم الکلام فی الجمع بین قصد التحیّة والقرآنیة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السلام، وقد مرّ الإشکال فی الاحتیاط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لم یخرج لحنه عن کونه سلاماً عرفاً، ووجوب الجواب صحیحاً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اللحن مخرجاً له عن کونه سلاماً، وإلاّ فلا یجب الجواب، وقد مرّ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ویقصد به التحیّة، وقد مرّ ما فی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اللحن بحیث یخرجه عن الصدق لا یجب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حال الصلاة، وأمّا فیها فوجوب الجواب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صدق السلام علیه عرفاً وقد مرّ الإشکال فی قصد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1197" w:name="pg13278_326762"/>
    </w:p>
    <w:p>
      <w:pPr>
        <w:pStyle w:val="BookText"/>
        <w:rPr/>
      </w:pPr>
      <w:bookmarkEnd w:id="1197"/>
      <w:r>
        <w:rPr>
          <w:rFonts w:ascii="Amiri" w:hAnsi="Amiri" w:eastAsia="Amiri" w:cs="Amiri"/>
          <w:color w:val="111111"/>
          <w:sz w:val="28"/>
          <w:sz w:val="28"/>
          <w:szCs w:val="28"/>
          <w:rtl w:val="true"/>
          <w:lang w:bidi="ar-SA"/>
        </w:rPr>
        <w:t>صحیحاً</w:t>
      </w:r>
      <w:r>
        <w:rPr>
          <w:rStyle w:val="FootnoteAnchor"/>
          <w:rtl w:val="true"/>
        </w:rPr>
        <w:footnoteReference w:id="1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أمّا الاحتیاط المذکور فی المتن فقد 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وعلی أیّ تقدیرٍ یقصد ردّ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وأمّا الاحتیاط المذکور فی المتن هنا وفی جملة من الفروع الآتیة فقد ظهر الحال فیه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قصد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قصد الدعاء، وکذلک الأمر فی الفروع الاتیة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موردٍ لا یُعدّ سلاماً، أو یشکّ فی اعتداده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1841491_2322387425"/>
      <w:bookmarkStart w:id="1199" w:name="_Toc463"/>
      <w:bookmarkEnd w:id="1198"/>
      <w:r>
        <w:rPr>
          <w:rtl w:val="true"/>
        </w:rPr>
        <w:t>حکم ما لو کان المسلم صبیاً ممیزاً، أو امرأة أجنبیة، أو أجنبیاً علی امرأة تصلی</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المسلِّم صبیّاً ممیّزاً أو نحوه أو امرأة أجنبیّة أو رجلاً أجنبیّاً علی امرأة تصلّی فلا یبعد بل الأقوی جواز</w:t>
      </w:r>
      <w:r>
        <w:rPr>
          <w:rStyle w:val="FootnoteAnchor"/>
          <w:rtl w:val="true"/>
        </w:rPr>
        <w:footnoteReference w:id="1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إطلاق الحکم إشکال؛ فإنّ عَمدَ الصبیِّ وخطأه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هنا بمعنی عدم بطلان الصلاة به، وإلاّ فهو واجب، کما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محمدرضا الگلپایگانی، محمد الشیرازی،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والأحوط ترک قصد القرآن به، ومرّ أنّ قصد القرآن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بعنوان التحیّة، وعدم قصد الدعاء والقرآنیة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الردّبعنوان التحیّة‌لایخلو من قوّة سیّما فی الصورتین الثانیة والثالثة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الردّ، وقد تقدّم الإشکال فی قصد القرآن أو الدعاء، وهو جارٍ کذلک فی المسائل الآتیة فتنبه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 الردّ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w:t>
      </w:r>
      <w:bookmarkStart w:id="1200" w:name="pg13278_326763"/>
    </w:p>
    <w:p>
      <w:pPr>
        <w:pStyle w:val="BookText"/>
        <w:rPr/>
      </w:pPr>
      <w:bookmarkEnd w:id="1200"/>
      <w:r>
        <w:rPr>
          <w:rFonts w:ascii="Amiri" w:hAnsi="Amiri" w:eastAsia="Amiri" w:cs="Amiri"/>
          <w:color w:val="111111"/>
          <w:sz w:val="28"/>
          <w:sz w:val="28"/>
          <w:szCs w:val="28"/>
          <w:rtl w:val="true"/>
          <w:lang w:bidi="ar-SA"/>
        </w:rPr>
        <w:t>ردِّ التحیّة، لکنّ الأحوط</w:t>
      </w:r>
      <w:r>
        <w:rPr>
          <w:rStyle w:val="FootnoteAnchor"/>
          <w:rtl w:val="true"/>
        </w:rPr>
        <w:footnoteReference w:id="1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خلاف الاحتیاط، ولا نُعید ذلک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القرآن أو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قی قصد القرآن أو الدعاء فی الجواب، وکذلک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1841493_2322387425"/>
      <w:bookmarkStart w:id="1202" w:name="_Toc464"/>
      <w:bookmarkEnd w:id="1201"/>
      <w:r>
        <w:rPr>
          <w:rtl w:val="true"/>
        </w:rPr>
        <w:t>فی ما لو سلم علی جماعة منهم المصلی فرد الجواب غیره، أو رده صبی ممیز</w:t>
      </w:r>
      <w:bookmarkEnd w:id="1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علی جماعة منهم المصلّی فردّ الجواب غیره لم یجز له الردّ</w:t>
      </w:r>
      <w:r>
        <w:rPr>
          <w:rStyle w:val="FootnoteAnchor"/>
          <w:rtl w:val="true"/>
        </w:rPr>
        <w:footnoteReference w:id="1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السبزواری، محمد الشیرازی،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ولکنّ فیه احتیاطاً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نعم، لو ردّه صبیّ ممیِّز ففی کفایته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یبعد الاکتفاء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الکفایة إذا کان داخلاً فی عموم المسلَّم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الکفایة، ومرّ أنّ الاحتیاط لا یحصل بما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من المسلَّم علیهم فالکفایة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البجنوردی،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 إذا کان من الذین قصد التسلیم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 ومرّ ما فی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الاکتفاء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کفایته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غیر بعیدة إذا کان ممّن قصد بالسلام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فالأحوط الردّ وإعادة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الاکتفاء به، وقد مرّ أیضاً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والأحوط ردّ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المصلّی بقصد القرآن أو الدعاء</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1203" w:name="pg13278_326765"/>
    </w:p>
    <w:p>
      <w:pPr>
        <w:pStyle w:val="Heading3"/>
        <w:numPr>
          <w:ilvl w:val="2"/>
          <w:numId w:val="1"/>
        </w:numPr>
        <w:rPr/>
      </w:pPr>
      <w:bookmarkStart w:id="1204" w:name="__RefHeading___Toc1841495_2322387425"/>
      <w:bookmarkStart w:id="1205" w:name="_Toc465"/>
      <w:bookmarkEnd w:id="1203"/>
      <w:bookmarkEnd w:id="1204"/>
      <w:r>
        <w:rPr>
          <w:rtl w:val="true"/>
        </w:rPr>
        <w:t>حکم ما لو سلم علیه بقول</w:t>
      </w:r>
      <w:r>
        <w:rPr>
          <w:rtl w:val="true"/>
        </w:rPr>
        <w:t>: «</w:t>
      </w:r>
      <w:r>
        <w:rPr>
          <w:rtl w:val="true"/>
        </w:rPr>
        <w:t>سلام</w:t>
      </w:r>
      <w:r>
        <w:rPr>
          <w:rtl w:val="true"/>
        </w:rPr>
        <w:t xml:space="preserve">» </w:t>
      </w:r>
      <w:r>
        <w:rPr>
          <w:rtl w:val="true"/>
        </w:rPr>
        <w:t xml:space="preserve">بدون </w:t>
      </w:r>
      <w:r>
        <w:rPr>
          <w:rtl w:val="true"/>
        </w:rPr>
        <w:t>«</w:t>
      </w:r>
      <w:r>
        <w:rPr>
          <w:rtl w:val="true"/>
        </w:rPr>
        <w:t>علیکم</w:t>
      </w:r>
      <w:r>
        <w:rPr>
          <w:rtl w:val="true"/>
        </w:rPr>
        <w:t>»</w:t>
      </w:r>
      <w:bookmarkEnd w:id="1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قصده له فی التقدیر، وإلاّ فالأحوط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أنّه قصد معناه ومعنی الظرف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دلّت قرینة الحال علی أنّه قصد الخطاب وقدّر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کونه فی مقام التحیّة، ولازمه تقدیر الظرف وقصد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إمّا بمثله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ویقدَّر علیکم، وإمّا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قصد القرآن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کذلک بقصد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1841497_2322387425"/>
      <w:bookmarkStart w:id="1207" w:name="_Toc466"/>
      <w:bookmarkEnd w:id="1206"/>
      <w:r>
        <w:rPr>
          <w:rtl w:val="true"/>
        </w:rPr>
        <w:t>لو سلم مرات عدیدة یکفی فی الجواب مرة، ولو أجاب و سلم یجب جواب الثانی</w:t>
      </w:r>
      <w:bookmarkEnd w:id="1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مرّات عدیدة یکفی فی الجواب</w:t>
      </w:r>
      <w:r>
        <w:rPr>
          <w:rStyle w:val="FootnoteAnchor"/>
          <w:rtl w:val="true"/>
        </w:rPr>
        <w:footnoteReference w:id="1328"/>
      </w:r>
      <w:r>
        <w:rPr>
          <w:rFonts w:ascii="Amiri" w:hAnsi="Amiri" w:eastAsia="Amiri" w:cs="Amiri"/>
          <w:color w:val="111111"/>
          <w:sz w:val="28"/>
          <w:sz w:val="28"/>
          <w:szCs w:val="28"/>
          <w:rtl w:val="true"/>
          <w:lang w:bidi="ar-SA"/>
        </w:rPr>
        <w:t>مرّة</w:t>
      </w:r>
      <w:r>
        <w:rPr>
          <w:rStyle w:val="FootnoteAnchor"/>
          <w:rtl w:val="true"/>
        </w:rPr>
        <w:footnoteReference w:id="1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المسلِّم قصد بالتکرار تأکید الأول، وإلاّ فکفایة المرّة غیر ظاهرة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مرّةً إشکال، والأحوط بل الأقوی تکرار الجواب أیضاً بعد تکرار السلام، إلاّ إذا خرج عن صدق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قصد بالثانی التأکید، وإلاّ فالاکتفاء منظور فیه، إلاّ أن یستشکل فیه بعدم معنی التحیّة بعد کون السلام للتحیّة عند التلاقی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یکرّر الجواب مع قصد المسلِّم التحیّة ثانیاً دون التأکّد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إشکال فیه، مع إحراز أنّه قصد تأکید الأوّل، وکذا مع عدمه إن لم یکن ذلک من السلام المتعارف، وإن کان منه فلا وجه للاکتفاء بالمرّة، ویمکن الإشکال فی وجوب جواب الثانی مع تخلل الجواب أیضاً؛ لأن السلام المتعارف ما کان فی أوّل الملاقاة عرفاً وغیره خارج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فلا یُترک الاحتیاط بالتکرار ما لم یخرج عن صدق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إذا قصد المسلِّم التأکید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أجاب ثمّ سلّم یجب جواب الثانی</w:t>
      </w:r>
      <w:r>
        <w:rPr>
          <w:rStyle w:val="FootnoteAnchor"/>
          <w:rtl w:val="true"/>
        </w:rPr>
        <w:footnoteReference w:id="1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من التسلیم الواجب ردّه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تحیّة ورودٍ، وإلاّ ففیه إشکال، 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حتّی فی ما إذا لم ینطبق علیه عنوان الاستهزاء ونحوه الذی هو المقصود بالخروج عن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استحبابا للمصلِّی حینئذٍ إذا أجاب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وهکذا إلاّ إذا</w:t>
      </w:r>
      <w:bookmarkStart w:id="1208" w:name="pg13278_326767"/>
    </w:p>
    <w:p>
      <w:pPr>
        <w:pStyle w:val="BookText"/>
        <w:rPr/>
      </w:pPr>
      <w:bookmarkEnd w:id="1208"/>
      <w:r>
        <w:rPr>
          <w:rFonts w:ascii="IRNazanin" w:hAnsi="IRNazanin" w:eastAsia="IRNazanin"/>
          <w:color w:val="111111"/>
          <w:sz w:val="28"/>
          <w:sz w:val="28"/>
          <w:szCs w:val="28"/>
          <w:rtl w:val="true"/>
          <w:lang w:bidi="fa-IR"/>
        </w:rPr>
        <w:t>خرج</w:t>
      </w:r>
      <w:r>
        <w:rPr>
          <w:rStyle w:val="FootnoteAnchor"/>
          <w:rtl w:val="true"/>
        </w:rPr>
        <w:footnoteReference w:id="1331"/>
      </w:r>
      <w:r>
        <w:rPr>
          <w:rFonts w:ascii="IRNazanin" w:hAnsi="IRNazanin" w:eastAsia="IRNazanin"/>
          <w:color w:val="111111"/>
          <w:sz w:val="28"/>
          <w:sz w:val="28"/>
          <w:szCs w:val="28"/>
          <w:rtl w:val="true"/>
          <w:lang w:bidi="fa-IR"/>
        </w:rPr>
        <w:t>عن المتعارف</w:t>
      </w:r>
      <w:r>
        <w:rPr>
          <w:rStyle w:val="FootnoteAnchor"/>
          <w:rtl w:val="true"/>
        </w:rPr>
        <w:footnoteReference w:id="1332"/>
      </w:r>
      <w:r>
        <w:rPr>
          <w:rFonts w:ascii="IRNazanin" w:hAnsi="IRNazanin" w:eastAsia="IRNazanin"/>
          <w:color w:val="111111"/>
          <w:sz w:val="28"/>
          <w:sz w:val="28"/>
          <w:szCs w:val="28"/>
          <w:rtl w:val="true"/>
          <w:lang w:bidi="fa-IR"/>
        </w:rPr>
        <w:t>فلا یجب الجواب حینئذٍ</w:t>
      </w:r>
      <w:r>
        <w:rPr>
          <w:rFonts w:eastAsia="IRNazanin" w:cs="IRNazanin"/>
          <w:color w:val="111111"/>
          <w:sz w:val="28"/>
          <w:szCs w:val="28"/>
          <w:rtl w:val="true"/>
          <w:lang w:bidi="fa-IR"/>
        </w:rPr>
        <w:t>.</w:t>
      </w:r>
    </w:p>
    <w:p>
      <w:pPr>
        <w:pStyle w:val="Heading3"/>
        <w:numPr>
          <w:ilvl w:val="2"/>
          <w:numId w:val="1"/>
        </w:numPr>
        <w:rPr/>
      </w:pPr>
      <w:bookmarkStart w:id="1209" w:name="__RefHeading___Toc1841499_2322387425"/>
      <w:bookmarkStart w:id="1210" w:name="_Toc467"/>
      <w:bookmarkEnd w:id="1209"/>
      <w:r>
        <w:rPr>
          <w:rtl w:val="true"/>
        </w:rPr>
        <w:t>حکم ما لو شک المصلی أن المسلم قصده مع الجماعة، أو لا</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المصلّی بین جماعة فسلّم واحد علیهم، وشکّ المصلّی فی أنّ المسلِّم قَصَدَهُ أیضاً أم لا لا یجوز</w:t>
      </w:r>
      <w:r>
        <w:rPr>
          <w:rStyle w:val="FootnoteAnchor"/>
          <w:rtl w:val="true"/>
        </w:rPr>
        <w:footnoteReference w:id="1333"/>
      </w:r>
      <w:r>
        <w:rPr>
          <w:rFonts w:ascii="IRNazanin" w:hAnsi="IRNazanin" w:eastAsia="IRNazanin"/>
          <w:color w:val="111111"/>
          <w:sz w:val="28"/>
          <w:sz w:val="28"/>
          <w:szCs w:val="28"/>
          <w:rtl w:val="true"/>
          <w:lang w:bidi="fa-IR"/>
        </w:rPr>
        <w:t>الجواب</w:t>
      </w:r>
      <w:r>
        <w:rPr>
          <w:rStyle w:val="FootnoteAnchor"/>
          <w:rtl w:val="true"/>
        </w:rPr>
        <w:footnoteReference w:id="1334"/>
      </w:r>
      <w:r>
        <w:rPr>
          <w:rFonts w:ascii="IRNazanin" w:hAnsi="IRNazanin" w:eastAsia="IRNazanin"/>
          <w:color w:val="111111"/>
          <w:sz w:val="28"/>
          <w:sz w:val="28"/>
          <w:szCs w:val="28"/>
          <w:rtl w:val="true"/>
          <w:lang w:bidi="fa-IR"/>
        </w:rPr>
        <w:t>، نعم، لا بأس</w:t>
      </w:r>
      <w:r>
        <w:rPr>
          <w:rStyle w:val="FootnoteAnchor"/>
          <w:rtl w:val="true"/>
        </w:rPr>
        <w:footnoteReference w:id="1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هنا بقصد القرآن، لکنّ قصدَ الدعاء مشکل؛ لِما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القرآن لا بأس به هنا؛ لعدم إحراز وجوب ردّ السلام، وأمّا قصد الدعاء فمشکل،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إذا کان یتحقّق به التخاطب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قصد الدعاء الإشکال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قصد القرآن ینافی قصد الجواب ولا یؤدّی به الوظیفة، ومرّ الإشکال فی الدعاء المشتمل علی خطاب الآدمی، وبعبارة أحسن خطاب الآدمی المشتمل علی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المخاطبة بالدعاء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1" w:name="pg13278_326768"/>
    </w:p>
    <w:p>
      <w:pPr>
        <w:pStyle w:val="Heading3"/>
        <w:numPr>
          <w:ilvl w:val="2"/>
          <w:numId w:val="1"/>
        </w:numPr>
        <w:rPr/>
      </w:pPr>
      <w:bookmarkStart w:id="1212" w:name="__RefHeading___Toc1841501_2322387425"/>
      <w:bookmarkStart w:id="1213" w:name="_Toc468"/>
      <w:bookmarkEnd w:id="1211"/>
      <w:bookmarkEnd w:id="1212"/>
      <w:r>
        <w:rPr>
          <w:rtl w:val="true"/>
        </w:rPr>
        <w:t>وجوب رد السلام فوراً، و عدمه لو أخر عصیاناً أو نسیاناً مع خروجه عن صدق الجواب، و إن کان فی الصلاة لم یجز</w:t>
      </w:r>
      <w:bookmarkEnd w:id="1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جواب السلام فوراً</w:t>
      </w:r>
      <w:r>
        <w:rPr>
          <w:rStyle w:val="FootnoteAnchor"/>
          <w:rtl w:val="true"/>
        </w:rPr>
        <w:footnoteReference w:id="1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یصدق التحیّة فی جواب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أخّر عصیاناً أو نسیاناً بحیث 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أراد به الخروج عن صدق الردّ الذی هو متعلّق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صدق الجواب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التحیّة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یجب، وإن کان فی الصلاة لم یجز، وإن شکّ فی الخروج عن الصدق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الموضوعیة، وإلاّ فإمّا الاحتیاط أو الرجوع الی المقلَّد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المورد من الشک فی المقتضی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الشکّ من جهة المصداق دون المفهوم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ولا فائدة فی استحباب وجوب الرد إذ الشک فی صدق الرد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ینفع الإستصحاب التعلیقی الموضوعی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ولو فی غیر الصلاة، ومرّ الکلام فی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بعد عدم تمامیة الاستصحابین، الحکمی المنجّز، والموضوعی المعلّق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الجواب عرفاً، وإلاّ فیشکل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الجواب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یتمّ الوجوب إلاّ مع استصحاب الموضوع، وحیث إنّ الأصل لا یجری إلاّ علی نحو التعلیق یُشکل جریانه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بالردّ ثمّ إعادة الصلاة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الصلاة فضلاً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یصدق فالأحوط ردّ السلام وإعادة الصلاة بعد إکمالها، ولکنّ الأحوط وجوبا فیها قصد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bookmarkStart w:id="1214" w:name="pg13278_326769"/>
    </w:p>
    <w:p>
      <w:pPr>
        <w:pStyle w:val="BookText"/>
        <w:rPr/>
      </w:pPr>
      <w:bookmarkEnd w:id="1214"/>
      <w:r>
        <w:rPr>
          <w:rFonts w:ascii="IRNazanin" w:hAnsi="IRNazanin" w:eastAsia="IRNazanin"/>
          <w:color w:val="111111"/>
          <w:sz w:val="28"/>
          <w:sz w:val="28"/>
          <w:szCs w:val="28"/>
          <w:rtl w:val="true"/>
          <w:lang w:bidi="fa-IR"/>
        </w:rPr>
        <w:t>کان</w:t>
      </w:r>
      <w:r>
        <w:rPr>
          <w:rStyle w:val="FootnoteAnchor"/>
          <w:rtl w:val="true"/>
        </w:rPr>
        <w:footnoteReference w:id="1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الردّ ثمّ إعادة الصلاة بعد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فی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قصد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الجمع بین القصدین، وتقدّم أیضاً أنّ الأقوی فی هذه الموارد الاقتصار علی قصد القرآنیّة وترک قصد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1841503_2322387425"/>
      <w:bookmarkStart w:id="1216" w:name="_Toc469"/>
      <w:bookmarkEnd w:id="1215"/>
      <w:r>
        <w:rPr>
          <w:rtl w:val="true"/>
        </w:rPr>
        <w:t>وجوب إسماع رد السلام، سواء کان فی الصلاة أم لا، إلا إذا سلم و مشی سریعاً</w:t>
      </w:r>
      <w:bookmarkEnd w:id="121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1338"/>
      </w:r>
      <w:r>
        <w:rPr>
          <w:rFonts w:ascii="Amiri" w:hAnsi="Amiri" w:eastAsia="Amiri" w:cs="Amiri"/>
          <w:color w:val="111111"/>
          <w:sz w:val="28"/>
          <w:sz w:val="28"/>
          <w:szCs w:val="28"/>
          <w:rtl w:val="true"/>
          <w:lang w:bidi="ar-SA"/>
        </w:rPr>
        <w:t>إسماع الردّ</w:t>
      </w:r>
      <w:r>
        <w:rPr>
          <w:rStyle w:val="FootnoteAnchor"/>
          <w:rtl w:val="true"/>
        </w:rPr>
        <w:footnoteReference w:id="1339"/>
      </w:r>
      <w:r>
        <w:rPr>
          <w:rFonts w:ascii="IRNazanin" w:hAnsi="IRNazanin" w:eastAsia="IRNazanin"/>
          <w:color w:val="111111"/>
          <w:sz w:val="28"/>
          <w:sz w:val="28"/>
          <w:szCs w:val="28"/>
          <w:rtl w:val="true"/>
          <w:lang w:bidi="fa-IR"/>
        </w:rPr>
        <w:t xml:space="preserve">، سواء کان فی الصلاة أم لا، إلاّ إذا </w:t>
      </w:r>
    </w:p>
    <w:p>
      <w:pPr>
        <w:pStyle w:val="BookText"/>
        <w:rPr/>
      </w:pPr>
      <w:r>
        <w:rPr>
          <w:rFonts w:ascii="Amiri" w:hAnsi="Amiri" w:eastAsia="Amiri" w:cs="Amiri"/>
          <w:color w:val="111111"/>
          <w:sz w:val="28"/>
          <w:sz w:val="28"/>
          <w:szCs w:val="28"/>
          <w:rtl w:val="true"/>
          <w:lang w:bidi="ar-SA"/>
        </w:rPr>
        <w:t>سلّم ومشی سریعاً</w:t>
      </w:r>
      <w:r>
        <w:rPr>
          <w:rStyle w:val="FootnoteAnchor"/>
          <w:rtl w:val="true"/>
        </w:rPr>
        <w:footnoteReference w:id="1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الردّ فی هذا الصورة 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المسلِّم بعیداً بحیث لا یمکن إسماعه الجواب فالظاهر عدم وجوبه، فلا یجوز الردّ فی الصلاة فتبطل به، وإن کان بعیداً بحیث یحتاج إسماعه إلی رفع الصوت یجب، إلاّ مع حرجیته، وإن کان فی الصلاة ففی وجوب رفعه وإسماعه مع عدم الحرجیة وعدمه 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یحتمل استماعه لم یجب ردّ التحیّة، ولا یجوز إذا کان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 الجواب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أصل الوجوب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الجواب علی النحو المتعارف فی الردّ، والأحوط الأولی أن یُجیب بالإشارة ونحوها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کان المسلِّم أصمّ فیکفی الجواب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یمکنه الإسماع بدون الحرج أو إحدی المحاذیر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وجوبه حینئذٍ غیر معلوم، وکذا جوازه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الإسماع ولو برفع الصوت بمقدارٍ لا یوجب الحرج، وفی غیر هذه الصورة لا یجب الردّ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یُقال بوجوب الردّ بنحو یلتفت إلیه الأصمّ ولو بالإشارة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1217" w:name="pg13278_326771"/>
    </w:p>
    <w:p>
      <w:pPr>
        <w:pStyle w:val="BookText"/>
        <w:rPr/>
      </w:pPr>
      <w:bookmarkEnd w:id="1217"/>
      <w:r>
        <w:rPr>
          <w:rFonts w:ascii="IRNazanin" w:hAnsi="IRNazanin" w:eastAsia="IRNazanin"/>
          <w:color w:val="111111"/>
          <w:sz w:val="28"/>
          <w:sz w:val="28"/>
          <w:szCs w:val="28"/>
          <w:rtl w:val="true"/>
          <w:lang w:bidi="fa-IR"/>
        </w:rPr>
        <w:t>المتعارف</w:t>
      </w:r>
      <w:r>
        <w:rPr>
          <w:rStyle w:val="FootnoteAnchor"/>
          <w:rtl w:val="true"/>
        </w:rPr>
        <w:footnoteReference w:id="1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اقترانه بالإشارة ونحوها بحیث یلتفت المسلِّم، وإلاّ فلا یبعد سقوط وجوبه، والأحوط أن یقصد به الدعاء له إن لم یکن فی حال الصلاة، وأمّا فیها فیُـترک الخطاب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فی الفرضین الجواب إذا أمکن تفهیمه إیّاه بإشارة ونحوها، ومع عدم التمکّن منه لا یجب فی غیر الصلاة، ولا یجوز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لو لم یبعد أو لم یکن أصمّ کان یسمع</w:t>
      </w:r>
      <w:r>
        <w:rPr>
          <w:rFonts w:eastAsia="IRNazanin" w:cs="IRNazanin"/>
          <w:color w:val="111111"/>
          <w:sz w:val="28"/>
          <w:szCs w:val="28"/>
          <w:rtl w:val="true"/>
          <w:lang w:bidi="fa-IR"/>
        </w:rPr>
        <w:t>.</w:t>
      </w:r>
    </w:p>
    <w:p>
      <w:pPr>
        <w:pStyle w:val="Heading3"/>
        <w:numPr>
          <w:ilvl w:val="2"/>
          <w:numId w:val="1"/>
        </w:numPr>
        <w:rPr/>
      </w:pPr>
      <w:bookmarkStart w:id="1218" w:name="__RefHeading___Toc1841505_2322387425"/>
      <w:bookmarkStart w:id="1219" w:name="_Toc470"/>
      <w:bookmarkEnd w:id="1218"/>
      <w:r>
        <w:rPr>
          <w:rtl w:val="true"/>
        </w:rPr>
        <w:t>فی ما لو کانت التحیة بغیر لفظ السلام، و لو کان فی أثناء الصلاة</w:t>
      </w:r>
      <w:bookmarkEnd w:id="1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التحیّة بغیر لفظ السلام</w:t>
      </w:r>
      <w:r>
        <w:rPr>
          <w:rStyle w:val="FootnoteAnchor"/>
          <w:rtl w:val="true"/>
        </w:rPr>
        <w:footnoteReference w:id="13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القرآنیة أو الدعاء لا یکفی فی صدق الردّ فیه وفی جمیع ما ذکره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صَبَّحَکَ اللّه‌ُ</w:t>
      </w:r>
    </w:p>
    <w:p>
      <w:pPr>
        <w:pStyle w:val="BookText"/>
        <w:rPr/>
      </w:pPr>
      <w:r>
        <w:rPr>
          <w:rFonts w:ascii="IRNazanin" w:hAnsi="IRNazanin" w:eastAsia="IRNazanin"/>
          <w:color w:val="111111"/>
          <w:sz w:val="28"/>
          <w:sz w:val="28"/>
          <w:szCs w:val="28"/>
          <w:rtl w:val="true"/>
          <w:lang w:bidi="fa-IR"/>
        </w:rPr>
        <w:t>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الردّ</w:t>
      </w:r>
      <w:r>
        <w:rPr>
          <w:rStyle w:val="FootnoteAnchor"/>
          <w:rtl w:val="true"/>
        </w:rPr>
        <w:footnoteReference w:id="1343"/>
      </w:r>
      <w:r>
        <w:rPr>
          <w:rFonts w:ascii="IRNazanin" w:hAnsi="IRNazanin" w:eastAsia="IRNazanin"/>
          <w:color w:val="111111"/>
          <w:sz w:val="28"/>
          <w:sz w:val="28"/>
          <w:szCs w:val="28"/>
          <w:rtl w:val="true"/>
          <w:lang w:bidi="fa-IR"/>
        </w:rPr>
        <w:t>، وإن کان هو الأحوط</w:t>
      </w:r>
      <w:r>
        <w:rPr>
          <w:rStyle w:val="FootnoteAnchor"/>
          <w:rtl w:val="true"/>
        </w:rPr>
        <w:footnoteReference w:id="1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کان فی الصلاة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بترکه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الردّ أو الدعاء له مع ترک المخاطبة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یترک الجواب لما مرّ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الردّ فی حال الصلاة بأحوط، بل الأحوط عدم الردّ ولو بقصد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ترکه، والأولی أن یدعو له بغیر المخاطبة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ترک المخاطبة،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النظر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خصوصاً إذا کان بنحو المخاطبة فالاحتیاط بالترک لا یترک کما تقدّم فلا یُترک الاحتیاط بالترک حتّی مع ترک المخاطبة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قصد الدعاء إذا کان بصورة المخاطبة، فالأحوط ترک الردّ إذا کان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مبطلیة مخاطبة غیر اللّه مطلقاً، فلا یردّ الجواب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بنحو التخاطب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تقدّم مع ترک مخاطبة الغیر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ترک المخاطبة،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الدعاء المتضمّن للمخاطبة، فلو أراد الردّ فی المقام فالأحوط الإتیان به علی نحوٍ یکون المخاطب به هو اللّه تعالی،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صَبِّحْهُ بالخیر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0" w:name="pg13278_326773"/>
    </w:p>
    <w:p>
      <w:pPr>
        <w:pStyle w:val="Heading3"/>
        <w:numPr>
          <w:ilvl w:val="2"/>
          <w:numId w:val="1"/>
        </w:numPr>
        <w:rPr/>
      </w:pPr>
      <w:bookmarkStart w:id="1221" w:name="__RefHeading___Toc1841507_2322387425"/>
      <w:bookmarkStart w:id="1222" w:name="_Toc471"/>
      <w:bookmarkEnd w:id="1220"/>
      <w:bookmarkEnd w:id="1221"/>
      <w:r>
        <w:rPr>
          <w:rtl w:val="true"/>
        </w:rPr>
        <w:t>حکم ما لو شک المصلی بأن المسلم سلم بأی صیغة؟</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شکّ المصلّی فی أنّ المسلِّم سلّم بأیّ صیغةٍ؟ فالأحوط</w:t>
      </w:r>
      <w:r>
        <w:rPr>
          <w:rStyle w:val="FootnoteAnchor"/>
          <w:rtl w:val="true"/>
        </w:rPr>
        <w:footnoteReference w:id="1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ردّه بتقدیم السلام بقصد التحیّة، ومرّ ما فی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الرّد بکلٍّ من الصِیَغ المحتملة المتعارفة بناءً علی عدم اعتبار المماثلة التامّة، کما هو المنصور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الاعتبار فالأحوط الردّ بالتکرار مع قصد القرآنیّة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تعیّن هذه الصیغة بلا قصد القرآن والدعاء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الدعاء،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bookmarkStart w:id="1223" w:name="pg13278_326774"/>
    </w:p>
    <w:p>
      <w:pPr>
        <w:pStyle w:val="BookText"/>
        <w:rPr/>
      </w:pPr>
      <w:bookmarkEnd w:id="1223"/>
      <w:r>
        <w:rPr>
          <w:rFonts w:ascii="IRNazanin" w:hAnsi="IRNazanin" w:eastAsia="IRNazanin"/>
          <w:color w:val="111111"/>
          <w:sz w:val="28"/>
          <w:sz w:val="28"/>
          <w:szCs w:val="28"/>
          <w:rtl w:val="true"/>
          <w:lang w:bidi="fa-IR"/>
        </w:rPr>
        <w:t>أن</w:t>
      </w:r>
      <w:r>
        <w:rPr>
          <w:rStyle w:val="FootnoteAnchor"/>
          <w:rtl w:val="true"/>
        </w:rPr>
        <w:footnoteReference w:id="1346"/>
      </w:r>
      <w:r>
        <w:rPr>
          <w:rFonts w:ascii="Amiri" w:hAnsi="Amiri" w:eastAsia="Amiri" w:cs="Amiri"/>
          <w:color w:val="111111"/>
          <w:sz w:val="28"/>
          <w:sz w:val="28"/>
          <w:szCs w:val="28"/>
          <w:rtl w:val="true"/>
          <w:lang w:bidi="ar-SA"/>
        </w:rPr>
        <w:t>یردّ</w:t>
      </w:r>
      <w:r>
        <w:rPr>
          <w:rStyle w:val="FootnoteAnchor"/>
          <w:rtl w:val="true"/>
        </w:rPr>
        <w:footnoteReference w:id="1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یبعد جواز الردّ بغیرها من الصیغ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بقصد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التنافی، فعلیه یرد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جوازه بقصد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ردّ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بلا قصد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الدعاء،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یقصد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قصد الدعاء فیتعین قصد القرآنیة ولا ینافی قصد القرآنیّة قصد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فیهما، و أنّه لا یحصل الاحتیاط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الجواب بأیّ صیغةٍ من الصیغ الأربع المتعارفة، لکنّ الأحوط وجوبا استئناف الصلاة إذا لم یتمکّن من قصد القرآنیة فی المحتملات ولو بالتلفیق من آیتین، وإلاّ 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1841509_2322387425"/>
      <w:bookmarkStart w:id="1225" w:name="_Toc472"/>
      <w:bookmarkEnd w:id="1224"/>
      <w:r>
        <w:rPr>
          <w:rtl w:val="true"/>
        </w:rPr>
        <w:t>کراهة السلام علی المصلی</w:t>
      </w:r>
      <w:bookmarkEnd w:id="1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السلام علی المصلّی</w:t>
      </w:r>
      <w:r>
        <w:rPr>
          <w:rFonts w:eastAsia="IRNazanin" w:cs="IRNazanin"/>
          <w:color w:val="111111"/>
          <w:sz w:val="28"/>
          <w:szCs w:val="28"/>
          <w:rtl w:val="true"/>
          <w:lang w:bidi="fa-IR"/>
        </w:rPr>
        <w:t>.</w:t>
      </w:r>
    </w:p>
    <w:p>
      <w:pPr>
        <w:pStyle w:val="Heading3"/>
        <w:numPr>
          <w:ilvl w:val="2"/>
          <w:numId w:val="1"/>
        </w:numPr>
        <w:rPr/>
      </w:pPr>
      <w:bookmarkStart w:id="1226" w:name="__RefHeading___Toc1841511_2322387425"/>
      <w:bookmarkStart w:id="1227" w:name="_Toc473"/>
      <w:bookmarkEnd w:id="1226"/>
      <w:r>
        <w:rPr>
          <w:rtl w:val="true"/>
        </w:rPr>
        <w:t>کفائیة وجوب رد السلام، و عدم سقوط الاستحباب بالنسبة إلی الباقین</w:t>
      </w:r>
      <w:bookmarkEnd w:id="122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السلام واجب کفائیّ، فلو کان المسلَّم علیهم جماعة </w:t>
      </w:r>
    </w:p>
    <w:p>
      <w:pPr>
        <w:pStyle w:val="BookText"/>
        <w:rPr/>
      </w:pPr>
      <w:r>
        <w:rPr>
          <w:rFonts w:ascii="IRNazanin" w:hAnsi="IRNazanin" w:eastAsia="IRNazanin"/>
          <w:color w:val="111111"/>
          <w:sz w:val="28"/>
          <w:sz w:val="28"/>
          <w:szCs w:val="28"/>
          <w:rtl w:val="true"/>
          <w:lang w:bidi="fa-IR"/>
        </w:rPr>
        <w:t>یکفی ردّ أحدهم، ولکنّ الظاهر عدم سقوط</w:t>
      </w:r>
      <w:r>
        <w:rPr>
          <w:rStyle w:val="FootnoteAnchor"/>
          <w:rtl w:val="true"/>
        </w:rPr>
        <w:footnoteReference w:id="1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عدم الاستحباب حتّی فی غیر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یردّ الباقون رجاءً فی غیر الصلاة، ولا یردّ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الصلاة، وأمّا فیها فالسقوط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غیر حال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السقوط بعد تمامیة الردّ من أحدهم، نعم، للبقیّة الردّ مادام کونه متشاغلاً، لکن یقع واجباً عن الکلّ، ولکنّ الأحوط فی الصلاة أن لا یردّ إذا ردّه غیره، بل عدم الجواز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الباقین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المصلّی منهم، وقد مرّت کفایة ردّ الصبیّ الممیِّز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غیر الصلاة،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الأحوط ردّ کلّ مَن قصد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یسقط بردّ مَن لم یکن داخلاً فی تلک الجماعة أو لم یکن مقصوداً،</w:t>
      </w:r>
    </w:p>
    <w:p>
      <w:pPr>
        <w:pStyle w:val="BookText"/>
        <w:rPr/>
      </w:pPr>
      <w:r>
        <w:rPr>
          <w:rFonts w:ascii="IRNazanin" w:hAnsi="IRNazanin" w:eastAsia="IRNazanin"/>
          <w:color w:val="111111"/>
          <w:sz w:val="28"/>
          <w:sz w:val="28"/>
          <w:szCs w:val="28"/>
          <w:rtl w:val="true"/>
          <w:lang w:bidi="fa-IR"/>
        </w:rPr>
        <w:t>والظاهر</w:t>
      </w:r>
      <w:r>
        <w:rPr>
          <w:rStyle w:val="FootnoteAnchor"/>
          <w:rtl w:val="true"/>
        </w:rPr>
        <w:footnoteReference w:id="1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کفایته،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کفایته،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الکفایة، ومسألة التحیّة غیر مبنیّة علی مبنی شرعیّة عباداته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الکفایة، مع کونه مقصوداً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تقویة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غیر بعیدة،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منه قدس‌سرهم الإشکال فی الکفایة، وعلیه فلابدّ من رعایة الاحتیاط بالردّ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الأظهر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 الکفایة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یجز الردُّ، والأحوط الردّ وإعادة الصلاة،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کفایته،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1228" w:name="pg13278_326777"/>
    </w:p>
    <w:p>
      <w:pPr>
        <w:pStyle w:val="BookText"/>
        <w:rPr/>
      </w:pPr>
      <w:bookmarkEnd w:id="1228"/>
      <w:r>
        <w:rPr>
          <w:rFonts w:ascii="Amiri" w:hAnsi="Amiri" w:eastAsia="Amiri" w:cs="Amiri"/>
          <w:color w:val="111111"/>
          <w:sz w:val="28"/>
          <w:sz w:val="28"/>
          <w:szCs w:val="28"/>
          <w:rtl w:val="true"/>
          <w:lang w:bidi="ar-SA"/>
        </w:rPr>
        <w:t>أیضاً</w:t>
      </w:r>
      <w:r>
        <w:rPr>
          <w:rStyle w:val="FootnoteAnchor"/>
          <w:rtl w:val="true"/>
        </w:rPr>
        <w:footnoteReference w:id="1350"/>
      </w:r>
      <w:r>
        <w:rPr>
          <w:rFonts w:ascii="IRNazanin" w:hAnsi="IRNazanin" w:eastAsia="IRNazanin"/>
          <w:color w:val="111111"/>
          <w:sz w:val="28"/>
          <w:sz w:val="28"/>
          <w:szCs w:val="28"/>
          <w:rtl w:val="true"/>
          <w:lang w:bidi="fa-IR"/>
        </w:rPr>
        <w:t>، والمشهور علی</w:t>
      </w:r>
      <w:r>
        <w:rPr>
          <w:rStyle w:val="FootnoteAnchor"/>
          <w:rtl w:val="true"/>
        </w:rPr>
        <w:footnoteReference w:id="1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علیه بعض الأخبار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الابتداء بالسلام أیضاً من المستحبّات الکفائیّة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أنّها من المستحبّات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به نصّ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کان الداخلون جماعةً یکفی سلام أحدهم، ولا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الباقون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الباقین أیضاً، وإن لم یکن موءکّداً</w:t>
      </w:r>
      <w:r>
        <w:rPr>
          <w:rFonts w:eastAsia="IRNazanin" w:cs="IRNazanin"/>
          <w:color w:val="111111"/>
          <w:sz w:val="28"/>
          <w:szCs w:val="28"/>
          <w:rtl w:val="true"/>
          <w:lang w:bidi="fa-IR"/>
        </w:rPr>
        <w:t>.</w:t>
      </w:r>
    </w:p>
    <w:p>
      <w:pPr>
        <w:pStyle w:val="Heading3"/>
        <w:numPr>
          <w:ilvl w:val="2"/>
          <w:numId w:val="1"/>
        </w:numPr>
        <w:rPr/>
      </w:pPr>
      <w:bookmarkStart w:id="1229" w:name="__RefHeading___Toc1841513_2322387425"/>
      <w:bookmarkStart w:id="1230" w:name="_Toc474"/>
      <w:bookmarkEnd w:id="1229"/>
      <w:r>
        <w:rPr>
          <w:rtl w:val="true"/>
        </w:rPr>
        <w:t>جواز سلام الأجنبی علی الأجنبیة، و بالعکس مع عدم الریبة أو خوف الفتنة</w:t>
      </w:r>
      <w:bookmarkEnd w:id="1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سلام الأجنبیّ علی</w:t>
      </w:r>
      <w:r>
        <w:rPr>
          <w:rStyle w:val="FootnoteAnchor"/>
          <w:rtl w:val="true"/>
        </w:rPr>
        <w:footnoteReference w:id="1352"/>
      </w:r>
      <w:r>
        <w:rPr>
          <w:rFonts w:ascii="Amiri" w:hAnsi="Amiri" w:eastAsia="Amiri" w:cs="Amiri"/>
          <w:color w:val="111111"/>
          <w:sz w:val="28"/>
          <w:sz w:val="28"/>
          <w:szCs w:val="28"/>
          <w:rtl w:val="true"/>
          <w:lang w:bidi="ar-SA"/>
        </w:rPr>
        <w:t>الأجنبیّة</w:t>
      </w:r>
      <w:r>
        <w:rPr>
          <w:rStyle w:val="FootnoteAnchor"/>
          <w:rtl w:val="true"/>
        </w:rPr>
        <w:footnoteReference w:id="1353"/>
      </w:r>
      <w:r>
        <w:rPr>
          <w:rFonts w:ascii="IRNazanin" w:hAnsi="IRNazanin" w:eastAsia="IRNazanin"/>
          <w:color w:val="111111"/>
          <w:sz w:val="28"/>
          <w:sz w:val="28"/>
          <w:szCs w:val="28"/>
          <w:rtl w:val="true"/>
          <w:lang w:bidi="fa-IR"/>
        </w:rPr>
        <w:t>، وبالعکس</w:t>
      </w:r>
      <w:r>
        <w:rPr>
          <w:rStyle w:val="FootnoteAnchor"/>
          <w:rtl w:val="true"/>
        </w:rPr>
        <w:footnoteReference w:id="1354"/>
      </w:r>
      <w:r>
        <w:rPr>
          <w:rFonts w:ascii="IRNazanin" w:hAnsi="IRNazanin" w:eastAsia="IRNazanin"/>
          <w:color w:val="111111"/>
          <w:sz w:val="28"/>
          <w:sz w:val="28"/>
          <w:szCs w:val="28"/>
          <w:rtl w:val="true"/>
          <w:lang w:bidi="fa-IR"/>
        </w:rPr>
        <w:t>علی الأقوی إذا لم یکن هناک</w:t>
      </w:r>
      <w:r>
        <w:rPr>
          <w:rStyle w:val="FootnoteAnchor"/>
          <w:rtl w:val="true"/>
        </w:rPr>
        <w:footnoteReference w:id="13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الجواز مع خوف الفتنة أو الریبة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ریبة أو خوف فتنة، حیث إنّ صوت</w:t>
      </w:r>
      <w:bookmarkStart w:id="1231" w:name="pg13278_326778"/>
    </w:p>
    <w:p>
      <w:pPr>
        <w:pStyle w:val="BookText"/>
        <w:rPr/>
      </w:pPr>
      <w:bookmarkEnd w:id="1231"/>
      <w:r>
        <w:rPr>
          <w:rFonts w:ascii="IRNazanin" w:hAnsi="IRNazanin" w:eastAsia="IRNazanin"/>
          <w:color w:val="111111"/>
          <w:sz w:val="28"/>
          <w:sz w:val="28"/>
          <w:szCs w:val="28"/>
          <w:rtl w:val="true"/>
          <w:lang w:bidi="fa-IR"/>
        </w:rPr>
        <w:t>المرأة من حیث هو لیس عورة</w:t>
      </w:r>
      <w:r>
        <w:rPr>
          <w:rFonts w:eastAsia="IRNazanin" w:cs="IRNazanin"/>
          <w:color w:val="111111"/>
          <w:sz w:val="28"/>
          <w:szCs w:val="28"/>
          <w:rtl w:val="true"/>
          <w:lang w:bidi="fa-IR"/>
        </w:rPr>
        <w:t>.</w:t>
      </w:r>
    </w:p>
    <w:p>
      <w:pPr>
        <w:pStyle w:val="Heading3"/>
        <w:numPr>
          <w:ilvl w:val="2"/>
          <w:numId w:val="1"/>
        </w:numPr>
        <w:rPr/>
      </w:pPr>
      <w:bookmarkStart w:id="1232" w:name="__RefHeading___Toc1841515_2322387425"/>
      <w:bookmarkStart w:id="1233" w:name="_Toc475"/>
      <w:bookmarkEnd w:id="1232"/>
      <w:r>
        <w:rPr>
          <w:rtl w:val="true"/>
        </w:rPr>
        <w:t>حکم الابتداء بالسلام علی الکافر، و سلام الذمی علی المسلم و کیفیته</w:t>
      </w:r>
      <w:bookmarkEnd w:id="1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بعض الأخبار عدم جواز الابتداء بالسلام علی الکافر إلاّ لضرورة</w:t>
      </w:r>
      <w:r>
        <w:rPr>
          <w:rStyle w:val="FootnoteAnchor"/>
          <w:rtl w:val="true"/>
        </w:rPr>
        <w:footnoteReference w:id="1356"/>
      </w:r>
      <w:r>
        <w:rPr>
          <w:rFonts w:ascii="IRNazanin" w:hAnsi="IRNazanin" w:eastAsia="IRNazanin"/>
          <w:color w:val="111111"/>
          <w:sz w:val="28"/>
          <w:sz w:val="28"/>
          <w:szCs w:val="28"/>
          <w:rtl w:val="true"/>
          <w:lang w:bidi="fa-IR"/>
        </w:rPr>
        <w:t>، لکن یمکن الحمل</w:t>
      </w:r>
      <w:r>
        <w:rPr>
          <w:rStyle w:val="FootnoteAnchor"/>
          <w:rtl w:val="true"/>
        </w:rPr>
        <w:footnoteReference w:id="1357"/>
      </w:r>
      <w:r>
        <w:rPr>
          <w:rFonts w:ascii="IRNazanin" w:hAnsi="IRNazanin" w:eastAsia="IRNazanin"/>
          <w:color w:val="111111"/>
          <w:sz w:val="28"/>
          <w:sz w:val="28"/>
          <w:szCs w:val="28"/>
          <w:rtl w:val="true"/>
          <w:lang w:bidi="fa-IR"/>
        </w:rPr>
        <w:t>علی إرادة الکراهة</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سلّم الذمّی علی مسلم فالأحوط</w:t>
      </w:r>
      <w:r>
        <w:rPr>
          <w:rStyle w:val="FootnoteAnchor"/>
          <w:rtl w:val="true"/>
        </w:rPr>
        <w:footnoteReference w:id="1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الأوّل، وإن کان جواز الثانی لأجل تألیف قلوبهم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ردّ تحیّته، نعم، الأحوط أن یکون الردّ بأحد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أصل الردّ مطابق للاحتیاط، وأمّا الاقتصار فی الردّ بما ذکر فلِوُرُودِه فی بعض الأخبار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بالأوّل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التحیّة، وإلاّ فیأتی بالصیغة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تعیّنه فی مقام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4" w:name="pg13278_326779"/>
    </w:p>
    <w:p>
      <w:pPr>
        <w:pStyle w:val="Heading3"/>
        <w:numPr>
          <w:ilvl w:val="2"/>
          <w:numId w:val="1"/>
        </w:numPr>
        <w:rPr/>
      </w:pPr>
      <w:bookmarkStart w:id="1235" w:name="__RefHeading___Toc1841517_2322387425"/>
      <w:bookmarkStart w:id="1236" w:name="_Toc476"/>
      <w:bookmarkEnd w:id="1234"/>
      <w:bookmarkEnd w:id="1235"/>
      <w:r>
        <w:rPr>
          <w:rtl w:val="true"/>
        </w:rPr>
        <w:t>استحباب سلام الراکب علی الماشی، و القائم علی الجالس، و القلة علی الکثرة، و غیرها</w:t>
      </w:r>
      <w:bookmarkEnd w:id="1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بعض الأخبار أ نّه یستحبّ أن یسلّم الراکب علی الماشی، وأصحاب الخیل علی أصحاب البغال، وهم علی أصحاب الحمیر، والقائم</w:t>
      </w:r>
      <w:r>
        <w:rPr>
          <w:rStyle w:val="FootnoteAnchor"/>
          <w:rtl w:val="true"/>
        </w:rPr>
        <w:footnoteReference w:id="1360"/>
      </w:r>
      <w:r>
        <w:rPr>
          <w:rFonts w:ascii="IRNazanin" w:hAnsi="IRNazanin" w:eastAsia="IRNazanin"/>
          <w:color w:val="111111"/>
          <w:sz w:val="28"/>
          <w:sz w:val="28"/>
          <w:szCs w:val="28"/>
          <w:rtl w:val="true"/>
          <w:lang w:bidi="fa-IR"/>
        </w:rPr>
        <w:t>علی الجالس</w:t>
      </w:r>
      <w:r>
        <w:rPr>
          <w:rStyle w:val="FootnoteAnchor"/>
          <w:rtl w:val="true"/>
        </w:rPr>
        <w:footnoteReference w:id="1361"/>
      </w:r>
      <w:r>
        <w:rPr>
          <w:rFonts w:ascii="IRNazanin" w:hAnsi="IRNazanin" w:eastAsia="IRNazanin"/>
          <w:color w:val="111111"/>
          <w:sz w:val="28"/>
          <w:sz w:val="28"/>
          <w:szCs w:val="28"/>
          <w:rtl w:val="true"/>
          <w:lang w:bidi="fa-IR"/>
        </w:rPr>
        <w:t>، والجماعة القلیلة علی الکثیرة، والصغیر علی الکبیر، ومن المعلوم</w:t>
      </w:r>
      <w:r>
        <w:rPr>
          <w:rStyle w:val="FootnoteAnchor"/>
          <w:rtl w:val="true"/>
        </w:rPr>
        <w:footnoteReference w:id="1362"/>
      </w:r>
      <w:r>
        <w:rPr>
          <w:rFonts w:ascii="Amiri" w:hAnsi="Amiri" w:eastAsia="Amiri" w:cs="Amiri"/>
          <w:color w:val="111111"/>
          <w:sz w:val="28"/>
          <w:sz w:val="28"/>
          <w:szCs w:val="28"/>
          <w:rtl w:val="true"/>
          <w:lang w:bidi="ar-SA"/>
        </w:rPr>
        <w:t>أنّ</w:t>
      </w:r>
      <w:r>
        <w:rPr>
          <w:rStyle w:val="FootnoteAnchor"/>
          <w:rtl w:val="true"/>
        </w:rPr>
        <w:footnoteReference w:id="1363"/>
      </w:r>
      <w:r>
        <w:rPr>
          <w:rFonts w:ascii="IRNazanin" w:hAnsi="IRNazanin" w:eastAsia="IRNazanin"/>
          <w:color w:val="111111"/>
          <w:sz w:val="28"/>
          <w:sz w:val="28"/>
          <w:szCs w:val="28"/>
          <w:rtl w:val="true"/>
          <w:lang w:bidi="fa-IR"/>
        </w:rPr>
        <w:t>هذا مستحبّ فی</w:t>
      </w:r>
      <w:r>
        <w:rPr>
          <w:rStyle w:val="FootnoteAnchor"/>
          <w:rtl w:val="true"/>
        </w:rPr>
        <w:footnoteReference w:id="1364"/>
      </w:r>
      <w:r>
        <w:rPr>
          <w:rFonts w:ascii="Amiri" w:hAnsi="Amiri" w:eastAsia="Amiri" w:cs="Amiri"/>
          <w:color w:val="111111"/>
          <w:sz w:val="28"/>
          <w:sz w:val="28"/>
          <w:szCs w:val="28"/>
          <w:rtl w:val="true"/>
          <w:lang w:bidi="ar-SA"/>
        </w:rPr>
        <w:t>مستحبّ</w:t>
      </w:r>
      <w:r>
        <w:rPr>
          <w:rStyle w:val="FootnoteAnchor"/>
          <w:rtl w:val="true"/>
        </w:rPr>
        <w:footnoteReference w:id="1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تأکّد فی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 هذا الباب، بل من باب تأکّد الاستحباب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آکدیّة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تأکّد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هو تحیّة وتواضع أو توقیر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 قبیله، کما لا یخفی، بل من قبیل آکدیّة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أنّه لیس من ذلک الباب، بل من باب تأکّد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الاستحباب فیهم آکد من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تأکّد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هو من المستحبّ فی المستحبّ، بل من تأکّد الاستحباب علی المذکورین بالنسبة إلی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الاستحباب لهم آکد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 هذا القبیل؛ لأنّه لیس هنا شیئان، بل من قبیل الآکدیّة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فلو وقع العکس لم یخرج عن الاستحباب أیضاً</w:t>
      </w:r>
      <w:r>
        <w:rPr>
          <w:rFonts w:eastAsia="IRNazanin" w:cs="IRNazanin"/>
          <w:color w:val="111111"/>
          <w:sz w:val="28"/>
          <w:szCs w:val="28"/>
          <w:rtl w:val="true"/>
          <w:lang w:bidi="fa-IR"/>
        </w:rPr>
        <w:t>.</w:t>
      </w:r>
      <w:bookmarkStart w:id="1237" w:name="pg13278_326780"/>
    </w:p>
    <w:p>
      <w:pPr>
        <w:pStyle w:val="Heading3"/>
        <w:numPr>
          <w:ilvl w:val="2"/>
          <w:numId w:val="1"/>
        </w:numPr>
        <w:rPr/>
      </w:pPr>
      <w:bookmarkStart w:id="1238" w:name="__RefHeading___Toc1841519_2322387425"/>
      <w:bookmarkStart w:id="1239" w:name="_Toc477"/>
      <w:bookmarkEnd w:id="1237"/>
      <w:bookmarkEnd w:id="1238"/>
      <w:r>
        <w:rPr>
          <w:rtl w:val="true"/>
        </w:rPr>
        <w:t>عدم وجوب ردالسلام إن کان سخریة أو مزاح</w:t>
      </w:r>
      <w:bookmarkEnd w:id="1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سخریّة أو مزاحاً</w:t>
      </w:r>
      <w:r>
        <w:rPr>
          <w:rStyle w:val="FootnoteAnchor"/>
          <w:rtl w:val="true"/>
        </w:rPr>
        <w:footnoteReference w:id="1366"/>
      </w:r>
      <w:r>
        <w:rPr>
          <w:rFonts w:ascii="IRNazanin" w:hAnsi="IRNazanin" w:eastAsia="IRNazanin"/>
          <w:color w:val="111111"/>
          <w:sz w:val="28"/>
          <w:sz w:val="28"/>
          <w:szCs w:val="28"/>
          <w:rtl w:val="true"/>
          <w:lang w:bidi="fa-IR"/>
        </w:rPr>
        <w:t>فالظاهر عدم وجوب ردّه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1841521_2322387425"/>
      <w:bookmarkStart w:id="1241" w:name="_Toc478"/>
      <w:bookmarkEnd w:id="1240"/>
      <w:r>
        <w:rPr>
          <w:rtl w:val="true"/>
        </w:rPr>
        <w:t>عدم وجوب الرد إذا سلم علی أحد شخصین و لم یعلم أیهما أراد؟ و إن کان الأفضل الرد لکلیهما فی غیر حال الصلاة</w:t>
      </w:r>
      <w:bookmarkEnd w:id="1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علی أحدِ شخصَینِ ولم یعلم أ نّه أیّهما أراد؟ لا یجب الردّ علی واحدٍ منهما، وإن کان الأحوط فی غیر حال الصلاة الردّ من کلٍّ منهما</w:t>
      </w:r>
      <w:r>
        <w:rPr>
          <w:rStyle w:val="FootnoteAnchor"/>
          <w:rtl w:val="true"/>
        </w:rPr>
        <w:footnoteReference w:id="1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واحد منهما الردّ فی غیر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1242" w:name="__RefHeading___Toc1841523_2322387425"/>
      <w:bookmarkStart w:id="1243" w:name="_Toc479"/>
      <w:bookmarkEnd w:id="1242"/>
      <w:r>
        <w:rPr>
          <w:rtl w:val="true"/>
        </w:rPr>
        <w:t>لو تقارن سلام شخصین کل الآخر وجب علی کل فهما الرد للآخر</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تقارن</w:t>
      </w:r>
      <w:r>
        <w:rPr>
          <w:rStyle w:val="FootnoteAnchor"/>
          <w:rtl w:val="true"/>
        </w:rPr>
        <w:footnoteReference w:id="1369"/>
      </w:r>
      <w:r>
        <w:rPr>
          <w:rFonts w:ascii="IRNazanin" w:hAnsi="IRNazanin" w:eastAsia="IRNazanin"/>
          <w:color w:val="111111"/>
          <w:sz w:val="28"/>
          <w:sz w:val="28"/>
          <w:szCs w:val="28"/>
          <w:rtl w:val="true"/>
          <w:lang w:bidi="fa-IR"/>
        </w:rPr>
        <w:t>سلام</w:t>
      </w:r>
      <w:r>
        <w:rPr>
          <w:rStyle w:val="FootnoteAnchor"/>
          <w:rtl w:val="true"/>
        </w:rPr>
        <w:footnoteReference w:id="1370"/>
      </w:r>
      <w:r>
        <w:rPr>
          <w:rFonts w:ascii="Amiri" w:hAnsi="Amiri" w:eastAsia="Amiri" w:cs="Amiri"/>
          <w:color w:val="111111"/>
          <w:sz w:val="28"/>
          <w:sz w:val="28"/>
          <w:szCs w:val="28"/>
          <w:rtl w:val="true"/>
          <w:lang w:bidi="ar-SA"/>
        </w:rPr>
        <w:t>شخصَینِ</w:t>
      </w:r>
      <w:r>
        <w:rPr>
          <w:rStyle w:val="FootnoteAnchor"/>
          <w:rtl w:val="true"/>
        </w:rPr>
        <w:footnoteReference w:id="1371"/>
      </w:r>
      <w:r>
        <w:rPr>
          <w:rFonts w:ascii="IRNazanin" w:hAnsi="IRNazanin" w:eastAsia="IRNazanin"/>
          <w:color w:val="111111"/>
          <w:sz w:val="28"/>
          <w:sz w:val="28"/>
          <w:szCs w:val="28"/>
          <w:rtl w:val="true"/>
          <w:lang w:bidi="fa-IR"/>
        </w:rPr>
        <w:t>کلّ علی الآخر وجب</w:t>
      </w:r>
      <w:r>
        <w:rPr>
          <w:rStyle w:val="FootnoteAnchor"/>
          <w:rtl w:val="true"/>
        </w:rPr>
        <w:footnoteReference w:id="1372"/>
      </w:r>
      <w:r>
        <w:rPr>
          <w:rFonts w:ascii="Amiri" w:hAnsi="Amiri" w:eastAsia="Amiri" w:cs="Amiri"/>
          <w:color w:val="111111"/>
          <w:sz w:val="28"/>
          <w:sz w:val="28"/>
          <w:szCs w:val="28"/>
          <w:rtl w:val="true"/>
          <w:lang w:bidi="ar-SA"/>
        </w:rPr>
        <w:t>علی کلٍّ منهما</w:t>
      </w:r>
      <w:r>
        <w:rPr>
          <w:rStyle w:val="FootnoteAnchor"/>
          <w:rtl w:val="true"/>
        </w:rPr>
        <w:footnoteReference w:id="1373"/>
      </w:r>
      <w:r>
        <w:rPr>
          <w:rFonts w:ascii="IRNazanin" w:hAnsi="IRNazanin" w:eastAsia="IRNazanin"/>
          <w:color w:val="111111"/>
          <w:sz w:val="28"/>
          <w:sz w:val="28"/>
          <w:szCs w:val="28"/>
          <w:rtl w:val="true"/>
          <w:lang w:bidi="fa-IR"/>
        </w:rPr>
        <w:t>الجواب</w:t>
      </w:r>
      <w:r>
        <w:rPr>
          <w:rStyle w:val="FootnoteAnchor"/>
          <w:rtl w:val="true"/>
        </w:rPr>
        <w:footnoteReference w:id="13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قصد کلٍّ منهما الابتداء بالسلام، وأمّا لو سلّم کلّ منهما بعنوان الردّ بزعم أنّه سلّم علیه الآخر لا یجب علی واحد منهما ردّ سلام الآخر، وإن کان الأحوط ذلک لو تقارنا، ومع التقارن علی الذی تقدّم سلامه ردّ سلام الآخر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1244" w:name="pg13278_326781"/>
    </w:p>
    <w:p>
      <w:pPr>
        <w:pStyle w:val="BookText"/>
        <w:rPr/>
      </w:pPr>
      <w:bookmarkEnd w:id="1244"/>
      <w:r>
        <w:rPr>
          <w:rFonts w:ascii="IRNazanin" w:hAnsi="IRNazanin" w:eastAsia="IRNazanin"/>
          <w:color w:val="111111"/>
          <w:sz w:val="28"/>
          <w:sz w:val="28"/>
          <w:szCs w:val="28"/>
          <w:rtl w:val="true"/>
          <w:lang w:bidi="fa-IR"/>
        </w:rPr>
        <w:t>ولا یکفی سلامه</w:t>
      </w:r>
      <w:r>
        <w:rPr>
          <w:rStyle w:val="FootnoteAnchor"/>
          <w:rtl w:val="true"/>
        </w:rPr>
        <w:footnoteReference w:id="1375"/>
      </w:r>
      <w:r>
        <w:rPr>
          <w:rFonts w:ascii="Amiri" w:hAnsi="Amiri" w:eastAsia="Amiri" w:cs="Amiri"/>
          <w:color w:val="111111"/>
          <w:sz w:val="28"/>
          <w:sz w:val="28"/>
          <w:szCs w:val="28"/>
          <w:rtl w:val="true"/>
          <w:lang w:bidi="ar-SA"/>
        </w:rPr>
        <w:t>الأوّل</w:t>
      </w:r>
      <w:r>
        <w:rPr>
          <w:rStyle w:val="FootnoteAnchor"/>
          <w:rtl w:val="true"/>
        </w:rPr>
        <w:footnoteReference w:id="1376"/>
      </w:r>
      <w:r>
        <w:rPr>
          <w:rFonts w:ascii="IRNazanin" w:hAnsi="IRNazanin" w:eastAsia="IRNazanin"/>
          <w:color w:val="111111"/>
          <w:sz w:val="28"/>
          <w:sz w:val="28"/>
          <w:szCs w:val="28"/>
          <w:rtl w:val="true"/>
          <w:lang w:bidi="fa-IR"/>
        </w:rPr>
        <w:t>لأ نّه لم یقصد الردّ، بل الابتداء بالسلام</w:t>
      </w:r>
      <w:r>
        <w:rPr>
          <w:rFonts w:eastAsia="IRNazanin" w:cs="IRNazanin"/>
          <w:color w:val="111111"/>
          <w:sz w:val="28"/>
          <w:szCs w:val="28"/>
          <w:rtl w:val="true"/>
          <w:lang w:bidi="fa-IR"/>
        </w:rPr>
        <w:t>.</w:t>
      </w:r>
    </w:p>
    <w:p>
      <w:pPr>
        <w:pStyle w:val="Heading3"/>
        <w:numPr>
          <w:ilvl w:val="2"/>
          <w:numId w:val="1"/>
        </w:numPr>
        <w:rPr/>
      </w:pPr>
      <w:bookmarkStart w:id="1245" w:name="__RefHeading___Toc1841525_2322387425"/>
      <w:bookmarkStart w:id="1246" w:name="_Toc480"/>
      <w:bookmarkEnd w:id="1245"/>
      <w:r>
        <w:rPr>
          <w:rtl w:val="true"/>
        </w:rPr>
        <w:t>وجوب رد سلام قارئ التعزیة والواعظ و نحوهما، و یکفی رد أحد المستمعین</w:t>
      </w:r>
      <w:bookmarkEnd w:id="1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1377"/>
      </w:r>
      <w:r>
        <w:rPr>
          <w:rFonts w:ascii="IRNazanin" w:hAnsi="IRNazanin" w:eastAsia="IRNazanin"/>
          <w:color w:val="111111"/>
          <w:sz w:val="28"/>
          <w:sz w:val="28"/>
          <w:szCs w:val="28"/>
          <w:rtl w:val="true"/>
          <w:lang w:bidi="fa-IR"/>
        </w:rPr>
        <w:t>جواب</w:t>
      </w:r>
      <w:r>
        <w:rPr>
          <w:rStyle w:val="FootnoteAnchor"/>
          <w:rtl w:val="true"/>
        </w:rPr>
        <w:footnoteReference w:id="1378"/>
      </w:r>
      <w:r>
        <w:rPr>
          <w:rFonts w:ascii="IRNazanin" w:hAnsi="IRNazanin" w:eastAsia="IRNazanin"/>
          <w:color w:val="111111"/>
          <w:sz w:val="28"/>
          <w:sz w:val="28"/>
          <w:szCs w:val="28"/>
          <w:rtl w:val="true"/>
          <w:lang w:bidi="fa-IR"/>
        </w:rPr>
        <w:t>سلام</w:t>
      </w:r>
      <w:r>
        <w:rPr>
          <w:rStyle w:val="FootnoteAnchor"/>
          <w:rtl w:val="true"/>
        </w:rPr>
        <w:footnoteReference w:id="1379"/>
      </w:r>
      <w:r>
        <w:rPr>
          <w:rFonts w:ascii="IRNazanin" w:hAnsi="IRNazanin" w:eastAsia="IRNazanin"/>
          <w:color w:val="111111"/>
          <w:sz w:val="28"/>
          <w:sz w:val="28"/>
          <w:szCs w:val="28"/>
          <w:rtl w:val="true"/>
          <w:lang w:bidi="fa-IR"/>
        </w:rPr>
        <w:t>قارئ</w:t>
      </w:r>
      <w:r>
        <w:rPr>
          <w:rStyle w:val="FootnoteAnchor"/>
          <w:rtl w:val="true"/>
        </w:rPr>
        <w:footnoteReference w:id="1380"/>
      </w:r>
      <w:r>
        <w:rPr>
          <w:rFonts w:ascii="IRNazanin" w:hAnsi="IRNazanin" w:eastAsia="IRNazanin"/>
          <w:color w:val="111111"/>
          <w:sz w:val="28"/>
          <w:sz w:val="28"/>
          <w:szCs w:val="28"/>
          <w:rtl w:val="true"/>
          <w:lang w:bidi="fa-IR"/>
        </w:rPr>
        <w:t>التعزیة</w:t>
      </w:r>
      <w:r>
        <w:rPr>
          <w:rStyle w:val="FootnoteAnchor"/>
          <w:rtl w:val="true"/>
        </w:rPr>
        <w:footnoteReference w:id="1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قصده التحیّة للمستمعین، وإلاّ فلا، ومن الواضح أنّ الأغلب فی هذه الأزمنة عدم القصد کذلک، بل ذکر السلام عندهم بمنزلة الألفاظ التی تداول ذکرها علی المنبر قبل الشروع فی المقصود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قصد التحیّة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والواعظ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ونحوهما من أهل المِنبَر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ویکفی ردّ أحد المستمِعِینَ</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1841527_2322387425"/>
      <w:bookmarkStart w:id="1248" w:name="_Toc481"/>
      <w:bookmarkEnd w:id="1247"/>
      <w:r>
        <w:rPr>
          <w:rtl w:val="true"/>
        </w:rPr>
        <w:t>استحباب الرد بالأحسن فی غیر حاصل الصلاة</w:t>
      </w:r>
      <w:bookmarkEnd w:id="124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الردّ بالأحسن</w:t>
      </w:r>
      <w:r>
        <w:rPr>
          <w:rStyle w:val="FootnoteAnchor"/>
          <w:rtl w:val="true"/>
        </w:rPr>
        <w:footnoteReference w:id="1382"/>
      </w:r>
      <w:r>
        <w:rPr>
          <w:rFonts w:ascii="IRNazanin" w:hAnsi="IRNazanin" w:eastAsia="IRNazanin"/>
          <w:color w:val="111111"/>
          <w:sz w:val="28"/>
          <w:sz w:val="28"/>
          <w:szCs w:val="28"/>
          <w:rtl w:val="true"/>
          <w:lang w:bidi="fa-IR"/>
        </w:rPr>
        <w:t xml:space="preserve">فی غیر حال الصلاة، بأن </w:t>
      </w:r>
      <w:bookmarkStart w:id="1249" w:name="pg13278_326782"/>
    </w:p>
    <w:p>
      <w:pPr>
        <w:pStyle w:val="BookText"/>
        <w:rPr/>
      </w:pPr>
      <w:bookmarkEnd w:id="1249"/>
      <w:r>
        <w:rPr>
          <w:rFonts w:ascii="IRNazanin" w:hAnsi="IRNazanin" w:eastAsia="IRNazanin"/>
          <w:color w:val="111111"/>
          <w:sz w:val="28"/>
          <w:sz w:val="28"/>
          <w:szCs w:val="28"/>
          <w:rtl w:val="true"/>
          <w:lang w:bidi="fa-IR"/>
        </w:rPr>
        <w:t>یقول فی جواب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ورحمة اللّه</w:t>
      </w:r>
      <w:r>
        <w:rPr>
          <w:rStyle w:val="FootnoteAnchor"/>
          <w:rtl w:val="true"/>
        </w:rPr>
        <w:footnoteReference w:id="1383"/>
      </w:r>
      <w:r>
        <w:rPr>
          <w:rFonts w:ascii="IRNazanin" w:hAnsi="IRNazanin" w:eastAsia="IRNazanin"/>
          <w:color w:val="111111"/>
          <w:sz w:val="28"/>
          <w:sz w:val="28"/>
          <w:szCs w:val="28"/>
          <w:rtl w:val="true"/>
          <w:lang w:bidi="fa-IR"/>
        </w:rPr>
        <w:t>وبرکاته، بل یحتمل</w:t>
      </w:r>
      <w:r>
        <w:rPr>
          <w:rStyle w:val="FootnoteAnchor"/>
          <w:rtl w:val="true"/>
        </w:rPr>
        <w:footnoteReference w:id="1384"/>
      </w:r>
      <w:r>
        <w:rPr>
          <w:rFonts w:ascii="IRNazanin" w:hAnsi="IRNazanin" w:eastAsia="IRNazanin"/>
          <w:color w:val="111111"/>
          <w:sz w:val="28"/>
          <w:sz w:val="28"/>
          <w:szCs w:val="28"/>
          <w:rtl w:val="true"/>
          <w:lang w:bidi="fa-IR"/>
        </w:rPr>
        <w:t>ذلک فیها</w:t>
      </w:r>
      <w:r>
        <w:rPr>
          <w:rStyle w:val="FootnoteAnchor"/>
          <w:rtl w:val="true"/>
        </w:rPr>
        <w:footnoteReference w:id="1385"/>
      </w:r>
      <w:r>
        <w:rPr>
          <w:rFonts w:ascii="IRNazanin" w:hAnsi="IRNazanin" w:eastAsia="IRNazanin"/>
          <w:color w:val="111111"/>
          <w:sz w:val="28"/>
          <w:sz w:val="28"/>
          <w:szCs w:val="28"/>
          <w:rtl w:val="true"/>
          <w:lang w:bidi="fa-IR"/>
        </w:rPr>
        <w:t>أیضاً، وإن کان الأحوط</w:t>
      </w:r>
      <w:r>
        <w:rPr>
          <w:rStyle w:val="FootnoteAnchor"/>
          <w:rtl w:val="true"/>
        </w:rPr>
        <w:footnoteReference w:id="1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الأحوط إن زاد المسلِّم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یکتفی فی الجواب بصیغة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1841529_2322387425"/>
      <w:bookmarkStart w:id="1251" w:name="_Toc482"/>
      <w:bookmarkEnd w:id="1250"/>
      <w:r>
        <w:rPr>
          <w:rtl w:val="true"/>
        </w:rPr>
        <w:t>استحباب قول العاطس و من سمع عطسة الغیر</w:t>
      </w:r>
      <w:r>
        <w:rPr>
          <w:rtl w:val="true"/>
        </w:rPr>
        <w:t>: «</w:t>
      </w:r>
      <w:r>
        <w:rPr>
          <w:rtl w:val="true"/>
        </w:rPr>
        <w:t>الحمد لله</w:t>
      </w:r>
      <w:r>
        <w:rPr>
          <w:rtl w:val="true"/>
        </w:rPr>
        <w:t>»</w:t>
      </w:r>
      <w:r>
        <w:rPr>
          <w:rtl w:val="true"/>
        </w:rPr>
        <w:t>، أو التحمید و الصلاة</w:t>
      </w:r>
      <w:bookmarkEnd w:id="1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للعاطس</w:t>
      </w:r>
      <w:r>
        <w:rPr>
          <w:rStyle w:val="FootnoteAnchor"/>
          <w:rtl w:val="true"/>
        </w:rPr>
        <w:footnoteReference w:id="1387"/>
      </w:r>
      <w:r>
        <w:rPr>
          <w:rFonts w:ascii="IRNazanin" w:hAnsi="IRNazanin" w:eastAsia="IRNazanin"/>
          <w:color w:val="111111"/>
          <w:sz w:val="28"/>
          <w:sz w:val="28"/>
          <w:szCs w:val="28"/>
          <w:rtl w:val="true"/>
          <w:lang w:bidi="fa-IR"/>
        </w:rPr>
        <w:t>ولمن سمع عطسة الغیر وإن کان فی الصلاة</w:t>
      </w:r>
      <w:r>
        <w:rPr>
          <w:rStyle w:val="FootnoteAnchor"/>
          <w:rtl w:val="true"/>
        </w:rPr>
        <w:footnoteReference w:id="1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فیها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وصلّی اللّه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العاطس، ولکنّ مقتضی بعض الروایات تأخیر الوضع عن التحمید، إلاّ أنّها ضعیفة کروایة التقدیم، فاستحباب الوضع غیر ثابت وإن کان التحمید مستحبّاً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إصبعه علی أنفه،</w:t>
      </w:r>
    </w:p>
    <w:p>
      <w:pPr>
        <w:pStyle w:val="Heading3"/>
        <w:numPr>
          <w:ilvl w:val="2"/>
          <w:numId w:val="1"/>
        </w:numPr>
        <w:rPr/>
      </w:pPr>
      <w:bookmarkStart w:id="1252" w:name="__RefHeading___Toc1841531_2322387425"/>
      <w:bookmarkStart w:id="1253" w:name="_Toc483"/>
      <w:bookmarkEnd w:id="1252"/>
      <w:r>
        <w:rPr>
          <w:rtl w:val="true"/>
        </w:rPr>
        <w:t>یستحب تسمیت العاطس یقول</w:t>
      </w:r>
      <w:r>
        <w:rPr>
          <w:rtl w:val="true"/>
        </w:rPr>
        <w:t>: «</w:t>
      </w:r>
      <w:r>
        <w:rPr>
          <w:rtl w:val="true"/>
        </w:rPr>
        <w:t>و یرحمک الله</w:t>
      </w:r>
      <w:r>
        <w:rPr>
          <w:rtl w:val="true"/>
        </w:rPr>
        <w:t xml:space="preserve">» </w:t>
      </w:r>
      <w:r>
        <w:rPr>
          <w:rtl w:val="true"/>
        </w:rPr>
        <w:t>أو الجمع، و إن کان فی الصلاة</w:t>
      </w:r>
      <w:bookmarkEnd w:id="125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w:t>
      </w:r>
    </w:p>
    <w:p>
      <w:pPr>
        <w:pStyle w:val="BookText"/>
        <w:rPr/>
      </w:pPr>
      <w:r>
        <w:rPr>
          <w:rFonts w:ascii="IRNazanin" w:hAnsi="IRNazanin" w:eastAsia="IRNazanin"/>
          <w:color w:val="111111"/>
          <w:sz w:val="28"/>
          <w:sz w:val="28"/>
          <w:szCs w:val="28"/>
          <w:rtl w:val="true"/>
          <w:lang w:bidi="fa-IR"/>
        </w:rPr>
        <w:t>یستحبّ تسمیت</w:t>
      </w:r>
      <w:r>
        <w:rPr>
          <w:rStyle w:val="FootnoteAnchor"/>
          <w:rtl w:val="true"/>
        </w:rPr>
        <w:footnoteReference w:id="1389"/>
      </w:r>
      <w:r>
        <w:rPr>
          <w:rFonts w:ascii="IRNazanin" w:hAnsi="IRNazanin" w:eastAsia="IRNazanin"/>
          <w:color w:val="111111"/>
          <w:sz w:val="28"/>
          <w:sz w:val="28"/>
          <w:szCs w:val="28"/>
          <w:rtl w:val="true"/>
          <w:lang w:bidi="fa-IR"/>
        </w:rPr>
        <w:t>العاطس</w:t>
      </w:r>
      <w:r>
        <w:rPr>
          <w:rStyle w:val="FootnoteAnchor"/>
          <w:rtl w:val="true"/>
        </w:rPr>
        <w:footnoteReference w:id="1390"/>
      </w:r>
      <w:r>
        <w:rPr>
          <w:rFonts w:ascii="IRNazanin" w:hAnsi="IRNazanin" w:eastAsia="IRNazanin"/>
          <w:color w:val="111111"/>
          <w:sz w:val="28"/>
          <w:sz w:val="28"/>
          <w:szCs w:val="28"/>
          <w:rtl w:val="true"/>
          <w:lang w:bidi="fa-IR"/>
        </w:rPr>
        <w:t>بأن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فی الصلاة</w:t>
      </w:r>
      <w:r>
        <w:rPr>
          <w:rStyle w:val="FootnoteAnchor"/>
          <w:rtl w:val="true"/>
        </w:rPr>
        <w:footnoteReference w:id="1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قصد الدعاء دون التحیّة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 نّه 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دعاء المصلّی مع المخاطبة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بالترک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فیها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الشاهرودی، المرعشی، حسن القمّی،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1254" w:name="pg13278_326784"/>
    </w:p>
    <w:p>
      <w:pPr>
        <w:pStyle w:val="BookText"/>
        <w:rPr/>
      </w:pPr>
      <w:bookmarkEnd w:id="1254"/>
      <w:r>
        <w:rPr>
          <w:rFonts w:ascii="IRNazanin" w:hAnsi="IRNazanin" w:eastAsia="IRNazanin"/>
          <w:color w:val="111111"/>
          <w:sz w:val="28"/>
          <w:sz w:val="28"/>
          <w:szCs w:val="28"/>
          <w:rtl w:val="true"/>
          <w:lang w:bidi="fa-IR"/>
        </w:rPr>
        <w:t>الترک</w:t>
      </w:r>
      <w:r>
        <w:rPr>
          <w:rStyle w:val="FootnoteAnchor"/>
          <w:rtl w:val="true"/>
        </w:rPr>
        <w:footnoteReference w:id="1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مع اشتماله علی المخاطبة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مع قصد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فی الصلاة، وکذا العاطس لا یُردّ فیها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کان من الدعاء مع مخاطبة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تَسمیتِ العاطِسِ فی الصلاة إشکال، والأحوط وجوبا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1841533_2322387425"/>
      <w:bookmarkStart w:id="1256" w:name="_Toc484"/>
      <w:bookmarkEnd w:id="1255"/>
      <w:r>
        <w:rPr>
          <w:rtl w:val="true"/>
        </w:rPr>
        <w:t>یستحب للعاطس أن یرد التسمیت بقوله</w:t>
      </w:r>
      <w:r>
        <w:rPr>
          <w:rtl w:val="true"/>
        </w:rPr>
        <w:t>: «</w:t>
      </w:r>
      <w:r>
        <w:rPr>
          <w:rtl w:val="true"/>
        </w:rPr>
        <w:t>یغفر الله لکم</w:t>
      </w:r>
      <w:r>
        <w:rPr>
          <w:rtl w:val="true"/>
        </w:rPr>
        <w:t>»</w:t>
      </w:r>
      <w:bookmarkEnd w:id="1256"/>
    </w:p>
    <w:p>
      <w:pPr>
        <w:pStyle w:val="BookText"/>
        <w:rPr/>
      </w:pPr>
      <w:r>
        <w:rPr>
          <w:rFonts w:ascii="IRNazanin" w:hAnsi="IRNazanin" w:eastAsia="IRNazanin"/>
          <w:color w:val="111111"/>
          <w:sz w:val="28"/>
          <w:sz w:val="28"/>
          <w:szCs w:val="28"/>
          <w:rtl w:val="true"/>
          <w:lang w:bidi="fa-IR"/>
        </w:rPr>
        <w:t>ویستحبّ للعاطس</w:t>
      </w:r>
      <w:r>
        <w:rPr>
          <w:rStyle w:val="FootnoteAnchor"/>
          <w:rtl w:val="true"/>
        </w:rPr>
        <w:footnoteReference w:id="1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أن یردّ التسمیت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غیر الصلاة، أمّا فیها فلا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لکم</w:t>
      </w:r>
      <w:r>
        <w:rPr>
          <w:rFonts w:eastAsia="IRNazanin" w:cs="IRNazanin"/>
          <w:color w:val="111111"/>
          <w:sz w:val="28"/>
          <w:szCs w:val="28"/>
          <w:rtl w:val="true"/>
          <w:lang w:bidi="fa-IR"/>
        </w:rPr>
        <w:t>.</w:t>
      </w:r>
    </w:p>
    <w:p>
      <w:pPr>
        <w:pStyle w:val="Heading3"/>
        <w:numPr>
          <w:ilvl w:val="2"/>
          <w:numId w:val="1"/>
        </w:numPr>
        <w:rPr/>
      </w:pPr>
      <w:bookmarkStart w:id="1257" w:name="__RefHeading___Toc1841535_2322387425"/>
      <w:bookmarkStart w:id="1258" w:name="_Toc485"/>
      <w:bookmarkEnd w:id="1257"/>
      <w:r>
        <w:rPr>
          <w:rtl w:val="true"/>
        </w:rPr>
        <w:t>السادس</w:t>
      </w:r>
      <w:r>
        <w:rPr>
          <w:rtl w:val="true"/>
        </w:rPr>
        <w:t xml:space="preserve">: </w:t>
      </w:r>
      <w:r>
        <w:rPr>
          <w:rtl w:val="true"/>
        </w:rPr>
        <w:t>تعمد القهقهة ولو اضطراراً</w:t>
      </w:r>
      <w:bookmarkEnd w:id="125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القهقهة</w:t>
      </w:r>
      <w:r>
        <w:rPr>
          <w:rStyle w:val="FootnoteAnchor"/>
          <w:rtl w:val="true"/>
        </w:rPr>
        <w:footnoteReference w:id="13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مُطلق الصوت ما لم یُوجب الخروج عن صورة الصلاة، وإلاّ فالأظهر عدم البطلان، والأحوط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 . . . . . . .</w:t>
      </w:r>
    </w:p>
    <w:p>
      <w:pPr>
        <w:pStyle w:val="BookText"/>
        <w:rPr/>
      </w:pPr>
      <w:r>
        <w:rPr>
          <w:rFonts w:ascii="IRNazanin" w:hAnsi="IRNazanin" w:eastAsia="IRNazanin"/>
          <w:color w:val="111111"/>
          <w:sz w:val="28"/>
          <w:sz w:val="28"/>
          <w:szCs w:val="28"/>
          <w:rtl w:val="true"/>
          <w:lang w:bidi="fa-IR"/>
        </w:rPr>
        <w:t>ولو اضطراراً</w:t>
      </w:r>
      <w:r>
        <w:rPr>
          <w:rStyle w:val="FootnoteAnchor"/>
          <w:rtl w:val="true"/>
        </w:rPr>
        <w:footnoteReference w:id="1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التعمّد والاضطرار قد لا یجتمعان،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القهقهة ولو اضطراراً، بل ولو سهواً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الأقوی عدم البطلان بما لو امتلأ جوفه ضحکاً ولم یضحک، کما لو امتلأ جوفه حدثاً ولم یحدث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مقدّمة اختیاریة مطلقاً، وکذا بدونها علی الأحوط مع سعة الوقت للإعادة، وإلاّ فلا تبعد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 الضحک المشتمل علی الصوت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والترجیع، بل مطلق الصوت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إذا استلزم محو صورة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عدم البطلان بما یشتمل علی مجرّد الصوت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قاطعیة الضحک المشتمل علی الصوت إن لم یکن فیه ترجیع وشدّة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بالتبسّم ولا بالقهقهة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توجب محو اسم الصلاة وکذا البکاء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تکن ماحیة لصورة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عدم البأس إشکال، کما مرّ فی نظائره، للإشکال فی شمول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ماحیاً للصورة، وکذا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سهواً</w:t>
      </w:r>
      <w:r>
        <w:rPr>
          <w:rStyle w:val="FootnoteAnchor"/>
          <w:rtl w:val="true"/>
        </w:rPr>
        <w:footnoteReference w:id="1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تکن ماحیةً لصورة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تصل الی حدّ المحو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انمحاء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محو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ماحیاً لصورة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الضحک المشتمل علی الصوت تقدیراً کما لو امتلأ جوفه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ضحکاً واحمرّ وجهه لکن منع نفسه من إظهار الصوت حکمه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القهقهة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أحوطه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الحکیم،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إشکال ولکنّه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 الصلاة ثمّ یعیدها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 بها مشکل، وإن کان هو الأحوط، هذا مع عدم صدق الماحی، وإلاّ فلا إشکال فی البطلان من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خلافه ما لم یکن ماحیاً لصورة الصلاة،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وإن کان الأحوط إجراء حکمها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خلافه 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امتلأ جوفه ضحکاً فمنع عن ظهوره فحکمه حکم الضحک المشتمل علی الصوت المجرّد عن القهقهة، وأنّ الأحوط اللازم البطلان، وأمّا إذا احمرَّ وجهه فقط بسبب المنع عن الضحک فلا تبطل الصلاة به، وإن کان الأحسن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الإلحاق بها إلاّ مع محو الصورة، وکذا فی السهویة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وعدم البطلان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مبطلیته إشکال، إلاّ أن یوجب الخروج عن صورة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عدم البطلان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لما أفاده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منع، فلا تبطل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9" w:name="pg13278_326787"/>
    </w:p>
    <w:p>
      <w:pPr>
        <w:pStyle w:val="Heading3"/>
        <w:numPr>
          <w:ilvl w:val="2"/>
          <w:numId w:val="1"/>
        </w:numPr>
        <w:rPr/>
      </w:pPr>
      <w:bookmarkStart w:id="1260" w:name="__RefHeading___Toc1841537_2322387425"/>
      <w:bookmarkStart w:id="1261" w:name="_Toc486"/>
      <w:bookmarkEnd w:id="1259"/>
      <w:bookmarkEnd w:id="1260"/>
      <w:r>
        <w:rPr>
          <w:rtl w:val="true"/>
        </w:rPr>
        <w:t>السابع</w:t>
      </w:r>
      <w:r>
        <w:rPr>
          <w:rtl w:val="true"/>
        </w:rPr>
        <w:t xml:space="preserve">: </w:t>
      </w:r>
      <w:r>
        <w:rPr>
          <w:rtl w:val="true"/>
        </w:rPr>
        <w:t>تعمد البکاء المشتمل علی الصوت و غیره لامور الدنیا</w:t>
      </w:r>
      <w:bookmarkEnd w:id="126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البکاء</w:t>
      </w:r>
      <w:r>
        <w:rPr>
          <w:rStyle w:val="FootnoteAnchor"/>
          <w:rtl w:val="true"/>
        </w:rPr>
        <w:footnoteReference w:id="13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دلیل معتبر علیه،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الصوت، بل وغیر المشتمل</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1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مبطلیة غیر المشتمل علی الصوت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إبطاله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لاُمور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البکاء للخوف من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ولاُمور الآخرة فلا بأس به، بل هو من أفضل الأعمال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والظاهر أنّ البکاء اضطراراً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التفصیل المتقدّم فی القهقهة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262" w:name="pg13278_326789"/>
    </w:p>
    <w:p>
      <w:pPr>
        <w:pStyle w:val="BookText"/>
        <w:rPr/>
      </w:pPr>
      <w:bookmarkEnd w:id="1262"/>
      <w:r>
        <w:rPr>
          <w:rFonts w:ascii="IRNazanin" w:hAnsi="IRNazanin" w:eastAsia="IRNazanin"/>
          <w:color w:val="111111"/>
          <w:sz w:val="28"/>
          <w:sz w:val="28"/>
          <w:szCs w:val="28"/>
          <w:rtl w:val="true"/>
          <w:lang w:bidi="fa-IR"/>
        </w:rPr>
        <w:t>مبطل</w:t>
      </w:r>
      <w:r>
        <w:rPr>
          <w:rStyle w:val="FootnoteAnchor"/>
          <w:rtl w:val="true"/>
        </w:rPr>
        <w:footnoteReference w:id="1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لاُمور الدنیا أو لذکر میّت فالأحوط وجوبا ترک البکاء وإلاّ فلا بأس به إن کان بدواعٍ دینیّة وفیها رضا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المختار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یوجب الخروج عن صورة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ماحیاً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یمحُ صورة الصلاة، کما مرّ فی القهقهة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الصورة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الأقوی عدم البأس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إذا کان لطلب 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دنیویٍّ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فیبکی تذلّلاً له تعالی لیقضی حاجته</w:t>
      </w:r>
      <w:r>
        <w:rPr>
          <w:rFonts w:eastAsia="IRNazanin" w:cs="IRNazanin"/>
          <w:color w:val="111111"/>
          <w:sz w:val="28"/>
          <w:szCs w:val="28"/>
          <w:rtl w:val="true"/>
          <w:lang w:bidi="fa-IR"/>
        </w:rPr>
        <w:t>.</w:t>
      </w:r>
    </w:p>
    <w:p>
      <w:pPr>
        <w:pStyle w:val="Heading3"/>
        <w:numPr>
          <w:ilvl w:val="2"/>
          <w:numId w:val="1"/>
        </w:numPr>
        <w:rPr/>
      </w:pPr>
      <w:bookmarkStart w:id="1263" w:name="__RefHeading___Toc1841539_2322387425"/>
      <w:bookmarkStart w:id="1264" w:name="_Toc487"/>
      <w:bookmarkEnd w:id="1263"/>
      <w:r>
        <w:rPr>
          <w:rtl w:val="true"/>
        </w:rPr>
        <w:t>الثامن</w:t>
      </w:r>
      <w:r>
        <w:rPr>
          <w:rtl w:val="true"/>
        </w:rPr>
        <w:t xml:space="preserve">: </w:t>
      </w:r>
      <w:r>
        <w:rPr>
          <w:rtl w:val="true"/>
        </w:rPr>
        <w:t>کل فعل ماح لصورة الصلاة، قلیلاً کان أو کثیراً</w:t>
      </w:r>
      <w:bookmarkEnd w:id="1264"/>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فعلٍ ماحٍ</w:t>
      </w:r>
      <w:r>
        <w:rPr>
          <w:rStyle w:val="FootnoteAnchor"/>
          <w:rtl w:val="true"/>
        </w:rPr>
        <w:footnoteReference w:id="1401"/>
      </w:r>
      <w:r>
        <w:rPr>
          <w:rFonts w:ascii="IRNazanin" w:hAnsi="IRNazanin" w:eastAsia="IRNazanin"/>
          <w:color w:val="111111"/>
          <w:sz w:val="28"/>
          <w:sz w:val="28"/>
          <w:szCs w:val="28"/>
          <w:rtl w:val="true"/>
          <w:lang w:bidi="fa-IR"/>
        </w:rPr>
        <w:t>لصورة الصلاة، قلیلاً کان أو کثیراً، کالوثبة</w:t>
      </w:r>
      <w:r>
        <w:rPr>
          <w:rStyle w:val="FootnoteAnchor"/>
          <w:rtl w:val="true"/>
        </w:rPr>
        <w:footnoteReference w:id="14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تحقّق المحو بهذه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والرقص والتصفیق</w:t>
      </w:r>
      <w:r>
        <w:rPr>
          <w:rStyle w:val="FootnoteAnchor"/>
          <w:rtl w:val="true"/>
        </w:rPr>
        <w:footnoteReference w:id="1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بعض التصفیق لا یُعدُّ ماحیاً للصلاة، کما لو صفّق بیده لحاجة، کما فی بعض النصوص، والمدار أن یُعدَّ الفعل ماحیاً لصورة الصلاة فی نظر أهل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ونحو ذلک ممّا هو منافٍ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تحقّق المنافاة فی جمیع مراتب المذکورات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فرق بین العمد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السهو عدم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البطلان مع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السهوی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السکوت الطویل الماحی، وأمّا الفعل القلیل الغیر الماحی بل الکثیر الغیر الماحی فلا بأس به، مثل الإشارة بالید لبیان مطلب، وقتل الحیّة والعقرب، وحمل الطفل وضمّه وإرضاعه عند بکائه، وعدّ الرکعات بالحصی، وعدِّ الاستغفار فی الوَتر بالسبحة ونحوها ممّا هو مذکور فی النصوص، وأمّا الفعل الکثیر أو السکوت الطویل المفوّت للموالاة بمعنی المتابعة العرفیّة إذا لم یکن ماحیاً للصورة فسهوه لا یضرّ،</w:t>
      </w:r>
      <w:bookmarkStart w:id="1265" w:name="pg13278_326791"/>
    </w:p>
    <w:p>
      <w:pPr>
        <w:pStyle w:val="BookText"/>
        <w:rPr/>
      </w:pPr>
      <w:bookmarkEnd w:id="1265"/>
      <w:r>
        <w:rPr>
          <w:rFonts w:ascii="IRNazanin" w:hAnsi="IRNazanin" w:eastAsia="IRNazanin"/>
          <w:color w:val="111111"/>
          <w:sz w:val="28"/>
          <w:sz w:val="28"/>
          <w:szCs w:val="28"/>
          <w:rtl w:val="true"/>
          <w:lang w:bidi="fa-IR"/>
        </w:rPr>
        <w:t>والأحوط</w:t>
      </w:r>
      <w:r>
        <w:rPr>
          <w:rStyle w:val="FootnoteAnchor"/>
          <w:rtl w:val="true"/>
        </w:rPr>
        <w:footnoteReference w:id="1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غیر مبطل، کما تقدّم فی فصل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6" w:name="__RefHeading___Toc1841541_2322387425"/>
      <w:bookmarkStart w:id="1267" w:name="_Toc488"/>
      <w:bookmarkEnd w:id="1266"/>
      <w:r>
        <w:rPr>
          <w:rtl w:val="true"/>
        </w:rPr>
        <w:t>التاسع</w:t>
      </w:r>
      <w:r>
        <w:rPr>
          <w:rtl w:val="true"/>
        </w:rPr>
        <w:t xml:space="preserve">: </w:t>
      </w:r>
      <w:r>
        <w:rPr>
          <w:rtl w:val="true"/>
        </w:rPr>
        <w:t>الأکل والشرب الماحیان للصورة، عمداً کانا أو سهواً</w:t>
      </w:r>
      <w:bookmarkEnd w:id="1267"/>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w:t>
      </w:r>
      <w:r>
        <w:rPr>
          <w:rStyle w:val="FootnoteAnchor"/>
          <w:rtl w:val="true"/>
        </w:rPr>
        <w:footnoteReference w:id="1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منهما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الماحیان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وغیر الماحِیَین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للصورة فتبطل الصلاة بهما، عمداً کانا أو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البطلان فی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السهوی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w:t>
      </w:r>
      <w:r>
        <w:rPr>
          <w:rStyle w:val="FootnoteAnchor"/>
          <w:rtl w:val="true"/>
        </w:rPr>
        <w:footnoteReference w:id="1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منهما مفوِّتاً للموالاة العرفیّة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بابتلاع بقایا الطعام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الباقیة فی الفم أو بین الأسنان، وکذا بابتلاع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المقصود من وضعه فی الفم الابتلاع فی الصلاة فهو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وضعه فی الفم فی الصلاة،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بابتلاع بقایا الطعام التی بین الأسنان، وأمّا ابتلاع اللقمة الباقیة فالأحوط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یذوب وینزل شیئاً فشیئاً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ویستثنی أیضاً ما ورد فی النصّ بالخصوص من جواز شرب الماء لمن کان مشغولاً بالدعاء فی صلاة الوتر وکان عازماً علی الصوم فی ذلک الیوم، ویخشی مفاجأة الفجر وهو عطشان والماء أمامه ومحتاج إلی </w:t>
      </w:r>
    </w:p>
    <w:p>
      <w:pPr>
        <w:pStyle w:val="BookText"/>
        <w:rPr/>
      </w:pPr>
      <w:r>
        <w:rPr>
          <w:rFonts w:ascii="IRNazanin" w:hAnsi="IRNazanin" w:eastAsia="IRNazanin"/>
          <w:color w:val="111111"/>
          <w:sz w:val="28"/>
          <w:sz w:val="28"/>
          <w:szCs w:val="28"/>
          <w:rtl w:val="true"/>
          <w:lang w:bidi="fa-IR"/>
        </w:rPr>
        <w:t>خطوتین أو ثلاثة</w:t>
      </w:r>
      <w:r>
        <w:rPr>
          <w:rStyle w:val="FootnoteAnchor"/>
          <w:rtl w:val="true"/>
        </w:rPr>
        <w:footnoteReference w:id="1407"/>
      </w:r>
      <w:r>
        <w:rPr>
          <w:rFonts w:ascii="IRNazanin" w:hAnsi="IRNazanin" w:eastAsia="IRNazanin"/>
          <w:color w:val="111111"/>
          <w:sz w:val="28"/>
          <w:sz w:val="28"/>
          <w:szCs w:val="28"/>
          <w:rtl w:val="true"/>
          <w:lang w:bidi="fa-IR"/>
        </w:rPr>
        <w:t>فإنّه یجوز له التخطّی والشرب حتّی یروی وإن طال زمانه</w:t>
      </w:r>
      <w:r>
        <w:rPr>
          <w:rStyle w:val="FootnoteAnchor"/>
          <w:rtl w:val="true"/>
        </w:rPr>
        <w:footnoteReference w:id="1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بالقدر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یفعل غیر ذلک من منافیات الصلاة، حتّی إذا أراد العود إلی مکانه رجع القهقری لئلاّ یستدبر القبلة،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علی العطش الطارئ بین الوَتر دون العطش الموجود قبل الدخول فی الوَتر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الاقتصار فی الوتر علی خصوص ما إذا حدث العطش فی أثنائها، ولایشمل ما إذا کان قبل الصلاة عطشاناً فدخل فی الصلاة بتوقّع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الوتر المندوب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علی خصوص شرب الماء، فلا یلحق به الأکل 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الاقتصار علی مورد النصّ وهو الوتر، فإلحاق مطلق النافلة به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الاقتصار علی الوتر، ولا تلحق به سائر النوافل، وینبغی الاقتصار علی العطش الحادث بین الاشتغال بالوتر، بل الأقوی عدم استثناء من کان عطشاناً فترک الشرب ودخل فی الوتر لیشرب بین الدعاء قبیل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bookmarkStart w:id="1268" w:name="pg13278_326794"/>
    </w:p>
    <w:p>
      <w:pPr>
        <w:pStyle w:val="BookText"/>
        <w:rPr/>
      </w:pPr>
      <w:bookmarkEnd w:id="1268"/>
      <w:r>
        <w:rPr>
          <w:rFonts w:ascii="IRNazanin" w:hAnsi="IRNazanin" w:eastAsia="IRNazanin"/>
          <w:color w:val="111111"/>
          <w:sz w:val="28"/>
          <w:sz w:val="28"/>
          <w:szCs w:val="28"/>
          <w:rtl w:val="true"/>
          <w:lang w:bidi="fa-IR"/>
        </w:rPr>
        <w:t>علی الوتر</w:t>
      </w:r>
      <w:r>
        <w:rPr>
          <w:rStyle w:val="FootnoteAnchor"/>
          <w:rtl w:val="true"/>
        </w:rPr>
        <w:footnoteReference w:id="1409"/>
      </w:r>
      <w:r>
        <w:rPr>
          <w:rFonts w:ascii="IRNazanin" w:hAnsi="IRNazanin" w:eastAsia="IRNazanin"/>
          <w:color w:val="111111"/>
          <w:sz w:val="28"/>
          <w:sz w:val="28"/>
          <w:szCs w:val="28"/>
          <w:rtl w:val="true"/>
          <w:lang w:bidi="fa-IR"/>
        </w:rPr>
        <w:t>، ولا علی حال الدعاء، فیلحق به</w:t>
      </w:r>
      <w:r>
        <w:rPr>
          <w:rStyle w:val="FootnoteAnchor"/>
          <w:rtl w:val="true"/>
        </w:rPr>
        <w:footnoteReference w:id="1410"/>
      </w:r>
      <w:r>
        <w:rPr>
          <w:rFonts w:ascii="Amiri" w:hAnsi="Amiri" w:eastAsia="Amiri" w:cs="Amiri"/>
          <w:color w:val="111111"/>
          <w:sz w:val="28"/>
          <w:sz w:val="28"/>
          <w:szCs w:val="28"/>
          <w:rtl w:val="true"/>
          <w:lang w:bidi="ar-SA"/>
        </w:rPr>
        <w:t>مطلق النافلة</w:t>
      </w:r>
      <w:r>
        <w:rPr>
          <w:rStyle w:val="FootnoteAnchor"/>
          <w:rtl w:val="true"/>
        </w:rPr>
        <w:footnoteReference w:id="1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الشرب ماحیاً لصورة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حال الدعاء،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الآملی، الأراکی،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الکوه کمری، صدر الدین الصدر،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المدار علی الأکل والشرب الماحی کما اختاره قدس‌سره فورد النصّ مطابقاً للأصل فلا وجه للاقتصار، نعم، لو کان مطلق الشرب مبطلاً فلابدّ من الاقتصار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1841543_2322387425"/>
      <w:bookmarkStart w:id="1270" w:name="_Toc489"/>
      <w:bookmarkEnd w:id="1269"/>
      <w:r>
        <w:rPr>
          <w:rtl w:val="true"/>
        </w:rPr>
        <w:t>العاشر</w:t>
      </w:r>
      <w:r>
        <w:rPr>
          <w:rtl w:val="true"/>
        </w:rPr>
        <w:t xml:space="preserve">: </w:t>
      </w:r>
      <w:r>
        <w:rPr>
          <w:rtl w:val="true"/>
        </w:rPr>
        <w:t>تعمد قول</w:t>
      </w:r>
      <w:r>
        <w:rPr>
          <w:rtl w:val="true"/>
        </w:rPr>
        <w:t>:«</w:t>
      </w:r>
      <w:r>
        <w:rPr>
          <w:rtl w:val="true"/>
        </w:rPr>
        <w:t>آمین</w:t>
      </w:r>
      <w:r>
        <w:rPr>
          <w:rtl w:val="true"/>
        </w:rPr>
        <w:t xml:space="preserve">» </w:t>
      </w:r>
      <w:r>
        <w:rPr>
          <w:rtl w:val="true"/>
        </w:rPr>
        <w:t>بعد تمام الفاتحة لغیر ضرورة</w:t>
      </w:r>
      <w:bookmarkEnd w:id="1270"/>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الدعاء، کما لا بأس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مقام حتّی بعد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به نظر، وإن کان یحرم تشریعاً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بهذه الصیغة الّتی جری علی ذکرها دیدن القوم بعد الفراغ من الفاتحة، وأمّا التلفّظ بمرادفاتها و ترجمته فحکمه حکم التکلّم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البطلان بما إذا قصد به الجزئیة، أو لم یقصد به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إبطال الصلاة به مشکل، والحرمة الذاتیة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تشریعاً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التأمین بعد الفاتحة حرمة تشریعیة، وإنّما تبطل الصلاة به إذا أتی به بقصد الجزئیة للصلاة، أو قیّد به امتثاله لأمر الصلاة، کما تقدّم فی التکفیر، والأحوط اجتنابه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 الصلاة به لغیر المأموم إشکال، فلا یُترک الاحتیاط بترکه، نعم، لا إشکال فی حرمته تشریعاً إذا أتی به بعنوان الوظیفة المقرّرة فی المحلّ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تمام</w:t>
      </w:r>
    </w:p>
    <w:p>
      <w:pPr>
        <w:pStyle w:val="BookText"/>
        <w:rPr/>
      </w:pPr>
      <w:r>
        <w:rPr>
          <w:rFonts w:ascii="Amiri" w:hAnsi="Amiri" w:eastAsia="Amiri" w:cs="Amiri"/>
          <w:color w:val="111111"/>
          <w:sz w:val="28"/>
          <w:sz w:val="28"/>
          <w:szCs w:val="28"/>
          <w:rtl w:val="true"/>
          <w:lang w:bidi="ar-SA"/>
        </w:rPr>
        <w:t>الفاتحة</w:t>
      </w:r>
      <w:r>
        <w:rPr>
          <w:rStyle w:val="FootnoteAnchor"/>
          <w:rtl w:val="true"/>
        </w:rPr>
        <w:footnoteReference w:id="1413"/>
      </w:r>
      <w:r>
        <w:rPr>
          <w:rFonts w:ascii="IRNazanin" w:hAnsi="IRNazanin" w:eastAsia="IRNazanin"/>
          <w:color w:val="111111"/>
          <w:sz w:val="28"/>
          <w:sz w:val="28"/>
          <w:szCs w:val="28"/>
          <w:rtl w:val="true"/>
          <w:lang w:bidi="fa-IR"/>
        </w:rPr>
        <w:t>لغیر ضرورة</w:t>
      </w:r>
      <w:r>
        <w:rPr>
          <w:rStyle w:val="FootnoteAnchor"/>
          <w:rtl w:val="true"/>
        </w:rPr>
        <w:footnoteReference w:id="1414"/>
      </w:r>
      <w:r>
        <w:rPr>
          <w:rFonts w:ascii="IRNazanin" w:hAnsi="IRNazanin" w:eastAsia="IRNazanin"/>
          <w:color w:val="111111"/>
          <w:sz w:val="28"/>
          <w:sz w:val="28"/>
          <w:szCs w:val="28"/>
          <w:rtl w:val="true"/>
          <w:lang w:bidi="fa-IR"/>
        </w:rPr>
        <w:t>، من غیر فرقٍ بین الإجهار به والإسرار، للإمام والمأموم والمنفرد، ولا بأس به فی غیرالمقام</w:t>
      </w:r>
      <w:r>
        <w:rPr>
          <w:rStyle w:val="FootnoteAnchor"/>
          <w:rtl w:val="true"/>
        </w:rPr>
        <w:footnoteReference w:id="1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سمع الدعاء فی الصلاة فأمّن له فالجواز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المزبور بقصد الدعاء، کما لا بأس به مع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حال 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قد یجب معها، ولو</w:t>
      </w:r>
      <w:bookmarkStart w:id="1271" w:name="pg13278_326796"/>
    </w:p>
    <w:p>
      <w:pPr>
        <w:pStyle w:val="BookText"/>
        <w:rPr/>
      </w:pPr>
      <w:bookmarkEnd w:id="1271"/>
      <w:r>
        <w:rPr>
          <w:rFonts w:ascii="IRNazanin" w:hAnsi="IRNazanin" w:eastAsia="IRNazanin"/>
          <w:color w:val="111111"/>
          <w:sz w:val="28"/>
          <w:sz w:val="28"/>
          <w:szCs w:val="28"/>
          <w:rtl w:val="true"/>
          <w:lang w:bidi="fa-IR"/>
        </w:rPr>
        <w:t>ترکها أثم لکن تصحّ صلاته</w:t>
      </w:r>
      <w:r>
        <w:rPr>
          <w:rStyle w:val="FootnoteAnchor"/>
          <w:rtl w:val="true"/>
        </w:rPr>
        <w:footnoteReference w:id="1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ترک التأمین فی حال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ملتفتاً فالأحوط إعادة الصلاة ولا سیّما مع خوف الضرر علی النفس، وإن کان غافلاً صحّت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إعادة صلاته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1841545_2322387425"/>
      <w:bookmarkStart w:id="1273" w:name="_Toc490"/>
      <w:bookmarkEnd w:id="1272"/>
      <w:r>
        <w:rPr>
          <w:rtl w:val="true"/>
        </w:rPr>
        <w:t>الحادی عشر</w:t>
      </w:r>
      <w:r>
        <w:rPr>
          <w:rtl w:val="true"/>
        </w:rPr>
        <w:t xml:space="preserve">: </w:t>
      </w:r>
      <w:r>
        <w:rPr>
          <w:rtl w:val="true"/>
        </w:rPr>
        <w:t>الشک فی رکعات الثنائیة و الثلاثیة والاولیین من الرباعیة</w:t>
      </w:r>
      <w:bookmarkEnd w:id="1273"/>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w:t>
      </w:r>
      <w:r>
        <w:rPr>
          <w:rStyle w:val="FootnoteAnchor"/>
          <w:rtl w:val="true"/>
        </w:rPr>
        <w:footnoteReference w:id="1417"/>
      </w:r>
      <w:r>
        <w:rPr>
          <w:rFonts w:ascii="Amiri" w:hAnsi="Amiri" w:eastAsia="Amiri" w:cs="Amiri"/>
          <w:color w:val="111111"/>
          <w:sz w:val="28"/>
          <w:sz w:val="28"/>
          <w:szCs w:val="28"/>
          <w:rtl w:val="true"/>
          <w:lang w:bidi="ar-SA"/>
        </w:rPr>
        <w:t>فی رکعات الثنائیّة والثلاثیّة والاُولَیَین من الرباعیّة علی ما سیأتی</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1841547_2322387425"/>
      <w:bookmarkStart w:id="1275" w:name="_Toc491"/>
      <w:bookmarkEnd w:id="1274"/>
      <w:r>
        <w:rPr>
          <w:rtl w:val="true"/>
        </w:rPr>
        <w:t>الثانی عشر</w:t>
      </w:r>
      <w:r>
        <w:rPr>
          <w:rtl w:val="true"/>
        </w:rPr>
        <w:t xml:space="preserve">: </w:t>
      </w:r>
      <w:r>
        <w:rPr>
          <w:rtl w:val="true"/>
        </w:rPr>
        <w:t>زیادة جزءٍ أو نقصانه، عمداً إن لم یکن رکناً، و مطلقاً مع الرکنیة</w:t>
      </w:r>
      <w:bookmarkEnd w:id="1275"/>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جزءٍ</w:t>
      </w:r>
      <w:r>
        <w:rPr>
          <w:rStyle w:val="FootnoteAnchor"/>
          <w:rtl w:val="true"/>
        </w:rPr>
        <w:footnoteReference w:id="1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نظرٍ أو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نقصانُه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عمداً إن لم یکن رکناً، ومطلقاً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رکناً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تفصیل ذلک فی فصل الخلل الواقع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زیادة تکبیرة الإحرام سهواً لا توجب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تفصیل یأتی فی فصل الخلل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الصلاة، المسألة</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6" w:name="pg13278_326797"/>
    </w:p>
    <w:p>
      <w:pPr>
        <w:pStyle w:val="Heading3"/>
        <w:numPr>
          <w:ilvl w:val="2"/>
          <w:numId w:val="1"/>
        </w:numPr>
        <w:rPr/>
      </w:pPr>
      <w:bookmarkStart w:id="1277" w:name="__RefHeading___Toc1841549_2322387425"/>
      <w:bookmarkStart w:id="1278" w:name="_Toc492"/>
      <w:bookmarkEnd w:id="1276"/>
      <w:bookmarkEnd w:id="1277"/>
      <w:r>
        <w:rPr>
          <w:rtl w:val="true"/>
        </w:rPr>
        <w:t>لو شک بعد السلام فی أنه هل أحدث أثناء الصلاة أم لا؟ بنی علی العدم و الصحة</w:t>
      </w:r>
      <w:bookmarkEnd w:id="1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بعد السلام فی أ نّه هل أحدث فی أثناء الصلاة أم لا؟ بنی علی العدم والصحّة</w:t>
      </w:r>
      <w:r>
        <w:rPr>
          <w:rFonts w:eastAsia="IRNazanin" w:cs="IRNazanin"/>
          <w:color w:val="111111"/>
          <w:sz w:val="28"/>
          <w:szCs w:val="28"/>
          <w:rtl w:val="true"/>
          <w:lang w:bidi="fa-IR"/>
        </w:rPr>
        <w:t>.</w:t>
      </w:r>
    </w:p>
    <w:p>
      <w:pPr>
        <w:pStyle w:val="Heading3"/>
        <w:numPr>
          <w:ilvl w:val="2"/>
          <w:numId w:val="1"/>
        </w:numPr>
        <w:rPr/>
      </w:pPr>
      <w:bookmarkStart w:id="1279" w:name="__RefHeading___Toc1841551_2322387425"/>
      <w:bookmarkStart w:id="1280" w:name="_Toc493"/>
      <w:bookmarkEnd w:id="1279"/>
      <w:r>
        <w:rPr>
          <w:rtl w:val="true"/>
        </w:rPr>
        <w:t>حکم من علم بأنه نام اختیاراً و شک فی أنه هل أتم الصلاة ثم نام، أو نام فی أثنائها؟</w:t>
      </w:r>
      <w:bookmarkEnd w:id="1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لوعلم بأ نّه نام اختیاراً وشکّ فی أ نّه هل أتمّ الصلاة ثمّ نام، أو نام فی أثنائها؟ بنی علی أ نّه</w:t>
      </w:r>
      <w:r>
        <w:rPr>
          <w:rStyle w:val="FootnoteAnchor"/>
          <w:rtl w:val="true"/>
        </w:rPr>
        <w:footnoteReference w:id="1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بنی علی صحّة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ارتکاز الفراغ من الصلاة قبله، وإلاّ احتاطَ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خلافه، إلاّ أن یفرض کونه قد اعتاد النوم بعد الصلاة فاتّفق له هذا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إحراز الفراغ البنائی، وإلاّ فالأحوط بل‌الأقوی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الإتیان بالماهیة الجامعة بین الصحیح والفاسد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لم یحتمل إبطاله الصلاة متعمّداً، وإلاّ فالحکم بالصحّة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علم أنّه کان بناؤه علی الفراغ ثمّ نام،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بصحّة صلاته مشکل، فالأحوط وجوبا إعادة الصلاة إن کان الوقت باقیا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إذا علم بأ نّه</w:t>
      </w:r>
      <w:bookmarkStart w:id="1281" w:name="pg13278_326798"/>
    </w:p>
    <w:p>
      <w:pPr>
        <w:pStyle w:val="BookText"/>
        <w:rPr/>
      </w:pPr>
      <w:bookmarkEnd w:id="1281"/>
      <w:r>
        <w:rPr>
          <w:rFonts w:ascii="IRNazanin" w:hAnsi="IRNazanin" w:eastAsia="IRNazanin"/>
          <w:color w:val="111111"/>
          <w:sz w:val="28"/>
          <w:sz w:val="28"/>
          <w:szCs w:val="28"/>
          <w:rtl w:val="true"/>
          <w:lang w:bidi="fa-IR"/>
        </w:rPr>
        <w:t>غلبه النوم قهراً وشکّ فی أ نّه کان فی أثناء الصلاة أو بعدها وجب</w:t>
      </w:r>
      <w:r>
        <w:rPr>
          <w:rStyle w:val="FootnoteAnchor"/>
          <w:rtl w:val="true"/>
        </w:rPr>
        <w:footnoteReference w:id="1421"/>
      </w:r>
      <w:r>
        <w:rPr>
          <w:rFonts w:ascii="IRNazanin" w:hAnsi="IRNazanin" w:eastAsia="IRNazanin"/>
          <w:color w:val="111111"/>
          <w:sz w:val="28"/>
          <w:sz w:val="28"/>
          <w:szCs w:val="28"/>
          <w:rtl w:val="true"/>
          <w:lang w:bidi="fa-IR"/>
        </w:rPr>
        <w:t>علیه الإعادة</w:t>
      </w:r>
      <w:r>
        <w:rPr>
          <w:rStyle w:val="FootnoteAnchor"/>
          <w:rtl w:val="true"/>
        </w:rPr>
        <w:footnoteReference w:id="1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إذا کان العلم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عدم الوجوب فی ما إذا کان الفراغ وجدانیّاً وشکّ فی أنّ النوم القهریّ کان فی أثنائها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الإعادة بالشرط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282" w:name="__RefHeading___Toc1841553_2322387425"/>
      <w:bookmarkStart w:id="1283" w:name="_Toc494"/>
      <w:bookmarkEnd w:id="1282"/>
      <w:r>
        <w:rPr>
          <w:rtl w:val="true"/>
        </w:rPr>
        <w:t>حکم من رأی نجاسة فی المسجد أثناء الصلاة</w:t>
      </w:r>
      <w:bookmarkEnd w:id="1283"/>
    </w:p>
    <w:p>
      <w:pPr>
        <w:pStyle w:val="BookText"/>
        <w:rPr/>
      </w:pPr>
      <w:r>
        <w:rPr>
          <w:rFonts w:ascii="IRNazanin" w:hAnsi="IRNazanin" w:eastAsia="IRNazanin"/>
          <w:color w:val="111111"/>
          <w:sz w:val="28"/>
          <w:sz w:val="28"/>
          <w:szCs w:val="28"/>
          <w:rtl w:val="true"/>
          <w:lang w:bidi="fa-IR"/>
        </w:rPr>
        <w:t>وکذا إذا رأی نفسه نائماً فی السجدة وشکّ فی أ نّها السجدة الأخیرة من الصلاة أو سجدة الشکر بعد إتمام الصلاة، ولا یُجری قاعدة الفراغ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أثناء الصلاة فی المسجد فرأی نجاسة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الإزالة موقوفة علی قطع الصلاة أتمّها</w:t>
      </w:r>
      <w:r>
        <w:rPr>
          <w:rStyle w:val="FootnoteAnchor"/>
          <w:rtl w:val="true"/>
        </w:rPr>
        <w:footnoteReference w:id="1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فی غیر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کانت قریباً من الإتمام بحیث لاتنافی الفوریة العرفیة، وإلاّ فالأقوی قطعها إذا کان فی سعة الوقت، نعم، فی الضیق یتعیّن الإتمام،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الإتمام منافیاً للفوریة العرفیة، وإلاّ قطعها مع سعة الوقت، وأزال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جواز قطعها، بل وجوبه مع سعة الوقت، إلاّإذا لم یکن الإتمام مخلاًّ بالفوریّة العرفیّة فلا یجوز القطع، ویتمّها مقتصراً علی الواجبات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وجوب القطع والإزالة فی سعة الوقت سیّما لو کان بقاء النجاسة مستلزماً للهتک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قطعها و أزال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الوقت مضیَّقا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الحکم بوجوب القطع فی سعة الوقت والاشتغال بالإزالة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أزال</w:t>
      </w:r>
      <w:r>
        <w:rPr>
          <w:rStyle w:val="FootnoteAnchor"/>
          <w:rtl w:val="true"/>
        </w:rPr>
        <w:footnoteReference w:id="1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قطعها وأزال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قطع الصلاة فی سعة الوقت، وإن أتمّها فالأحوط الإعادة بعد 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فی ضیق الوقت، وإلاّ قطعها وأزال ثمّ استأنفها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سعة الوقت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منافاة الإتمام للفوریة العرفیة، وستأتی هذه المسألة بنحو أبسط فی الفصل الآتی المسألة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نافی الفوریة قطعها وأزال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قطعها وأزال النجاسة عند سعة الوقت، ومنافاة الإتمام للفوریة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منافیاً لفوریة وجوب الإزالة عرفاً، وإلاّ ففی سعة وقت الصلاة یجب تقدیم الإزالة علی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یتخیّر بینه وبین القطع للإزالة،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قطعها وأزال، هذا فی السعة، وأمّا فی الضیق أتمّها ثمّ أزال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قطع الصلاة وأزالها فی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تفصیل تقدّم فی الجزء الأوّل،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فی أحکام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أمکنت بدونه بأن لم یستلزم الاستدبار ولم</w:t>
      </w:r>
      <w:bookmarkStart w:id="1284" w:name="pg13278_326800"/>
    </w:p>
    <w:p>
      <w:pPr>
        <w:pStyle w:val="BookText"/>
        <w:rPr/>
      </w:pPr>
      <w:bookmarkEnd w:id="1284"/>
      <w:r>
        <w:rPr>
          <w:rFonts w:ascii="IRNazanin" w:hAnsi="IRNazanin" w:eastAsia="IRNazanin"/>
          <w:color w:val="111111"/>
          <w:sz w:val="28"/>
          <w:sz w:val="28"/>
          <w:szCs w:val="28"/>
          <w:rtl w:val="true"/>
          <w:lang w:bidi="fa-IR"/>
        </w:rPr>
        <w:t>یکن فعلاً کثیراً موجباً لمحو الصورة وجبت الإزالة، ثمّ البناء علی صلاته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5" w:name="__RefHeading___Toc1841555_2322387425"/>
      <w:bookmarkStart w:id="1286" w:name="_Toc495"/>
      <w:bookmarkEnd w:id="1285"/>
      <w:r>
        <w:rPr>
          <w:rtl w:val="true"/>
        </w:rPr>
        <w:t>فی القول بجواز البکاء علی سید الشهداء علیه السلام فی حال الصلاة</w:t>
      </w:r>
      <w:bookmarkEnd w:id="1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Style w:val="FootnoteAnchor"/>
          <w:rtl w:val="true"/>
        </w:rPr>
        <w:footnoteReference w:id="1426"/>
      </w:r>
      <w:r>
        <w:rPr>
          <w:rFonts w:ascii="IRNazanin" w:hAnsi="IRNazanin" w:eastAsia="IRNazanin"/>
          <w:color w:val="111111"/>
          <w:sz w:val="28"/>
          <w:sz w:val="28"/>
          <w:szCs w:val="28"/>
          <w:rtl w:val="true"/>
          <w:lang w:bidi="fa-IR"/>
        </w:rPr>
        <w:t>بجواز البکاء علی سیّد الشهداء ـ أرواحنا فداه ـ فی حال الصلاة، وهو مشکل</w:t>
      </w:r>
      <w:r>
        <w:rPr>
          <w:rStyle w:val="FootnoteAnchor"/>
          <w:rtl w:val="true"/>
        </w:rPr>
        <w:footnoteReference w:id="1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ممّا لا ینبغی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أفضل الطاعات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یکن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لأ نّه من أفضل القربات فلا تشمله الأخبار الناهیة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البکاء لِما یترتّب علی فقده من فوات الفائدة الاُخرویة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ینبغی الإشکال فیه إذا کان لرجحانه شرعاً، وأنّه من أفضل القربات، نعم، الأحوط الترک إذا کان البکاء علیه من أجل الرحمیة وغیرها من الاُمور الغیر الدینیة ولو لم یکن ماحیاً لاسم الصلاة، کما أنّ مع الموجبة للمحو المذکور لا یُعتدّ بما أتی به مطلقاً وإن لم یکن عن تعمّد واختیار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من أفضل الأعمال المتقرب بها إلیه سبحانه فالأقرب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إذ أنّه راجع إلی الاُمور الدینیة والاُخرویة، ولیس من قبیل البکاء علی المیّت حتّی یشمله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ما إذا کان بلا صوت، لا سیّما إذا کان قهراً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الإشکال وتعمیمه حتّی بالنسبة إلی ما لو کانت هناک وجهة إلهیّة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الجواز فی ما إذا قصد به التقرّب إلی اللّه، والأحوط تأخیره إلی خارج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الریب فی جوازه إذا کان لرجحانه شرعاً أو التوسّل به لِقبول العمل والنجاة فی الآخرة، نعم، الأحوط ترکه إذا کان لمحض الرِقّة والظلامة الإنسانیة وما أشبهها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 نعم، إذا کان لِما یترتّب علیه من الثواب و حُبّ اللّه تعالی لذلک، والقرب منه سبحانه جاز بلا إشکال، ونحوه الکلام فی البکاء للنبیّ وباقی الأئمة علیه وعلیهم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بقصد التقرّب إلی اللّه ولم یکن ماحیاً لصورة الصلاة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إلاّ فی مورد یوجب محو صورة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بالبکاء علی محنةٍ من مِحَنِ الإسلام، ومنها البکاء علی مصیبة سید الشهداء علیه‌السلام إذا کانت للاشتکاء والتظلّم إلی اللّه تعالی فهو من أفضل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 لعدم کون البکاء علیه من البکاء لاُمور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7" w:name="pg13278_326802"/>
      <w:bookmarkStart w:id="1288" w:name="pg13278_326802"/>
      <w:bookmarkEnd w:id="1288"/>
    </w:p>
    <w:p>
      <w:pPr>
        <w:pStyle w:val="Heading3"/>
        <w:numPr>
          <w:ilvl w:val="2"/>
          <w:numId w:val="1"/>
        </w:numPr>
        <w:rPr/>
      </w:pPr>
      <w:bookmarkStart w:id="1289" w:name="pg13278_326802"/>
      <w:bookmarkStart w:id="1290" w:name="__RefHeading___Toc1841557_2322387425"/>
      <w:bookmarkStart w:id="1291" w:name="_Toc496"/>
      <w:bookmarkEnd w:id="1289"/>
      <w:bookmarkEnd w:id="1290"/>
      <w:r>
        <w:rPr>
          <w:rtl w:val="true"/>
        </w:rPr>
        <w:t>حکم الشک فی بقاء الصلاة فی الفعل الکثیر و السکوت الطویل</w:t>
      </w:r>
      <w:bookmarkEnd w:id="1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بفعلٍ کثیرٍ أو بسکوتٍ طویلٍ وشکّ فی بقاء صورة الصلاة ومحوها معه فلا یبعد البناء علی البقاء</w:t>
      </w:r>
      <w:r>
        <w:rPr>
          <w:rStyle w:val="FootnoteAnchor"/>
          <w:rtl w:val="true"/>
        </w:rPr>
        <w:footnoteReference w:id="1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بالإعادة إذا أتمّها، والأظهر جواز القطع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فیه‌إشکال، بل‌منع، فیجب‌الاستئناف أوالإعادة علی‌تقدیرالإتمام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الجزء السابع بحمد اللّه تعالی،</w:t>
      </w:r>
    </w:p>
    <w:p>
      <w:pPr>
        <w:pStyle w:val="BookText"/>
        <w:rPr/>
      </w:pPr>
      <w:r>
        <w:rPr>
          <w:rFonts w:ascii="IRNazanin" w:hAnsi="IRNazanin" w:eastAsia="IRNazanin"/>
          <w:color w:val="111111"/>
          <w:sz w:val="28"/>
          <w:sz w:val="28"/>
          <w:szCs w:val="28"/>
          <w:rtl w:val="true"/>
          <w:lang w:bidi="fa-IR"/>
        </w:rPr>
        <w:t>ویلیه الجزء الثامن مبتدَأً بفصل</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تعالی </w:t>
      </w:r>
      <w:bookmarkStart w:id="1292" w:name="pg13278_326803"/>
    </w:p>
    <w:p>
      <w:pPr>
        <w:pStyle w:val="Heading2"/>
        <w:numPr>
          <w:ilvl w:val="1"/>
          <w:numId w:val="1"/>
        </w:numPr>
        <w:rPr/>
      </w:pPr>
      <w:bookmarkStart w:id="1293" w:name="__RefHeading___Toc1841559_2322387425"/>
      <w:bookmarkStart w:id="1294" w:name="_Toc497"/>
      <w:bookmarkEnd w:id="1292"/>
      <w:bookmarkEnd w:id="1293"/>
      <w:r>
        <w:rPr>
          <w:rtl w:val="true"/>
        </w:rPr>
        <w:t>فهرست محتویات الجزء السابع من کتاب</w:t>
      </w:r>
      <w:bookmarkEnd w:id="1294"/>
    </w:p>
    <w:p>
      <w:pPr>
        <w:pStyle w:val="BookText"/>
        <w:rPr/>
      </w:pPr>
      <w:r>
        <w:rPr>
          <w:rFonts w:ascii="IRNazanin" w:hAnsi="IRNazanin" w:eastAsia="IRNazanin"/>
          <w:color w:val="111111"/>
          <w:sz w:val="28"/>
          <w:sz w:val="28"/>
          <w:szCs w:val="28"/>
          <w:rtl w:val="true"/>
          <w:lang w:bidi="fa-IR"/>
        </w:rPr>
        <w:t>العروة الوثقی والتعلیقات علیها</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واجبات الصلاة وأرکانها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الصلوات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تعداد واجبات الصلاة وبیان الأرکان منها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الداعی دون الزائد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درجات غایات الامتثال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وجوب تعیین العمل لو کان ما علیه فعلاً متعدّداً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عدم وجوب قصد الأداء والقضاء إلاّ مع توقّف التعیین علی 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جواز العدول فی أماکن التخییر بین القصر والتمام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کفایة القصد الإجمالی للشروع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عدم منافاة نیّة الوجوب اشتمال الصلاة علی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مرجوحیّة التلفّظ بالنیّة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من لا یعرف الصلاة علیه الأخذ بالتلقین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شرطیة الخلوص من الریاء فی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وجوه تحقّق الریاء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الریاء محضاً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الریاء إلی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فی الأجزاء الواجبة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فی الأجزاء المستحبّة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من حیث 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من حیث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فی أوصاف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فی مقدمات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فی ما هو خارج عن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بحیث یعجبه أن یراه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الریاء المتأخّر عن العبادة لا یوجب البطلان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حکم العُجب المتأخّر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حکم الضمائم من غیر الریاء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أنحاء الضمیمة إلی داعی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حکم ما یؤتی به بقصد الصلاة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انضمام داعی إعلام الغیر إلی داعی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وقت نیّة ابتداء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وجوب استدامة النیّة إلی آخر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حکم نیّة القطع أو القاطع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لو نوی المکلّف صلاةً فسبق لسانه أو خیاله خطوراً إلی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وقوع صحّة الصلاة علی ما افتُتِحَت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حکم الشکّ فی تعیین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موارد جواز العدول من صلاة إلی اُخری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الحاضرة إلی الحاضرة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الفائتة إلی الفائتة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الحاضرة إلی الفائتة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الجمعة إلی النافلة لمن قرأ غیر سورة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الفریضة إلی النافلة لإدراک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الجماعة إلی الانفراد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إمام إلی إمامٍ آخر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القصر إلی التمام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التمام إلی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القصر إلی التمام أو العکس فی مواطن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عدم جواز العدول من الفائتة إلی الحاضرة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حکم العدول من النفل إلی الفرض أو إلی نفلٍ آخر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عدم جواز العدول فی موضع لا یجوز العدول فیه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العدول من الظهر إلی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حکم العدول فی غیر موضع العدول خطأً</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عدم البأس بترامی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العدول بعد الفراغ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کفایة النیّة فی تحقّق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بلوغ حدّ الترخّص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إذا عیّن صلاةً ثمّ تبیّن أنّ ما فی ذمّته صلاةً اُخری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الخطأ فی قصد عنوان الرکعات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تکبیرة الإحرام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رکنیة التکبیر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حکم ترک التکبیرة وزیادتها أو نقصانها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الإتیان بتکبیرة أثناء الصلاة لصلاةٍ اُخری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الإتیان بتکبیرة الإحرام مجرّدةً بلا وصل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التکبیر بغیر الکیفیة المعهودة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اعتبار القیام والاستقرار فی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أدنی ما یتحقّق به التلفّظ</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وجوب تعلّم التکبیرة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کیفیة التکبیر من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حکم التکبیرات المندوبة کحکم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صحّة صلاة من ترک التعلّم فی سعة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استحباب الإتیان بستِّ تکبیرات سوی تکبیرة الإحرام واختیار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عموم استحباب الافتتاح، والقول بالاختصاص بمواضع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الجمع بین محتملات مسألة تعیین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کیفیة الافتتاح بالسبع وصیغها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استحباب جهر الإمام بتکبیرة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استحباب رفع الیدین حال التکبیر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حکم الشکّ فی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بأقسام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القیام حال التکبیرة، والمتّصل بالرکوع واجب رکنی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القیام حال القراءة وبعد الرکوع واجب غیر رکنی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القیام المستحبّ والمباح</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حکم القیام حال تکبیرة الإحرام وقبلها وبعدها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القیام حال القراءة والتسبیحات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المراد من استحبابیة القیام حال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حکم نسیان القیام حال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المراد من القیام المتّصل بالرکوع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الکلام فی زیادة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الشکّ فی القیام بعد تجاوزه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ما یعتبر فی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الإخلال بشرائط القیام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حکم الاعتماد علی إحدی الرجلین حال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حکم الاعتماد والمعتمد علیه فی حال الاضطرار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مقدّمیة القیام الاضطراری بأقسامه علی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حکم العاجز عن القیام أو الجلوس أو الاستلقاء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حکم المتمکّن من القیام والعاجز عن الرکوع قائماً أو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الحکم فی ترک القیام أوترک الرکوع والسجود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دوران الأمر بین الصلاة قائماً ماشیاً أو جالساً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فی مَن کانت وظیفته الجلوس وأمکنه القیام للرکوع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حکم القادر علی القیام فی بعض الرکعات أو الرکعة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مقدّمیة المشی أوالرکوب حال الصلاة للعجز عن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مظنّة التمکّن من القیام فی آخر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حکم التمکّن من القیام مع خوف المرض أو بط‌ء برئه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الحکم بین مراعاة الاستقبال ومراعاة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حکم تجدّد العجز عن القیام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حکم تجدّد القدرة علی القیام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لو رکع قائماً ثمّ عجز عن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الاستقرار فی أفعال الصلاة وأذکارها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العاجز عن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کیفیة الجلوس للمصلی جالساً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مستحبّات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القراءة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یجب قراءته فی صلاة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حکم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حکم قراءة ما یفوت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حکم قراءة سور 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حکم قراءة آیة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حکم قراءة السور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حکم قراءة العزائم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ما هی سور 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حکم البسملة فی السور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ما حکم السور المتحدة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قراءة أکثر من سورة فی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ما حکم تعیین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ما حکم تعیین البسملة للسورة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حکم العدول فی السور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حکم الجهر فی القراءة للرجل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الجهر بالبسملة فی الظهرین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حکم الجهر فی موضع الإخفات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الناسی أو الجاهل للقراءة قبل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 الجهل بالحکم جهراً وإخفاتاً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سقوط الجهر عن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ما المناط فی صدق الجهر والإخفات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کیفیة صدق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حکم غیر الحافظ للقراءة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قراءة العاجز عن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حکم قراءة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فی وجوب تعلّم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حکم الائتمام مع العجز عن تعلّم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حکم من ضاق وقته عن التعلّم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حکم من لم یعلم شیئاً من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حکم أخذ الاُجرة علی تعلیم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حکم الترتیب والموالاة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الإخلال بالکلمات والحروف والحرکات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حکم الوقف بالحرکة والوصل بالسکون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مراعاة مخارج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المدّ الواجب ومورده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حکم الفصل بین حروف الکلمة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انقطاع النَفَس أثناء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مواضع الإدغام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القراءة بإحدی القراءات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الحروف الشمسیة والقمریة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فی ما یرتبط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التخییر بین القراءة والتسبیحات فی الرکعات الأخیرة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نسی الحمد فی الرکعتین الاُولتین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أفضلیّة التسبیحات علی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حکم القراءة فی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حکم الإخفات فی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العدول من القراءة إلی التسبیح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قراءة الحمد بتخیّل أنّه فی الاُولیین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حکم نسیان القراءة والتسبیحات قبل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الشکّ فی التسبیح بعد الهویّ للرکوع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فی حکم زیادة التسبیحات علی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قصد القربة فی 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مستحبّات القراءة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بالبسملة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فواصل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المعانی والاتّعاظ بها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عند آیة النعمة والنقمة بما یناسبهما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السکتة بین الحمد والسورة، وکذا بعد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المأثور بعد التوحید والفاتحة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بعض السور المخصوصة فی بعض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استحباب قراءة بعض السور فی صلاة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کراهة ترک سورة التوحید فی جمیع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کراهة قراءة التوحید بنَفَسٍ واحد، وکذا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کراهة قراءة سورة واحدة فی الرکعتین إلاّ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جواز تکرار الآیة فی الفریضة وغیرها والبکاء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استحباب إعادة الجمعة أو الظهر فی یوم الجمعة إذا لم یقرأهما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قراءة المعوّذتین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عدد آیات الحمد والتوحید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قصد الإنشاء والقرآن حین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الاستقرار حال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استحباب الصلاة علی النبی عند سماع اسمه حین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حکم القراءة فی الحرکة القهریّة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حکم الشکّ فی صحّة قراءة آیة أو کلمة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الاقتصار علی تسبیحة واحدة عند الضیق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بعض فروع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الرکوع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الرکوع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واجبات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الانتصاب بعد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حال القیام من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عدم وجوب وضع الیدین علی الرکبتین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العجز عن الانحناء للرکوع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حکم الرکوع جالساً مع الانحناء وقائماً مُومِئاً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التمکّن من الرکوع الاختیاری بعد العجز</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زیادة الرکوع الجلوسی أو الإیمائی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حکم من کان کالراکع خلقةً أو بالعارض</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اعتبار قصد الرکوع فی الانحناء</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حکم الناسی للرکوع قبل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حدّ الانحناء فی رکوع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فی ما یکتفی به من الذِکر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زیادة الذکر علی المرّة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کفایة التسبیحة الصغری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عدم جواز الشروع فی الذکر قبل الرکوع والاطمئنان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سقوط الطمأنینة عن العاجز</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حکم ترک الطمأنینة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فی الجمع بین التسبیحة الصغری و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العدول من التسبیحة الصغری إلی الکبری،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شرائط ذکر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التحرّک قهراً فی حال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حکم التنقّل بین مراتب الانحناء</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کیفیّة الرکوع الجلوسی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مستحبّات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للرکوع فی حال الانتصاب</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حال التکبیرة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الکفّین علی الرکبتین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الرکبتین إلی الخلف</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تسویة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العنق</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نظره بین قدمیه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التجنیح</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 الیمنی علی الرکبة قبل الید الیسری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المرأة یدیها علی فخذیها فوق الرکبتین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التسبیح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علی وَتر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قبل الذکر بالمأثور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الانتصاب منه بالمأثور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للانتصاب منه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الذکر أو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مکروهات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یطأطئ رأسه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یدیه إلی جنبیه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إحدی الکفّین علی الاُخری ویدخلهما بین رکبتیه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یدیه تحت ثیابه ملاصقاً لجسده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 النافلة مع الفریضة فی أحکام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السجود وأقسامه ورکنیّته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واجبات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المساجد السبعة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بعد السجدة الأولی وبعده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المساجد السبعة فی محالّها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موضع الجبهة للموقف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 علی ما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محلّ وضع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العربیة والموالاة والترتیب فی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تحدید الجبهة وموضع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اعتبار مباشرة الجبهة حال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اشتراط وضع الکفّین علی الأرض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إجزاء وضع مسمّی الرکبتین، وتحدید الرکبة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وضع طرفَی الإبهامین وما بحکمها</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الاعتماد علی الأعضاء السبعة حال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کیفیة السجود وتفصیله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وضع الجبهة علی موضع مرتفع</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ما لو وضعت الجبهة علی ما لا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حکم تعذّر السجود علی الجبهة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فی ما لو عجز عن الانحناء أو وضع بعض الأعضاء للسجود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حکم ما لو حرّک إبهامه او باقی المساجد فی حال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حکم السجود علی غیر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حکم ما لو نسی السجدتین أو إحداهما</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حکم ما لا تستقرّ علیه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حکم العاجز عن الانحناء بین وضع الیدین علی الأرض ووضع المسجد علی الجبهة</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مستحبّات السجود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الاُمور المستحبة حال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حال الانتصاب من الرکوع قائماً أو قاعداً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حال التکبیر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بالیدین إلی الأرض عند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الجبهة للمسجد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الإرغام بالأنف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الیدین مضمومَتَی الأصابع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النظر إلی طرف الأنف حال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قبل الشروع فی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علی الوَتر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التسبیح من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بین موضع الجبهة والموقف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التورّک فی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وأتوب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بعد السجدة الاُولی وقبل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بعد الرفع من الثانیة کذلک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حال التکبیرات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علی الفخذین حال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التجافی حال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التجنُّح</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وآله فی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سابقاً برفع رکبتیه قبل یدیه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وارحمنی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عند النهوض للقیام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العجن بیدیه عند إرادة النهوض</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الرکبتین قبل الیدین للمرأة عند الهویّ للسجود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إطالة السجود والإکثار فیه من التسبیح والذکر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الأرض بالکفّین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تمکین الجبهة وسائر المساجد فی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کراهة الإقعاء فی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کراهة نفخ موضع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کراهة قراءة القرآن فی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ترک جلسة الاستراحة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ما لو نسی جلسة الاستراحة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أقسام السجود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للسهو</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أحکام السجود لآیات 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فی ما یعتبر فی هذا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فی ما لا یعتبر فی هذا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فی ما یکتفی به فی هذا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حکم ما لو سمع القراءة مکرّراً وشکّ بین الأقلّ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فی ما لو علم عدد القراءات وشکّ فی الإتیان بین الأقلّ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کفایة رفع الرأس من السجدة فی صورة وجوب 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سجود الشکر، وبعض موارده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ما یُکتفی به وما یشترط وما لا یشترط فی هذا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فی ما لو وَجَدَ سببَ سجود الشکر وکان له مانع من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السجود بقصد التذلّل والتعظیم للّه تعالی، وما یتعلّق به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حکم السجود لغیر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التشهد فی کلّ صلاة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حکم ترکه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واجبات التشهّد، 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فی کیفیة التشهّد والصلاة علی النبی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بمقدار الذکر الوارد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فیه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تأدیته بالوجه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ذکر الشهادتین والصلاة بألفاظها المتعارفة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کیفیة الجلوس فی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حکم تعلّم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یستحبّ فی التشهّد اُمور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متورّکاً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قبل الشروع بالذکر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 ذلک</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الیدین علی الفخذین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نظره إلی حِجره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 الشهادة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بالحق بشیراً و</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 الصلاة علی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التشهّد الأول والثانی بما جاء فی موثّقة 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سبعاً بعد التشهّد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القیام عن التشهّد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المرأة فخذَیها حال الجلوس للتشهّد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کراهة الإقعاء حال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التسلیم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التسلیم وجزئیّته للصلاة وجمیع ما یعتبر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حکم ترکه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حکم الجلوس فی التسلیم والاطمئنان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کیفیة التسلیم وصیغته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حکم تأدیته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حکم الصلاة فی الحدث أو الإتیان ببعض المنافیات قبل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ما لا یشترط فی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حکم تعلّم صیغة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حکم العاجز عن التسلیم والأخرس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مستحبّات الجلوس فیه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کفایة الإخطار الإجمالی بالبال فی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استحباب الإیماء بالتسلیم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فی ما لو دخل وقت الصلاة أثناء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الترتیب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الترتیب بین أفعال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حکم ما لو خالف 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الموالاة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الموالاة بین أفعال الصلاة وأجزاءها</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ترک الموالاة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التطویل لا یوجب فوات الموالاة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مراعاة التتابع العرفی بالأفعال والقراءة والأذکار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فی ما لو نذر الموالاة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القنوت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القنوت فی جمیع الفرائض والنوافل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تأکّد القنوت فی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محلّ القنوت فی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عدم اشتراط رفع الیدین ولا الذکر الخاص فیه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أقلّ ما یجزی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جواز قراءة القرآن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جواز قراءة الأشعار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جواز الدعاء فیه بسائر اللغات إلاّ الأذکار المخصوصة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قراءة الأدعیة الواردة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ما یُبدء به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بعض ما ورد من القنوت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حکم القنوت بالدعاء الملحون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جواز الدعاء لشخصٍ أو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حکم الدعاء لطلب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استحباب إطالة القنوت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استحبابیّة وکرهیّة جملة من الأمور حین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الجهر بالقنوت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ما إذا نذر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حکم نسیان القنوت وما یتعلّق به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فی شرطیة القیام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صلاة المرأة کالرجل فی الواجبات والمستحبّات، وبعض ما یستحبّ فی صلاتها</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صلاة الصَبیِّ کالرجل، والصبیّة کالمرأة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بعض ما یستحبّ فی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التعقیب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المراد من التعقیب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حکم التعقیب وما یقصد فیه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ذکر اُمور فی التعقیب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یکبّر ثلاثاً بعد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الزهراء علیهاالسلام ، وذکر فضله وکیفیته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استحباب کون السبحة من طین قبر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فی ما لو شکّ فی تسبیح الزهراء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اهدِنی من عندکَ، وأفِضْ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برکاتک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أو أربعین أو ثلاثین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 وأجرنی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إلاّ باللّه العلیّ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الحمد وآیة الکرسی 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 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من کلّ خیرٍ أحاط به 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اُعیذُ نفسی وما رزقنی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اُعیذ نفسی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سورة التوحید اثنتی عشرة مرة، ثمّ یقرأ الدعاء الوارد 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والإقرار بالأئمة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یُثنی رجلیه یقول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وأتوب إلیه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الحفظ من النسیان،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یعتدی علی أهل مملکته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استحباب الجلوس فی المصلّی بعد صلاة الصبح إلی طلوع الشمس مشتغلاً بذکر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الدعاء بعد الفریضة أفضل من الصلاة بعدها، وهو أفضل من الدعاء بعد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استحباب سجود الشکر بعد کلّ صلاة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علی النبیّ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الصلاة علی النبی حیثما ذَکَر أو ذُکِر عنده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یستحب تکرار الصلاة علیه إذا ذکر اسمه صلی‌الله‌علیه‌و‌آله‌وسلم مکرّراً</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إذا کان فی أثناء التشهّد فسَمِع اسمه لا یکتفی بالصلاة التی تَجب للتشهّد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عدم الفصل الطویل بین ذکره والصلاة علیه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لا تُعتبر کیفیة خاصة فی الصلاة علیه صلی‌الله‌علیه‌و‌آله‌وسلم ، بل یکفی کلّ ما یدلّ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إذا کَتَبَ اسمَه صلی‌الله‌علیه‌و‌آله‌وسلم یستحبّ أن یکتب الصلاة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فی ما لو تذکّر اسمَه صلی‌الله‌علیه‌و‌آله‌وسلم فی قلبه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الصلاة علیه صلی‌الله‌علیه‌و‌آله‌وسلم عند ذکر سائر الأنبیاء والأئمة علیهم‌السلام وکیفیتها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مبطلات الصلاة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المبطِلة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بعض الشرائط فی الصلاة، کالستر وإباحة المکان وغیرهما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الحدث الأکبر أو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الالتفات بتمام البدن دون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الکلام بحرفین ولو مهمَلَین، أو بحرفٍ واحدٍ مُفهِم للمعنی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ما لو تکلّم بحرفین فحصل ثانیهما من إشباع حرکة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حکم التکلّم بحرفین من غیر ترکیب</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فی ما لو تکلّم بحرفٍ واحدٍ غیر مفهمٍ للمعنی ووصله بإحدی کلمات الذکر أو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عدم بطلان الصلاة بمدِّ حرف المدِّ واللِینِ وإن زاد حرف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حکم ما لو تکلّم بأحد حروف المعانی، کحرف الجر والتعلیل والعطف مع عدم قصدها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عدم بطلان الصلاة بصوت التَنَحْنُحْ أو النفخ والأنین والتأوّه من دون حکایتها</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ذکر التأوّه من الذنب أو من نار جهنم ضمن الدعاء لا یبطل الصلاة بدون ذکر المتعلّق</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عدم الفرق فی بطلان الصلاة بین وجود مخاطَب أم لا، وکذا مع الاضطرار أو 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لا بأس بالذکر والدعاء فی جمیع أحوال الصلاة بغیر المحرَّم، ومعه لا یجوز ومبطل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جواز الذکر والدعاء بغیر العربیة، وإن کانت أفضل</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قصد القرآنیة فی القراءة، وإن لم یکن بها ولم یکن دعاءً أبطل</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ما لو أتی بالذکر بقصد تنبیه الغیر والدلالة، أو قصد به التنبیه من دون قصد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جواز الدعاء مع مخاطبة الغیر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جواز تکرار الذکر أو القراءة عمداً أو من باب الاحتیاط، وعدمه مع الوسوسة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لا یجوز ابتداءً السلام للمصلّی وکذا سائر التحیّات مع قصد التحیّة، وإن قصد الدعاء فلا بأس</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جواز ردّ سلام التحیّة أثناء الصلاة، بل یجب، وإن عصی لم تبطل</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وجوب ردّ السلام أثناء الصلاة بمثل ما سُلِّم بنفس اللفظ والمماثلة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لو قال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القرآنیة أو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وجوب ردّ جواب السلام صحیحاً ولو سُلِّمَ بالملحون، والأفضل قصد القرآن والدعاء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حکم ما لو کان المسلِّم صبیّاً ممیِّزاً، أو امرأةً أجنبیة، أو أجنبیّاً علی امرأة تصلّی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فیما لو سُلِّم علی جماعةٍ منهم المصلِّی فردّ الجواب غیره، أو ردّه صبیّ ممیِّز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حکم ما لو سُلِّم علیه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لو سُلِّمَ مرّات عدیدة یکفی فی الجواب مرة، ولو أجاب وسُلِّم یجب جواب الثانی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حکم ما لو شکّ المصلّی أنّ المسلِّم قصده مع الجماعة،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وجوب ردّ السلام فوراً، وعدمه لو أخّر عصیاناً أو نسیاناً مع خروجه عن صدق الجواب، وإن کان فی الصلاة لم یجز</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وجوب إسماع ردّ السلام، سواء کان فی الصلاة أم لا، إلاّ إذا سلّم ومشی سریعاً</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فی ما لو کانت التحیة بغیر لفظ السلام، ولو کان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حکم ما لو شکّ المصلّی بأنّ المسلِّم سلّم بأیّ صیغة؟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کراهة السلام علی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کفائیّة وجوب ردّ السلام، وعدم سقوط الاستحباب بالنسبة إلی الباقین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جواز سلام الأجنبی علی الأجنبیة، وبالعکس مع عدم الرِیبة أو خوف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الابتداء بالسلام علی الکافر، وسلام الذمّی علی المسلم وکیفیته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استحباب سلام الراکب علی الماشی، والقائم علی الجالس، والقلّة علی الکثرة،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عدم وجوب ردّ السلام إن کان سخریة أو مزاح</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عدم وجوب الردّ إذا سلّم علی أحد شخصین ولم یُعلم أیّهما أراد؟ وإن کان الأفضل الردّ لکلیهما فی غیر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لو تقارن سلام شخصین کلّ علی الآخر وجب علی کلٍّ فهما الردّ للآخر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وجوب ردّ سلام قارئ التعزیة والواعظ ونحوهما، ویکفی ردّ أحد المستمعین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استحباب الردّ بالأحسن فی غیر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استحباب قول العاطس ومن سمع عطسة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التحمید والصلاة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یستحبّ تسمیت العاطس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الجمع، وإن کان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یستحبّ للعاطس أن یردّ التسمیت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یغفرالله لکم</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القهقهة ولو اضطراراً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البکاء المشتمل علی الصوت وغیره لاُمور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فعلٍ ماحٍ لصورة الصلاة، قلیلاً کان أو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الماحیان للصورة، عمداً کانا أو سهواً</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الفاتحة لغیر 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رکعات الثنائیة والثلاثیّة والاُولَیَین من الرباعیة</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جزءٍ أو نقصانه، عمداً إن لم یکن رکناً، ومطلقاً مع الرکنیة</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لو شکّ بعد السلام فی أنّه هل أحدث أثناء الصلاة أم لا؟ بنی علی العدم والصحة</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حکم من علم بأنّه نام اختیاراً وشکّ فی أنّه هل أتم الصلاة ثمّ نام، أو نام فی أثنائها؟</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حکم من رأی نجاسةً فی المسجد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فی القول بجواز البکاء علی سیدالشهداء علیه‌السلام فی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حکم الشکّ فی بقاء الصلاة فی الفعل الکثیر والسکوت الطویل</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فهرس محتویات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الاصدارت العلمیة لمؤسسة السبطین علیهماالسلام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bookmarkStart w:id="1295" w:name="pg13278_326826"/>
    </w:p>
    <w:p>
      <w:pPr>
        <w:pStyle w:val="Heading2"/>
        <w:numPr>
          <w:ilvl w:val="1"/>
          <w:numId w:val="1"/>
        </w:numPr>
        <w:rPr/>
      </w:pPr>
      <w:bookmarkStart w:id="1296" w:name="__RefHeading___Toc1841561_2322387425"/>
      <w:bookmarkStart w:id="1297" w:name="_Toc498"/>
      <w:bookmarkEnd w:id="1295"/>
      <w:bookmarkEnd w:id="1296"/>
      <w:r>
        <w:rPr>
          <w:rtl w:val="true"/>
        </w:rPr>
        <w:t>الاصدارات العلمیة لمؤسسة السبطین علیهماالسلام العالمیة</w:t>
      </w:r>
      <w:bookmarkEnd w:id="1297"/>
    </w:p>
    <w:p>
      <w:pPr>
        <w:pStyle w:val="Heading3"/>
        <w:numPr>
          <w:ilvl w:val="2"/>
          <w:numId w:val="1"/>
        </w:numPr>
        <w:rPr/>
      </w:pPr>
      <w:bookmarkStart w:id="1298" w:name="__RefHeading___Toc1841563_2322387425"/>
      <w:bookmarkStart w:id="1299" w:name="_Toc499"/>
      <w:bookmarkEnd w:id="1298"/>
      <w:r>
        <w:rPr>
          <w:rtl w:val="true"/>
        </w:rPr>
        <w:t>باللغة العربیة</w:t>
      </w:r>
      <w:bookmarkEnd w:id="1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رحمه‌الله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محاضرات الإمام الخوئی رحمه‌الله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مراجعة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أدب الشریعة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 الدکتور محمود البستانی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المرتضی الرضوی، تحقیق وتنظیم مؤسسة السبطین علیهماالسلام العالمیة، یشتمل علی حیاة فاطمة علیهاالسلام من ولادتها إلی شهادتها علیهاالسلام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تحقیق و تنظیم مؤسسة السبطین علیهماالسلام العالمیة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العقیدة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مع اضافات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الشیعه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السید حسن الصدر قدس‌سره ،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السیّد الخوئی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للفقیه الأعظم الطباطبائی الیزدی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منها للآن سبعة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لکبار المراجع والعلماء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الجواد علیه‌السلام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السنة أتباع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فاطمة بنت اسد، حجر النبوّة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والبحوث العلمیة لمؤسسة السبطین علیهماالسلام العالمیة</w:t>
      </w:r>
      <w:r>
        <w:rPr>
          <w:rFonts w:eastAsia="IRNazanin" w:cs="IRNazanin"/>
          <w:color w:val="111111"/>
          <w:sz w:val="28"/>
          <w:szCs w:val="28"/>
          <w:rtl w:val="true"/>
          <w:lang w:bidi="fa-IR"/>
        </w:rPr>
        <w:t xml:space="preserve">. </w:t>
      </w:r>
      <w:bookmarkStart w:id="1300" w:name="pg13278_326828"/>
    </w:p>
    <w:p>
      <w:pPr>
        <w:pStyle w:val="BookText"/>
        <w:rPr/>
      </w:pPr>
      <w:bookmarkEnd w:id="1300"/>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لکل شیء علامة یعرف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أفضل کل شیء وأحسنه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علم الهدی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 خزعل غازی، إشراف وتحقیق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البیان فی حوادث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الأمیر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الباب للوقوف علی علم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Heading3"/>
        <w:numPr>
          <w:ilvl w:val="2"/>
          <w:numId w:val="1"/>
        </w:numPr>
        <w:rPr/>
      </w:pPr>
      <w:bookmarkStart w:id="1301" w:name="__RefHeading___Toc1841565_2322387425"/>
      <w:bookmarkStart w:id="1302" w:name="_Toc500"/>
      <w:bookmarkEnd w:id="1301"/>
      <w:r>
        <w:rPr>
          <w:rtl w:val="true"/>
        </w:rPr>
        <w:t>باللغة الفارسیة</w:t>
      </w:r>
      <w:bookmarkEnd w:id="1302"/>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 و پاسخ‌های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 xml:space="preserve">. </w:t>
      </w:r>
      <w:bookmarkStart w:id="1303" w:name="pg13278_326829"/>
    </w:p>
    <w:p>
      <w:pPr>
        <w:pStyle w:val="BookText"/>
        <w:rPr/>
      </w:pPr>
      <w:bookmarkEnd w:id="1303"/>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روزشمار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سکینة؛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ـ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سید عبدالحسین الطیب قدس‌سره ، تحقیق مؤسسة السبطین علیهماالسلام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تتم هذه الدورة التفسیریة فی أکثر من عشرین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سلطان الواعظین شیرازی،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گلستان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یتیم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دردانه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ریحانه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Heading3"/>
        <w:numPr>
          <w:ilvl w:val="2"/>
          <w:numId w:val="1"/>
        </w:numPr>
        <w:rPr/>
      </w:pPr>
      <w:bookmarkStart w:id="1304" w:name="__RefHeading___Toc1841567_2322387425"/>
      <w:bookmarkStart w:id="1305" w:name="_Toc501"/>
      <w:bookmarkEnd w:id="1304"/>
      <w:r>
        <w:rPr>
          <w:rtl w:val="true"/>
        </w:rPr>
        <w:t>باللغة الانجلیزیة</w:t>
      </w:r>
      <w:bookmarkEnd w:id="130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علوم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مفاهیم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bookmarkStart w:id="1306" w:name="pg13278_326830"/>
    </w:p>
    <w:p>
      <w:pPr>
        <w:pStyle w:val="Heading3"/>
        <w:numPr>
          <w:ilvl w:val="2"/>
          <w:numId w:val="1"/>
        </w:numPr>
        <w:rPr/>
      </w:pPr>
      <w:bookmarkStart w:id="1307" w:name="__RefHeading___Toc1841569_2322387425"/>
      <w:bookmarkStart w:id="1308" w:name="_Toc502"/>
      <w:bookmarkEnd w:id="1306"/>
      <w:bookmarkEnd w:id="1307"/>
      <w:r>
        <w:rPr>
          <w:rtl w:val="true"/>
        </w:rPr>
        <w:t>باللغة الاُردویة</w:t>
      </w:r>
      <w:bookmarkEnd w:id="1308"/>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قطره‌ای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Heading3"/>
        <w:numPr>
          <w:ilvl w:val="2"/>
          <w:numId w:val="1"/>
        </w:numPr>
        <w:rPr/>
      </w:pPr>
      <w:bookmarkStart w:id="1309" w:name="__RefHeading___Toc1841571_2322387425"/>
      <w:bookmarkStart w:id="1310" w:name="_Toc503"/>
      <w:bookmarkEnd w:id="1309"/>
      <w:r>
        <w:rPr>
          <w:rtl w:val="true"/>
        </w:rPr>
        <w:t>قید التحقیق</w:t>
      </w:r>
      <w:bookmarkEnd w:id="1310"/>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الجزء الثامن من 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الجزء الثامن عشر من أطیب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الجزء الثالث من تفسیر القرآن الکریم للشریف المرتضی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معالم التشریع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علیهماالسلام 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واضافات مؤسسة السبطین علیهماالسلام لعالمیة</w:t>
      </w:r>
      <w:r>
        <w:rPr>
          <w:rFonts w:eastAsia="IRNazanin" w:cs="IRNazanin"/>
          <w:color w:val="111111"/>
          <w:sz w:val="28"/>
          <w:szCs w:val="28"/>
          <w:rtl w:val="true"/>
          <w:lang w:bidi="fa-IR"/>
        </w:rPr>
        <w:t>.</w:t>
      </w:r>
    </w:p>
    <w:p>
      <w:pPr>
        <w:pStyle w:val="Heading3"/>
        <w:numPr>
          <w:ilvl w:val="2"/>
          <w:numId w:val="1"/>
        </w:numPr>
        <w:rPr/>
      </w:pPr>
      <w:bookmarkStart w:id="1311" w:name="__RefHeading___Toc1841573_2322387425"/>
      <w:bookmarkStart w:id="1312" w:name="_Toc504"/>
      <w:bookmarkEnd w:id="1311"/>
      <w:r>
        <w:rPr>
          <w:rtl w:val="true"/>
        </w:rPr>
        <w:t>مرکز نشر و توزیع مؤسسة السبطین علیهماالسلام العالمیة</w:t>
      </w:r>
      <w:bookmarkEnd w:id="1312"/>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IRNazanin" w:hAnsi="IRNazanin" w:eastAsia="IRNazanin"/>
          <w:color w:val="111111"/>
          <w:sz w:val="28"/>
          <w:sz w:val="28"/>
          <w:szCs w:val="28"/>
          <w:rtl w:val="true"/>
          <w:lang w:bidi="fa-IR"/>
        </w:rPr>
        <w:t xml:space="preserve">ایران ـ قم ـ شارع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7703330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Times New Roman" w:cs="Times New Roman" w:ascii="Times New Roman" w:hAnsi="Times New Roman"/>
          <w:color w:val="111111"/>
          <w:sz w:val="28"/>
          <w:szCs w:val="28"/>
          <w:lang w:val="en-US" w:bidi="en-US"/>
        </w:rPr>
        <w:t>URL: www.sibtayn.com</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E_mail: sibtayn@sibtayn.com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 فی خلال البحث عن الواجبات فیها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الثانی منها رکن فی الجملة،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البطلان بزیادة تکبیرة الإحرام سهواً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یکون الباعث إلیه أمر اللّه سبحانه، ولعلّ هذا مراد الفقهاء الذین یعتبرون عند القصد القربة فیها، ولا یخفی علیک أنّ اعتبار قصد القربة فی الصلاة لا یُستفاد من الآیة ولا من الروایة، بل الدلیل علیه هو الإجماع، وکون الصلاة هی التقرّب إلی اللّه؛ وذلک أنّ الصلاة لیست من الأفعال الدنیویّة حتّی یتقرّب بها، بل الصلاة عبادة ذاتیة تتحقّق بحضور المصلّی بین یدی اللّه بالخضوع والتذلّل عنده تعالی، فلا یحتاج الی قصد امتثال الأمر، فقصد عنوان الصلاة کافٍ فی تحقّق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وموافقة الأمر؛ لیحصل له التقرّب من مرضاته ورحمته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مبحث الوضوء تفسیر الداعی، وأنّه القصد المرتکز فی النفس، وهو الذی تدور اختیاریة الأفعال مداره وجوداً وعدماً، وهو المصحِّح لاستحقاق الثواب والعقاب، وتقدّم کفایته فی العبادات علی الأقوی من دون احتیاج إلی الإخطار التفصیلی ولا الإجمالی لصورة الفعل فی النفس حین الشروع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إخطار صورة العمل تفصیلاً عند القصد إلیه، وعلی هذا یکون التصور الإجمالی کافیاً، وقد یعبّر عنه بالداعی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تحقّق القربة ولو بغیر الامتثال، بأن یکون الداعی المحبوبیة له تعالی أو غیرها ممّا یُحصِّل القرب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وإرادة الموافقة لأمر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خفیٍّ علی النقّاب أنّها کثیرة لیست بمنحصرة فی ما أوردها هنا، ثمّ إنّ هذه الغایات قد تکون منفردة، وقد تترکّب من اثنتین منها أو أزید بالأصالة أو بالتَبَع بنحو العامّ الأفرادی أو المجموعی، فهناک تتصوّر صور عدیدة ولها جهات مشترکة وجهات خاصّة ببعضها، والتفصیل موکول إلی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أمیر الموءمنین وأولاده الطیّبین ـ سلام اللّه علیهم أجمعین ـ لهم درجات اُخری فوق هذه، بأن یعبدوه من غیر أن یجعلوا شیئاً غایة ما یقصد، ویکون لهم أمر زائد ملحوظ بالتفصیل یکون هو المحرّک، أو یلاحظ طلب وأمر، بل المحرّک مشاهدة جلال اللّه وجماله وشمول عنایته، 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وأنِر أبصار قلوبنا بضیاء نظرها إلیک؛ حتّی تخرق أبصار القلوب حجب النور فتصل إلی معدن العظمة، وتصیر أرواحنا معلّقة بعزّ قدسک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الدعوات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لقد تجلّی اللّه لخلقه فی کلامه ولکن لا یبصرون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للزرکشی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لحقته حالة فی الصلاة حتّی خرَّ مغشیّاً علیه، فقال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زلت اُردّد الآیة حتّی سمعتها من قائلها أو من المتکلّم بها، فلم یثبت جسمی لعنایة قدرته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ویعبده بجذبة قدسیّة منه تعالی، وهو فی هذه العبادة لا یری نفسه وداعیه وأمره، فهو باُنس روحه وسرّه باللّه ومحبّته وشوقه یعرج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ینبغی أن یدّعیها أحد بعده إلاّ معصوم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الباعث بالذات إلی عبادتک هو استحقاقک للعبادة بذاتک، لا أ نّه لایخاف العقاب ولا یرجو الثواب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وقصد التقرّب إلیه یوءکّد هذا المعنی ولا ینافیه، بل هو أعلی الغایات وأشرفها، وهی آخر منازل السالکین، وغایة آمال العارفین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فعبادة المنعم شکر عملی أفضل من الشکر القولی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القرب المعنوی، فإذا حصل هذا النوع من التقرّب یکون قریناً إلی رحمته وغفرانه، ومظهرَ قدرته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وأضاف السید الحکیم قدس‌سره هذا الفرع، کما أشار إلی ذلک أیضاً المرحوم زین الدین قدس‌سره فی الصفحة اللاحقة،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المقصود من موافقة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أو دفع العقاب الدنیویّین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الأجر الاُخروی، وأدنی منه قصد الأجر الدنیوی، وهو أیضاً یتفاوت فی المرتبة، فتارةً یکون لمصلحة عامّة وحبّ الخیر لنوع الإنسان بل والحیوان، مثل صلاة الاستسقاء والدعاء للموءمنین بالمغفرة ونحوها، واُخری لمصلحة خاصّة به أو بغیره، مثل طلب الشفاء للمریض أو صلاة اللیل للرزق، وهی أنزل الدرجات؛ فإنّ صاحبها کالجائع الذی لا یطلب من السلطان إلاّ فضل طعامه لیسدّ فورته، لا لأنّ طعام السلطان شرف وکرامة له بحیث لا فرق عنده بین طعام السلطان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مجملة، ولعلّ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الأغراض الدنیویّة کالاستسقاء والشفاء إذا کانت باعثة علی العمل أوّلاً وبالذات من دون توسیط الطاعة والعبودیّة لم تصحّ العبادة، وإذا کان المقصود القیام بالعبودیّة والداعی علی القیام بها طلب الشفاء والاستسقاء علی نحو داعی الداعی صحّت، ویمکن أن یکون طلب المقاصد الدنیویّة مع الاعتقاد والالتفات إلی أ نّها منوطة بمشیئته ولا تحصل إلاّ بإرادته أیضاً غیر منافٍ للطاعة والعبودیّة، ولا تقدح فی صحّة العبادة، وإلاّ لَما صحّت عبادة أکثر الناس، غایته أنّ العبادة والطاعة لها مراتب علی حسب اختلاف درجات الإیمان والموءمنین فی المعرفة والیقین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بذلک ما لم یُخِلَّ بالقصد المذکور، وهو إتیان العمل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بذکر حدوده وقیوده المقوّمة له، أو بما یمیّزه عمّا عداه ممّا یماثله نوعا أو صنفا، من غیر فرقٍ بین اتّحاده وتعدّده؛ لأنّ الأمر لایدعو إلاّ إلی متعلّقه، فلابدّ من تعیینه بحیث یُشار إلیه إجمالاً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وجوب التعیین مع وحدة الحقیقة إشکال، کما مرّ نظیره فی باب الوضوء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التعیین الإجمالی کافٍ مطلقاً، تعدّد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معه أیضاً، وإن حصل إجمالاً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الأدائیة والقضائیة من العناوین القصدیة التی لابدّ من قصدها، دون عنوانَی القصر والإتمام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الحاشیة السابقة أنّه لا بدّ من قصد کلّ ما اُخذ فی متعلّق الأمر من القیود والخصوصیّات الّتی لا ینصرف العمل إلیها إلاّ بالقصد، سواء کان القصد تفصیلیّاً، أم إجمالیّاً، ولا إشکال فی کون الإتیان فی الوقت من الاُمور المأخوذة فی المتعلّق، ومنه یؤخذ عنوان الأداء، فحینئذٍ لا بدّ من القصد إلیه ولو بالإجمال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یتوجّه علی القول بالاعتبار جعله قسیماً لقصد التعیین وفی قباله، ولکنّ الخَطب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 ما هو الواجب علیه فعلاً مع تعیین العنوان الذی یطرأ علیه عنوانَا الأداء والقضاء، کالظهریّة أو العصریّة ونحوهما ولو علی الإجمال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نوی أحدهما فی محلّ الآخر بطل، وکذا لو دخل فی الصلاة بلا تعیین لأحدهما فی غیر موارد التخییر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کالقضاء والقصر والتمام فی غیر مورد التخییر فی وجه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قصد القصر فی موضع التمام بمنزلة قصد العمل الناقص، وقصد التمام بمنزلة قصد الزائد الموظّف ففی الصحّة إشکال، وهذا فی ما لم یلتفت إلی تفصیل،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هاهنا أمراً واقعیّاً مأموراً به، فأمّا الآتی به کائناً ما کان ولکنّی أعتقد أ نّه کذا، أمّا إذا التفت إلی أنّ الأمر واقعی والمأمور به أیضاً واقعی فَقَصَدَ الأمر الواقعی أو المأمور به الواقعی وکان الخطأ فی الاعتقاد راجعاً إلی توصیف المقصود الواقعی بشیء غیر واقع فهذا لا یضرّ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یقصد العنوان الخطئیّ وإن کان منشأ قصده الأمر الواقعی الذی هو بمنزلة التوصیف، فکأنّه قصد القصر فی موضع التمام لهذا البیان، وأدّی القصر الذی هو المأمور به واقعاً فصحّة هذا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اعتبار التقیید فی کثیر من الموارد محض فرض لا یخلو من رکاکة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التفصیل المذکور لایجری فی باب الإطاعة؛ لأنّ العبادة فی الفرض المذکور منبعثة عن الأمر الذی تخیّله، فلاتکون الإطاعة للأمر الواقعی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المعیار فی الصحّة کون الخاصّ مقصوداً بنحو التجزئة إلی الذات والخصوصیّة، وإن لم یکن له داعٍ علی تقدیر التخلّف، وفی البطلان کونه مقصوداً بنحو البساطة وإن کان له الداعی علی تقدیر التخلّف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کان علی وجه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الأدائیّة والقضائیّة من خصوصیّات المأمور به، لا الأمر، فعدم القصد إلیهما مبطل فضلاً عن قصد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نوی أحدهما فی محلّ الآخر بطل، وکذا لو دخل فی الصلاة بلا تعیین لأحدهما فی غیر موارد التخییر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البطلان تأمّل، والصحّة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والحکم بالصحّة فی ما بعده أشکل، بل محلّ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والإعادة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العدول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معرفة أجزائها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إمکانه إشکال مع قصد امتثال أمر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اختِیر فی محلّه أنّها مطلوبة بعین الطلب النفسی المتعلّق بالکلّ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بعد کونه بانیاً علی امتثال الجمیع، إلاّ إذا شرع فی أمر کلّ واحد بنحو الاستقلال، وإلاّ فتشریعه فی مقام التطبیق أیضاً غیر مضرّ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یؤدِّ إلی نیّة الوجوب فی المندوب، وإلاّ ففی إطلاق الصحّة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الأجزاء المستحبّة یوءتی بها بقصد الأمر الندبی غیر أمر الصلاة، ویکفی قصده إجمالاً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الجواز علی کراهیة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صلاة الاحتیاط الأقوی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خصوص صلاة الاحتیاط الأقوی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خفیّ علی البحّاثة الجائس فی خلال الأخبار المروّیة عن الأئمّة أنّ للریاء ـ والعیاذ باللّه منه، وهو إراءة الخیر للغیر ـ خصوصیّةً بین المنافیات والمبطلات، وأنّه لو صدق وقوعها فی العمل العبادی بأیّ نحو کان ولو علی نحو الظرف والمظروف أو التبعیّة لکان العمل هباءً منثوراً، وعلیه فما اختاره الماتن قدس‌سره من الحکم بالبطلان فی أکثر الفروع الآتیة هو الحقّ المنصور الحقیق بالقبول، ولا یتوجّه إلیه أکثر ما اُورد علیه، ثمّ من المعلوم فی محلّه أنّ صِرْفَ إراءة الخیر والأفعال الحسنة للناس لیس بریاءٍ، فلو أری الخیر لدفع التهمة، أو الذمّ أو الضرر عن نفسه ففی حرمته وإبطاله للصلاة نظر،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موکول إلی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العبادة، بل نظیر الشرک فی 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غیر متقابلة؛ فإنّ الوجه الأول والثانی والعاشر أقسام لتأثیر کیفیّة العمل فی الریاء، وما عداها أقسام لمتعلّقه، ومعلوم أنّ أقسام تأثیره أجمعَ جاریةٌ فی أقسام متعلّقه أجمع فلا یتحقّق فیها التقابل، بل کان ینبغی تقسیمه أوّلاً باعتبار کیفیّة تأثیره، ثمّ باعتبار کیفیّة متعلّقه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المقصود من العبادة أمام الناس هو رفع الذمّ عن نفسه أو ضرر آخر غیر ذلک لم یکن ریاءً ولا مفسداً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کون کل واحد منهما مستقلاًّ عند فقد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والبطلان؛ لِمَا قدّمناه فی أوّل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الجزء فعلاً أو قولاً؛ لأنّ قصد الریاء یفسده، وإذا فسد الجزء فسد الکلّ لو اقتصر علیه، ولو تدارکه أوجب الزیادة، لکن فی صدق الزیادة بتدارک ما وقع باطلاً رفع الید عنه، وکذا فی إبطال مطلق الزیادة حتّی فی الفعل الثانی الذی یقع مطابقاً لأمره، وحتّی فی مثل الذکر والقرآن تأمّل، أو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مع التدارک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البطلان فیهما غیر صافٍ عن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محلّ التدارک باقیاً، وکان الزائد ممّا تضرّ زیادته العمدیة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الأذان والإقامة الاستئناف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علی الریاء فی الجزء المستحبّ فی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 تقدیر ترک ذلک إن کان الداعی إلی أصل الصلاة هو الأمر فالبطلان محلّ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لم یبقَ الداعی له إلی أصل الصلاة فالأمر کما ذکره الماتن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الکلام الزائد المبطل، وصدق وقوع الریاء فی الصلاة وإن لم یکن الزائد جزءاً للماهیّة، ولا للفرد، بل هو أمر مستقلّ ظرفه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والتفکیک بین بطلان القنوت بالریاء فیه،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یوجب بطلانه بطلان الصلاة إلاّ أن یعدّ القنوت فعلاً کثیراً فهو محلّ منع، وبین بطلان الصلاة وإن کان ممکناً بالنظر الدِقّی لکنّه بالنظر العرفی لیس فیه فرق؛ لصدق إدخال رضا الناس فی العمل، فتصیر الصلاة باطلةً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الأحوط، وإلاّ فالأقوی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لایبعد الصحّة، ولکن لایُثاب علی الصلاة فی ذلک المکان، ولایجری علیه أحکامه الخاصّة به، وهکذا الکلام فی السادس والسابع، وإن کان الأحوط الإتمام والإعادة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إذا قصد الریاء بمجرد کونه فی ذلک المکان دون نفس الصلاة التی یؤدّیها فیه، وکذلک الکلام بالنسبة إلی الأول من القسم السابع لو فرض الانفکاک فی القصد وعدم سریان الریاء إلی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بقائه علی ذلک القصد فی حال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بعینه هو الکلام فی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لصدق الصلاة المقیّدة بالخصوصیة الموبقة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التأنّی بالقراءة والخشوع أوصاف متصادقة علی المأمور به، المنتزعة من موجود آخر، وفرق بینه وبین الجماعة إذا وقعت ریاءً، ونظیره اختیار القراءة علی التسبیح فی الأخیرتین مثلاً، أو قراءة الجمعة والمنافقین فی أُولَیَی صلاة ظهر الجمعة، وهکذا کلّ اختیار لأحد فردی الواجب التخییری إذا وقع ریاءً فلا فرق بین الریاء بأصل ماهیة العبادة، أو بعوارضها المشخّصة وأوصافها المنتزعة من نحو وجودها، لا من موجود آخر متصادق معها خارج عن حقیقتها، کالتحنّک والتأنّی والخشوع، فتدبّره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القبیل الریاء فی اُمور لم یذکرها قدس‌سره ، کالریاء بمقدّمات الأفعال مثل النهوض إلی القیام، ومثل الریاء بالزائد علی الواجب کطول السجود والرکوع، وإن کان عدم البطلان لا یخلو من تأمّل، ومثل الریاء بالعبادة لا من حیث کونها عبادة، کما لو قصد بقیامه فی صلاته النظر إلی متاعه أو متاع صدیقه لِیُوصَفَ بالوفاء وحسن النظر، ولا ینبغی فی أ نّه غیر 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یخفی أ نّه لو قصد الریاء حال عدم التشاغل بشیء من الأعمال ثمّ زال وأتی بالأعمال کان صحیحاً بلا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له دخل فی الداعی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من مصادیق الریاء تأمّل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ترک ضدّاً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بمنّ العبد علی ربّه بعمله، أو یری عمله حسناً وهو قبیح، أو غیرهما من الوجوه والأقسام المذکورة فی الروایات وعلم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إعظام العبادة والابتهاج بتوفیق اللّه لها، وهذا غیر قادح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الاعتداد بالنفس وإعظامها حیث جاءت بهذا الفعل المعجِب، وهو وإن کان فی حدّ نفسه من أعظم الکبائر بل من المهلکات، وأنّ المعصیة لعلّها خیر من هذه العبادة،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سیّئة تسوءک خیر من حسنة تعجبک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أمیرالمؤمنین علیه‌السلام ،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سیئة تسوءک خیر عند اللّه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إبطاله للعبادة غیر معلوم، بل هو من قبیل مقارنة العبادة بالمعصیة، أمّا لو وقع بعد الفراغ من العمل فلا إشکال فی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البطلان إشکال، بل منع لو کان المتعبّد فی أوّل العمل والشروع فیه غیر معجب به ثمّ یبدو له العجب، کما 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الصحّة وعدمها تدور مدار أن یکون الأمر تمام المحرّک للعمل، والعمل منبعث عنه بتمام معنی الکلمة، وعلیه یشکل الحکم بالصحّة فی ما إذا کان الأمر والضمیمة معا داعیَین إلی العمل، وکذا فی ما إذا کانا مستقلّین؛ إذ بعد وجودهما فالعمل منبعث عن داعٍ مرکّب منهما 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اتّحاده مع العمل أو جزئه لایوجب الإبطال علی الأقوی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سواء کان تابعاً بالقصد أو مقصوداً بالأصالة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لم یکن من قبیل الغایة للفعل العبادی لم یبطل، أمّا لو کان غایة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المأتیّ به لغایة محرّمة حرام کان حکمه حکم المتّحد بالوجود فی الحرمة فیفسد مطلقاً، وإن لم نقل بأنّ الغایة محرّمة کان کالمباح، فإن کان شریکاً لنیّة القربة فی البعث علی العمل فسد؛ لمنافاته لنیّة الإخلاص، وإلاّ فإن کانا مستقلّین ولا یمکن تخلیص الداعی لنیّة القربة صحَّ، وإلاّ فالأحوط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أصل الفعل بداعی القربة ولکن رجّح بعض أفراده لداعٍ غیر القربة، کاختیار الماء الحارّ للوضوء فی الشتاء والبارد فی الصیف، أو المکان الدافئ للصلاة وإجهار الإمام صوته لإعلام المأمومین فالأظهر الصحّة 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فالضمائم المباحة إذا لم تکن لا سبباً ولا جزءَ سببٍ للفعل، بل سبب لخصوصیّات تقارن الفعل فهی غیر قادحة فی صحّة العمل، بل ویمکن ذلک حتّی فی غیر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الضابطة یعلم حکم ما لو أتی ببعض الأجزاء للصلاة وغیرها، کما لو قصد برکوعه رکوعَ الصلاة وتناوُلَ شیءٍ من الأرض، أو وضع شیء وبسلامه سلام الصلاة وسلام التحیّة، وفی صورة البطلان لو تدارکه فالأقوی الصحّة کما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مترتّباً علیه علی سبیل الغایة، بناءً علی حرمة الفعل الذی قصد به التوصّل إلی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یُلحَظ غایةً للعمل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عدم الإبطال فی تمام الصور المتصوّرة من الاستقلال والتبعیة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الضمیمة راجحة فلا منافاة بینها وبین القربة والإخلاص فی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الضمیمة موءثّرة فی اختیار الخصوصیّة ولو مع استقلالها، وأمّا إن کانت موءثّرة فی أصل العمل فالصحّة مشکلة ولو مع التبعیّة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عنوان غیر راجح 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أوجب التشریع فی الکلّ، أو زیادة رکن أو مثله، وإلاّ یکرّره، والأحوط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بطلت الصلاة مطلقاً إذا کان الإتیان عمداً، وفی الأرکان ولو سهواً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الجزء رکناً اختصّ البطلان بصورة العمد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للزوم الزیادة المبطلة بعد انصراف دلیل الجزئیّة عن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قاطعاً ومنافیاً للصلاة، کما أنّ الثانی ـ أی فعل الکثیر ـ یکون ماحیاً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جهة کون زیادته مطلقا، ولو من دون قصد الجزئیة مبطلة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ماحیاً لصورة الصلاة، أو کون مطلق وجوده مبطلاً وإن لم یکن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لایکون مفرطا بحیث ینافی هیئة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صغریات مسألة الضمیمة، وقد تقدّم حکمها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 بالإعلام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إذ مجرّد التبعیّة لا یضرّ بوقوعه جزءاً فی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عدم البطلان من باب اعتبار شیئین موجودین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عالٍ قصد به الإعلام، وذِکرٌ وقِراءةٌ قصد بها القربة، أو من باب أن یکون الإعلام داعیاً للداعی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اُرید من اتّصال آخر النیّة مقارنة آخر النیّة بأول التکبیر، وهو لیس أمراً سهلاً، بل أمر صعب إن لم نقل بأنّه متعذّر، والذی یسهّل الأمر القول بتقدّم النیّة علی التکبیر تقدّماً رتبیاً حتّی بناءً علی الإخطار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 هذه بالاستدامة الحکمیّة، أی لا تحتاج إلی توجّه تفصیلی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سئل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تَفْعلْ؟ 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للامتثال أو القربة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رجع إلی عدم قصد الصلاة فعلاً، وإلاّ فمقتضی الأصل بقاء النیّة الارتکازیة إلی أن یتحقّق قصد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مجال للجمع بین قصد القاطع وقصد الجزئیة، فعلیه لا بدّ من التفصیل بین الإتیان بما یکون مبطلاً للصلاة کالرکوع مثلاً، وما لایکون کذلک، فتبطل فی الأوّل، وتصحّ فی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بعد العود التدارک، ثمّ الإتمام، ثمّ الإعادة، إلاّ إذا کان ما أتی به من الأجزاء کذلک فعلاً کثیراً فإنّه مبطل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قویّة ما لم یکن منافیاً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لیس ببعید؛ فإنّ حقیقة الصلاة هی الحضور والوقوف والخشوع عنده تعالی، مستمرّة فی النیّة من أوّلها إلی آخرها، وعلی هذا فالاحتیاط فی الإتمام والإعادة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قصد القطع أو القاطع لایضرّ بصحّة صلاته ما لم یقطع أو یأتِ بالقاطع، فلو استمرّ علی صلاته علی وجه القربة صحّت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بهما 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لو أعرض عن نیّة الصلاة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 کالسبق اللسانی ولم یصرف قلبه عمّا نواه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الباعث له هو داعی ما قام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الصورة المخطرة بباله بإزاء ما قام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یترتّب علیها الأحکام المختصّة بالنافلة فی الفرض الأول، والأحکام المختصّة بالفریضة فی الفرض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التعبیر الوارد فی روایة عمّار عن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معاویة، عن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أنّه لم یؤدِّ الظهر أوکان شاکّا فیها جعلها ظهرا، وإلاّ بطلت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صدرالدین‌الصدر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إلی صلاة الظهر مثلاً وشکّ أ نّه عند النیّة عیّنها أو عیّن العصر بنی علی أنّها ظهر، وأتی بصلاة اُخری بنیّة الواقع مهما کانت، أمّا لو لم یعلم أ نّه قام لأیّ صلاةٍ ولم یدرِ أ نّه حین النیّة عیّن الظهر أو العصر جعلها ظهراً بناءً علی جریان قاعدة التجاوز، والأحوط 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لم یصلِّ الظهر قبل ذلک بنی علی أنّها ظهرا وصحّت، وکذا فی العشاءین، وفی ما عدا ذلک یبنی علی الّتی قام إلیها ثمّ یُعید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الشکّ فی إتیان الظهر أو قطعة بالعدم یعدل إلیه، وإلاّ یعیده بلا إتمام؛ لعدم إحراز العنوان بعد عدم جریان قاعدة التجاوز فی أمثال المقام؛ لعدم إحراز نشوئه عن قصد کذا، وأمّا قاعدة الفراغ فلیس محلّه،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المترتّبتین کالظهرین إذا کان لم یصلِّ الاُولی قبلها جعل ما بیده الاُولی وصحّت بلا کلام، وإن کان أتی بها صحّت أیضاً، إلاّ أنّه لو شکّ فی الجزء الذی هو مشغول به أنّه نوی به العصر أو الظهر یجب إعادته خاصّة، وأمّا فی غیرهما فیتمّ ما ذکره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غیر الصلاتین بینهماالترتیب، وأمّافیما فیه الترتیب فإذا رأی نفسه فی صلاةٍ کصلاة العصر وشکّ فی أنّه نواها عصراً من الأول أو نواها ظهراً یحکم بصحّتها، ویتمّها عصراً إن أتی بالظهر، وإلاّ فیعدل إلی الظهر ویتمّها ظهراً ثمّ یأتی بالعصر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بدّ من التفصیل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یتردّد الأمر بین صلاتین کلتاهما قابلتان للإتیان بهما، کما لو رأی نفسه فی العصر وشکّ فی أنّه نواه أو نوی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واُخری یتردّد الأمر بین الصحیحة والفاسدة، کما لو شکّ فی الصورة المفروضة بین الظهر والعصر وقد صلّی الظهر، ففی الصورة الاُولی لامجال لجریان قاعدة الفراغ، فلا طریق الی الجزم بکونه عصراً، وفی الصورة الثانیة یحکم بالصحّة ویتمّها عصراً؛ لجریان قاعدة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 ولا مجری لقاعدة التجاوز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بل یتمّها ظهراً فی صورة إتیانها و یَری نفسه فی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 خصوصا فی هذا الفرض نظر، بل لو کان صلّی الظهر فقام إلی العصر ثمّ رأی نفسه فی الظهر کانت باطلة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العدول مطلقاً لا یخلو من قوّة، وإن کان الأحوط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 فی مبحث الأوقات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فی غیر الوقت المختصّ بالثانیة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لم تکن وظیفته حین التذکّر الإتیان بالاُولی لضیق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فی المسألة الثالثة من فصل أوقات الیومیة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القطع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علیه الجلوس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بالإعادة بعد العدول والإتمام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العدول فی هذا المورد نظر، بل منع إن لم تکن المسألة إجماعیة، فالأحوط العدول فی المترتّبتین من یوم واحد کالظهرین والعشاءین ثمّ الإعادة، وعدم العدول فی غیرهما الذی لو ثبت جوازه لَما کان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المسألة العاشرة من فصل أحکام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إطلاق فی دلیل جواز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الآملی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ولا تجب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تضیّق وقت الحاضرة مع العدول بأن تمکّن من إتیان جمیعها فی الوقت، وإلاّ فلا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تعیّن تقدیم فائتة الیوم علی الحاضرة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علیه من النصّ مخدوش سنداً، والعدول علی خلاف القاعدة،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فریضة صلاة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لم یتجاوز، وأمّا إذا تذکّر بعد تجاوز النصف قبل إتمام السورة فالأحوط عدم العدول، لا من السورة ولا من 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تفصیل 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 التی دخل فیها، وحینئذٍ یجوز له العدول ولو لم یَخَفِ السبق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العدول مطلقاً، سواء خاف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عدم الخوف أیضاً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المسألة السابعة والعشرون 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قام إلیها علی الأحوط، کما سیأتی فی أحکام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عدول عن الوصف، لا عن الموصوف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موارد العذر إشکال، ویأتی فی محلّه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اقتداء جدید لا عدول علیه، فهو عدول من إمام إلی آخر، لا من صلاة إلی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الخصوصیات التی تأتی فی صلاة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تفصیل 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ذکرنا سابقا لا محلّ للعدول، وکذا فی التاسع والعاشر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صحیح، لکنّه لیس من العدول الاصطلاحی، وکذا ما یلیه وما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نفلٍ خاصٍّ إلی نفلٍ آخر، أمّا من نفلٍ خاصٍّ إلی مطلقٍ کما لو شرع فی صلاة جعفر ورجع عن قصده فی الأثناء فله جعلها نافلةً مطلقة، ونظیره صوم یومٍ بنیّة الاعتکاف فیعدل عنه ویجعله صوماً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العدول رجاءً من رکعتَی الفجر إلی الوتر بإضافة رکعة اُخری فی بعض الصور، وکذا الحال فی العدول من الوتر إلی النافلة المبتدأة فی بعض الفروض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 نّه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تذکّر بعد الدخول فی الرکن، وإلاّ فیمکن القول بصحّة المعدول عنه، وعلیه جبران ما نقص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یصحّ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من الخطأ فی التطبیق تصحّ عصرا، ولایحتاج إلی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 مفتی الشیعة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الفراغ فلا معنی للعدول، وما فی صحیح زرارة من جوازه فغیر قابل للعمل، وأمّا فی الأثناء فإن لم یأتِ بجزءٍ رکنیٍّ بنیّة المعدول إلیه جدّد النیّة الاُولی وصحّت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 إلی انکشاف الخطأ فی التطبیق، وأمّا بالنظر إلی أنّ العدول من العصر إلی الظهر یوجب زوال استمرار نیّة العصر فلا وجه للحکم بالصحّة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 لأنّ العدول ینافی استدامة النیّة ولو لم یکن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علی وجه الخطأ فی التطبیق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الأراکی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مهدی الشیرازی، عبدالهادی الشیرازی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فی الظهرین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الوقت المشترک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إعراض الأصحاب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صحّة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إعراض الأصحاب عنها غیر کافٍ فی الحجّیة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أنّ الأحوط الإتیان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نیّة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ما ذکر، وإلاّ فیحتاج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ما لو اتّفق ذلک، أمّا لو علم راکب السفینة وصوله إلی حدّ الترخّص فی الأثناء فلا یتمشّی منه قصد التمام، أو لا یصحّ، وکذلک 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بتخیّل عدم الوصول إلی حدّ الترخّص قبل الإتمام، وإلاّ فصحّة صلاته فی بعض فروض المسألة محلّ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فی جمیع صور المسألة 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ما یظهر منه حکم 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یؤثّر فی تنویع ما قصده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صحّة العکس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إن لم یکن علی وجه التقیید بحیث کان القصد متوجّهاً إلی الظهر لیس إلاّ، وإلاّ فالبطلان بناءً علی مبناه المکرّر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تخیّله أنّها الظهر صارفاً لنیّته إلیها، وأمّا فی عکسه فتصحّ قطعاً علی أیّ 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علی مبناه قدس‌سره یتوجّه التفصیل بین الخطأ فی التطبیق والتقیید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التنظیر بخصوص الأخیرتین من الرباعیة؛ لاحتمال لزوم التحفّظ فی غیرهما علی عنوان أنّها الاُولی أو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یحرم بها ما کان محلّلاً قبلها من المنافیات، فهی کتلبیة الإحرام فی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أوّل الأرکان، ویتحقّق الدخول بالصلاة بمجرّد الشروع فیها، ولکن لا تحرم المنافیات إلاّ بعد إکمالها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حدیث البزنطی التفصیل بین أن یتذکّر بعد التکبیرة للرکوع والتذکّر قبلها بالإجزاء فی الأوّل، وعدمه فی الثانی، ولکنّ اللازم رعایة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 ففی غیر صورة العمد عن غیر احتیاط لا یُترک الاحتیاط بإتمامها وإعادتها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تبطل الصلاة بزیادتها عمداً، ویشکل الحکم فی زیادتها سهواً، فلا یُترک الاحتیاط بالإتمام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الزیادة عمدیة، وإلاّ فالأقوی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العمد، أمّا مع السهو فقد تقدّم لزوم الاحتیاط، فإذا کبّر شفعاً أتمّ صلاته ثمّ أعادها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لزوم الإتمام، ویعیدها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الإعادة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الخمینی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تحریک الراء وإظهار الضمّ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 الآملی، السبزواری، محمد الشیرازی، حسن القمّی، اللنکرانی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 إلاّ أن یکون ترکه مخلاًّ بالعربیّة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أقوی ممنوع،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قبال المشی، لا الاضطراب فی السهو، وأمّا العمد فمطلقاً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عنوان الواجب لم یکن وجه للاعتبار المذکور، والاحتیاط طریق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یسمع جوهر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من مجرّد حرکة اللسان والشَفَة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أمکن التعلّم فی حقّه بدون عسر وحرج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تحقّق العجز واحتمل تجدّد القدرة فلا یبعد جواز الدخول فی 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التعلّم فیکفی الملحون، وإن کان فی أوّل الوقت إذا لم یقدر علی التعلّم إلی آخر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اللحن بمثابةٍ یفید معنیً مغایراً، أو لا یفید معنیً أصلاً، أو یخرجها عن صدق التکبیرة علیها فی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الخوئی، تقیّ القمّی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التوجّه إلی المعنی، وإلاّ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اختیار ما هو أقرب إلی العربیة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الأخرس لعارض مع التفاته إلی لفظة التکبیرة یأتی بها علی قدر ما یمکنه، فإن عجز حرّک بها لسانه وشَفَتیه حین إخطارها بقلبه، وأشار بإصبعه إلیها علی نحوٍ یناسب تمثیل لفظها إذا تمکّن منها علی هذا النحو، وإلاّ فبأیّ وجهٍ ممکن، وأمّا الأخرس الأصمّ من الأوّل فیحرّک لسانه وشَفتیه تشبیهاً بمن یتلفّظ بها مع ضمّ الإشارة بالإصبع إلیه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قلبه بمعناها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بإصبعه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الروحانی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الإتیان بالمندوبات فالأحوط أن یأتی بها رجاءً قبل ما أتی بها بعنوان تکبیرة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فیها الترک، أو الإتیان حینئذٍ بها 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لتفویته مقدّمة الواجب المطلق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وجود البدل، ولو کان سبب توجّه التکلیف بالبدل سوء اختیاره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مقتضی الجمع بین النصوص، لکنّ الاحتیاط بتعیین الأخیرة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خلاف الاحتیاط، کما أنّ نیّة الإحرام بالجمیع خلاف المشهور، وإن کان مقتضی ظاهر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تعیین واحدة منهما للإحرام، وإتیان الباقی 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ثبوتاً ولا إثباتاً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الاستحباب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بأس بإتیانها بداعی احتماله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تعیین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تحقّق الاحتیاط بما ذکره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یُترک الاحتیاط باختیار 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وإتیانها بهذا الوجه لا یکون جمعاً بین جمیع المحتملات، إن لم نقل بامتناعه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الحلبی، عن مولانا الصادق علیه‌السلام ، وجرت علیه سیرة المتعبّدین من السَلَف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الرجاء، لا الورود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ذلک یجزی من الکلام فی التوجّه، وأنّه یجزی تکبیرة واحدة، ولعلّ الظاهر تقدیم ذلک علیها، والمذکور فی هذا الحدیث هو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ملّة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الغیب والشهادة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منقول باختلاف یسیر مع ما فی المتن، کما أنّ 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یامحسنُ قد أتاک المسیء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عن أمیرالموءمنین علیه‌السلام قبل أن یُحرِم ویکبِّر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وإلاّ فالوارد قبل تکبیرة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قبلها، کما فی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بواحدة من السبع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 فی الواجب منه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حتّی یکاد یبلغهما، کما فی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عدم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 ضمّها إشکال، فالأحری الرجاء فی الضمّ کما فی التفریق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کفایته وفی استحباب رفع إحدی الیدین تأمّل، فالأولی أن یقصد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الاضطرار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البناء علی صحّتها وجه قویّ؛ لقوّة دعوی شمول قاعدة الفراغ لمثله، أو لا أقلّ من أصالة الصحّة فی عمل المسلم نفسه کغیره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بنی علی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مراعاة الاحتیاط بالإتمام والإعادة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لعدم جریان قاعدة التجاوز فی الأجزاء، وقاعدة الفراغ یعتبر فیها الفراغ عن العمل؛ ولذا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والظاهر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ممّا سبق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بنی علی صحّتها بعد الفراغ عنها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رکنیة القیام فی الموردَین المذکورَین متّفق علیها بین الأصحاب، وکیف یمکن رفع الید عن اتّفاقهم؟ فالاحتیاط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من جهة احتمال کون القیام شرطاً فی التکبیر الرکنی، فبعدمه ینعدم التکبیر المشروط، لا أنّه رکن فی قبال التحریمة، وکذا الإشکال فی القیام المتّصل بالرکوع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رکنیة عرضیة، بمعنی أنّ القیام شرط للرکن و هو تکبیرة الإحرام، فتبطل التکبیرة بفواته، و ببطلان التکبیرة تبطل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اتّحاد القیامین وجوداً، کالمأموم المسبوق بقراءة الإمام فیکبّر ویرکع مع الإمام، أو فی الناسی للقراءة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قام کذلک إلی أن یصل إلی درجة هی فوق الرکوع ودون الانتصاب، ثمّ انحنی من تلک الدرجة إلی أن بلغ حدّ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هذه الصورة الإتمام والإعادة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الانتصاب حال القیام الواجب وإن کان لازماً مطلقاً، إلاّ أ نّه غیر معتبر فی حقیقته، وبما أ نّه لا دلیل علی وجوب القیام قبل الرکوع غیر دخله فی تحقّقه، فلو قام متقوّساً إلی أن وصل إلی حدّ القیام ثمّ رکع من غیر انتصاب سهواً أجزأه ذلک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لتلازم القیام حالها مع القیام قبلها وبعدها، فالجزم بتحقّق الملزوم یحصل بتحقّق لازمیه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 للاستقرار المعتبر فی التکبیر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ما یتحقّق معه التکبیر حال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الأظهر، ولاینافی ذلک کونه من واجبات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أجزاء الصلاة ارتباطیّة فکلّ جزءٍ منها مشروط بغیره من الأجزاء المتقدّمة والمتأخّرة والمقارنة، وعلیه فالقراءة فی غیر حال القیام فاقدة للشرط، ولو کان القیام بنفسه جزءاً فیجب استئنافها؛ تحصیلاً للحصّة الواجبة قبل فوات محلّها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عدم اشتراط القیام فی القراءة، وأمّا 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بشرطیة القیام للقراءة فیجب علیه الإتیان بالقراءة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محمد تقی الخونساری، جمال الدین الگلپایگانی، الأراکی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المستحبّ علی هذا مسامحة واضحة؛ لأنّ جمیع الواجبات الغیریة للمندوبات وشرائطها یجوز ترکها بترک أصل المندوب رأساً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شرطاً للقنوت، کما صرّح به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القنوت، وقد جعل رحمه‌الله الأظهر أنّه واجب‌حال القراءة والتسبیحات، فأیّ فرقٍ بین المقامین؟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بزیادة القنوت ـ وهو ذکر ودعاء ـ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 الوجه نقص القیام 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رکوعه عن 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رکع عن 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الإصطهباناتی، الخمینی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فیها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تحقّق الزیادة حینئذٍ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عدم البطلان قریباً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الصور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فی عدم الاعتناء بالشکّ حدوثه بعد تمام التکبیرة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هذه الصورة أن یعید الصلاة بعد إتمامها، وفی صورة الشکّ قبل الدخول فی السجود أن یعود إلی قیامٍ ثمّ یسجد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الاعتناء متوقّف علی تمامیة قاعدة التجاوز، وتمامیتها علی نحو الإطلاق محلّ الإشکال عندنا، ومقتضی الاحتیاط 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الاعتناء فی القیام بعد الرکوع ما لم یدخل فی السجود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إقامة فَقار الظهر، فلا ینحنی مستقرّاً ساکناً، فلا یضطرب ویتمایل مستقلاًّ، فلا یعتمد علی شیء بحیث لو زال الشیء سقط المصلّی، کحائطٍ أو 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النهوض فلا یلزم الاستقلال فیه، ویلزم الوقوف علی القدمین، ولا تکفی الواحدة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المَیل قلیلاً لا تبطل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الاستناد حیث یکون مقیماً صلبه قویّ جدّاً، وإن کان 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الاتّکاء علی شیء من غیر ضرورة ولا علّة عمداً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الانفراج الخارج عن العادة، ولو لم یکن مخرجاً عن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یعتبر عدم التفریج الغیر متعارف وإن صدق علیه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ما بعده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السیستانی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الوقوف علی الواحدة مستنکَرَاً عند المتشرِّعة فالإجزاء مشکل، وطریق الاحتیاط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لا یقدح فی تحقّق القیام التامّ عرفاً، وإلاّ ففیه 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تذکّر بعد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نسیان الانتصاب فی القیام الرکنی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 الأراکی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أنّه واقف علی رجلیه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أصل الاعتماد، لا فی مقداره ومرتبته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علیه أنّه واقف علیهما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فی الأقطع وغیره تقدیم الخشبة ونحوهما ممّا یکون القیام معه أشبه بالقیام الاستقلالی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تأخیر الصلاة لو احتمل القیام فی آخر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 حسن القمّی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القیام فی بعض ما ذکره لا یخلو من إشکال، فالأحوط حینئذٍ تکرار الصلاة، وکذلک الأحوط التکرار فی کلّ موردٍ یدور الأمر بین ترک أحد الأمرین المعتبرین فی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خروجه عن صدق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التفریج الفاحش بین الرجلین إن صدق معه القیام قُدِّم علی الجلوس، وإلاّ فالأحوط التکرار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القیام معه، وإلاّ فالجلوس یتقدّم علیه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القیام، وإلاّ فالأحوط تکرار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الخارج عن صدق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یصدق معه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تکرار الصلاة فی الموارد المذکورة مع سعة الوقت، ومع الضیق یتخیّر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التکرار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التکرار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القدرة والعجز علی الاستطاعة العرفیّة، لا العقلیّة، فمتی وجد فیه مشقّة شدیدة بحسب حاله، وإن أمکن تحمّلها، أو استلزم زیادة أو طول مدّة المرض، أو الحاجة إلی استعمال أدویة کثیرة سقط القیام، والإنسان علی نفسه بصیرة، وهو أعرف من کلّ أحد بحاله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أول المسألة السابقة أنّ التفریج الفاحش بین الرجلین لا یتقدّم مطلقاً علی الجلوس، بل یحتاط فی بعض صوره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صدق القیام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تعیّنه نظر، ولا یبعد التخییر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الأیمن علی الأیسر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المصلّی جلوساً إذا تمکّن من الانحناء بما یصدق علیه الرکوع والسجود عرفاً لزمه ذلک، فینحنی للرکوع بقدره، وللسجود بما یتمکّن منه، ولا عبرة بالانحناء بما دون الصدق العرفی، بل تنتقل وظیفته حینئذٍ إلی الإیماء، کما هو شأن المضطجع والمستلقی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صدقهما علیه ولو برفع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 نظر، والأقرب العدم، وکذا الزیادة فی تغمیض العینین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وضع الجبهة علی ما یصحّ مهما أمکن، وإلاّ وضعه علیها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الإیماء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المسألة الثانیة من فصل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یتمکّن من الانحناء ولو یسیراً، وإلاّ فهو مقدّم علی الرکوع جالساً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ما إذا حصلت مرتبة منهما بتلک الانحناء وحصولها بها بعید، خصوصاً بالنسبة إلی السجود فی حال القیام، نعم، لو کان جالساً یمکن حصول مرتبة منه بالانحناء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وجوب الجلوس للإیماء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التفصیل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لا یتصوّر التزاحم بین أدلة الأجزاء والشرائط، بل الحقّ هو التعارض، فلابدّ من ترجیح ما یکون أحدث منها، ومع عدم تمییزه تصل النوبة إلی الاحتیاط الذی هو طریق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الاکتفاء بالجلوس مع الرکوع والسجود، وکذا لو دار الأمر بین الإیماء لأحدهما وبین الجلوس مع الإتیان به، ومع الضیق یتعیّن الثانی، ولا یتخیّر، بل یقدِّم أحدهما علی القیام مومئاً فضلاً عن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یصلّی جالساً، والأحوط قضاء الفرد الأخر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سعة الوقت، وفی ضیقه یصلی جالساً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ضاق الوقت صلّی جالساً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أمکنه القیام للرکوع فقط أو أمکنه القیام فی جمیع الصلاة ولکن ضاق الوقت عن إعادتها أمّا إذا أمکن القیام لجمیع الصلاة فی سعة الوقت فلابدّ من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التخییر فی جمیع هذه الموارد،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لو دار الأمر بین القیام المتّصل بالرکوع وبین غیره یقدَّم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إذا لم یکن القیام المتأخّر رکناً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العکس،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الفانی ، السیستانی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سعة الوقت وفی ضیقه، فالأظهر وجوب قیامه أوّل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الأقوی فی المقامین الإتیان بأوّل الصلاة قائماً إلی أن یتحقّق العجز فیجلس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جالساً علی الدابّة أو نحوها فی حال السیر ، الملازم عادةً لفوات بعض واجبات الرکوع والسجود مضافاً إلی القیام والاستقرار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التخییر بینهما مع التساوی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للوجوب؛ فإنّ الاستصحاب الاستقبالی یقتضی جواز البدار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مطلقاً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المتیقّن صورة حصول الظنّ مع الخوف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وجب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بالتوجّه إلی ما بین الیمین والیسار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أهمّیّة الاستقبال نظر، خصوصاً مع التمکّن من الصلاة بین المشرق والمغرب، فلا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بقائه إلی آخر الوقت، وإلاّ فالأحوط إعادة الصلاة بعد ارتفاعه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بقاء الاضطرار إلی آخر الوقت، وإلاّ ففیه إشکال، وإن کانت کلماتهم فی المقام مطلقة ولکنّ الدلیل غیر مساعد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الاشتغال بالقراءة حال الانتقال، وإعادتها بعد الاستقرار بقصد مطلق القربة فی الحالین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لو صلّی آخر الوقت، وإلاّ فقد تقدّم لزوم التأخیر علی ذی العذر، وکذا فی المسألة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ضیق الوقت، کما تقدّم، وإذا کان فی سعة الوقت فعلیه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علیه إعادتها مع سعة الوقت، بل استئناف الصلاة مع السعة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بالذکر فی الحالتین بقصد الرجاء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الاستئناف مع سعة الوقت، ومع الضیق الأحوط الإتمام والقضاء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 عبداللّه الشیرازی، الخمینی، الآملی ، اللنکرانی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یُترک الاحتیاط بالإعادة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سقوط الذکر، وکفایة الرکوع الذی أتی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الاستقرار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مبنیّ علی الاحتیاط، وکذا اعتباره فی القنوت والأذکار المستحبّة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 الاستقرار فیه وفی الأذکار المستحبة وإن کان أحوط، نعم، لابدّ فی کلّ واحدٍ من اعتبار محلّه من حال القیام أو الجلوس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لوصلّی کذلک جاهلاً بالحکم لایبعد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جمال‌الدین الگلپایگانی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الانحناء الممکن بالمقدار الذی یصدق معه السجود، فإن لم یمکن انتقل إلی الإیماء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عدم وجوبه فی الصلاة مع الإیماء جالساً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إبراء الإیماء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کلام، والأحوط ترک القُرفُصاء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بنیّة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کالمتهیّئ للقیام، وترجیحه بالمعنی المذکور فی المتن لقربه من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مراراً أنّ أکثر المندوبات غیر قوّیة المستند، وأنّها أکثر ممّا ذکره الماتن فی طیّ الأبواب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رفعهما، کما قد یفعله المتجبّرون أو اللُّهاة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بعضهم التقیید بکونهما بارزتین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والخشوع ببصره، کما فی عبائرهم،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له النظر إلی السماء أو إلی الیمین والشمال، والحکم بالکراهة غیر نقیّ 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الرضوی، وقد مرّ غیر مرّة أنّه لا حجّیة له علی ما هو التحقیق فی محلّه، فالحکم بالاستحباب مشکل، ولا بأس بالرجاء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صحیحة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ذلک روایات عن النبیّ وأهل بیته المیامین قولاً وفعلاً بما یعسر عدّه، وفّقنا اللّه تعالی للتأسّی بهم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الخوئی، حسن القمّی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لغرض دینیّ وإن لم یبلغ حدّ الوجوب، أو دنیویّ وإن لم یبلغ حدّ الاضطرار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إن لم یقرأها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حسن القمّی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إنّما یتمّ بناءً علی القول بجریان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الأثناء وجریانها فیها محلّ الإشکال، فلا مناص من رعایة الاحتیاط، وممّا ذکر یظهر الکلام فی جملة من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صورة التقدیم عمداً إعادة الحمد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والأفضل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النائینی، جمال الدین الگلپایگانی، الشاهرودی، أحمد الخونساری، الشریعتمداری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إتیان الاُولی بقصد الأعمّ منه ومن القراءة، والثانی بقصد الرجاء لخصوص السورة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یقصد فی المرّة الاُولی امتثال الأمر الفعلیّ للسبب الواقعیّ الأوّل، وفی الثانیة للسبب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الوقت الفجر أم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تأمّل فی ذلک؛ حیث لم یحدث فی الصلاة ما یوجب بطلانها من نقص جزءٍ أو شرط عدا ترک السورة الساقطة عند ضیق الوقت ولو بسوء اختیاره، وتفویت الوقت إنّما یوجب العصیان فقط، ولکن نظراً إلی أنّ العبادات الاضطراریّة التی ینشأ الاضطرار فیها من سوء اختیار المکلّف لا تشملها أدلة الأعذار وتعدّ معصیة، فالأحوط الإتمام ثمّ الإعادة من دون فرقٍ بین إدراک رکعة من الوقت وعدمه وبین خروج الوقت قبل تلبّسه بباقی الأجزاء وعدمه، نعم، لو خرج قبل تلبّسه بباقی الأجزاء فلابدّ من قراءة سورة لهذه الصلاة ثمّ إعادة الصلاة، ویجری هذا فی السکوت الموجب لفوات الوقت إذا لم تَفُتْ به الموالاة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بطلان الصلاة إشکال ولو کان من نیته الإتمام حین الشروع، فلا یُترک الاحتیاط فی العدول إلی غیرها إن کان الوقت واسعاً، وإلاّ یقطعها ویتمّ الصلاة ثمّ یعیدها خارج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رجع إلی عدم قصد الامتثال من جهة قصد جزئیّتها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بالإتمام یتوقف علی إدراک رکعة، وتقدّم أنّ الحکم المذکور یختصّ بصلاة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فیه کما فی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قصد الأمر الجامع بین الأداء والقضاء، وإلاّ فالأقوی فی الفرض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یقوی البطلان فی هذه الصورة، نعم، لو تنبّه قبل خروج الوقت وأدرک منه رکعة، أو کان مُدرِکاً فی الرکعة الاُولی وقرأ ما فات الوقت به فی الثانیة صحّت صلاته، ثمّ لو قرأها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تذکّر قبل خروج الوقت لزمه المبادرة إلی إدراکه مطلقاً، وإن تذکّر بعد خروجه لزم استئناف السورة مطلقاً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عدم الجواز، والاستئناف یتوقّف علی السجود المحقّق لعنوان الزیادة، فالحکم بالصحّة حتّی فی صورة العمد علی طبق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یتحقق العصیان بترک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وجب علیه السجود للتلاوة، فإن سجد بطلت، وإن عصی فالأحوط له الإتمام والإعادة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الجزئیّة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 حسن القمّی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وجوب سورة کاملة، وأمّا بناءً علی جواز التبعیض فله الاکتفاء بما أتی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إتمامها والاکتفاء بها وسجدة التلاوة بعد الصلاة، والأحوط الإیماء لها فی الصلاة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تعیّن الإیماء وإتمام السورة، وعدم الحاجة إلی إعادة الصلاة، وکذا الحال فی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بعد الدخول فی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الإتمام أحوط نظر، بل یقطعها ویقرأ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وجوب سورة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الاکتفاء بما قرأ حینئذٍ، والأحوط الإیماء فی الصلاة ثمّ الإتیان بالسجدة بعدها، ومنه یظهر حکم باقی الفروع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وجوباً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الجمع بینهما فی المقام، وفی الفرع الأوّل؛ للتشکیک فی اندراج أحد المحتملین فی مفاد الدلیل فلا یحصل الفراغ الجزمی إلاّ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سواء أومأ إلیها أم أتی بها وهو فی 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هو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الجزئیّة، ویعلم حال هذه المسألة من سابقتها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المسألة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قرأها عمداً وسجد لها فالأقوی هو البطلان ولو قرأها نسیاناً یتعیّن علیه الإیماء، ولا یحتاج إلی الإعادة وإن کانت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الجزئیة، وإلاّ احتاط بالإیماء والإتمام، ثمّ السجدة وإعادة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الإتمام بعد السجود ثمّ الاستئناف، وإن لم یسجد فالأقرب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السماع من غیر قصد کالسهو، والاستماع کالعمد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أنّ الأظهر الإیماء وإتمام الصلاة وسجدة التلاوة بعدها، ولا تجب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الحمد فواجبة عیناً فی النوافل والفرائض، ثنائیّة أو غیرها، وتبطل الصلاة بترکها عمداً مطلقاً، وإن کان فی خبر أبی حمزة جواز الاکتفاء بثلاث تسبیحات بدلاً عن القراءة فی النافلة عند الاستعجال، ولکن لا عامل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تکون المنذورة ونحوها کالفرائض الأصلیة فی وجوب السورة والاستقبال، وحرمة قراءة العزائم فیها وغیر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بما ذکر لا دلیل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 أنّ عدم الجواز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والشیعة یُعرفون باُمور، منها جزئیة البسامل للسور ، نعم، هم مختلفون فی کونها آیة بحیالها أو جزء آیة ، والثمرة تظهر فی التقسیط فی مثل صلاة الآیات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قراءتها فی أول کلّ سورة، ولکنّ الأحوط عدم ترتیب آثار الجزئیة علیها، فلا تُعدّ آیة فی صلاة الآیات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مع کلّ سورة عدا البراءة لا ریب فیه، أمّا جزئیّتها فی غیر فاتحة الکتاب لا یخلو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اتحادهما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یجوز الاکتفاء بإحداهما فی الصلاة، وهو أعمّ من الاتحاد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حکماً من حیث عدم جریان حکم القرآن الآتی فی المسألة العاشرة علی الجمع بینهما، وأمّا من حیث عدم جواز الاجتزاء بإحداهما ولزوم الترتیب بینهما فمبنیّ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قراءة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 بکلیهما الجزئیة فالأقوی عدم الجواز، وفی صورة عدم القصد فالأحوط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وجوب التعیین قبل الشروع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المرعشی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یجب، وکذا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صور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الجحد والإخلاص فقط من أطراف المحتمل، 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کلّ منهما من أطراف المحتمل، ففی هاتین الصورتین المتعیّن قراءة کلتیهما بناءً علی جواز القرآن کما هو الأقوی، 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إحداهما المعیّن من أطراف المحتمل، وفی هذه الصورة یجب تعیین البسملة بقصد هذه السورة وقراءتها، والرابعة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أطراف المحتمل غیر هاتین السورتین، فله قراءة أیّة سورة أراد بعد إعادة البسملة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یقرأ مع هذه البسملة إحداهما، ثمّ یقرأ الاُخری معیّناً لها فی حال البسملة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قراءة التوحید ثمّ الجحد مع البسملة بینهما 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والتفصیل المزبور مبنیّ علی مبطلیّة زیادة البسملة مستقلاًّ، وإلاّ فبناءً علی ما أسلفنا من عدم مبطلیّة أمثال هذه الزیادات، ولو لانصراف عمومات الزیادة إلی غیرها، فلا بأس بإتیان البسملة بقصد سورة ثالثة،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یعیدها مع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التعیین ولو إجمالاً، وکذا 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معتاداً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إعادتها إذا لم تکن القراءة بعادته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قراءة الغیر فی هذا وسابقه عن عمد؛ لنسیانه عادته وبنائه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یحتاط بالإعادة؛ إذ لا مجال لجریان القاعدة بالنسبة الی البسملة، وأصالة عدم قصده لغیر هذه السورة معارضة بعدم قصده لها، فلا مناصَ عن الاحتیاط بالاعادة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استئنافها مع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بنی علی أ نّه عیّنها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الإعادة بقصد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لم یتجاوز النصف، ویُستثنی من ذلک العدول عن سور العزائم إذا قرأها فی الفریضة سهواً، فإنّه یعدل عنها قبل الفراغ منها،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الجواز وإن بلغ النصف، والأحوط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 ، السیستانی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 بلزومه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مشکل؛ فإنّ مقتضی إطلاق دلیل المنع التسویة بین الفریضة والنافلة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الأولی عدم العدول من التوحید والجَحْد فیها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ویحتاط فی غیر صورة خوف فوت الوقت بإعادة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التبعیض أیضاً فی هذا الفرض، والأحوط فی غیره العدول، إلاّ فی النذر فإنّ الظاهر عدم جواز العدول فیه، ووجوب قطع الصلاة واستئنافها مع السورة المنذورة، ولکن لو أتمّها مع السورة التی شرع فیها صحّت صلاته وإن کان حانثاً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ترکها وقراءة سورة اُخری إن کان لها مصداق خارجاً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إتمام السورة، سیّما إن قرأ الجَحْد والتوحید، ثمّ الصلاة بالمنذورة وفاءً لنذره إن کان له محلّ، وإلاّ صحّ ما صلاّه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النذر إتمام ما شرع فیه رجاءً، ثمّ قراءة المنذورة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لزوم الإتمام بلا عدول فی ما لو تجاوز النصف، أو کان ما شرع فیه الجحد أو التوحید، والأحوط إعادة الصلاة بالمنذورة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النذر بعد تجاوز النصف إتمام السورة رجاءً، ثمّ قراءة المنذورة کذلک، وکذا إذا شرع فی الجحد والتوحید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ما بعده، وعلیه تبتنی جملةٌ من التفریعات الآتیة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ولا فرق فی المسألة جوازاً ومنعاً بین الإمام والمنفرد، وبین الرکعتین الاُولَیَین وغیرهما سواء آثَرَ المصلّی القراءة علی التسبیح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ترکه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الإمام محلّ إشکال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فی هذه الصورة غیر معلومة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التفصیل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سیّما لو تذکّر فی الأثناء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أنّه اعتقده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الأقوائیة فی هذه الصورة وفی لاحقتها ـ وهی جهل المأموم ـ تأمّل، فالاحتیاط فیهما 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ترک الاحتیاط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یستحبّ ذلک فی ما لو أمّت المرأة لمثلها؛ بشرط عدم سماع الأجنبیّ صوتها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الخنثی فتخفت فی محلّ الإخفات، وتجهر فی محلّ الجهر إذا لم یکن أجنبی؛ بل مطلقاً؛ بناءً علی عدم کون صوت المرأة عَورة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لو لم یکن أقوی لزوم الإخفات علیهِنّ مطلقاً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لهنّ الإخفات، إلاّ إذا ائتمّ بها النساء فترفع صوتها بمقدار ما تُسمِعُهُنّ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الاظهر التخییر فی هذه الصورة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المناط فیهما الصدق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إیکال الأمر کأکثر الموضوعات الصرفة إلی نظر العرف، ولعلّ ما هو المشهور عند الأصحاب من أنّ أقلّ الجهر أن یسمع القریب المتعارف سمعه إذا استمع، والإخفات أن یسمع نفسه لو لم یکن هناک مانع، فلا تصادق بینهما فی موردٍ إشارةً إلی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الإطلاق تأمّل، والمدار علی الصدق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لا یکون کالمبحوح ونحوه، وأن یُسمِع نفسه تحقیقاً أو تقدیراً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لا یکون کالمبحوح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مناطیّته فی صدق القراءة ممنوعة، ولکنّ عدم إجزاء ما دونه مسلَّم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الکلام فیها متناً وحاشیةً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مع إمکان الفرض فی وجه 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الصحّة، والترک أفضل وأحوط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والاحتیاط 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الأقوی الجواز فی الوقف علی الحرکة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تفصیل تقدّم فی تکبیرة الإحرام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المذکور فی المسألة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ویعقد قلبه بمعناها إن أمکن تفهیمه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وجه لوجوبه فی فرض إمکان الائتمام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ترک التعلّم وائتمّ صحّت صلاته وإن أثم، بل فی إثمه تأمّل؛ بناءً علی عدم وجوب التعلّم نفساً، بل مقدّمةً للقراءة، فاذا جاء بالصلاة الصحیحة سقط وجوب القراءة، وسقطت مقدّمته وهو التعلّم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الائتمام فی هذه الحال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 الائتمام علیه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المقصِّر فی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الائتمام إن تمکّن منه، وإلاّ قرأ ما یعلم، کما ذکر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لهذا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 نظر، 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عبرة بالترجمة هنا أصلاً؛ فإنّ لألفاظ القرآن دخلاً فی قرآنیّتها، فالترجمة لیست قرآناً، ولا میسورة القرآن، نعم، بناء علی الاجتزاء لدی العجز عن قراءة القرآن بالذکر المطلق إمّا مطلقاً أو مع العجز عن التحمید والتسبیح والتکبیر یتّجه الاجتزاء بترجمة الفاتحة ونظائرها، لا من حیث إنّها ترجمة قرآن، بل من حیث کونها من مصادیق الذکر، أمّا آیات القصص والوقائع فلا تجزی ترجمتها، بل لا یجوز التلفّظ بها؛ لکونها من الکلام المبطل، نعم، لو عجز عن القراءة وبدلها وقف بمقدارها، ولکنّه مجرّد فرض، والضابطة الکلّیة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المکلّف إذا عجز عن الحمد الصحیحة أو السورة الواجبة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تمکّن من الإتیان بها ولو ملحونة فی إعرابها ومخارج حروفها ـ کما هو الغالب فی السواد ولا سیّما من غیر العرب ـ تعیّنَ ویضمّ إلیها التسبیحات الأربع، وإن لم یتمکّن منها 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تمکّن من بعضها تعیّن وضمّ إلیها التسبیح، فإن لم یتمکّن حتّی من البعض قرأ بقدرها من سورة اُخری، فإن لم یتمکّن أتی بالتسبیحات بقدرها، فإن لم یتمکّن أتی بمطلق الذکر، فإن لم یتمکّن أتی بترجمتها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مع سعة الوقت، فیأتی بما أمکن حسب المراتب المتقدّمة فی الحمد، وکذا فی السورة، ومع عدم سعة الوقت لهما تسقط السورة، ویقتصر علی الفاتحة حسب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کونه بقدرها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والجواز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یختلف مقدار الموالاة المعتبرة فی هذه الموارد ، وسیجیء بعض ما یرتبط بالمقام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بسکوت طویل، أو الفصل بأجنبی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بذلک عن القرآنیّة ودخل فی کلام الآدمیّین، وإلاّ فالمتّجه عدم الإعادة إن تدارکه قبل فوات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جائزاً فی العربیّة، مثل إبدال الصاد بالسین فی سراط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ما لا یجوز فیه الإبدال حسب قواعد اللغة العربیة، وربّما یمنع کون تبدیل الضاد بالظاء أو العکس من هذا القبیل، بل ربّما یمنع کونهما حرفین، ولکنّه محلّ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غیّر الإخلال معنی اللفظ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یُعدّ غلطاً، وکذا الکلام فی ما بعده، فلا یجب المدّ إلاّ إذا توقّف أداء الکلمة ـ مادةً أو هیئةً ـ علیه، کما فی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یتوقّف التحفّظ علی التشدید والألف علی مقدار من المدّ، فیجب بهذا المقدار لا أزید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 عبداللّه الشیرازی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المعنی، أو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التشدید داخلاً فی قوام ذات الکلمة بمقتضی وضعه الإفرادی، کتشدید الباء من ربّ، أو الترکیبی کإدغام لام التعریف فی الراء والسین دون غیر هذا ممّا أوجبه علماء التجوید من الإدغام الصغیر أو الکبیر مع الغنّة أو بدونها، بناءً علی ما هو الأقوی من عدم وجوبه، ولا فرق فی الإخلال بالتشدید بین فکّ المدغَم أو تخفیفه مع الحرکة أو بدونها، کما لا فرق فی السکون بین الواقع آخر المبنیّ وغیره، بل تجب المحافظة علی الحرکة والسکون فی مطلق حروف الکلمة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المعنی، أو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المعیار تحقّق الحروف وتکوّنها وصدق عناوینها وأسمائها علیها، سواء خرَجَتْ من المخارج المقرّرة عند أهل التجوید، أم لا، فإذن لا محلّ لما أفاده فی صدر کلامه، وما ذکره فی الذَیل هو الحریّ بالقبول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ولو أثبتها عمداً فالأحوط 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همزة الوصل مع الوصل متعارف عند بعض أهل اللسان، فبطلانه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معنی البطلان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علی المنوال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المؤکّد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فی وجوب تعلّم القراءة ماله ربط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یلازم القول بعدم جواز الوصل بالسکون، وأمّا علی القول بجوازه فلا دلیل علی وجوب معرفة حرکة آخر الکلمة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بها بالفتح مع عدم العلم بها أجزأت ولا إثم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ستّة عشر علی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غیر مرّة أنّ المعتبر تکوّن الحروف فی المخارج ممتازةً عن غیرها، سواء کان خروجها من المخارج المعهودة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الحریّ بالقبول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أهل العربیة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التلفّظ بها مع عدم خروجها من المخرج الذی عیّنوه بعید غایته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أمکن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یفرّق بینهما ویظهرهما، مثل ما إذا أخرجهما من المخرجین المعیّنین ، وإلاّ فمثل ما یتلفّظ بهما فعلاً أکثر العرب فی العراق من إخراجهما من مخرج واحد فمشکل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کونه من مجرّد الفرض المستحیل بحسب 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المیسور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علی ما ذکره علماء التجوید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حرفه وسبباه ـ أی الهمزة والسکون ـ فی کلمة واحدة، وقد مرّ عدم لزوم مراعاته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وجوب المدّ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عبّر عنه العلاّمة الجُزَری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اللازم المشدّد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کفایة تأدیة الحروف علی الوجه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المعبَّر عنه فی التجوید بانتشار الحروف وتفرّقها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ویکفی إعادة الکلمة مطلقاً، وإن کان الأحوط إعادة الصلاة فی صورة العمد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والعلم بخروجها عن الصدق وقصد الجزئیة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اکتفی بها، وإلاّ ففی إطلاقه تأمّل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الأقوی الاکتفاء بها مطلقاً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قرآناً أو ذکراً، وفی غیرهما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 ، صدرالدین الصدر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فی ما إذا قرأها موصولة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ولا یُترک هذا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کانا فی کلمتین، وکان الأوّل منهما ساکناً والثانی متحرّکاً بشرط عدم کون الأوّل منهما من حروف المدّ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ثبت اتّفاق أهل العربیة علی ذلک، وإن اختلفوا مع عدم تخطئة کلٍّ للآخر،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یرتدّ ویرتدد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بواجب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الأوّل ساکناً والثانی متحرّکاً بالشرط المتقدّم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 الآملی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وجوب ذلک، والأحوط الأولی اختیار ما هو المتعارف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وجوب کونها بإحدی القراءات المشهورة فی عصر الأئمة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خالفتهم فی الکلمات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خیر أئمّة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وَاجْعَلْنا لِلْمُتَّقینَ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لنا من المتّقین إماماً، وکثیر من أمثالها فالظاهر عدم جوازه؛ لورود النهی عنه فی الأخبار، ففی خبر سالم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رجل علی أبی عبداللّه علیه‌السلام وأنا استمع حروفاً من القرآن لیس علی ما یقرؤها الناس، فقال أبو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 عَنْ هذِهِ القِراءَةِ، إقْرَأ کَمَا یَقرَأ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الإدغام فی هذه الموارد غیر واجب ، بل أولی ، ولکنّ الاحتیاط لا یُترک فی الإظهار المذکور فی المتن إن لم یکن 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فی لفظة الجلالة جزء منها، ولیست معرفة وإن کانت تشترک معها فی الحکم المذکور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 الآملی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البروجردی، الحکیم، عبداللّه الشیرازی، الشریعتمداری، حسن القمّی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الأحوط ترک الإدغام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یخرج عن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لزوم ذلک فی مثله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 القلب، بل فی الإظهار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لو لم یکن الأقوی رعایته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بحصول النُون الخفیّة بإخراجها من الخَیشُوم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الإظهار والإدغام فی ما ذکر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أحوط إن لم یکن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إلاّ الإدغام فیها،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یلزم التمییز بنحوٍ لا یتولّد من القراءة کلمة مهملة البتّة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الکلمة المهملة الذی یحصل من اتّصال القراءة بعضها ببعض غیر مضرّ، فإنّ هذا التولّد إنّما هو بالدقّة العقلیة، ولا تخلو منه أیّ قراءة أو کلام 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فصل القارئ بین أجزاء الکلمة الواحدة وألحق آخر الکلمة بأوّل الثانیة فتولّدت من ذلک عرفاً کلمة مهملة کان ذلک مضرّاً، وبطلت صلاته مع العمد، ووجبت إعادة الکلمتین وما یلحق بهما مع السهو أو الغلط، فإن هو لم یُعِدها بعد الالتفات إلیها کانت صلاته باطلة، وعلی هذا فیکون تمییز الکلمات بهذا المعنی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 وبَعل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جدّاً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ذلک وإن قرأ بها أبو عمرو بن العلاء البصری، والأحوط عدم حذف التنوین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قراءة غیر المرسوم تأمّل، أحوطه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الوقوف علی القراءة المعروفة فیهما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الأحوط هو القراءة بالصاد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التأمل فی غیر المرسوم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إعراب آخر الکلمة أنّ وجوب التعلّم فی ما إذا أراد الوصل، نعم، یجب ذلک فی ما یجب الوصل وکان ترکه ملحقاً بالملحون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یرد الوقف فی الأول ولم یتمکّن من أداء الواجب بنحوٍ آخر کالاقتداء ، أو الاحتیاط ولو بتکرار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طَرَفَی العلم الإجمالی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اللحوق أقرب، والأحوط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محمدتقی الخونساری ، جمال الدین الگلپایگانی ، البروجردی، الآملی، الشاهرودی، محمدرضا الگلپایگانی، الأراکی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الواردة فی المقام مختلفة؛ وعلیه یتعیّن الإتیان بالتسبیحات التی جرت علیه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التسبیح ـ لا مطلق الذکر ـ أحد طَرَفَی الواجب التخییری وإن کان هو الأقوی إلاّ أن جواز الاکتفاء بتسبیحة واحدة لا یخلو من وجه، ومع ذلک لا یُترک الاحتیاط باختیار التسبیحات الأربع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یتخیّر بین أن یأتی بها مرّةً واحدة مع التکبیر، أو ثلاث مرّاتٍ بدون التکبیر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 اللنکرانی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البروجردی، أحمد الخونساری، الشریعتمداری، الآملی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مراعاة تساوی مقدار البدل مع المُبدَل فی الکمّ،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أقوی مبنیّ علی قول المشهور بالتخییر مطلقاً، وإلاّ ففیه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التخییر؛ وعلیه یتعیّن التسبیح فی مفروض المسألة وأمثالها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أنّ الأفضل للإمام القراءة، وللمأموم التسبیح، وهما للمنفرد سواء، إلاّ إذا نُسیت القراءة فی الاُولیین فتکون القراءة أفضل فی الأخیرتین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بمقتضی الجمع بین الأخبار القول برجحان القراءة للإمام، والتسبیح للمأموم، ومساواتهما للمنفرد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الأفضل القراءة للإمام، والتسبیح للمأموم، والمساواة للمنفرد، وهو مقتضی الجمع بین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التسویة تأمّل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الأفضلیة للإمام محلّ تأمّل، والأحوط فی المأموم اختیار التسبیح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 ومنه یظهر الحال فی المسألة الآتیة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إخفات التسبیح محلّ تأمّل، والأقرب التخییر، ولا یبعد کون القراءة مثله، والأحوط الإخفات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الصحّة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قصد الحمد أو قصد التسبیح غیر معتبر، فلو قصد أحدهما وأتی بالآخر عمداً أو سهواً أجزأ؛ لأ نّه موافق للأمر الواقعی، ولا مجال للإشکال بأ نّه مع قصد أحدهما أوّل الصلاة أو فی أثنائها ثمّ الإتیان بالثانی غفلة یستلزم وقوع الثانی بغیر قصد؛ فإنّ قصد الإتیان بالصلاة إجمالاً عند الشروع یغنی عن قصد کلّ جزء فی نفسه، وهذا سارٍ فی جمیع الأجزاء، فلو أتی بالرکوع أو السجود غفلةً من دون التفاتٍ وقصدٍ إلیه حین الإتیان به أجزأ قطعاً، فإذا کان عدم قصد الحمد مع الإتیان بها وموافقتها للأمرغیرقادح فقصد غیرها قبل الإتیان بها أیضاً لا یقدح، غفلةً کان الإتیان بها أو عمداً، ومن هنا ظهر حال ما فی المسألة الثامنة؛ فإنّ الإجزاء یدور مدار المطابقة للواقع، ولا أثر للتخیّل والقصد وعدمه بعد قصد امتثال أمر الصلاة إجـمالاً، ومطابقـة ما أتی به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أتی بالتسبیح بتخیّـل أ نّه فی الأخیرتین فظهر أ نّه فی الاُولیین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ذکر قبل الرکوع أتی بالحمد المأمور به، وإن ذکر بعد الرکوع مضت صلاته ولا شیء علیه، ویکون حکمه حکم ناسی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 الآملی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الاجتزاء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قصد 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خلل فی النیّة،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 وکذا فی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الصحّة فی صورة نسیان القراءة فتامّة للنصّ الخاصّ، وأمّا الحکم بالصحّة فی صورة نسیان التسبیحات فمشکل؛ لِمَا مَرّ آنفاً من الإشکال فی جریان القاعدة أثناء الصلاة، وممّا ذکرنا یظهر الإشکال فی نظائر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 ، الشاهرودی ، محمد الشیرازی ، اللنکرانی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الأحوط‌الرجوع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 الأراکی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محلّ إشکال، وأمّا بعد الدخول فی الاستغفار فالاعتناء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العود إلی القیام والإتیان بهما بقصد القربة المطلقة، وکذا لو شکّ فی التسبیح بعد الدخول فی الاستغفار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ساقط بالمرّة، لعدم اعتبار قصد الوجوب والندب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وجیه جدّاً؛ لتبادره من الأدلة إذا لم نحتمل کفایة الأقل من کلمات التسبیحات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معلوم العدم ، بل ربّما کان غیر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آخر،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المجموع أفضل الفردین ، فلا مانع من نیّة الوجوب بها علی هذا التقدیر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معلوم العدم، والظاهر أنّ الأجزاء المستحبّة للصلاة هی أجزاء للفرد الأفضل منها، الذی به یمتثل الأمر الوجوبی کما یمتثل عند ترکها بالفرد الآخر، فقصد الوجوب فیها بهذا المعنی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أبعد الوجوه، والأحوط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الأرجح تعیّن الاُولی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لا تنحصر فی الثلاثة المذکورة، بل هی أضعف من غیرها؛ لابتنائها جمیعاً علی وجوب التسبیح علی وجه التربیع، وعلی ورود الأمر به علی هذا النحو ثلاثاً، والأول محلّ نظر کما تقدّم، والثانی لا دلیل علیه ، ومع تسلیم کِلا الأمرین فالجمع بینهما بأحد الوجوه المذکورة ولا سیما الأخیر لیس من الجمع العرفی فی شیء، بل مقتضاه الالتزام بوجوب صرف الوجود واستحباب المجموع؛ إذ لا مانع من اتّصاف الفعل الواحد بالوجوب والاستحباب معاً علی هذا النحو کما حُقِّق فی محلّه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الظاهر منها هو الوجه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یؤتی بها بقصد القربة المطلقة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أستعیذ باللّه من الشیطان الرجیم إنّ اللّه هو السمیع العلیم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والأولی ترک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وأعوذُ بِاللّه اَنْ یَحْضُرونِ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أتی بها بقصد الورود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للإمام، فینبغی أن یُسمِعَ مَن خلفه کلّ مایقول، إلاّ ما وجب إخفاته، و إلاّ فی صلاة المغرب تأسّیاً بالصادق ـ سلام اللّه علیه ـ فی روایة حنان بن سدیر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الإشکال بالنسبة إلی غیر الإمام، ومرّ أیضاً أنّه لا یُترک الاحتیاط بالإخفات فی الرکعتین الأخیرتین ، خصوصاً للمأموم والمنفرد ، وهکذا فی القراءة خلف الإمام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الإخفات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الجهر بها فیهما، وأمّا خلف الإمام فلا یبعد وجوب الإخفات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أمیر الموءمنین ـ سلام اللّه علیه ـ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وَرَتِّلِ القُرآنَ تَرتِیِلاً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بلّغه تبییناً، ولا تهذّه هذّ الشعر، ولا تنثره نثر الرمل، ولکن اقرعوا به القلوب القاسیة، ولا یکن همّ أحدکم آخر السورة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 تبیاناً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أقرعوا به قلوبکم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التدبرّ فی معانیها، وفی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الترتیل أن تتمکّث فیه، وتُحسِّن به صوتک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إلی أمیرالمؤمنین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ترتیل القرآن حفظ الوقوف وبیان 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لا تکون القراءة منتشرة الحروف کانتشار الرَمل، ولا مَهذُوّة هَذوَة الشِعر، مع المحافظة علی الأمداد والوقوف، کما سیجیء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ذلک، بل یجب علی وجه یکون منتظماً عرفاً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یحسن فیه الوقف، ولا یجتزئ عنه بالسّکتة المصطلحة عند أهل التجوید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المعبّر عنها فی الروایات بالتدبّر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بقلبه وجنانه، وإن لم یکن السوءال بلسانه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لیس المراد بها فی روایة إسحاق بن عمّار وغیرها خصوص السَّکتة المصطلحة عند القرّاء، بل أعمّ منها ومن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وبعض ما ذکره من المستحبّات والمکروهات مبنیّ علی قاعدة التسامح فی أدلّة السنن، ولکن لم تتمّ هذه القاعدة عندنا؛ لذا الأولی أن یأتی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روایة المرّة، ولا بأس بها بقصد القربة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التی ذکرت هاهنا هی فی بعض الروایات، وفی بعضها الآخر سور اُخری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ذکر لم یثبت إلاّ بناءً علی قاعدة التسامح، کما أنّ فی بعضها ورد أیضاً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صلاة الجمعة، کما 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والأولی أن یقرأ فی الرکعة الثانیة منها سورة الأعلی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قراءة الأعلی فی الرکعة الثانیة من العشاءین فی تلک اللیلة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الأرجح قراءة التوحید فی الاُولی من کلّ صلاة، والقَدْر فی ثانیتها، خلافاً للمعروف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ینبغی أن لا یَترک قراءتها فی کلّ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أنّ من مضی به یوم واحد فصلّی فیه الصلوات الخمس ولم یقرأ فیها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لست من المصلّین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وقراءة الحمد بنَفَسٍ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تبعد کراهة قراءة الحمد أیضاً بنَفَسٍ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لذکر جنّةٍ أو نار، وهو حینئذٍ من المستحبّات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حدٍّ لا یخرج عن صورة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الحکم محلّ إشکال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الجمعة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فیه فی فصل النیّة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أخطأ ابن مسعود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لیستا من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البسملة خمس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تحتاج إلی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بأن یکون قصده الحکایة فی أصلها، وربّما کان مقصوده 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الإشکال فیه فی المسئلة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مختارنا فیه فی مکان المصلّی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تحریک جمیع الأصابع أو رفعها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بالنسبة إلی تحریک جمیع أصابع الرجلین ورفعها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من قَبلُ متوجّهاً إلی ورود المحرّک له فی حال القراءة، وإلاّ فالبطلان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احتمال جزئیة الاستقرار للصلاة، أو شرطیّته لها، أو للقراءة، ولکنّ الأقوی عدم لزوم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مقتضاه قصد القربة المطلقة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بالنسبة إلی الآیة محلّ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یعیدها بقصد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یجب فی وجه، کما سیجیء، والأحوط الإعادة 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محلّ إشکال، إلاّ أن یحرز أهمّیّة حفظ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ضیق الوقت عنها أیضاً یقتصر علی تسبیحة صغری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یتعیّن الإشباع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یضرّ بصحّة صلاته، وإن کان الأحوط ما ذکره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سهواً 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بتفصیل یأتی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المصطلح الفقهی المراد بالرکوع فی باب الصلاة، وأمّا الرکوعات القرآنیّة المکتوبة فی هوامش المصاحف الشریفة فیراد بها مطلق الخضوع للّه تعالی بأیّ نحوٍ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والعرف لا یری کلّ انحناءٍ رکوعاً، بل عنده انحناء خاصّ وهو معتبر عند الشرع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کانت ما عدا الإبهام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اعتبار وصول الإبهام لا یخلو من قوّة، ولا ینبغی 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المدار علی مقدار انحناء أقلّ المستوین خلقة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مشکلة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للشرط المذکور؛ فإنّ حدیث علیّ بن یقطین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 فی إجزاء تسبیحة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الراجح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عدم قوام تحقّق الرکوع برفع الرأس، والنصوص الدالة علیه مخدوشة سنداً أو دلالةً، فالحکم بوجوبه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کان ناسیاً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ذکر بعد السجود مضی، وإلاّ تدارکه؛ لاحتمال وجوبه مستقلاًّ أو مقدّمةً للسجود فینتصب ثمّ یسجد، أمّا لو کان وصفاً للرکوع فیقوم منحنیاً ثمّ ینتصب، فیکون متمّماً للرکوع الأوّل، لا رکوع 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وضع الیدین علی الرکبتین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الأحوط استحباباً عدم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الإتیان بالمقدار الممکن من الانحناء لا وجه له، فمقتضی الاحتیاط أن یأتی تارةً بالرکوع الإیمائی قائماً، واُخری بالصلاة جالساً، وثالثةً بالصلاة قائماً مع الرکوع الجلوسی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بصلاة اُخری مومئاً أیضاً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فی هذه الصورة صلاة اُخری من 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فی هذه الصورة أن یصلّی صلاةً اُخری، ویجلس للرکوع ویرکع جالساً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یجمع بینه وبین صلاة اُخری مع الإیماء قائماً، وکذلک فی المسألة الآتیة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علیه تکرار الصلاة، فیصلّی به جالساً ویتمّ الصلاة، ثمّ یعیدها بالإیماء قائماً، ویضمّ إلیه تغمیض العینین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تعیّن الإیماء قائماً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 حسن القمّی، تقی القمّی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مراعاة استیعاب العذر لتمام الوقت فی فروع هذه المسألة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ضیق الوقت، وکذا فی بقیة الفروض، ومع السعة فلا بدّ من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یقوم منحنیاً إلی حدّ الرکوع القیامی، ویُعید الذکر بقصد القربة المطلقة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تحقّق البدل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والأولی إتمام الذکر، ثمّ القیام منحنیاً إلی حدّ الرکوع وإعادة الذکر بقصد الرجاء فیهما، ولا حاجة إلی إعادة الصلاة، ومثله الکلام فی الصورة الآتیة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نسب إلی ظاهر الأصحاب الجریان حکم المبدل منه علی البدل، ولکن للنظر فیه مجال واسع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 الإیمائیّة، بل مطلقاً علی تأمّلٍ فیه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 القیام الناقص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أوّل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لإحداثه بعد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بحدٍّ یصدق عرفاً علی الانحناء بعده عنوان الرکوع ولو فی حقّه ، وإلاّ فحکمه حکم غیر المتمکّن أصلاً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الانحناء الیسیر والذکر فیه، أو الرجوع إلی حالته الاُولی والإیماء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والأحوط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یحدث الرکوع عن 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استناده إلی قصد الجزئیة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لإحداث الرکوع عن 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تبطل فی الصورتین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العود والإتمام، وسجدتا السهو ثمّ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التقیید به مبنیّ علی الاحتیاط الوجوبی، کما سیجیء فی بحث الخَلَل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البطلان فی الصورتین، ومع ذلک لا یُترک الاحتیاط المزبور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بوجوبهما لکلّ زیادةٍ ونقیصة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لإحداث الرکوع عن 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واحتاط بإعادة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البقاء غیر معلوم، بل الأحوط العود إلی الحدّ الذی نسی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 الأول، والأحوط استحباباً إعادة الصلاة بعد إتمامها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تعیّن العود إلی حدّ الرکوع، بل لعلّه الأحوط، بل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المتعیّن، وإعادة الصلاة بعد الإتمام أولی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 من الوجهین، نعم، لا یُترک الاحتیاط بالإعادة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المتعیّن؛ بناءً علی عدم دخل الاستقرار فی أصل الرکوع، ولکن لا یُترک الاحتیاط بالإعادة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من هذا الباب لو لم یتوقّف فی هذا الحدّ ولو آناً ما فعلیه العود إلی القیام ثمّ الرکوع، وتصحّ صلاته، وإعادتها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 والأوّل وجه مضعّف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بإعادة الصلاة بعد الإتمام علی الوجه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تعیّن العود إلی حدّ الرکوع، بل لعلّه الأحوط، بل 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کشیخنا المفید وابنَی حمزة وإدریس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 الأراکی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غیر بعیدة ، والاحتیاط حَسَن علی کلّ حال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المرّة الواحدة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القربة المطلقة، وکذلک فی الختم علی الوَتر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قصد الرجاء والقربة المطلقة فی الزیادة عن الثلاث وفی الإیتار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التسبیحات فی الرکعات الأخیرة ما لَه نفع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تعیّن الواجب فی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جواز قصد الوجوب فی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حسن القمّی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لزوم الاطمئنان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قصد القربة المطلقة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واجب فی الصلاة، ووجه التقیید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إذا کان المأتیّ به بقصد الجزئیّة بعض الذکر لا بأس بإعادته مهما أمکن؛ لانصراف أدلّة الزیادة عنه، کما أشرنا إلیه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دار الأمر بین الرکوع قائماً بلا طمأنینة أو جالساً معها قدّم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تمکّن من الإتیان ولو بتسبیحة واحدة صغیرة فی حال الرکوع تعیّنت علیه، والأحوط الإتیان بالأخیرتین فی حال النهوض، وإن لم یتمکّن منها أیضاً اقتصر علی الإتمام حال النهوض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هو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لقوّة الاحتمال المذکورة ولو لشبهة انصراف المطلقات عمّا فرض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ینافی لما ذکرنا سابقاً فی المسألة التاسعة اعتبار انتهاء الرکوع إلی حدٍّ فی صدق مفهومه عرفاً لتحقّقه هنا، فلا تهافت فی فتوی الماتن مع ما احتمله فی المسألة التاسعة، کما لا یخفی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بقصد وجوبهما معاً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الکلمات وبین الحروف؛ کی لا یلزم الانتشار، وقد تقدّم ما له ربط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مبحث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المعیار تحقّق الحروف وصدق عناوینها، وتمیّز کلٍّ عن غیره، سواء خرجت من المخارج الطبیعیّة أم من غیرها، وأنّ الخروج من المخارج الطبیعیة لیس بشرط، نعم، خروجها عنها هو الغالب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فی یاء المتکلم الوجهان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الإظهار، والحذف، وکأنّه المراد من إشباع الکسر والعدم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بإظهار یاء المتکلّم وحذفها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غیر قاصدٍ إلی الذکر ولکن سبق لسانه به، فالإطلاق بوجوب إعادته بعد تعدّد الصور واختلاف أحکامها محلّ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الخمینی ، الخوئی، حسن القمّی، تقی القمّی، الروحانی، اللنکرانی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الاحتیاط 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لزوماً ترکه؛ لاستلزامه الإخلال بالاستقرار المعتبر فی حال الرکوع، وکذا الأمر فی عکسه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إلاّ إذا کان رجوعه بقصد الرکوع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له أن یختار أحد الوجهین متقرّباً به لاحتماله، فإذا استبان أنّه مطابق للواقع صحّت صلاته، وإذا تبیّن أنّه غلط أعاد الصلاة، وقد تقدّم نظیره فی المسألة الخامسة عشرة من مستحبّات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احتیاطاً، وإلاّ فالإتیان به رجاءً بالوجهین لا یضرّ بصحّة صلاته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التفات الراکع إلی ذلک، فصرف الإمکان غیر کافٍ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تشکل الصحّة إذا لم یلاحظ المتکلّم قطع الصفة وتقدیر الفعل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تصرّف اقتراحی فی القراءة من غیر مجوّز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وجعل العظیم مفعولاً له لا مطلقاً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أن یعتبر فی تحقّقه انحناء الظهر قدر انحنائه فی الرکوع القیامی ولو ببعض مراتبه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ینحنی الراکع فی حال جلوسه مقدار انحنائه فی حال قیامه، وأدنی مراتب الرکوع فی الجلوس هو أدنی مراتبه فی القیام، وأفضله فی حال الجلوس هو أفضله فی حال القیام، وإذا ساوی الراکع ظهره فی حال القیام ومدّ عنقه لم یساوِ مسجده، وکذا فی حال الجلوس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أکثر منه، لکنّ أکثرها غیر نقیّة 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المستحبّ المؤکّد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شیء زینة، وزینة الصلاة رفع الأیدی عند کلّ تکبیرة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المستحبّ فی الرکوع والسجود رفع الإمام صوته بالذکر؛ لقول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للإمام أن یُسمِعَ مَن خلفه کلَّ ما یقول، ولا ینبغی لمن خلف الإمام أن یُسمِعه شیئاً ممّا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طول الرکوع والسجود ما اتّسع له الحال ولم یحصل به السأم، إلاّ للإمام فإنّ التخفیف به ألیق، فإنّ فی الناس الضعیف ومن له الحاجة، وکان رسول اللّه صلی‌الله‌علیه‌و‌آله إذا صلّی بالناس خفّف، إلاّ أن یعلم الانشراح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عدم ترکه مع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یُغمِض عینیه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یُغمِض عینیه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التسبیحة الکبری، وأمّا الصغری فیجب تکرارها ثلاثاً علی الأحوط، کما مرّ، نعم، الزائد علی الثلاث مستحبّ فیها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اختصاص 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 والمنفرد، وأمّا المأموم فیستحبّ له التحمید مخیّراً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لک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استحبابه تأمّل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بقصد الخصوصیّة، وکذا فی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حالها حال مستحبّاتها فی الکثرة، وضعف مدارک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المعبّر عنه فی الروایات بالإقناع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بکراهته لا یخلو من الإشکال، وکذا فی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 دلیله، نعم، هو ینافی التجنیح بالمِرفَقَین، وقد تقدّم استحبابه، وکذا ما بعده لا دلیل علی کراهته، ولکنّه ینافی وضع الکفّین علی الرکبتین، وقد تقدّم 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 علیٍّ ـ سلام اللّه علیه ـ أ 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قراءة فی رکوع ولا سجود، إنّما فیهما المدحة للّه عزَّوجلّ، ثمّ المسألة، فابتدئوا بالمدحة ثمّ اسألوا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کُمِّه، ولیعلم أنّ بعض الأصحاب عَدّ من مستحبّات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الیدین بارزتین، وعلیه فلا وجه لعدّ استتارهما من المکروهات، إلاّ بناءً علی التلازم بین استحباب الفعل وکراهة الترک، أو العکس، وقد مرّ غیر مرّةٍ عدم تمامیة هذه 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کراهة فی إدخالهما بالکُمَّین، ولا فی الثیاب، ولا إدخال یدٍ وإخراج اُخری، والید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والأصابع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الظاهر أنّه لا فرق بین أنحاء الرکوع من کونه فی الصلاة قائماً أو جالساً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بطلانها بنقصانه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یعمّ منها ومن الذقن والجبین، کما سیأتی ، ویأتی فی المسألة الثامنة ما یتعلّق بالهیئة المعتبرة فی السجود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قصد التعظیم مقوِّماً لمفهوم السجود محلّ الإشکال، بل المنع؛ ولذا لو سجد أحدٌ لشخصٍ مستهزئاً به یصدق علیه المفهوم، والحال أنّه إهانة، لا تعظیم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الحکم فی زیادة السجدتین سهواً، فلا یُترک الاحتیاط مع زیادتهما کذلک بإتمام الصلاة ثمّ إعادتها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فی صورتَی الزیادة عن سهوٍ أو عن جهل قصوریّ مبنیّ علی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من الزَندین إلی روءوس الأصابع، لا خصوص الراحة، وما ورد فی تحدید موضع القطع من السارق وأ نّه من مفصل الأصابع؛ معلّلاً بأنّ المساجد للّه، وما کان للّه لایقطع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المقتضی لکون الکفّ هی الراحة فیکفی السجود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ماکان للّه لا یقطع کلّه، لا أ نّه لا یقطع شیء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لدوران الصدق مداره وجوداً وعدماً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یقوم مقامها علی تفصیل سیأتی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 کفایة مطلقه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کما مرّ فی الرکوع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الاختیار، وتسقط عند الاضطرار، ولو تعمّد ترک الاستقرار عمداً فی الذکر بطل، فإن تدارک صحّ، وإلاّ أبطل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الاستقرار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الإبطال، ووجوب التدارک، کالسهو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یمکن التدارک مع أنّ زیادة السجدة الواحدة لا تبطل الصلاة؟ مضافاً إلی أنّ السجدة الصلاتیة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المأتیّ به مع الذکر حال الاستقرار، والمفروض أنّه لم 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الاستثناء 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حین الشروع فیه إلی تمامه، ولا یضرّ التغییر فی غیر مسجد الجبهة قبله وبعده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هو الجبهة أو غیرها ولم یکن تدارکه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الإبطال، ووجوب التدارک، کالسهو فی ما عدا الجبهة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یُخِلَّ بالاستقرار المعتبر حال السجود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السجود، فلو کان موقفه حال القیام أسفل أو أعلی ثمّ انتقل حین السجود إلی المساوی صحّ، وهل العبرة بالإبهامین، أو بأن ینحنی إلی أن تحاذی جبهته موقفه، فلو أدخل أصابع رجله فی مکان منخفض عن موضع الجبهة بأکثر من لبنة صحّ؛ لعدم تفاوت انحنائه بذلک؟ وجهان، أقواهما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الرکبتین والإبهامین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 خصوص موضع الجبهة، والمراد بالانحدار الیسیر إنّما هو فی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یصلّی فی الأرض المنحدرة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 الحکم للانحدار مبنیّ علی الاحتیاط، وأمّا التفصیل المذکور فلا یخلو من تشابه ونظر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مراعاة المقدار المذکور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ما یقصد السجدة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هذه الاُمور هو الکلام فی ذکر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المنبت من مستوی الخلقة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الاحتیاط بوضع السطح المُحاط بخطَّین موهومین متوازیین بین الحاجبین إلی الناصیة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أنقص منه حتّی بمقدار رأس الأنمُلة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مراعاة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جواز الأنقص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المطبوخة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الوسخ الذی کان جِرماً مانعاً عن وصول بشرة الجبهة إلیها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جِرماً مانعاً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له جِرم حائل عن مباشرة الجبهة معها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جِرماً مانعاً عن وصول البشرة إلیها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 المرعشی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المراتب المذکورة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إلاّ أن یأتی به رجاءً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 الأحوط، ویکفی الصدق العرفی من غیر مداقّة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فیهما الاستیعاب العرفی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اعتبار الاستیعاب الحقیقی مسلّم، إلاّ أنّ کفایة وضع المقدار الملاصِق بالأشاجع فقط ممنوع، فلابدّ من وضع الکفّین جمیعاً ولو من غیر الاستیعاب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الواجب فی السجود علی الکفّین صدق مسمّاهما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بالمقدار المتعارف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عدم إمکانه مع وضع الجبهة، نعم، یمکن جانباهما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أسفله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لم یمکن وضع محلّ الإبهام، ولا رفع ما یستقرّ علیه بوضع شیء تحته، وإلاّ فالأحوط رعایة الوضع علی المحلّ، أو رفع المستقرّ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یتعذّر وضعه علی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باعتماد ما علیها، وترک مجرّد المماسّة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وجوبه فی الجبهة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المنع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توقّف صدق السجود علی الاعتماد وإلقاء الثقل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لا یصدق إلاّ مع إلقاء الثِقل فی الجملة علی جمیعها، فلابدّ من اعتباره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 البروجردی، المیلانی، المرعشی، السبزواری، حسن القمّی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 والأحوط الاقتصار علی الهیئة المعهودة عند المتشرّعة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کذلک علی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عمد فی هذه المسألة والمسألة الآتیة، وإن کان الوضع العمدی فی الشِقّ الأوّل من هذه المسألة غیر مضرٍّ إذا لم یکن بعنوان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غیر عمد، أو معه بشرط أن لا یکون بعنوان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أو عمداً بغیر قصد الجزئیة، وإلاّ بطلت للزیادة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ولایجوز الجرّ فی ما لو وضعها علی المرتفع مطلقاً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الجرّ هنا محلّ إشکال، فالأحوط رفعها ووضعها علی ما یصدق معه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التعلیل نظر؛ لإمکان دعوی انصراف مانعیّة الزیادة إلی تکرار ما اعتُبر جزءاً فی الصلاة، لا ما هو أجنبی عنها ولو أتی بقصدها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عمد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الالتفات قبل الذکر أم بعده الأحوط الرفع والوضع والإتمام والإعادة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الإتیان بالسجدة ثانیاً، والإتمام ثمّ الإعادة، ولا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الإصطهباناتی ، أحمد الخونساری، عبداللّه الشیرازی، الآملی، محمدرضا الگلپایگانی، الأراکی، تقی القمّی، اللنکرانی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ممّا یشترک معه فی عدم إمکان وضعه علی الأرض، ولو من غیر اعتمادٍ لتعذّرٍ أو تعسّرٍ أو تضرّر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ترتیب بینها وبین ما سبقها شرعاً، وکذا کلّ ما یفید فائدتها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بالجمع بین ما ذکر فی المتن وبین السجود الإیمائی فی الصلاة المعادة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علیهما والذقن جمیعاً إن أمکن، وإلاّ صلّی مرّةً علی الذقن، ومرّةً علی الجبینین معاً إن أمکن، وإلاّ فعلی أحدهما بتقدیم الأیمن مع إمکانه، ولو لم یسعه إلاّ صلاة واحدة صلاّها علی الذقن ثمّ احتاط بقضائها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الیمین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 علی أحد الجانبین من أطراف الجبهة، مقدِّماً الأیمن علی الأحوط استحباباً، فإن تعذّر ذلک سجد علی ذقنه، فإن تعذّر ذلک فالأحوط استحباباً تقدیم الحاجب ثمّ الأنف ثمّ غیره من أجزاء الوجه، فإن لم یتمکّن وجب السجود بوضع مقدّم الرأس ویومئ بالسجود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تعذّر السجود علی الذقن سجد بأیّ موضع من مواضع وجهه، ثمّ بمقدّم رأسه، ثمّ الانحناء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ضمّ الإیماء إلیه أیضاً مع قصده فی إتیانه بکلٍّ منهما ما فی ذمّته؛ للتشکیک فی صدق المیسور من السجود علی مطلق انحنائه، وهکذا الأمر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 جمیع ما ذکره قدس‌سره هنا فی فصل القیام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الذی لا یُترک أن یجمع بین ما فی المتن والسجود الإیمائی بتکرار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الجبهة علیه دون العکس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وجوبه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ناویاً جزئیّته وکانت الحرکة مخرجة له عن الاستقرار فالأقوی وجوب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 جمال الدین الگلپایگانی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غیر لازم، والحکم کالسهو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المختار من لزوم الاستیعاب فی الیدین تحریکها، کتحریک إبهام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بإعادة الصلاة مع العمد، وبإعادة الذکر احتیاطاً مع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الإشکال فی کفایة السجود علی خصوص الأصابع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التفاته حال وقوعه بترک ذکره فی الاکتفاء به تأمّل، بل تجب إعادة الصلاة من جهة اضطراره بترک الذکر فی شخص الفرد، لا فی الطبیعة، وإن کان فحوی إطلاق کلماتهم فی نظائره جواز الاقتصار به، ولکنّ القواعد غیر مساعدة له فیه، والنظائر کما أشرنا إلیه سابقاً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ارتفعت قبل الطمأنینة، والأحوط الإعادة مطلقاً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بکون التقیة مجزیةً مشکل؛ لعدم وفاء الدلیل به،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وجوب التفصّی فی غیر المنصوصات بالخصوص إشکال، نعم، فیها أمکن الاکتفاء بها حتّی مع التمکّن؛ لتنزیل إطلاق ترخیصها علی الغالب من تمکّنهم علی التفصّی المزبور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وسجد سجدتَی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عبدالهادی الشیرازی، الخمینی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تصحّ، ویجب التدارک مالم یحصل المنافی، وبذلک یظهر حکم نسیان السجدة الواحدة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الإتیان بالمنسیّ، واحدة کانت أم اثنتین لا بقصد الأداء والقضاء، والتشهّد والتسلیم بعده وسجدات السهو، بل وإعادة الصلاة فی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المنسیّ اثنتین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تستقرَّ بالوضع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بل الأقوی وضع الجبهة علیه، لا وضعه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وضع الجبهة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ضمّ الإیماء إلی کلٍّ منهما بقصد إتیان کلّ واحد منهما بقصد ما فی الذمّة، لا بقصد الجزئیّة؛ تحصّلاً للجزم بالفراغ بعد احتمال عدم انطباق قاعدة المیسور علی هذا المقدار، والتشکیک فیه اجتهاداً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إذا کان الرفع والوضع موجباً لتحقّق بعض مراتب السجود، کما هو المفروض، حیث إنّه صورة العجز عن الانحناء التامّ ، وفی غیر ما هو المفروض یتعیّن الإیماء، کما 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مراعیاً لوضع الجبهة علی ما یصحّ السجود علیه، لا وضعه علی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لیضع جبهته علیه مع الإمکان، ولا یُترک الجمع بین ذلک وبین وضع الیدین علی الأرض، وتکرار ذکر السجدة فیهما بداعی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والاکتفاء بالانحناء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أن یؤتی بها بقصد القربة المطلقة، لا بعنوان الورود بالخصوص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ترکه، ویکفی الإتیان به ولو حال الهَویّ بقصد القربة المطلقة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والأشهر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هاویاً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اعتبار الترتیب بینهما بوضع الیمنی علی الأرض قبل الیسری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وجوب الاستیعاب فی الیدین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الاحتیاط فی استیعاب الکفّین، وأمّا استحباب استیعاب الإبهامین والرکبتین فغیر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الذی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الإبهامین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بعض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حیال وجهه، وفی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حیال المنکَبین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بها رجاءً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بذلک رجاءً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الرضوی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القمّی، حسن القمّی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حدٍّ لایوجب السأم والملل له أو لِمَأمُومِیهِ، أو الخروج عن الصلاة وانمحاء صورتها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الرضوی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حسن القمّی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 فی ما یصحّ السجود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کون محلّها أخفض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دلیله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علیه سیرة المتشرّعة مستمرّة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المختار فی تفاسیره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رعایة الانتصاب،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رعایة الانتصاب،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فی بعضها،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المعبَّر عنه فی بعض النصوص والکلمات بالتَخَوّی بالمثنّاة الفوقانیة والخاء المعجمة،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الذکر المطلق، لا بقصد الذکر الوارد فی السجدة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باستحبابه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التعجینَ بعضُ الأصحاب فی مکروهات السجود، وهو الظاهر المتراءی من روایة الحلبی، اللهُمّ إلاّ أن یُدّعی التلازم بین النهی التنزیهی عن فعل وبین استحباب ترکه، وقد مرّت الإشارة مراراً إلی الخدشة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تسجد لاطئةً بالأرض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وهی غیر إلصاق البطن بالأرض ، ولعلّ بینهما عموماً من وجه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وتنسلّ انسلالاً، کما 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انمحاء صورة الصلاة، وعدم إیراثه السأم له أو لمقتدیه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ترکه؛ للنهی عنه فی بعض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عدم دلیل مرخّص فی قباله لولا ضعف سنده الموجب للأخذ بمرجوحیّته للتسامح، ولکن بناءً علیه یشکل أمر کراهیته شرعاً، کما هو الشأن فی الأوامر المحمولة علی الاستحباب للتسامح بعد ضعف سندها،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المختار فی تفسیره، وهو العمل المنهیّ التنزیهی فی الجلسات الصلاتیة من الجلسات التشهّدیة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بصدور باطنهما، فالجلوس علی جانبی القدمین مع وضع ظاهرهما لیس من الإقعاء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الإقعاء بذلک المعنی غیر ثابتة، بل الأظهر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الفرق بین الإقعاء بهذا المعنی المکروه والقُرفصاء المحکوم بالاستحباب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ویَعتبِر فیه بعضُ اللغویّین مع ذلک أن یضع یدیه علی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إذا استلزم إیذاء من بجنبه، وغیره من العناوین الطارئة المرجوحة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الکلام عرفاً علی ذلک مشکل، بل ممنوع، فهو صوت یشبه الحروف، وکذا فی التنحنح، کما سیأتی فی المبطلات، نعم، إذا صدق علیه الکلام عرفاً کان مبطلاً مع العمد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الکلام فیه فی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شدة کراهتها فی الرکوع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الأقوی عدم وجوبها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ویعید الصلاة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التحدید بهذا المقدار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فی الأعراف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الأرجح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ذکر السجود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عبداللّه بن سنان نصّ فی عدم الوجوب علی السامع إذا لم یکن مستمعاً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قراءة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الحکم فی موارد الاستحباب إذا نسی أو ترک عمداً لم یسقط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یتکرّر السجود بتکرار السبب مع التعاقب وتخلّل السجود، وأمّا مع عدم التعاقب أو عدم تخلّل السجود ففیه نظر، والتکرار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تکرّر السبب ولمّا یسجد فلا یبعد کفایة المرّة، وکذا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فی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کان القارئ غافلاً، أو سمعها المکلّف من آلةِ مسجِّلةِ الصوت، إلاّ إذا قصد بها غیر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مع صدق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الوجوب فی السَماع، وأمّا فی القراءة أو الاستماع فمع العمد تجب السجدة وتبطل الصلاة، ومع النسیان فیومئ للسجدة ویتمّ الصلاة وهی صحیحة، والأحوط مع ذلک إتیان السجدة بعد الصلاة ثمّ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الحکم فی فصل القراءة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ساهیاً عن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یسجد لو قرأها أو استمعها، ویتمّ الصلاة ثمّ یعیدها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سجود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یکون بنیّته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صدق علیه السجود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القصد الارتکازی، وهو موجود فی النائم والمجنون وبعض أفراد الغافل، ولا یُترک الاحتیاط فی الجمیع إذا صدق أنّه استمع إلی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أقوی فی ما یصدق أنّها آیة قرآنیة، کما 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غایته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اعتبار شیء ممّا ذکر غیر ما یتحقّق به مسمّاه والنیّة، نعم، الأحوط ترک السجدة علی المأکول والملبوس، بل عدم الجواز لا یخلو من وجه، لکن لا ینبغی ترک الاحتیاط فی 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إلاّ إذا توقّف صدق السجود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العدم فی الموضعین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اعتباره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یناقش فی الصغری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والإشکال فی العدّ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فرضه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 الروحانی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یأتی ببعض صور الذکر المنصوصة، ولو بما یقوله المصلّی فی سجود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والأحری الإتیان بالذکر المأثور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ینبغی أن لا یُترک؛ للأمر به فی أصحّ الروایات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الإتیان بهذا الذکر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صدق التعدّد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حدٍّ یصدق معه التعدّد عرفاً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الاستحباب الشرعی فی بعض فروع المسألة وأدعیتها بالخصوص محلّ تأمّل، فالأولی أن یأتی بها رجاءً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 إشکال، بل منع،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للاعتبار المذکور إذا لم تتّحد العبادة مع الغصب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الاستظهار غیر واضح، وإن کان لا یبعد أن یکون وضع الخدّ أیضاً نحواً من السجود، وقد ورد الحثّ علیه فی روایات کثیرة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الخشوع دخیل فی حقیقة السجود ، فلا معنی لاستحبابه ، وأمّا الإضرابات وإن کانت صحیحة ولکنّ استحباب قصدها محلّ تأمّل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السجود إلاّ ما کان بقصد التذلّل والخضوع، فلا مورد للترقّی المذکور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یذکر نحوه فی ما بعد مذکور فی بعض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لم یقم دلیل علی حرمة السجود لغیر اللّه، ولیس مجرّد السجود شرکاً محرّماً غیر قابل للتخصیص ؛ لأنّه تعالی لا یغفر أن یُشرَکَ به حتّی یوجّه سجدة الملائکة بما ذکر ، بل الظاهر أنّ سجودهم کان لآدم علیه‌السلام مأموراً به من قبل اللّه تعالی، لا مجرّد کون آدم علیه‌السلام قبلةً لهم ، ویدلّ علیه مضافاً إلی ظهور الکتاب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استکبار إبلیس واستنکافه من السجود ، فإنّه لم یستنکف من السجود للّه ، بل من السجود لآدم ، ویشهد به استدلاله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الظاهر احتیاج الجواز إلی الدلیل ، وبدونه لا مجال للالتزام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لیس مجرّد وضع الجبهة علی الأرض سجدة، بل لا بدّ من قصد التعبّد به، فتحرم السجدة بما هی عنوان قصدی تعبّدی إذا کانت لغیر اللّه، فما یفعله الناس من وضع جباههم علی الأعتاب المقدّسة مع العلم بارتکاز التوحید فی قلوبهم، وأنّهم لا یقصدون بذلک عبادة الأئمة علیهم‌السلام لیس سجوداً لهم، بل مقصودهم</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مستحبّة؛ لشمول العمومات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جوازه، إلاّ أن یطرأ عنوان ثانویّ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مستحبّ؛ للروایات التی جمع بعضها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إزالة الوسوسة عن تقبیل الأعتاب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ترک التشهّد سهواً أتی به ما لم یرکع، ولو کان واقفاً وجب علیه الجلوس والتشهّد ثمّ القیام وإتمام الصلاة، ویسجد سجدتَی السهو علی الأحوط وجوباً للقیام الزائد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القول بکفایة تشهّد سجدتَی السهو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سعة الوقت اختیار الاُولی، وفی الضیق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کفایة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محمداً صلی‌الله‌علیه‌و‌آله‌وسلم عبده ورسوله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لا مانع من تخلّل الأدعیة المأثورة المطوّلة بین فقراتها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یصدق انتشار الحروف، کما مرّ فی فصل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الجلوس علی النحو المتعارف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الإقعاء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کونهما فی مرتبة واحدة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إذا ترک التعلّم باختیاره حتّی ضاق الوقت فالأحوط الجمع بین الصلاة الاضطراریّة فی الوقت وتدارکها بعد التعلّم فی خارجه، کما فی کلّ مورد نشأ الاضطرار من سوء الاختیار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ملحوناً، والإتیان ملحوناً مقدّم علی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الجمع بین الترجمة والذکر إن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الاستحباب فی أکثرها غیر معتمدٍ علیه، فالأولی رعایتها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ذکر بتلک الخصوصیات لم یثبت استحبابه الشرعی، فالأولی أن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لشبهة التشریع والزیادة؛ لعدم دلیلٍ وافٍ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الروایة فی بعض الکلمات مختلفة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ولمن دخل بیتی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النهوض إلیه،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ترتیب آثار الجزئیة علیه، فلو دخل الوقت مثلاً بعد التشهّد وقبل التسلیم فالأحوط إعادة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إن لم یکن أقوی بطلان الصلاة بالإخلال بالتسلیم سهواً حتّی صدر المبطل عمداً وسهواً، بل ینبغی الجزم بذلک بناءً علی الجزئیّة، ووجهه یظهر بالتأمّل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استمرّ السهو، فإذا فات الموالاة أو أتی بالمنافی أو انمحت صورة الصلاة فالأقوی بطلانها، ولو تذکّر قبل أن یقع کما فی هذه الاُمور ولم یتکلّم فالصلاة صحیحة، ویأتی بالتسلیم ولا شیء علیه، ولو تکلّم فیجب سجدتا السهو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تذکر بعد الإتیان بالمنافی قبل فوات الموالاة فلا یخلو من شائبة إشکال، فلا یُترک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سیجیء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الإتیان بالثانیة وإن جاء بالاُولی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کونه جزءاً ولو مستحبّاً مع فرض الخروج بما قبله مشکل، إلاّ أن یجعل جزءاً مستحبّاً للسلام الواجب فیکون مکمّلاً له، ولکنّ الخروج یکون بالاُولی، والأحوط أن لا یأتی بالمنافی من حدث أو کلام إلاّ بعد الفراغ من المجموع، وأن لا یقتصر علی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الجزئیة لا تخلو من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من توابعه تأمّل، بل منع، نعم، لا إشکال فی استحبابه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حکمه ممّا تقدّم فی ترک السلام سهواً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إطلاقه لما إذا کان عن عذرٍ مبنیّ علی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وفوات الموالاة، وأمّا قبلها فقد تقدم الاحتیاط فی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حکمه، وفی الفرق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بعدما فُرض من وقوع المنافی قبل المحلّل، وإن کان وقوعه فی الأثناء ممنوعاً فاحتمال البطلان کالصورة الاُولی لا یخلو من وجه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بذلک إلی مطلب دقیق لا یناسب وضع التعلیقة مع ذکره، وذکرناه مفصّلاً فی الجزء الرابع من فقه الصادق علیه‌السلام فی 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بذلک أنّ شمول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السلام المنسیّ یُخرج الحدث عن کونه حدثاً فی الصلاة، ولا مانع من شموله إلاّ الحکم بالبطلان من ناحیة وقوع الحدث فی الصلاة، إلاّ أنّه غیر ممکن؛ لتوقّفه علی عدم شمول الحدیث للسلام المنسیّ، فلو کان عدم الشمول مستنداً إلیه لزم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دعوی توقّف شمول الحدیث علی إحراز صحّة الصلاة من بقیة الجهات ـ ولا یمکن ذلک من غیر جهة الشمول فی المقام ـ فمدفوعة بعدم الدلیل علیه إلاّ من ناحیة اللغویّة، ومن الضروری أنّها ترتفع بالحکم بصحّة الصلاة فعلاً ولو کان ذلک من ناحیة نفس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یقال من أنّ الخروج من الصلاة معلول للحدث وفی مرتبة متأخّرة عنه فالحدث واقع فی الصلاة واضح البطلان، مع أ نّه لا یتمّ فی القواطع، کما یظهر وجهه بالتأمّل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یکون الحدث خارج الصلاة مع انحصار المخرج والمحلِّل بنفس السلام دون نسیانه؟ وأیّ أثرٍ یمکن أن یدّعی ترتّبه علی خطأ المصلّی فی ما اعتقده من خروجه من الصلاة؟ وبماذا یجمع بین هذه الدعوی وما التزم به من وجوب سجود السهو علیه لو تکلّم عند نسیانه؟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واقع قبل الخروج؛ ولذا التزم بوجوب سجدة السهو علیه لو تکلّم عند نسیانه قبل حصول ماحی الصورة، أو غیره من القواطع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أراد الاقتصار علی الصیغة الاُولی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الإخراج من آثاره الشرعیّة، لا من عناوینه القصدیّة، ولو اعتبرنا فیه النیّة فیکفی القصد الإجمالی الارتکازی الباعث علی إیجاد جمیع الأجزاء تدریجاً، ولا یلزم قصد کلّ واحد مستقلاًّ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یرجع إلی التشریع أو إلی عدم قصد الامتثال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 المرعشی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إلی هذا الاحتیاط إذا کان قد قصد الجزئیة بسلامه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یجری فیه ما تقدّم فی التشهّد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السیستانی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 حسن القمّی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وتحریک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جلست فی الصلاة فاجلس علی یسارک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جلست فی الصلاة فلا تجلس علی یمینک، واجلس علی یسارک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 ، الفانی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المانع من قصد التحیّة علی من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التفصیل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یقصد الرجاء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صحّتها إشکال، والأحوط لزوماً إعادتها، بل هی الأقوی إذا کان دخول الوقت بعد السلام المُخرِج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فلا یُترک بإعادة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مسلّم؛ لاحتمال کونه واجباً خارجیّاً، کما ذهب إلیه بعض العلماء، فلا یُترک الاحتیاط بإعادة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الأرکان والسجدة الواحدة إذا قدّمها عمداً، وفی غیرهما فالأحوط إتمام الصلاة مرتّباً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البطلان إذا کانت الزیادة ذکراً أو قرآناً، ولا ینبغی ترک الاحتیاط فی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الترتیب فی الأقوال غیر معلومة الإبطال مع التدارک، کما سبق بیانه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الحکم بالإبطال فی غیر الأرکان مبنیّ علی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الصلاة بزیادة السجدتَین أو الرکوع سهواً مبنیّ علی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ولا یُترک الاحتیاط بالإعادة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شائبة إشکال فی المثال؛ من حیث إنّه فی الرکعتین الاُولَیَین، وأمّا الأخیرتان فالحکم فیهما کما ذکره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الانکشاف فی الأثناء لا یُترک الاحتیاط بالإتمام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للأصحاب ـ رضوان اللّه علیهم ـ فی مباحث الصلاة ثلاثة عناوین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شروط الصلاة شرط الموالاة،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مبطلات الصلاة وقواطعها، وهما الفعل الکثیر والفعل الماحی لصورة الصلاة، وملاک الجمیع لعلّه أمر واحد،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المعلوم الواضح أنّ الصلاة بل والوضوء والغسل، بل وبعض أجزاء الصلاة کالقراءة کلّ واحد من هذه المجعولات الشرعیّة عمل مرکّب من أجزاء مرتبط بعضها ببعض، أوجب ذلک الارتباط لها هیئة اتّصالیّة، لا یتحقّق امتثال الأمر بذلک العمل إلاّ إذا وقع بتلک الهیئة الخاصّة، ضرورة أن لیس المراد من الأمر بالصلاة إیجاد تلک الأعمال منتثرة مبعثرة بحیث یکفی أن یوجد تکبیرة إحرام، ثمّ قراءة فاتحة وسورة، ثمّ رکوع وسجود کیفما اتّفق وبأیّ نحوٍ کان ولو بنحو الاستقلال کلاًّ، بل لابدّ من إیجادها بنحوٍ خاصّ من الارتباط، بحیث تکون له وحدة عرفیّة ویصدق علیها أ نّها عمل واحد، فکلّ ما یکون منافیاً لهذه الهیئة ولتلک الوحدة الاتّصالیة یکون مبطلاً للصلاة، وقادحاً فیها، ومانعاً من انضمامِ لاحِقِ أجزائها بسابقها، ومن هنا تنشأ شرطیّة الموالاة بین الأجزاء، أی تتابعها، واتّصال بعضها ببعض بحیث لا تنفصم وحدتها ولا ینفصل اتّصالها، کما ینشأ أیضاً مانعیّة الفعل الکثیر فی أثنائها، فإنّه یوجب عرفاً محو صورتها، وذهاب اتّصالها ووحدتها، وهو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یقدح فی اتّصالها وارتباطها، کالسکوت الطویل، أو الاشتغال بعمل غیر صلاتی، کالأکل والکتابة ونحوها، ونوع آخر لا یصدم الاتّصال والوحدة ولکنّه ماحٍ للصورة، فإنّ للصلاة وراء الأجزاء الوجودیة واتّصالها صورةً خاصّة، فلو اشتغل فی أثناء القراءة أو التشهّد بکتابة أو خیاطة انمحت صورة الصلاة بنظر العرف، وإن لم یذهب الاتّصال بین الأجزاء، ولکنّ العرف یری أنّ جملةً من الأفعال الاعتیادیّة للبشر تنافی الصلاة من حیث ذاتها، لا من حیث ارتباط أجزائها واتّصالها، ولا شکّ أنّ هذا التنافی قد اقتبسه العرف من الشرع، لا من عند أنفسهم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اعتباره، ضرورة أنّ الصلاة حقیقة شرعیّة لیس للعرف بذاته حقّ التصرّف فیها بوجه من الوجوه، ومن هنا أیضاً نشأ مانعیّة ما یمحو صورة الصلاة، وهو أیضاً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لا یقطع الاتّصال ولا یمنع من ارتباط الأفعال، وذلک مثل ما عرفته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وقلیل یقطعها ویمحو صورتها وإن لم یکن کثیراً، کالوثبة والتصفیق والدَبْکَة ونحوها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الحکم لصورة عدم الاکتفاء به مبنیّ علی الاحتیاط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حکم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تذکّر قبل الإتیان بما ینافی الصلاة عمداً وسهواً وسلّم موالیاً فالأظهر الصحّة، ولو تذکّر بعد تخلّله فالبطلان أقوی،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إن لم یکن أقوی البطلان فی کلٍّ من المشبّه والمشبّه به،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السهو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حکم فوات الموالاة العرفیّة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عن سهو، أمّا مع العمد فالأحوط الإعادة، 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بعض مراتب التطویل والإکثار، کما لو أتی بخمسة آلاف تسبیحة فی الرکوع أو السجود أو بالتسبیحات الأربع ألفَی مرّةٍ مثلاً یُعدّ من المَحو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فی أنّ الإفراط فی الإطالة یوجبه، فالإطلاق فی کلامه منظور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بل لا یخلو من قوّة، کما مرّت الإشارة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محو صورة الذکر والقراءة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هو الأقوی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بوجوب القنوتات فی صلاة العیدین أحوط إن لم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أقوی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فی غیر صلاة الغداة خلاف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الأحوط الإتیان به فیها رجاءً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العِشاء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الوَتر بعِداد الفرائض تسامح، کما أنّ حقّ التعبیر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القنوت فی کلّ صلاة، ویتأکّد فی الفرائض خصوصاً الجهریّة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بوجوبه فی العیدین أحوط، بل لعلّه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دلّ بعض النصوص علی مطلوبیّته بعد الرکوع أیضاً فی صلاة الوَتر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الکلام تفصیلاً حول الصلاتین المذکورتین فی محلّهما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البحث عنه ـ إن‌شاء اللّه تعالی ـ فی باب العیدین والآیات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أحمد الخونساری، زین الدین، حسن القمّی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ترک الرفع إلاّ فی مقام التقیة ونحوها من الطوارئ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دخله فیه بنحو الشرطیة لا یخلو من قوّة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المعبّر عنها فی کلماتهم بالدعاء بالقرآن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بین الحکایة والدعاء ممّا لا مانع منه ، کما 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إدراج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غلط الناسخ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الترک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تحقّق القنوت الموظّف بالعربیة، والأحوط ترک الدعاء والذکر بغیرها فیه وفی غیره من حالات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تحقّقها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 الأراکی</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ادُّعِیَ من الإجماع والروایة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ترکه، إلاّ بقصد القرآنیة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وقبلها؛ لإطلاق الدلیل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ختم بالدعاء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دلّت علیه الروایة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یصلّی علی النبیّ وآله فی ابتداء الحاجة وانتهائها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کانت له إلی اللّه عزّوجلّ حاجة فلیبدأ بالصلاة علی محمدٍ وآله، ثمّ یسأل حاجته، ثمّ یختم بالصلاة علی محمدٍ وآل‌محمدٍ، فإنّ اللّه عزّوجلّ أکرم من أن یقبل الطرفین ویدع الوسط إذا کانت الصلاة علی محمدٍ وآله لا تحجب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فی ابتداء القنوت وانتهائه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لترک وآله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الشاهرودی ، حسن القمّی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رأیت فی بعض الإجازات التأکید فی المداومة علیه فی القنوتات، ومن الأدعیة الّتی أکّد أرباب کتب السنن بقراءتها فی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أرویه عن والدی العلاّمة وغیره، عن العلاّمة جمال السالکین الحاجّ السید مرتضی الرضوی الکشمیری، بطرقه إلی قدوة الناسکین مولانا السید رضیّ الدین بن طاووس الحسنی، بطرقه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سیّدتنا الزهراء البتول ـ روحی لها الفداء ـ کانت تدعو فی القنوت بهذا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أسألُکَ بحقّ فاطمة وأبیها وبعلها وبنیها والسِرّ المستَودَعِ فیها أن تصلّی علی محمدٍ وآل محمدٍ، وأن تفعل بی ما أنت أهلُه، ولا تفعل بی ما أنا أهلُه، برحمتک یا أرحم الراحمین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اعتمد السید المرعشی قدس‌سره هذا الذکر، ولکن بعد الفحص فی الکتب المعتبرة لم نجد له مصدراً معتبراً ولا سنداً، إلاّ ما ذُکِر فی صحیفة الزهراء علیهاالسلام لجامعها الشیخ جواد القیّومی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دعاء الملائکة فیقنوتاتهم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یتمکّن من التعلّم، وإلاّ ففیه نظر، سیّما مع تعمّده وکونه عارفاً بصحیحه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فیه فی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مستحسناً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بالحرمة مطلقاً مشکل، وإنّه مبطل أشکل، وإن کان الظاهر تسالم الأصحاب علیها، وأمّا الدعاء علی المؤمنین بغیر حقٍّ فالظاهر حرمته مع صدق عنوان الظلم علیه، کما أنّ الظاهر کراهة إکثار الدعاء علی الظالم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فی الجمعة، لکنّ ذلک فی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یوجب الانمحاء أو السأم، کما مرّ فی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ذکر لم یثبت، فاللازم الإتیان به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اختصاص الکراهة بالفرائض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من أنّ صلاة النهار عجماء منصرف إلی القراءة، ولا یشمل الأذکار والدعاء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کَرهَ الجهر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 منّا أنّ الأقوی عدم صیرورة المنذور وما بحکمه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الأوجه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عند الإتیان به جالساً سهواً الإتیان به قائماً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قَنَتَ وهو جالس سهواً فالأحوط الإتیان به قائماً برجاء المطلوبیة إذا تذکّر قبل الرکوع، وإذا قَنَتَ وهو جالس عمداً أتمّ الصلاة ثمّ أعادها علی الأحوط، کما تقدّم فی فصل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قصد الرجاء لها فی مسألَتَی الزینة والإخفات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ترکهما مکروه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بروایة تدلّ علی استحباب الإخفات فی الأقوال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الخصوصیات المذکورة فی المسألة السابقة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التخییر بینه وبین غمض العینین حاله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المنقول من الفقه الرضوی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فریضةً کانت أو نافلةً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التعقیب علی مطلقها محلّ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عدم الاستقبال والطهارة یأتی به رجاءً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ممّا تُنقل مداومة أهل البیت علیهم‌السلام علیه وتمرین أطفالهم به فی إدبار الصلوات، بل اتّفق أهل القبلة علی فضله، حتّی رواه حملة الحدیث من العامّة والزیدیة أیضاً، فعن أحمد بن حنبل فی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فی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والحاکم فی المستدرک وغیرهم من العامّة فی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الزیدیة فقد ذکره العلاّمة ابن الوزیر الحسنی الیمانی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مفتاح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مسند زید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والقاضی صفیّ الدین الیمانی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الفَلَک السیّار فی البحر الزخّار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 مَن ذَکَر فی غیر 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رکعة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فیبعض الکتب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الشیخ فی النهایة التصریح به، لکن لم نظفر بدلیله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فی کیفیّته مختلفة جدّاً حتّی عند العامة، والجمع بینها ببعض المحامل مشکل، ولکنّ الأقوی المختار الکیفیّة الاُولی التی أفادها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التخییر، کما لا یخلو من وجه، لکنّ الأحوط تقدیم التحمید فی تعقیب الصلاة، والاهتمام بشأن تسبیحها ـ سلام اللّه علیها ـ یقتضی الجمع بإعادته بعد التسبیح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ویعجبنی ذکر ما یناسب المقام،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حدّثنی العلاّمة الزاهد السید محمد الحسینی الغزنوی الکابلی من نُقّاد الحدیث وبحّاثیهم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السبحة کانت حبوبها فی أول الأمر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تُدار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للتکبیر، ومرّة إلاّ حبّة للتحمید، وکذلک للتسبیح، ثمّ شاع سرد مائة حبّة فی خیط واحد روماً للتسهیل، وکان یُعزی ذلک إلی بعض الصحابة، وأنّه فعل ذلک فی عصر الثانی،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احتاط بالاستئناف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جریان قاعدة التجاوز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الفراغ، وأمّا قبله ففیه تأمّل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الأولی فی ما زاد علی عدد التکبیر أن یبنی علی ثلاثٍ وثلاثین، ویأتی بتکبیرة واحدة، وإذا زاد فی التحمید علی سبعٍ وستّین بنی علی الستّ والستّین ویأتی بتحمیدة واحدة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الأوجه لا سیّما فی ما لو قدّم التسبیح علی التمحید أن یبنی علی الأقلّ بواحدة ثمّ یأتی بها، إلاّ إذا زاد بعد تمام المائة فیبنی علیها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 عن العِلل وغیره علی ما ظفرنا به یخالف المذکور هنا بزیادة ونقیصة فیأتی بهذا الدعاء رجاءً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المائة یأتی رجاءً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الإتیان بالمأثور المتضمّن إیّاهما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الخاصّ المأثور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مندوب إلیه فی نفسه، ووقوعه فی مقام التعقیب یؤکّد الندب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ما یدلّ علی استحبابها بعد کلّ نافلة بالخصوص، نعم، هی مستحبّة فی نفسها ولا ینبغی ترکها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المرّة إذا ذکر اسمه مکرّراً ولم یکن صلّی علیه، نعم، إکثار الصلاة علیه ـ صلوات اللّه وسلامه علیه وآله ـ مستحبّ ولو ذکر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الاستحباب یحتمل ترجیح هذا 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جواز الاکتفاء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للاکتفاء وجه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یکتفی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رعایة الفوریة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الإتیان بها علی الکیفیّات المأثورة عنهم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الأفضل؛ إذ بدون الضمّ بتراء، کما فی النصّ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عنه صلی‌الله‌علیه‌و‌آله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عَلَیَّ فی کتابٍ لم تزل الملائکة تستغفر له مادام اسمی فی ذلک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الکون علی الطهارة، عنه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لروایة نقلها العلاّمة المحدّث الجزائری فی الأنوار، وفی دلالتها علی المراد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لا بقصد الورود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علیل، وما استظهره هو الجدیر بالقبول لدی نحاریر المحاورة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ذَکَرتُم الأنبیاء الأوّلین فصلّوا عَلَیَّ، ثمّ صلّوا علیهم، وإذا ذکرتم أبی إبراهیم فصلّوا علیه، ثمّ صلّوا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بما نال إبراهیم ذلک؟ قال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 لیلة عُرج بی إلی السماء فرقیت السماء الثالثة، نصب لی منبر من نور فجلست علی رأس المنبر، وجلس إبراهیم تحتی بدرجة، وجلس جمیع الأنبیاء الأوّلین حول المنبر، فإذا بعلیٍّ قد أقبل وهو راکب ناقةً من نور ووجهه کالقمر، وأصحابه حوله کالنجوم، فقال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هذا أیّ نبیٍّ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 مَلَک 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نبیّ معظّم ولا مَلَک مقرّب، هذا أخی وابن عمّی وصهری ووارث علمی علیّ بن أبی طالب علیه‌السلام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هوءلاء الذین حوله کالنجوم؟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شیعته، فقال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اجعلنی من شیعة علیّ، فأتی جبرائیل بهذه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مِنْ شیعَتِهِ لاَءِبْراهیمَ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وقع الحدث بعد رفع الرأس من السجدة الأخیرة فالأحوط الأولی إتیان التشهّد والتسلیم بعد تحدید الطهارة قبل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المتیمّم الذی یصیب الماء فی أثناء صلاته بعد أن صار محدثاً الوضوء والبناء علی ما مضی من صلاته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الصلاة فی الصورتین إذا کان بعد السجدة الأخیرة مبنیٌّ علی الاحتیاط الوجوبی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هو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 وأنّ الاحتیاط فیه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الإبطال به محلّ نظر أقربه العدم، ویحرم فعله تشریعاً فی حال القیام والجلوس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یختصّ بذلک إذا أتی به علی النحو الذی بیّنّاه فی التعلیقة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اختصاص الحکم بحال القیام وبدله، سواء کان فی حال القراءة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التکفیر لغةً الخضوع، والمراد به هنا الکیفیة المعهودة المتعارفة عند الفرس فی مقام التأدّب، ومنشأ تشریعه قضیة عمر المعروفة، ولا فرق بین وضع الیمنی علی الیسری أو العکس حال القراءة، أو غیرها فوق السرّة، أو تحتها بینهما حائل، أم لا علی الزند أو الساعد أو العضد، بل قد یتحقّق بوضع الذراع علی الذراع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ترکه لا لضرورة مع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الصحّة فی هذه الصورة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لما إذا کان ذلک فی تمام القراءة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الالتفات بحیث یری ما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فاحشاً، کما هو المستفاد من لفظ الکلّ فی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غیره البطلان محلّ إشکال ولو للجمع بین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تأمّل؛ لاحتمال حمل الوجه فی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مقادیم البدن الراجع الی الالتفات بجمیع البدن، فالالتفات بالوجه فقط حینئذٍ خارج عن مضمون الروایات، اللّهمّ إلاّ أن یُدّعی منافاته لشرطیة الاستقبال بجمیع أجزائه حتّی قُلامة ظِفرٍ کما فی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وحینئذٍ یکون الالتفات بالوجه فقط علی الوجه المزبور مبطلاً بمناط فقد الشرط، لا وجود القاطع،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العدم، والإبطال أحوط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بطلان الصلاة بتعمّد الالتفات بالوجه إلی حیث یری ما خلفه، وهذا هو مراد المشهور بالالتفات الی ما ورائه الذی أفتوا بإبطاله عمداً لا سهواً، لا جعل الوجه بحذاء الخلف حتی یحتاج إلی فرض إمکانه، والظاهر أ نّه هو المراد بالفاحش فی النصوص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بحیث لا یشاهد ما خلفه، ولازم ذلک أن یکون بصفحة وجهه، لا بتمام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بالمقدار الذی یری ما بیمینه أو یساره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صدق کون الشخص مستقبلاً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 المرعشی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 وفی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الفاحش، أی جعل صفحة الوجه بحذاء یمین القبلة أو شمالها مبطل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صحّة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ما ذکرناه فالمشهور علی عدم الإبطال إذا صدر سهواً، لکنّه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إذا ذکر فی خارج الوقت فإنّه لا یجب القضاء، إلاّ إذا بلغ الاستدبار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اُرید بهما معنیً من المعانی أم نوعاً من الألفاظ، أو مثله أوشخصه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زین الدین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کان غیر مُفهِمٍ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تکلّم بحرفٍ واحدٍ علی الأحوط، وکذلک فی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 حرفَین مهمَلَین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الشاهرودی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لفسادها فی نفسه وإفسادها لغیره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فسادها موجباً لبطلان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البطلان، وکذلک فی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یخرج عن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التلفّظ بنفس الحرف بدون هاء السَکت أو باسمه بأن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فالأقوی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یتولّد حرفان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الحکم فی التأوُّه إذا خرج منه حرفان، فلا یُترک فیه الاحتیاط، ولا یبطل إذا حدث منه حرف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ترکه مطلقاً إذا لم یکن جزءَ دعاءٍ أو مناجاة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شکایةً الی اللّه تعالی، وإلاّ بطلت، وکذا الحکم 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نظر جدّاً،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تبطل إن ذکرها فی غیر مقام الخوف أو الدعاء والمناجاة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 مقام الخوف من اللّه فالمتعلّق مطویّ عنده، وفی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اللّه والمریض یلتجئ به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والشکوی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اللزوم، وأمّا قهراً فعلی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قصد الجزئیة، وعدم لزوم محو الصورة، کما سیأتی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الخلل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یُخِلُّ بالموالاة المعتبرة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 ما یوجب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الجواز والبطلان مبنیّان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الإبطال به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وقد مرّ فی القنوت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یعتـبر فیه قصد القـربة فلو خاطب من اسمـه یحیی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یَحیی خُذِ الْکِتَابَ بِقُوَّةٍ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یبطل إذا قصد خطابه بالقرآن، أمّا إذا لم یقصد ذلک أو قصد العدم فمشکل، نعم، یعتبر قصد القربة فی ما یأتی به من القراءة الواجبة، فلو قرأ سورةً أو آیةً بعد الحمد ولم یقصد بها القربة بطلت، ولکن لا تبطل بها الصلاة مع التدارک، کما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قصد القربة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القرآنیة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التنیبه داعیاً لاختیاره هذا النحو من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إمکان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یکرّرها عمداً بقصد الجزئیة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بقصد الجزئیة إلاّ فی ما ورد فیه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 به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 من نفسه أنّ ذلک منه وسوسةً محضة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جعله بمنزلة المناجاة مع الحقّ تعالی فیخرج الخطاب عن حقیقته ویجعله بمنزلة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سَلِّم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 السلامَ والسلامةَ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لو قصد به الخطاب حقیقةً والمکالمة معه فأراد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فمشکل، والبطلان أشبه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وجوب ردّه حینئذٍ إشکال؛ لأنّه لم یستعمل اللفظ فی معنی التحیّة وإنّما أراد إفهامه علی نحو دلالة التنبیه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مجرّد الدعاء والقراءة بحیث لا یقصد التحیّة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وجوب الردِّ حینئذٍ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ردّ السلام أومطلق التحیّة أن یکون بما یناسبُه من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السلام وإن کان واجباً حال الصلاة ولکن فی صحّة الصلاة حینئذٍ إشکال، وقصد القرآنیة والدعائیة لا تجمع مع قصد التحیة، وجعل التحیّة فی طول قصد الدعائیة والقرآنیة ممّا لا یرجع إلی محصّل، فلا یُترک الاحتیاط بإعادة الصلاة مهما کانت صیغة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فیه قصد الدعاء، أی بقصد طلب السلامة له من اللّه تعالی، لا طلب وجودها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حکم المسألة ممّا تقدّم، وکذا فی 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کفایة المماثلة فی تقدیم السلام علی الخبر، وعدم لزوم المماثلة التامّة فی الخصوصیّات من التعریف والتنکیر والإفراد والجمع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قصد القرآنیة ینافی کونه جواباً وردّاً للسلام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الجواب بمثل ما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الجواب بمثل ما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 قصد القرآنیّة مع إمکان الجمع بین القصدین، وکذا الکلام فی کلّ مورد لم یحرز وجوب الردّ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مع قصد الدعاء، وأ نّه یضیف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قصد القرآنیة، وکذا الحال فی الفروع الآتیة المشتملة علی الاحتیاط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لم یخرجه عن صدق السلام عرفاً، وما ذکره من الاحتیاط تقدّم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اللحن غیر مُخرِجٍ له عن کونه سلاماً، وإلاّ فالأقوی عدم الوجوب، وأمّا الاحتیاط فقد ظهر ممّا تقدّم أ نّه غیر ممکنٍ فیه وفی غیره من موارد الشکّ فی وجوب الردّ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الاحتیاط عدم قصد القرآنیة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 قصدهما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التکرار ما لم یخرج عن صدق التحیّة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تکرار الجواب ما لم یخرج عن صدق التحیّة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لأنـّه خلاف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إشکال فی ما لم یحسب تحیّة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صدق التحیّة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وقد مرّ أنّ الأقوی مبطلیة مخاطبة غیر اللّه ولو بالدعاء، وأمّا قراءة القرآن فلا بأس بها، لکن لا تصیر جواباً، ولا تکون احتیاطاً، کما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شک المصلّی فی أنَّ المسلِّم قصدَهُ مع الجماعة لم یجز له الردّ وإن لم یرد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علم أنه مقصود بالسلام ولم یرد أحد فعلیه الردّ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الابتدائی بأحد الصیغ 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غیرها، کأن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سلامی أو سلاماً أو السلام، بل حتّی مع تقدیم الظرف، وإن کان الأولی ترک الابتداء به فإنّه تحیّة الموتی، والقول بعدم وجوب الردّ فیه أو فی مطلق ما عدا الأربع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ولا احتیاط فی ما ذکر،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مبنیّ علی الاحتیاط فی غیر الصلاة، وأمّا فی الصلاة فقد مرّ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یستحبّ، بل یجب وضعاً فی السلام الابتدائی، فلا یجب الردّ بدونه، فعن الصادق علیه‌السلام أ 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سلّم أحدکم فلیجهر بسلامه، ولا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 ولم یردّوا علیّ، ولعلّه قد سلّم ولم یُسمِعْهم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ردّ أحدکم فلیجهر بردّه، ولا یقول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 ولم یردّوا علیّ، ولو سلّم من وراء سترٍ أو جدار ونحوه فإن سمعه وجب الردّ، وإلاّ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الحج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فی صحیحة منصور بن حازم عنه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سلّم علیک الرجل وأنت تصلّی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علیه خفیّاً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منافاة بینهما،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الردّ حینئذٍ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للمصلّی، وإلاّ یجب الإسماع ما لم یترتّب علیه محذور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ابتدأ بها أو قالها بعد السلام، وکذا یستحبّ أو یجب جواب الکتاب؛ لصحیحة عبداللّه بن سنان عنه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 جواب الکتاب واجب کوجوب ردّ السلام، والبادئ بالسلام أولی باللّه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وظاهره العموم؛ لِما تضمّن السلام أم لا، بل والأحوط وجوب الردّ فی إبلاغ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قال لک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یُقرِئُکَ السلام،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وعلیه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فی قول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بلّغه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 وفی بعض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أمانة، فإذا لم یبلِّغْه لم یؤدِّ الأمانة إلی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التحیّة بغیر السلام وهو فی الصلاة فالأحوط وجوبا الردّ بقصد الدعاء، وإن کان أحوط وأولی ما لم ینطبق علیه إیذاء المؤمن، وإلاّ فیجب الردّ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غیر الصلاة، وأمّا فیها فالأقرب الترک، ومرّ أنّ قصد الدعاء لیس بأحوط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ردّ السلام بأیّ صیغة من المحتملات، وإتمام الصلاة ثمّ الإعادة،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حال الصلاة، وأمّا فیه فیشکل جواز الجواب ولو مع قصد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جواز الردّ بکلٍّ من الصیغ الأربع المتعارفة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کفایته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به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یستحبّ، فعن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صلی‌الله‌علیه‌و‌آله کان یسلّم علی النساء ویرددن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باب التسلیم علی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الشابّةُ یُکرَه أن یسلَّم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لو کانت شابّةً فمکروه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کان کما فی الشابّة فیکره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کانت 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موجب لهذا الحمل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الجواز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إلاّ لضرورةٍ توجب الردَّ بنحو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المارّ علی القاعد، کما فی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استحباب الابتداء بالسلام من هؤلاء آکَد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من قبیل مستحب فی مستحب، بل من قبیل مراتب الاستحباب،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الاستحباب علی الراکب آکد من استحباب سلام الماشی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الاستحباب آکَد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المستحبّ فی المستحبّ، بل الاستحباب فی حقّهم آکَد منه فی حقّ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إذا سُلِّم بعنوان المتارکة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یصدق التحیّة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الصلاة فلا یجوز، کما تقدّم فی المسألة الرابعة والعشرین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الحال فی بعض صور عدم التقارن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الکفایة؛ لأنّ کلاًّ منهما حیّا الآخر فیتحقّق الردّ بالتکافوء والتقابل، ولیس الغرض إلاّ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مع عدم التقارن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 حسن القمّی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قصدهما التحیّة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الگلپایگانی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صدق التحیّة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قاصداً للتحیّة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 الروحانی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سلّم تحیّةً لأهل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والأخرس سلامه بالإشارة، ویجب الردّ له بمثلها حتّی یفهمه، ویکفی ردّه فی سقوط الواجب عن الغیر، ولو سَلَّمَ علی جماعةٍ وفیهم المصلّی وکان مقصوداً معهم فأجاب أحدهم فهل یجوز للمصلّی الردّ أیضاً، أم لا؟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الإطلاق، ومن الانصراف، والثانی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عدم طروء بعض العناوین المرجوحة، کالمَلَق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 بعض المحدّثین من البحارنة ورود هذه العلاوة فی النصوص، ولم أقف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حول ردّ السلام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 الآملی</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یستحبّ أن یمرّ إصبعه علی أنفه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بالخیر والبرکة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بالسِین؛ لأ نّه من 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أبی عبیدة بالشین، وهو بالنسبة إلی العاطِس من السُنَن الأکیدة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فی استحبابه بین کون العاطس موءمناً أو مخالفاً أو کافراً، فقد سَمَّتَ الصادق علیه‌السلام نصرانیاً عطس بمحضره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فرق بین کونه رجلاً أو امرأةً، بل یجری حتّی فی الممیِّز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فی الصلاة ـ کما هو المذکور فی المتن ـ ففیه إشکال، وقد تقدّم الإشکال فی الدعاء مع مخاطبة الغیر، ومنه یعلم حال صور هذه المسألة، وأنّ الاحتیاط لا یجوز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النظر فی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بقصد الدعاء، لا التحیّة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الصلاة، وأمّا فیها فالأقوی عدم جواز الردّ إلاّ بما یصدق أنّه مناجاة الربّ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الخونساری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وقهراً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یمحُ اسم الصلاة معها، وکذا فی البکاء سهواً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حسن القمّی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إبطال الغیر المشتمل، والحکم بالإبطال فی المشتمل الغیر الماحی للصورة لا یخلو من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صدر عن اختیار، وأمّا قهراً فغیر معلوم، لکنّه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جعل المعیار الماحویّة عند أهل الشرع، کما أفاد قدس‌سره ، لا الکثرة کما عن عدّةٍ من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ما هو الماحی للصورة عند المتشرّعة، وفی إطلاق بعض الأمثلة مناقشة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أوقعهما فی خلال أفعالها أم لا، کما فی المأموم حال قراءة الإمام، وسواء فاتت الموالاة وحصل الفصل المخلّ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کما ذکرنا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الحدّ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 الوَتر المندوب دون ما کان واجبا کالمنذور، ولا یبعد التعدّی من الوتر إلی النوافل، وإن کان الأحوط الاقتصار علی مورد النصّ، ولا یجوز التعدّی من الشرب إلی الأکل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الإلحاق مشکل،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إذا أتی به بقصد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التعمیم بالنسبة إلی التأمین فی وسطها کما عن بعض 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التقیّة مجزیةً محلّ الإشکال، فلا فرق بین صورة الضرورة وعدمها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تبطل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الشکوک من القواطع إنّما هو بمعنی عدم التمکّن من إتمام العمل؛ لِلِزومه المضیّ علی الشکّ المنافی لعدمه المعتبر فی هذه الموارد، لا بمعنی أنّ الشکّ بحدوثه مبطل للصلاة کالحدث والاستدبار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فصل الشکّ فی الرکعات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 الإبطال بالزیادة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الإعادة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تجب لا من باب جریان قاعدة الفراغ، بل من باب استصحاب عدم تحقّق المبطل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إجراء قاعدة التجاوز وإن لم یجرِ الفراغ، وهذا فی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نفسه فی عمل آخر بحیث یُعدّ العمل العبادی مع ما یحتمل أن یکون مبطلاً له سابقین علی عمله الفعلی یکون واضحاً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الإتمام حینئذٍ نظر؛ لأهمّیة الإزالة، بل علی التوقّف تبطل الصلاة للمرجوحیّة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مع ضیق الوقت أمکن الالتزام بسقوط منافیات الإزالة عن جزئیّة الصلاة؛ 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بضمیمة أهمّیة الإزالة عن جزئیّتها، فیصیر ممّا اضطرّ علی ترکها، فتشمله قاعدة سقوط الجزئیّة بالعسر والاضطرار، والأحوط مع ذلک إعادة الصلاة تامّةً بعدالفراغ عن‌الإزالة؛ تحصّلاً للجزم بالفراغ عن جمیع الجهات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قطعها وأزالها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تطهیر النجاسة ماحیا لصورة الصلاة وأمکن التطهیر بعدها فلا یجوز قطعها، وإن لم یمکن تطهیرها بعد الصلاة یجب علیه قطعها ویشتغل بالتطهیر ثمّ یصلّی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الإمساک عنه حال الصلاة والبکاء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عدمه،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617</Pages>
  <Words>17391</Words>
  <Characters>81146</Characters>
  <CharactersWithSpaces>95937</CharactersWithSpaces>
  <Paragraphs>2641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2026-08-24T06:04:31Z</dcterms:created>
  <dc:creator>ghaemiyeh.com</dc:creator>
  <dc:description/>
  <dc:language>en-US</dc:language>
  <cp:lastModifiedBy/>
  <dcterms:modified xsi:type="dcterms:W3CDTF">2026-08-24T09:34:55Z</dcterms:modified>
  <cp:revision>1</cp:revision>
  <dc:subject/>
  <dc:title>العروة الوثقی والتعلیقات علیها جلد 7</dc:title>
</cp:coreProperties>
</file>

<file path=docProps/custom.xml><?xml version="1.0" encoding="utf-8"?>
<Properties xmlns="http://schemas.openxmlformats.org/officeDocument/2006/custom-properties" xmlns:vt="http://schemas.openxmlformats.org/officeDocument/2006/docPropsVTypes"/>
</file>